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document.xml" ContentType="application/vnd.ms-word.document.macroEnabled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Times New Roman" w:hAnsi="宋体"/>
          <w:color w:val="auto"/>
          <w:spacing w:val="15"/>
          <w:sz w:val="28"/>
          <w:szCs w:val="28"/>
        </w:rPr>
      </w:pPr>
      <w:r>
        <w:rPr>
          <w:rFonts w:ascii="Times New Roman" w:hAnsi="Times New Roman" w:eastAsia="方正小标宋简体" w:cs="Times New Roman"/>
          <w:color w:val="auto"/>
          <w:kern w:val="0"/>
          <w:sz w:val="42"/>
          <w:szCs w:val="44"/>
        </w:rPr>
        <w:t>20</w:t>
      </w:r>
      <w:r>
        <w:rPr>
          <w:rFonts w:ascii="Times New Roman" w:hAnsi="Times New Roman" w:eastAsia="方正小标宋简体" w:cs="Times New Roman"/>
          <w:color w:val="auto"/>
          <w:kern w:val="0"/>
          <w:sz w:val="42"/>
          <w:szCs w:val="44"/>
          <w:lang w:val="en"/>
        </w:rPr>
        <w:t>2</w:t>
      </w:r>
      <w:r>
        <w:rPr>
          <w:rFonts w:hint="eastAsia" w:ascii="Times New Roman" w:hAnsi="Times New Roman" w:eastAsia="方正小标宋简体" w:cs="Times New Roman"/>
          <w:color w:val="auto"/>
          <w:kern w:val="0"/>
          <w:sz w:val="42"/>
          <w:szCs w:val="44"/>
          <w:lang w:val="en-US" w:eastAsia="zh-CN"/>
        </w:rPr>
        <w:t>3</w:t>
      </w:r>
      <w:r>
        <w:rPr>
          <w:rFonts w:ascii="Times New Roman" w:hAnsi="Times New Roman" w:eastAsia="方正小标宋简体" w:cs="Times New Roman"/>
          <w:color w:val="auto"/>
          <w:kern w:val="0"/>
          <w:sz w:val="42"/>
          <w:szCs w:val="44"/>
        </w:rPr>
        <w:t>年周口市国民经济和社会发展统计公报</w:t>
      </w:r>
    </w:p>
    <w:p>
      <w:pPr>
        <w:pStyle w:val="2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beforeAutospacing="0" w:afterAutospacing="0" w:line="560" w:lineRule="exact"/>
        <w:ind w:firstLine="0" w:firstLineChars="0"/>
        <w:jc w:val="center"/>
        <w:textAlignment w:val="auto"/>
        <w:rPr>
          <w:rFonts w:hint="eastAsia" w:ascii="楷体" w:hAnsi="楷体" w:eastAsia="楷体" w:cs="楷体"/>
          <w:color w:val="auto"/>
          <w:spacing w:val="15"/>
          <w:sz w:val="28"/>
          <w:szCs w:val="28"/>
        </w:rPr>
      </w:pPr>
      <w:r>
        <w:rPr>
          <w:rFonts w:hint="eastAsia" w:ascii="楷体" w:hAnsi="楷体" w:eastAsia="楷体" w:cs="楷体"/>
          <w:color w:val="auto"/>
          <w:spacing w:val="15"/>
          <w:sz w:val="28"/>
          <w:szCs w:val="28"/>
        </w:rPr>
        <w:t>周口市统计局</w:t>
      </w:r>
    </w:p>
    <w:p>
      <w:pPr>
        <w:pStyle w:val="2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157" w:afterLines="50" w:afterAutospacing="0" w:line="560" w:lineRule="exact"/>
        <w:ind w:firstLine="0" w:firstLineChars="0"/>
        <w:jc w:val="center"/>
        <w:textAlignment w:val="auto"/>
        <w:rPr>
          <w:rFonts w:ascii="Times New Roman" w:hAnsi="Times New Roman" w:eastAsia="楷体"/>
          <w:color w:val="auto"/>
          <w:sz w:val="28"/>
          <w:szCs w:val="28"/>
        </w:rPr>
      </w:pPr>
      <w:r>
        <w:rPr>
          <w:rFonts w:hint="eastAsia" w:ascii="Times New Roman" w:hAnsi="Times New Roman" w:eastAsia="楷体"/>
          <w:color w:val="auto"/>
          <w:sz w:val="28"/>
          <w:szCs w:val="28"/>
        </w:rPr>
        <w:t>202</w:t>
      </w:r>
      <w:r>
        <w:rPr>
          <w:rFonts w:hint="eastAsia" w:ascii="Times New Roman" w:hAnsi="Times New Roman" w:eastAsia="楷体"/>
          <w:color w:val="auto"/>
          <w:sz w:val="28"/>
          <w:szCs w:val="28"/>
          <w:lang w:val="en-US" w:eastAsia="zh-CN"/>
        </w:rPr>
        <w:t>4</w:t>
      </w:r>
      <w:r>
        <w:rPr>
          <w:rFonts w:hint="eastAsia" w:ascii="Times New Roman" w:hAnsi="Times New Roman" w:eastAsia="楷体"/>
          <w:color w:val="auto"/>
          <w:sz w:val="28"/>
          <w:szCs w:val="28"/>
        </w:rPr>
        <w:t>年</w:t>
      </w:r>
      <w:r>
        <w:rPr>
          <w:rFonts w:hint="eastAsia" w:ascii="Times New Roman" w:hAnsi="Times New Roman" w:eastAsia="楷体"/>
          <w:color w:val="auto"/>
          <w:sz w:val="28"/>
          <w:szCs w:val="28"/>
          <w:lang w:val="en-US" w:eastAsia="zh-CN"/>
        </w:rPr>
        <w:t>4</w:t>
      </w:r>
      <w:r>
        <w:rPr>
          <w:rFonts w:hint="eastAsia" w:ascii="Times New Roman" w:hAnsi="Times New Roman" w:eastAsia="楷体"/>
          <w:color w:val="auto"/>
          <w:sz w:val="28"/>
          <w:szCs w:val="28"/>
        </w:rPr>
        <w:t>月</w:t>
      </w:r>
      <w:r>
        <w:rPr>
          <w:rFonts w:hint="eastAsia" w:ascii="Times New Roman" w:hAnsi="Times New Roman" w:eastAsia="楷体"/>
          <w:color w:val="auto"/>
          <w:sz w:val="28"/>
          <w:szCs w:val="28"/>
          <w:lang w:val="en-US" w:eastAsia="zh-CN"/>
        </w:rPr>
        <w:t>29</w:t>
      </w:r>
      <w:r>
        <w:rPr>
          <w:rFonts w:hint="eastAsia" w:ascii="Times New Roman" w:hAnsi="Times New Roman" w:eastAsia="楷体"/>
          <w:color w:val="auto"/>
          <w:sz w:val="28"/>
          <w:szCs w:val="28"/>
        </w:rPr>
        <w:t>日</w:t>
      </w:r>
    </w:p>
    <w:p>
      <w:pPr>
        <w:pStyle w:val="2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jc w:val="both"/>
        <w:textAlignment w:val="auto"/>
        <w:rPr>
          <w:rFonts w:hint="eastAsia" w:ascii="Times New Roman" w:hAnsi="宋体" w:eastAsia="宋体" w:cs="Times New Roman"/>
          <w:color w:val="auto"/>
          <w:lang w:val="en-US" w:eastAsia="zh-CN"/>
        </w:rPr>
      </w:pPr>
      <w:r>
        <w:rPr>
          <w:rFonts w:hint="eastAsia" w:ascii="Times New Roman" w:hAnsi="宋体" w:eastAsia="宋体" w:cs="Times New Roman"/>
          <w:color w:val="auto"/>
          <w:lang w:val="en-US" w:eastAsia="zh-CN"/>
        </w:rPr>
        <w:t>2023年，面对国内外复杂形势，在市委市政府的坚强领导下，全市上下以深入开展主题教育强动力，坚持稳字当头、稳中求进工作总基调，锚定“两个确保”</w:t>
      </w:r>
      <w:r>
        <w:rPr>
          <w:rFonts w:hint="eastAsia" w:ascii="Times New Roman" w:hAnsi="宋体" w:cs="Times New Roman"/>
          <w:color w:val="auto"/>
          <w:lang w:val="en-US" w:eastAsia="zh-CN"/>
        </w:rPr>
        <w:t>，</w:t>
      </w:r>
      <w:r>
        <w:rPr>
          <w:rFonts w:hint="eastAsia" w:ascii="Times New Roman" w:hAnsi="宋体" w:eastAsia="宋体" w:cs="Times New Roman"/>
          <w:color w:val="auto"/>
          <w:lang w:val="en-US" w:eastAsia="zh-CN"/>
        </w:rPr>
        <w:t>加快</w:t>
      </w:r>
      <w:r>
        <w:rPr>
          <w:rFonts w:hint="eastAsia" w:ascii="Times New Roman" w:hAnsi="宋体" w:cs="Times New Roman"/>
          <w:color w:val="auto"/>
          <w:lang w:val="en-US" w:eastAsia="zh-CN"/>
        </w:rPr>
        <w:t>实施</w:t>
      </w:r>
      <w:r>
        <w:rPr>
          <w:rFonts w:hint="eastAsia" w:ascii="Times New Roman" w:hAnsi="宋体" w:eastAsia="宋体" w:cs="Times New Roman"/>
          <w:color w:val="auto"/>
          <w:lang w:val="en-US" w:eastAsia="zh-CN"/>
        </w:rPr>
        <w:t>“十大战略”三年行动计划，以“十二个紧盯”统筹经济发展，以“五个清单”抓实产业项目，以农业强市“七个专项行动”夯实基层基础，着力推动经济加快恢复与高质量发展，全市经济运行持续向好、高质量发展步伐坚实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宋体" w:hAnsi="宋体" w:cs="宋体"/>
          <w:b/>
          <w:color w:val="auto"/>
          <w:sz w:val="28"/>
          <w:szCs w:val="28"/>
        </w:rPr>
      </w:pPr>
      <w:r>
        <w:rPr>
          <w:rFonts w:hint="eastAsia" w:ascii="宋体" w:hAnsi="宋体" w:cs="宋体"/>
          <w:b/>
          <w:color w:val="auto"/>
          <w:sz w:val="28"/>
          <w:szCs w:val="28"/>
        </w:rPr>
        <w:t>一、综</w:t>
      </w:r>
      <w:r>
        <w:rPr>
          <w:rFonts w:hint="eastAsia" w:ascii="宋体" w:hAnsi="宋体" w:cs="宋体"/>
          <w:b/>
          <w:color w:val="auto"/>
          <w:sz w:val="28"/>
          <w:szCs w:val="28"/>
          <w:lang w:val="en-US" w:eastAsia="zh-CN"/>
        </w:rPr>
        <w:t xml:space="preserve">  </w:t>
      </w:r>
      <w:r>
        <w:rPr>
          <w:rFonts w:hint="eastAsia" w:ascii="宋体" w:hAnsi="宋体" w:cs="宋体"/>
          <w:b/>
          <w:color w:val="auto"/>
          <w:sz w:val="28"/>
          <w:szCs w:val="28"/>
        </w:rPr>
        <w:t>合</w:t>
      </w:r>
    </w:p>
    <w:p>
      <w:pPr>
        <w:pStyle w:val="2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jc w:val="both"/>
        <w:textAlignment w:val="auto"/>
        <w:rPr>
          <w:rFonts w:ascii="Times New Roman" w:hAnsi="宋体"/>
          <w:color w:val="auto"/>
        </w:rPr>
      </w:pPr>
      <w:r>
        <w:rPr>
          <w:rFonts w:hint="eastAsia" w:ascii="Times New Roman" w:hAnsi="宋体"/>
          <w:color w:val="auto"/>
        </w:rPr>
        <w:t>初步核算，</w:t>
      </w:r>
      <w:r>
        <w:rPr>
          <w:rFonts w:hint="eastAsia" w:ascii="Times New Roman" w:hAnsi="宋体"/>
          <w:color w:val="auto"/>
          <w:lang w:eastAsia="zh-CN"/>
        </w:rPr>
        <w:t>全</w:t>
      </w:r>
      <w:r>
        <w:rPr>
          <w:rFonts w:hint="eastAsia" w:ascii="Times New Roman" w:hAnsi="宋体"/>
          <w:color w:val="auto"/>
        </w:rPr>
        <w:t>年全市地区生产总值同比增长4.8%。分产业看，第一产业增加值增长2.0%</w:t>
      </w:r>
      <w:r>
        <w:rPr>
          <w:rFonts w:hint="eastAsia" w:ascii="Times New Roman" w:hAnsi="宋体"/>
          <w:color w:val="auto"/>
          <w:lang w:eastAsia="zh-CN"/>
        </w:rPr>
        <w:t>，</w:t>
      </w:r>
      <w:r>
        <w:rPr>
          <w:rFonts w:hint="eastAsia" w:ascii="Times New Roman" w:hAnsi="宋体"/>
          <w:color w:val="auto"/>
        </w:rPr>
        <w:t>第二产业增加值增长6.0%</w:t>
      </w:r>
      <w:r>
        <w:rPr>
          <w:rFonts w:hint="eastAsia" w:ascii="Times New Roman" w:hAnsi="宋体"/>
          <w:color w:val="auto"/>
          <w:lang w:eastAsia="zh-CN"/>
        </w:rPr>
        <w:t>，</w:t>
      </w:r>
      <w:r>
        <w:rPr>
          <w:rFonts w:hint="eastAsia" w:ascii="Times New Roman" w:hAnsi="宋体"/>
          <w:color w:val="auto"/>
        </w:rPr>
        <w:t>第三产业增加值增长4.8%。</w:t>
      </w:r>
      <w:r>
        <w:rPr>
          <w:rFonts w:hint="eastAsia" w:ascii="Times New Roman" w:hAnsi="宋体"/>
          <w:color w:val="auto"/>
          <w:highlight w:val="none"/>
        </w:rPr>
        <w:t>全年人均地区生产总值增长</w:t>
      </w:r>
      <w:r>
        <w:rPr>
          <w:rFonts w:hint="eastAsia" w:ascii="Times New Roman" w:hAnsi="宋体"/>
          <w:color w:val="auto"/>
          <w:highlight w:val="none"/>
          <w:lang w:val="en-US" w:eastAsia="zh-CN"/>
        </w:rPr>
        <w:t>5.9</w:t>
      </w:r>
      <w:r>
        <w:rPr>
          <w:rFonts w:hint="eastAsia" w:ascii="Times New Roman" w:hAnsi="宋体"/>
          <w:color w:val="auto"/>
          <w:highlight w:val="none"/>
        </w:rPr>
        <w:t>%。</w:t>
      </w:r>
    </w:p>
    <w:p>
      <w:pPr>
        <w:pStyle w:val="25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jc w:val="both"/>
        <w:rPr>
          <w:rFonts w:hint="eastAsia" w:ascii="Times New Roman" w:hAnsi="宋体"/>
          <w:color w:val="auto"/>
        </w:rPr>
      </w:pPr>
      <w:r>
        <w:rPr>
          <w:rFonts w:hint="eastAsia" w:ascii="Times New Roman" w:hAnsi="宋体"/>
          <w:color w:val="auto"/>
        </w:rPr>
        <w:t>年末全市常住人口</w:t>
      </w:r>
      <w:r>
        <w:rPr>
          <w:rFonts w:hint="default" w:ascii="Times New Roman" w:hAnsi="宋体"/>
          <w:color w:val="auto"/>
        </w:rPr>
        <w:t>866.60</w:t>
      </w:r>
      <w:r>
        <w:rPr>
          <w:rFonts w:hint="eastAsia" w:ascii="Times New Roman" w:hAnsi="宋体"/>
          <w:color w:val="auto"/>
        </w:rPr>
        <w:t>万人。</w:t>
      </w:r>
      <w:r>
        <w:rPr>
          <w:rFonts w:hint="eastAsia" w:ascii="Times New Roman" w:hAnsi="宋体"/>
          <w:color w:val="auto"/>
          <w:lang w:eastAsia="zh-CN"/>
        </w:rPr>
        <w:t>其中，</w:t>
      </w:r>
      <w:r>
        <w:rPr>
          <w:rFonts w:hint="eastAsia" w:ascii="Times New Roman" w:hAnsi="宋体"/>
          <w:color w:val="auto"/>
        </w:rPr>
        <w:t>城镇人口</w:t>
      </w:r>
      <w:r>
        <w:rPr>
          <w:rFonts w:hint="default" w:ascii="Times New Roman" w:hAnsi="宋体"/>
          <w:color w:val="auto"/>
        </w:rPr>
        <w:t>392.66</w:t>
      </w:r>
      <w:r>
        <w:rPr>
          <w:rFonts w:hint="eastAsia" w:ascii="Times New Roman" w:hAnsi="宋体"/>
          <w:color w:val="auto"/>
        </w:rPr>
        <w:t>万人，乡村人口</w:t>
      </w:r>
      <w:r>
        <w:rPr>
          <w:rFonts w:hint="default" w:ascii="Times New Roman" w:hAnsi="宋体"/>
          <w:color w:val="auto"/>
        </w:rPr>
        <w:t>473.94</w:t>
      </w:r>
      <w:r>
        <w:rPr>
          <w:rFonts w:hint="eastAsia" w:ascii="Times New Roman" w:hAnsi="宋体"/>
          <w:color w:val="auto"/>
        </w:rPr>
        <w:t>万人</w:t>
      </w:r>
      <w:r>
        <w:rPr>
          <w:rFonts w:hint="eastAsia" w:ascii="Times New Roman" w:hAnsi="宋体"/>
          <w:color w:val="auto"/>
          <w:lang w:eastAsia="zh-CN"/>
        </w:rPr>
        <w:t>；常住人口</w:t>
      </w:r>
      <w:r>
        <w:rPr>
          <w:rFonts w:hint="eastAsia" w:ascii="Times New Roman" w:hAnsi="宋体"/>
          <w:color w:val="auto"/>
        </w:rPr>
        <w:t>城镇化率</w:t>
      </w:r>
      <w:r>
        <w:rPr>
          <w:rFonts w:hint="default" w:ascii="Times New Roman" w:hAnsi="宋体"/>
          <w:color w:val="auto"/>
        </w:rPr>
        <w:t>45.31</w:t>
      </w:r>
      <w:r>
        <w:rPr>
          <w:rFonts w:hint="eastAsia" w:ascii="Times New Roman" w:hAnsi="宋体"/>
          <w:color w:val="auto"/>
        </w:rPr>
        <w:t>%，比上年提高</w:t>
      </w:r>
      <w:r>
        <w:rPr>
          <w:rFonts w:hint="default" w:ascii="Times New Roman" w:hAnsi="宋体"/>
          <w:color w:val="auto"/>
        </w:rPr>
        <w:t>1.01</w:t>
      </w:r>
      <w:r>
        <w:rPr>
          <w:rFonts w:hint="eastAsia" w:ascii="Times New Roman" w:hAnsi="宋体"/>
          <w:color w:val="auto"/>
        </w:rPr>
        <w:t>个百分点。全年出生人口</w:t>
      </w:r>
      <w:r>
        <w:rPr>
          <w:rFonts w:hint="default" w:ascii="Times New Roman" w:hAnsi="宋体"/>
          <w:color w:val="auto"/>
        </w:rPr>
        <w:t>7.40</w:t>
      </w:r>
      <w:r>
        <w:rPr>
          <w:rFonts w:hint="eastAsia" w:ascii="Times New Roman" w:hAnsi="宋体"/>
          <w:color w:val="auto"/>
        </w:rPr>
        <w:t>万人，出生率</w:t>
      </w:r>
      <w:r>
        <w:rPr>
          <w:rFonts w:hint="default" w:ascii="Times New Roman" w:hAnsi="宋体"/>
          <w:color w:val="auto"/>
        </w:rPr>
        <w:t>8.47</w:t>
      </w:r>
      <w:r>
        <w:rPr>
          <w:rFonts w:hint="eastAsia" w:ascii="Times New Roman" w:hAnsi="宋体"/>
          <w:color w:val="auto"/>
        </w:rPr>
        <w:t>‰；死亡人口</w:t>
      </w:r>
      <w:r>
        <w:rPr>
          <w:rFonts w:hint="default" w:ascii="Times New Roman" w:hAnsi="宋体"/>
          <w:color w:val="auto"/>
        </w:rPr>
        <w:t>7.90</w:t>
      </w:r>
      <w:r>
        <w:rPr>
          <w:rFonts w:hint="eastAsia" w:ascii="Times New Roman" w:hAnsi="宋体"/>
          <w:color w:val="auto"/>
        </w:rPr>
        <w:t>万人，死亡率</w:t>
      </w:r>
      <w:r>
        <w:rPr>
          <w:rFonts w:hint="default" w:ascii="Times New Roman" w:hAnsi="宋体"/>
          <w:color w:val="auto"/>
        </w:rPr>
        <w:t>9.04</w:t>
      </w:r>
      <w:r>
        <w:rPr>
          <w:rFonts w:hint="eastAsia" w:ascii="Times New Roman" w:hAnsi="宋体"/>
          <w:color w:val="auto"/>
        </w:rPr>
        <w:t>‰</w:t>
      </w:r>
      <w:r>
        <w:rPr>
          <w:rFonts w:hint="eastAsia" w:ascii="Times New Roman" w:hAnsi="宋体"/>
          <w:color w:val="auto"/>
          <w:lang w:eastAsia="zh-CN"/>
        </w:rPr>
        <w:t>；</w:t>
      </w:r>
      <w:r>
        <w:rPr>
          <w:rFonts w:hint="eastAsia" w:ascii="Times New Roman" w:hAnsi="宋体"/>
          <w:color w:val="auto"/>
        </w:rPr>
        <w:t>自然增长率</w:t>
      </w:r>
      <w:r>
        <w:rPr>
          <w:rFonts w:hint="default" w:ascii="Times New Roman" w:hAnsi="宋体"/>
          <w:color w:val="auto"/>
        </w:rPr>
        <w:t>-0.57</w:t>
      </w:r>
      <w:r>
        <w:rPr>
          <w:rFonts w:hint="eastAsia" w:ascii="Times New Roman" w:hAnsi="宋体"/>
          <w:color w:val="auto"/>
        </w:rPr>
        <w:t>‰。</w:t>
      </w:r>
    </w:p>
    <w:p>
      <w:pPr>
        <w:pStyle w:val="2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center"/>
        <w:textAlignment w:val="auto"/>
        <w:rPr>
          <w:rFonts w:ascii="Times New Roman" w:hAnsi="Times New Roman"/>
          <w:color w:val="auto"/>
        </w:rPr>
      </w:pPr>
      <w:r>
        <w:rPr>
          <w:rStyle w:val="15"/>
          <w:rFonts w:ascii="Times New Roman" w:hAnsi="宋体"/>
          <w:color w:val="auto"/>
        </w:rPr>
        <w:t>表</w:t>
      </w:r>
      <w:r>
        <w:rPr>
          <w:rStyle w:val="15"/>
          <w:rFonts w:ascii="Times New Roman" w:hAnsi="Times New Roman"/>
          <w:color w:val="auto"/>
        </w:rPr>
        <w:t>1</w:t>
      </w:r>
      <w:r>
        <w:rPr>
          <w:rStyle w:val="15"/>
          <w:rFonts w:hint="eastAsia" w:ascii="Times New Roman" w:hAnsi="Times New Roman"/>
          <w:color w:val="auto"/>
        </w:rPr>
        <w:t xml:space="preserve">  </w:t>
      </w:r>
      <w:r>
        <w:rPr>
          <w:rStyle w:val="15"/>
          <w:rFonts w:ascii="Times New Roman" w:hAnsi="Times New Roman"/>
          <w:color w:val="auto"/>
        </w:rPr>
        <w:t>20</w:t>
      </w:r>
      <w:r>
        <w:rPr>
          <w:rStyle w:val="15"/>
          <w:rFonts w:ascii="Times New Roman" w:hAnsi="Times New Roman"/>
          <w:color w:val="auto"/>
          <w:lang w:val="en"/>
        </w:rPr>
        <w:t>2</w:t>
      </w:r>
      <w:r>
        <w:rPr>
          <w:rStyle w:val="15"/>
          <w:rFonts w:hint="eastAsia" w:ascii="Times New Roman" w:hAnsi="Times New Roman"/>
          <w:color w:val="auto"/>
          <w:lang w:val="en-US" w:eastAsia="zh-CN"/>
        </w:rPr>
        <w:t>3</w:t>
      </w:r>
      <w:r>
        <w:rPr>
          <w:rStyle w:val="15"/>
          <w:rFonts w:ascii="Times New Roman" w:hAnsi="宋体"/>
          <w:color w:val="auto"/>
        </w:rPr>
        <w:t>年</w:t>
      </w:r>
      <w:r>
        <w:rPr>
          <w:rStyle w:val="15"/>
          <w:rFonts w:hint="eastAsia" w:ascii="Times New Roman" w:hAnsi="宋体"/>
          <w:color w:val="auto"/>
          <w:lang w:eastAsia="zh-CN"/>
        </w:rPr>
        <w:t>末周口市常住人口数及其构成</w:t>
      </w:r>
    </w:p>
    <w:tbl>
      <w:tblPr>
        <w:tblStyle w:val="13"/>
        <w:tblW w:w="792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68"/>
        <w:gridCol w:w="2655"/>
        <w:gridCol w:w="189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exact"/>
          <w:jc w:val="center"/>
        </w:trPr>
        <w:tc>
          <w:tcPr>
            <w:tcW w:w="336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rPr>
                <w:rFonts w:hint="eastAsia" w:ascii="Times New Roman" w:hAnsi="Times New Roman" w:eastAsia="宋体" w:cs="Times New Roman"/>
                <w:b/>
                <w:color w:val="auto"/>
                <w:sz w:val="24"/>
                <w:lang w:eastAsia="zh-CN"/>
              </w:rPr>
            </w:pPr>
            <w:r>
              <w:rPr>
                <w:rFonts w:hint="eastAsia" w:ascii="Times New Roman" w:hAnsi="宋体" w:cs="Times New Roman"/>
                <w:b/>
                <w:color w:val="auto"/>
                <w:sz w:val="24"/>
                <w:lang w:eastAsia="zh-CN"/>
              </w:rPr>
              <w:t>指</w:t>
            </w:r>
            <w:r>
              <w:rPr>
                <w:rFonts w:hint="eastAsia" w:ascii="Times New Roman" w:hAnsi="宋体" w:cs="Times New Roman"/>
                <w:b/>
                <w:color w:val="auto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Times New Roman" w:hAnsi="宋体" w:cs="Times New Roman"/>
                <w:b/>
                <w:color w:val="auto"/>
                <w:sz w:val="24"/>
                <w:lang w:eastAsia="zh-CN"/>
              </w:rPr>
              <w:t>标</w:t>
            </w:r>
          </w:p>
        </w:tc>
        <w:tc>
          <w:tcPr>
            <w:tcW w:w="2655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rPr>
                <w:rFonts w:ascii="Times New Roman" w:hAnsi="Times New Roman" w:cs="Times New Roman"/>
                <w:b/>
                <w:color w:val="auto"/>
                <w:sz w:val="24"/>
              </w:rPr>
            </w:pPr>
            <w:r>
              <w:rPr>
                <w:rFonts w:hint="eastAsia" w:ascii="Times New Roman" w:hAnsi="宋体" w:cs="Times New Roman"/>
                <w:b/>
                <w:color w:val="auto"/>
                <w:sz w:val="24"/>
                <w:lang w:eastAsia="zh-CN"/>
              </w:rPr>
              <w:t>年末数</w:t>
            </w:r>
            <w:r>
              <w:rPr>
                <w:rFonts w:ascii="Times New Roman" w:hAnsi="宋体" w:cs="Times New Roman"/>
                <w:b/>
                <w:color w:val="auto"/>
                <w:sz w:val="24"/>
              </w:rPr>
              <w:t>（万</w:t>
            </w:r>
            <w:r>
              <w:rPr>
                <w:rFonts w:hint="eastAsia" w:ascii="Times New Roman" w:hAnsi="宋体" w:cs="Times New Roman"/>
                <w:b/>
                <w:color w:val="auto"/>
                <w:sz w:val="24"/>
                <w:lang w:eastAsia="zh-CN"/>
              </w:rPr>
              <w:t>人</w:t>
            </w:r>
            <w:r>
              <w:rPr>
                <w:rFonts w:ascii="Times New Roman" w:hAnsi="宋体" w:cs="Times New Roman"/>
                <w:b/>
                <w:color w:val="auto"/>
                <w:sz w:val="24"/>
              </w:rPr>
              <w:t>）</w:t>
            </w:r>
          </w:p>
        </w:tc>
        <w:tc>
          <w:tcPr>
            <w:tcW w:w="1897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rPr>
                <w:rFonts w:ascii="Times New Roman" w:hAnsi="Times New Roman" w:cs="Times New Roman"/>
                <w:b/>
                <w:color w:val="auto"/>
                <w:sz w:val="24"/>
              </w:rPr>
            </w:pPr>
            <w:r>
              <w:rPr>
                <w:rFonts w:hint="eastAsia" w:ascii="Times New Roman" w:hAnsi="宋体" w:cs="Times New Roman"/>
                <w:b/>
                <w:color w:val="auto"/>
                <w:sz w:val="24"/>
                <w:lang w:eastAsia="zh-CN"/>
              </w:rPr>
              <w:t>比重</w:t>
            </w:r>
            <w:r>
              <w:rPr>
                <w:rFonts w:ascii="Times New Roman" w:hAnsi="宋体" w:cs="Times New Roman"/>
                <w:b/>
                <w:color w:val="auto"/>
                <w:sz w:val="24"/>
              </w:rPr>
              <w:t>（</w:t>
            </w:r>
            <w:r>
              <w:rPr>
                <w:rFonts w:ascii="Times New Roman" w:hAnsi="Times New Roman" w:cs="Times New Roman"/>
                <w:b/>
                <w:color w:val="auto"/>
                <w:sz w:val="24"/>
              </w:rPr>
              <w:t>%</w:t>
            </w:r>
            <w:r>
              <w:rPr>
                <w:rFonts w:ascii="Times New Roman" w:hAnsi="宋体" w:cs="Times New Roman"/>
                <w:b/>
                <w:color w:val="auto"/>
                <w:sz w:val="24"/>
              </w:rPr>
              <w:t>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3368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80" w:lineRule="exact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  <w:lang w:eastAsia="zh-CN"/>
              </w:rPr>
              <w:t>全市常住人口</w:t>
            </w:r>
          </w:p>
        </w:tc>
        <w:tc>
          <w:tcPr>
            <w:tcW w:w="2655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80" w:lineRule="exact"/>
              <w:ind w:firstLine="0" w:firstLineChars="0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default" w:ascii="宋体" w:hAnsi="宋体" w:cs="宋体"/>
                <w:color w:val="auto"/>
                <w:sz w:val="20"/>
                <w:szCs w:val="20"/>
              </w:rPr>
              <w:t>866.60</w:t>
            </w:r>
          </w:p>
        </w:tc>
        <w:tc>
          <w:tcPr>
            <w:tcW w:w="1897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80" w:lineRule="exact"/>
              <w:ind w:firstLine="0" w:firstLineChars="0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3368" w:type="dxa"/>
            <w:tcBorders>
              <w:top w:val="nil"/>
              <w:left w:val="nil"/>
              <w:bottom w:val="nil"/>
              <w:right w:val="single" w:color="auto" w:sz="4" w:space="0"/>
            </w:tcBorders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80" w:lineRule="exact"/>
              <w:ind w:firstLine="200" w:firstLineChars="1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  <w:lang w:eastAsia="zh-CN"/>
              </w:rPr>
              <w:t>其中：城镇</w:t>
            </w:r>
          </w:p>
        </w:tc>
        <w:tc>
          <w:tcPr>
            <w:tcW w:w="2655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80" w:lineRule="exact"/>
              <w:ind w:firstLine="0" w:firstLineChars="0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default" w:ascii="宋体" w:hAnsi="宋体" w:cs="宋体"/>
                <w:color w:val="auto"/>
                <w:sz w:val="20"/>
                <w:szCs w:val="20"/>
              </w:rPr>
              <w:t>392.66</w:t>
            </w:r>
          </w:p>
        </w:tc>
        <w:tc>
          <w:tcPr>
            <w:tcW w:w="1897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80" w:lineRule="exact"/>
              <w:ind w:firstLine="0" w:firstLineChars="0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default" w:ascii="宋体" w:hAnsi="宋体" w:cs="宋体"/>
                <w:color w:val="auto"/>
                <w:sz w:val="20"/>
                <w:szCs w:val="20"/>
              </w:rPr>
              <w:t>45.31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3368" w:type="dxa"/>
            <w:tcBorders>
              <w:top w:val="nil"/>
              <w:left w:val="nil"/>
              <w:bottom w:val="nil"/>
              <w:right w:val="single" w:color="auto" w:sz="4" w:space="0"/>
            </w:tcBorders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80" w:lineRule="exact"/>
              <w:ind w:firstLine="800" w:firstLineChars="4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  <w:lang w:eastAsia="zh-CN"/>
              </w:rPr>
              <w:t>乡村</w:t>
            </w:r>
          </w:p>
        </w:tc>
        <w:tc>
          <w:tcPr>
            <w:tcW w:w="2655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80" w:lineRule="exact"/>
              <w:ind w:firstLine="0" w:firstLineChars="0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default" w:ascii="宋体" w:hAnsi="宋体" w:cs="宋体"/>
                <w:color w:val="auto"/>
                <w:sz w:val="20"/>
                <w:szCs w:val="20"/>
              </w:rPr>
              <w:t>473.94</w:t>
            </w:r>
          </w:p>
        </w:tc>
        <w:tc>
          <w:tcPr>
            <w:tcW w:w="1897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80" w:lineRule="exact"/>
              <w:ind w:firstLine="0" w:firstLineChars="0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default" w:ascii="宋体" w:hAnsi="宋体" w:cs="宋体"/>
                <w:color w:val="auto"/>
                <w:sz w:val="20"/>
                <w:szCs w:val="20"/>
              </w:rPr>
              <w:t>54.69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3368" w:type="dxa"/>
            <w:tcBorders>
              <w:top w:val="nil"/>
              <w:left w:val="nil"/>
              <w:bottom w:val="nil"/>
              <w:right w:val="single" w:color="auto" w:sz="4" w:space="0"/>
            </w:tcBorders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80" w:lineRule="exact"/>
              <w:ind w:firstLine="200" w:firstLineChars="100"/>
              <w:jc w:val="both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  <w:lang w:eastAsia="zh-CN"/>
              </w:rPr>
              <w:t>其中：男性</w:t>
            </w:r>
          </w:p>
        </w:tc>
        <w:tc>
          <w:tcPr>
            <w:tcW w:w="2655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80" w:lineRule="exact"/>
              <w:ind w:firstLine="0" w:firstLineChars="0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default" w:ascii="宋体" w:hAnsi="宋体" w:cs="宋体"/>
                <w:color w:val="auto"/>
                <w:sz w:val="20"/>
                <w:szCs w:val="20"/>
              </w:rPr>
              <w:t>428.20</w:t>
            </w:r>
          </w:p>
        </w:tc>
        <w:tc>
          <w:tcPr>
            <w:tcW w:w="1897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80" w:lineRule="exact"/>
              <w:ind w:firstLine="0" w:firstLineChars="0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default" w:ascii="宋体" w:hAnsi="宋体" w:cs="宋体"/>
                <w:color w:val="auto"/>
                <w:sz w:val="20"/>
                <w:szCs w:val="20"/>
              </w:rPr>
              <w:t>49.41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3368" w:type="dxa"/>
            <w:tcBorders>
              <w:top w:val="nil"/>
              <w:left w:val="nil"/>
              <w:bottom w:val="nil"/>
              <w:right w:val="single" w:color="auto" w:sz="4" w:space="0"/>
            </w:tcBorders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80" w:lineRule="exact"/>
              <w:ind w:firstLine="800" w:firstLineChars="400"/>
              <w:jc w:val="both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  <w:lang w:eastAsia="zh-CN"/>
              </w:rPr>
              <w:t>女性</w:t>
            </w:r>
          </w:p>
        </w:tc>
        <w:tc>
          <w:tcPr>
            <w:tcW w:w="2655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80" w:lineRule="exact"/>
              <w:ind w:firstLine="0" w:firstLineChars="0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default" w:ascii="宋体" w:hAnsi="宋体" w:cs="宋体"/>
                <w:color w:val="auto"/>
                <w:sz w:val="20"/>
                <w:szCs w:val="20"/>
              </w:rPr>
              <w:t>438.40</w:t>
            </w:r>
          </w:p>
        </w:tc>
        <w:tc>
          <w:tcPr>
            <w:tcW w:w="1897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80" w:lineRule="exact"/>
              <w:ind w:firstLine="0" w:firstLineChars="0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default" w:ascii="宋体" w:hAnsi="宋体" w:cs="宋体"/>
                <w:color w:val="auto"/>
                <w:sz w:val="20"/>
                <w:szCs w:val="20"/>
              </w:rPr>
              <w:t>50.59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3368" w:type="dxa"/>
            <w:tcBorders>
              <w:top w:val="nil"/>
              <w:left w:val="nil"/>
              <w:bottom w:val="nil"/>
              <w:right w:val="single" w:color="auto" w:sz="4" w:space="0"/>
            </w:tcBorders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80" w:lineRule="exact"/>
              <w:ind w:firstLine="200" w:firstLineChars="100"/>
              <w:jc w:val="both"/>
              <w:textAlignment w:val="auto"/>
              <w:rPr>
                <w:rFonts w:hint="default" w:ascii="宋体" w:hAnsi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  <w:lang w:eastAsia="zh-CN"/>
              </w:rPr>
              <w:t>其中：</w:t>
            </w:r>
            <w:r>
              <w:rPr>
                <w:rFonts w:hint="eastAsia" w:ascii="宋体" w:hAnsi="宋体" w:cs="宋体"/>
                <w:color w:val="auto"/>
                <w:sz w:val="20"/>
                <w:szCs w:val="20"/>
                <w:lang w:val="en-US" w:eastAsia="zh-CN"/>
              </w:rPr>
              <w:t>0-15岁（含不满16周岁）</w:t>
            </w:r>
          </w:p>
        </w:tc>
        <w:tc>
          <w:tcPr>
            <w:tcW w:w="2655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80" w:lineRule="exact"/>
              <w:ind w:firstLine="0" w:firstLineChars="0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default" w:ascii="宋体" w:hAnsi="宋体" w:cs="宋体"/>
                <w:color w:val="auto"/>
                <w:sz w:val="20"/>
                <w:szCs w:val="20"/>
              </w:rPr>
              <w:t>212.60</w:t>
            </w:r>
          </w:p>
        </w:tc>
        <w:tc>
          <w:tcPr>
            <w:tcW w:w="1897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80" w:lineRule="exact"/>
              <w:ind w:firstLine="0" w:firstLineChars="0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default" w:ascii="宋体" w:hAnsi="宋体" w:cs="宋体"/>
                <w:color w:val="auto"/>
                <w:sz w:val="20"/>
                <w:szCs w:val="20"/>
              </w:rPr>
              <w:t>24.53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3368" w:type="dxa"/>
            <w:tcBorders>
              <w:top w:val="nil"/>
              <w:left w:val="nil"/>
              <w:bottom w:val="nil"/>
              <w:right w:val="single" w:color="auto" w:sz="4" w:space="0"/>
            </w:tcBorders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80" w:lineRule="exact"/>
              <w:ind w:firstLine="800" w:firstLineChars="400"/>
              <w:jc w:val="both"/>
              <w:textAlignment w:val="auto"/>
              <w:rPr>
                <w:rFonts w:hint="default" w:ascii="宋体" w:hAnsi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  <w:lang w:val="en-US" w:eastAsia="zh-CN"/>
              </w:rPr>
              <w:t>16-59岁（含不满60周岁）</w:t>
            </w:r>
          </w:p>
        </w:tc>
        <w:tc>
          <w:tcPr>
            <w:tcW w:w="2655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80" w:lineRule="exact"/>
              <w:ind w:firstLine="0" w:firstLineChars="0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default" w:ascii="宋体" w:hAnsi="宋体" w:cs="宋体"/>
                <w:color w:val="auto"/>
                <w:sz w:val="20"/>
                <w:szCs w:val="20"/>
              </w:rPr>
              <w:t>463.10</w:t>
            </w:r>
          </w:p>
        </w:tc>
        <w:tc>
          <w:tcPr>
            <w:tcW w:w="1897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80" w:lineRule="exact"/>
              <w:ind w:firstLine="0" w:firstLineChars="0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default" w:ascii="宋体" w:hAnsi="宋体" w:cs="宋体"/>
                <w:color w:val="auto"/>
                <w:sz w:val="20"/>
                <w:szCs w:val="20"/>
              </w:rPr>
              <w:t>53.44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3368" w:type="dxa"/>
            <w:tcBorders>
              <w:top w:val="nil"/>
              <w:left w:val="nil"/>
              <w:bottom w:val="nil"/>
              <w:right w:val="single" w:color="auto" w:sz="4" w:space="0"/>
            </w:tcBorders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80" w:lineRule="exact"/>
              <w:ind w:firstLine="800" w:firstLineChars="400"/>
              <w:jc w:val="both"/>
              <w:textAlignment w:val="auto"/>
              <w:rPr>
                <w:rFonts w:hint="default" w:ascii="宋体" w:hAnsi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  <w:lang w:val="en-US" w:eastAsia="zh-CN"/>
              </w:rPr>
              <w:t>60周岁及以上</w:t>
            </w:r>
          </w:p>
        </w:tc>
        <w:tc>
          <w:tcPr>
            <w:tcW w:w="2655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80" w:lineRule="exact"/>
              <w:ind w:firstLine="0" w:firstLineChars="0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default" w:ascii="宋体" w:hAnsi="宋体" w:cs="宋体"/>
                <w:color w:val="auto"/>
                <w:sz w:val="20"/>
                <w:szCs w:val="20"/>
              </w:rPr>
              <w:t>190.90</w:t>
            </w:r>
          </w:p>
        </w:tc>
        <w:tc>
          <w:tcPr>
            <w:tcW w:w="1897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80" w:lineRule="exact"/>
              <w:ind w:firstLine="0" w:firstLineChars="0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default" w:ascii="宋体" w:hAnsi="宋体" w:cs="宋体"/>
                <w:color w:val="auto"/>
                <w:sz w:val="20"/>
                <w:szCs w:val="20"/>
              </w:rPr>
              <w:t>22.03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3368" w:type="dxa"/>
            <w:tcBorders>
              <w:top w:val="nil"/>
              <w:left w:val="nil"/>
              <w:bottom w:val="single" w:color="000000" w:sz="12" w:space="0"/>
              <w:right w:val="single" w:color="auto" w:sz="4" w:space="0"/>
            </w:tcBorders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80" w:lineRule="exact"/>
              <w:ind w:firstLine="1200" w:firstLineChars="600"/>
              <w:jc w:val="both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  <w:lang w:eastAsia="zh-CN"/>
              </w:rPr>
              <w:t>其中：</w:t>
            </w:r>
            <w:r>
              <w:rPr>
                <w:rFonts w:hint="eastAsia" w:ascii="宋体" w:hAnsi="宋体" w:cs="宋体"/>
                <w:color w:val="auto"/>
                <w:sz w:val="20"/>
                <w:szCs w:val="20"/>
                <w:lang w:val="en-US" w:eastAsia="zh-CN"/>
              </w:rPr>
              <w:t>65周岁及以上</w:t>
            </w:r>
          </w:p>
        </w:tc>
        <w:tc>
          <w:tcPr>
            <w:tcW w:w="2655" w:type="dxa"/>
            <w:tcBorders>
              <w:top w:val="nil"/>
              <w:left w:val="single" w:color="auto" w:sz="4" w:space="0"/>
              <w:bottom w:val="single" w:color="000000" w:sz="12" w:space="0"/>
              <w:right w:val="single" w:color="auto" w:sz="4" w:space="0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80" w:lineRule="exact"/>
              <w:ind w:firstLine="0" w:firstLineChars="0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default" w:ascii="宋体" w:hAnsi="宋体" w:cs="宋体"/>
                <w:color w:val="auto"/>
                <w:sz w:val="20"/>
                <w:szCs w:val="20"/>
              </w:rPr>
              <w:t>146.80</w:t>
            </w:r>
          </w:p>
        </w:tc>
        <w:tc>
          <w:tcPr>
            <w:tcW w:w="1897" w:type="dxa"/>
            <w:tcBorders>
              <w:top w:val="nil"/>
              <w:left w:val="single" w:color="auto" w:sz="4" w:space="0"/>
              <w:bottom w:val="single" w:color="000000" w:sz="12" w:space="0"/>
              <w:right w:val="nil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80" w:lineRule="exact"/>
              <w:ind w:firstLine="0" w:firstLineChars="0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default" w:ascii="宋体" w:hAnsi="宋体" w:cs="宋体"/>
                <w:color w:val="auto"/>
                <w:sz w:val="20"/>
                <w:szCs w:val="20"/>
              </w:rPr>
              <w:t>16.94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textAlignment w:val="auto"/>
        <w:rPr>
          <w:rFonts w:hint="eastAsia" w:ascii="宋体" w:hAnsi="宋体" w:cs="宋体"/>
          <w:color w:val="auto"/>
          <w:kern w:val="1"/>
          <w:sz w:val="24"/>
        </w:rPr>
      </w:pPr>
      <w:r>
        <w:rPr>
          <w:rFonts w:hint="eastAsia" w:ascii="宋体" w:hAnsi="宋体" w:cs="宋体"/>
          <w:color w:val="auto"/>
          <w:kern w:val="1"/>
          <w:sz w:val="24"/>
          <w:lang w:val="en-US" w:eastAsia="zh-CN"/>
        </w:rPr>
        <w:t>全年</w:t>
      </w:r>
      <w:r>
        <w:rPr>
          <w:rFonts w:hint="eastAsia" w:ascii="宋体" w:hAnsi="宋体" w:cs="宋体"/>
          <w:color w:val="auto"/>
          <w:kern w:val="1"/>
          <w:sz w:val="24"/>
        </w:rPr>
        <w:t>全市实现新增城镇就业7</w:t>
      </w:r>
      <w:r>
        <w:rPr>
          <w:rFonts w:hint="eastAsia" w:ascii="宋体" w:hAnsi="宋体" w:cs="宋体"/>
          <w:color w:val="auto"/>
          <w:kern w:val="1"/>
          <w:sz w:val="24"/>
          <w:lang w:val="en-US" w:eastAsia="zh-CN"/>
        </w:rPr>
        <w:t>.52</w:t>
      </w:r>
      <w:r>
        <w:rPr>
          <w:rFonts w:hint="eastAsia" w:ascii="宋体" w:hAnsi="宋体" w:cs="宋体"/>
          <w:color w:val="auto"/>
          <w:kern w:val="1"/>
          <w:sz w:val="24"/>
        </w:rPr>
        <w:t>万人，失业人员实现再就业</w:t>
      </w:r>
      <w:r>
        <w:rPr>
          <w:rFonts w:hint="eastAsia" w:ascii="宋体" w:hAnsi="宋体" w:cs="宋体"/>
          <w:color w:val="auto"/>
          <w:kern w:val="1"/>
          <w:sz w:val="24"/>
          <w:lang w:val="en-US" w:eastAsia="zh-CN"/>
        </w:rPr>
        <w:t>1.71</w:t>
      </w:r>
      <w:r>
        <w:rPr>
          <w:rFonts w:hint="eastAsia" w:ascii="宋体" w:hAnsi="宋体" w:cs="宋体"/>
          <w:color w:val="auto"/>
          <w:kern w:val="1"/>
          <w:sz w:val="24"/>
        </w:rPr>
        <w:t>万人，就业困难人员实现就业</w:t>
      </w:r>
      <w:r>
        <w:rPr>
          <w:rFonts w:hint="eastAsia" w:ascii="宋体" w:hAnsi="宋体" w:cs="宋体"/>
          <w:color w:val="auto"/>
          <w:kern w:val="1"/>
          <w:sz w:val="24"/>
          <w:lang w:val="en-US" w:eastAsia="zh-CN"/>
        </w:rPr>
        <w:t>6355</w:t>
      </w:r>
      <w:r>
        <w:rPr>
          <w:rFonts w:hint="eastAsia" w:ascii="宋体" w:hAnsi="宋体" w:cs="宋体"/>
          <w:color w:val="auto"/>
          <w:kern w:val="1"/>
          <w:sz w:val="24"/>
        </w:rPr>
        <w:t>人，均超额完成年度目标任务。新增农村劳动力转移就业4.73万人，新增返乡入乡创业1.68万人</w:t>
      </w:r>
      <w:r>
        <w:rPr>
          <w:rFonts w:hint="eastAsia" w:ascii="宋体" w:hAnsi="宋体" w:cs="宋体"/>
          <w:color w:val="auto"/>
          <w:kern w:val="1"/>
          <w:sz w:val="24"/>
          <w:lang w:eastAsia="zh-CN"/>
        </w:rPr>
        <w:t>；</w:t>
      </w:r>
      <w:r>
        <w:rPr>
          <w:rFonts w:hint="eastAsia" w:ascii="宋体" w:hAnsi="宋体" w:cs="宋体"/>
          <w:color w:val="auto"/>
          <w:kern w:val="1"/>
          <w:sz w:val="24"/>
        </w:rPr>
        <w:t>新增技能人才24.2万人、高技能人才10.7万人。农村劳动力转移就业总量300.05万人，其中省内转移121.36万人，省外输出178.31万人。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textAlignment w:val="auto"/>
        <w:rPr>
          <w:rFonts w:hint="default" w:eastAsia="宋体"/>
          <w:color w:val="auto"/>
          <w:highlight w:val="none"/>
          <w:lang w:val="en-US" w:eastAsia="zh-CN"/>
        </w:rPr>
      </w:pPr>
      <w:r>
        <w:rPr>
          <w:rFonts w:hint="eastAsia" w:ascii="宋体" w:hAnsi="宋体" w:cs="宋体"/>
          <w:color w:val="auto"/>
          <w:kern w:val="1"/>
          <w:sz w:val="24"/>
          <w:highlight w:val="none"/>
          <w:lang w:val="en-US" w:eastAsia="zh-CN"/>
        </w:rPr>
        <w:t>截至2023年末，全市现有市场主体88.55万户，增长7.6%。2023年新登记市场主体19.91万户，下降3.2%。其中新登记企业3.57万户，增长25.2%；新登记个体工商户16.16万户，下降7.9%；新登记农民专业合作社1871户，增长9.8%。</w:t>
      </w:r>
    </w:p>
    <w:p>
      <w:pPr>
        <w:pStyle w:val="25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jc w:val="both"/>
        <w:rPr>
          <w:rStyle w:val="15"/>
          <w:rFonts w:ascii="Times New Roman" w:hAnsi="宋体"/>
          <w:color w:val="auto"/>
        </w:rPr>
      </w:pPr>
      <w:r>
        <w:rPr>
          <w:rFonts w:hint="eastAsia" w:ascii="Times New Roman" w:hAnsi="宋体"/>
          <w:color w:val="auto"/>
        </w:rPr>
        <w:t>全年全市居民消费价格</w:t>
      </w:r>
      <w:r>
        <w:rPr>
          <w:rFonts w:hint="eastAsia" w:ascii="Times New Roman" w:hAnsi="宋体"/>
          <w:color w:val="auto"/>
          <w:lang w:eastAsia="zh-CN"/>
        </w:rPr>
        <w:t>（</w:t>
      </w:r>
      <w:r>
        <w:rPr>
          <w:rFonts w:hint="eastAsia" w:ascii="Times New Roman" w:hAnsi="宋体"/>
          <w:color w:val="auto"/>
          <w:lang w:val="en-US" w:eastAsia="zh-CN"/>
        </w:rPr>
        <w:t>CPI</w:t>
      </w:r>
      <w:r>
        <w:rPr>
          <w:rFonts w:hint="eastAsia" w:ascii="Times New Roman" w:hAnsi="宋体"/>
          <w:color w:val="auto"/>
          <w:lang w:eastAsia="zh-CN"/>
        </w:rPr>
        <w:t>）涨幅与上年持平</w:t>
      </w:r>
      <w:r>
        <w:rPr>
          <w:rFonts w:hint="eastAsia" w:ascii="Times New Roman" w:hAnsi="宋体"/>
          <w:color w:val="auto"/>
        </w:rPr>
        <w:t>。其中，城市</w:t>
      </w:r>
      <w:r>
        <w:rPr>
          <w:rFonts w:hint="eastAsia" w:ascii="Times New Roman" w:hAnsi="宋体"/>
          <w:color w:val="auto"/>
          <w:lang w:eastAsia="zh-CN"/>
        </w:rPr>
        <w:t>下降</w:t>
      </w:r>
      <w:r>
        <w:rPr>
          <w:rFonts w:hint="eastAsia" w:ascii="Times New Roman" w:hAnsi="宋体"/>
          <w:color w:val="auto"/>
          <w:lang w:val="en-US" w:eastAsia="zh-CN"/>
        </w:rPr>
        <w:t>0.1</w:t>
      </w:r>
      <w:r>
        <w:rPr>
          <w:rFonts w:hint="eastAsia" w:ascii="Times New Roman" w:hAnsi="宋体"/>
          <w:color w:val="auto"/>
        </w:rPr>
        <w:t>%，农村上涨</w:t>
      </w:r>
      <w:r>
        <w:rPr>
          <w:rFonts w:hint="eastAsia" w:ascii="Times New Roman" w:hAnsi="宋体"/>
          <w:color w:val="auto"/>
          <w:lang w:val="en-US" w:eastAsia="zh-CN"/>
        </w:rPr>
        <w:t>0.1</w:t>
      </w:r>
      <w:r>
        <w:rPr>
          <w:rFonts w:hint="eastAsia" w:ascii="Times New Roman" w:hAnsi="宋体"/>
          <w:color w:val="auto"/>
        </w:rPr>
        <w:t>%。分类别看，食品烟酒类价格下降0.8%，其中，粮食类上涨1.9%，鲜菜类下降8.1%，畜肉类下降7.2%，水产品类下降3.2%，蛋类下降2.1%，鲜果类上涨1.7%；衣着类价格上涨1.3%；居住类价格下降0.1%；生活用品及服务类价格与上年持平；交通通信类价格下降1.4%；教育文化娱乐类价格上涨1.6%；医疗保健类价格上涨0.5%；其他用品及服务类价格上涨2.7%。</w:t>
      </w:r>
    </w:p>
    <w:p>
      <w:pPr>
        <w:pStyle w:val="2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center"/>
        <w:textAlignment w:val="auto"/>
        <w:rPr>
          <w:rFonts w:ascii="Times New Roman" w:hAnsi="Times New Roman"/>
          <w:color w:val="auto"/>
        </w:rPr>
      </w:pPr>
      <w:r>
        <w:rPr>
          <w:rStyle w:val="15"/>
          <w:rFonts w:ascii="Times New Roman" w:hAnsi="宋体"/>
          <w:color w:val="auto"/>
        </w:rPr>
        <w:t>表</w:t>
      </w:r>
      <w:r>
        <w:rPr>
          <w:rStyle w:val="15"/>
          <w:rFonts w:hint="eastAsia" w:ascii="Times New Roman" w:hAnsi="Times New Roman"/>
          <w:color w:val="auto"/>
          <w:lang w:val="en-US" w:eastAsia="zh-CN"/>
        </w:rPr>
        <w:t>2</w:t>
      </w:r>
      <w:r>
        <w:rPr>
          <w:rStyle w:val="15"/>
          <w:rFonts w:hint="eastAsia" w:ascii="Times New Roman" w:hAnsi="Times New Roman"/>
          <w:color w:val="auto"/>
        </w:rPr>
        <w:t xml:space="preserve">  </w:t>
      </w:r>
      <w:r>
        <w:rPr>
          <w:rStyle w:val="15"/>
          <w:rFonts w:ascii="Times New Roman" w:hAnsi="Times New Roman"/>
          <w:color w:val="auto"/>
        </w:rPr>
        <w:t>20</w:t>
      </w:r>
      <w:r>
        <w:rPr>
          <w:rStyle w:val="15"/>
          <w:rFonts w:ascii="Times New Roman" w:hAnsi="Times New Roman"/>
          <w:color w:val="auto"/>
          <w:lang w:val="en"/>
        </w:rPr>
        <w:t>2</w:t>
      </w:r>
      <w:r>
        <w:rPr>
          <w:rStyle w:val="15"/>
          <w:rFonts w:hint="eastAsia" w:ascii="Times New Roman" w:hAnsi="Times New Roman"/>
          <w:color w:val="auto"/>
          <w:lang w:val="en-US" w:eastAsia="zh-CN"/>
        </w:rPr>
        <w:t>3</w:t>
      </w:r>
      <w:r>
        <w:rPr>
          <w:rStyle w:val="15"/>
          <w:rFonts w:ascii="Times New Roman" w:hAnsi="宋体"/>
          <w:color w:val="auto"/>
        </w:rPr>
        <w:t>年</w:t>
      </w:r>
      <w:r>
        <w:rPr>
          <w:rStyle w:val="15"/>
          <w:rFonts w:hint="eastAsia" w:ascii="Times New Roman" w:hAnsi="宋体"/>
          <w:color w:val="auto"/>
          <w:lang w:eastAsia="zh-CN"/>
        </w:rPr>
        <w:t>周口市</w:t>
      </w:r>
      <w:r>
        <w:rPr>
          <w:rStyle w:val="15"/>
          <w:rFonts w:ascii="Times New Roman" w:hAnsi="宋体"/>
          <w:color w:val="auto"/>
        </w:rPr>
        <w:t>居民消费价格指数</w:t>
      </w:r>
    </w:p>
    <w:tbl>
      <w:tblPr>
        <w:tblStyle w:val="13"/>
        <w:tblW w:w="7976" w:type="dxa"/>
        <w:jc w:val="center"/>
        <w:tblBorders>
          <w:top w:val="single" w:color="999999" w:sz="2" w:space="0"/>
          <w:left w:val="single" w:color="999999" w:sz="2" w:space="0"/>
          <w:bottom w:val="single" w:color="999999" w:sz="2" w:space="0"/>
          <w:right w:val="single" w:color="999999" w:sz="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340"/>
        <w:gridCol w:w="2636"/>
      </w:tblGrid>
      <w:tr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4" w:hRule="atLeast"/>
          <w:jc w:val="center"/>
        </w:trPr>
        <w:tc>
          <w:tcPr>
            <w:tcW w:w="5340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tcMar>
              <w:left w:w="105" w:type="dxa"/>
              <w:right w:w="105" w:type="dxa"/>
            </w:tcMar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Times New Roman" w:hAnsi="宋体" w:cs="Times New Roman"/>
                <w:b/>
                <w:color w:val="auto"/>
                <w:sz w:val="24"/>
              </w:rPr>
            </w:pPr>
            <w:r>
              <w:rPr>
                <w:rFonts w:ascii="Times New Roman" w:hAnsi="宋体" w:cs="Times New Roman"/>
                <w:b/>
                <w:color w:val="auto"/>
                <w:sz w:val="24"/>
              </w:rPr>
              <w:t>类</w:t>
            </w:r>
            <w:r>
              <w:rPr>
                <w:rFonts w:hint="eastAsia" w:ascii="Times New Roman" w:hAnsi="宋体" w:cs="Times New Roman"/>
                <w:b/>
                <w:color w:val="auto"/>
                <w:sz w:val="24"/>
                <w:lang w:val="en-US" w:eastAsia="zh-CN"/>
              </w:rPr>
              <w:t xml:space="preserve">  </w:t>
            </w:r>
            <w:r>
              <w:rPr>
                <w:rFonts w:ascii="Times New Roman" w:hAnsi="宋体" w:cs="Times New Roman"/>
                <w:b/>
                <w:color w:val="auto"/>
                <w:sz w:val="24"/>
              </w:rPr>
              <w:t>别</w:t>
            </w:r>
          </w:p>
        </w:tc>
        <w:tc>
          <w:tcPr>
            <w:tcW w:w="2636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nil"/>
            </w:tcBorders>
            <w:tcMar>
              <w:left w:w="105" w:type="dxa"/>
              <w:right w:w="105" w:type="dxa"/>
            </w:tcMar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宋体" w:eastAsia="宋体" w:cs="Times New Roman"/>
                <w:b/>
                <w:color w:val="auto"/>
                <w:sz w:val="24"/>
                <w:lang w:eastAsia="zh-CN"/>
              </w:rPr>
            </w:pPr>
            <w:r>
              <w:rPr>
                <w:rFonts w:ascii="Times New Roman" w:hAnsi="宋体" w:cs="Times New Roman"/>
                <w:b/>
                <w:color w:val="auto"/>
                <w:sz w:val="24"/>
              </w:rPr>
              <w:t>指</w:t>
            </w:r>
            <w:r>
              <w:rPr>
                <w:rFonts w:hint="eastAsia" w:ascii="Times New Roman" w:hAnsi="宋体" w:cs="Times New Roman"/>
                <w:b/>
                <w:color w:val="auto"/>
                <w:sz w:val="24"/>
                <w:lang w:val="en-US" w:eastAsia="zh-CN"/>
              </w:rPr>
              <w:t xml:space="preserve">  </w:t>
            </w:r>
            <w:r>
              <w:rPr>
                <w:rFonts w:ascii="Times New Roman" w:hAnsi="宋体" w:cs="Times New Roman"/>
                <w:b/>
                <w:color w:val="auto"/>
                <w:sz w:val="24"/>
              </w:rPr>
              <w:t>数</w:t>
            </w:r>
            <w:r>
              <w:rPr>
                <w:rFonts w:hint="eastAsia" w:ascii="Times New Roman" w:hAnsi="宋体" w:cs="Times New Roman"/>
                <w:b/>
                <w:color w:val="auto"/>
                <w:sz w:val="24"/>
                <w:lang w:eastAsia="zh-CN"/>
              </w:rPr>
              <w:t>（以上年为</w:t>
            </w:r>
            <w:r>
              <w:rPr>
                <w:rFonts w:hint="eastAsia" w:ascii="Times New Roman" w:hAnsi="宋体" w:cs="Times New Roman"/>
                <w:b/>
                <w:color w:val="auto"/>
                <w:sz w:val="24"/>
                <w:lang w:val="en-US" w:eastAsia="zh-CN"/>
              </w:rPr>
              <w:t>100</w:t>
            </w:r>
            <w:r>
              <w:rPr>
                <w:rFonts w:hint="eastAsia" w:ascii="Times New Roman" w:hAnsi="宋体" w:cs="Times New Roman"/>
                <w:b/>
                <w:color w:val="auto"/>
                <w:sz w:val="24"/>
                <w:lang w:eastAsia="zh-CN"/>
              </w:rPr>
              <w:t>）</w:t>
            </w:r>
          </w:p>
        </w:tc>
      </w:tr>
      <w:tr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  <w:jc w:val="center"/>
        </w:trPr>
        <w:tc>
          <w:tcPr>
            <w:tcW w:w="5340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tcMar>
              <w:left w:w="105" w:type="dxa"/>
              <w:right w:w="105" w:type="dxa"/>
            </w:tcMar>
            <w:vAlign w:val="bottom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exact"/>
              <w:ind w:firstLine="645"/>
              <w:jc w:val="both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居民消费价格指数</w:t>
            </w:r>
          </w:p>
        </w:tc>
        <w:tc>
          <w:tcPr>
            <w:tcW w:w="2636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right="840" w:rightChars="40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10</w:t>
            </w:r>
            <w:r>
              <w:rPr>
                <w:rFonts w:hint="eastAsia" w:ascii="宋体" w:hAnsi="宋体" w:cs="宋体"/>
                <w:color w:val="auto"/>
                <w:sz w:val="20"/>
                <w:szCs w:val="20"/>
                <w:lang w:val="en-US" w:eastAsia="zh-CN"/>
              </w:rPr>
              <w:t>0.0</w:t>
            </w:r>
          </w:p>
        </w:tc>
      </w:tr>
      <w:tr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  <w:jc w:val="center"/>
        </w:trPr>
        <w:tc>
          <w:tcPr>
            <w:tcW w:w="5340" w:type="dxa"/>
            <w:tcBorders>
              <w:top w:val="nil"/>
              <w:left w:val="nil"/>
              <w:bottom w:val="nil"/>
              <w:right w:val="single" w:color="auto" w:sz="4" w:space="0"/>
            </w:tcBorders>
            <w:tcMar>
              <w:left w:w="105" w:type="dxa"/>
              <w:right w:w="105" w:type="dxa"/>
            </w:tcMar>
            <w:vAlign w:val="bottom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exact"/>
              <w:ind w:firstLine="800" w:firstLineChars="400"/>
              <w:jc w:val="both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城市</w:t>
            </w:r>
          </w:p>
        </w:tc>
        <w:tc>
          <w:tcPr>
            <w:tcW w:w="2636" w:type="dxa"/>
            <w:tcBorders>
              <w:top w:val="nil"/>
              <w:left w:val="single" w:color="auto" w:sz="4" w:space="0"/>
              <w:bottom w:val="nil"/>
              <w:right w:val="nil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right="840" w:rightChars="40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  <w:lang w:val="en-US" w:eastAsia="zh-CN"/>
              </w:rPr>
              <w:t>99.9</w:t>
            </w:r>
          </w:p>
        </w:tc>
      </w:tr>
      <w:tr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  <w:jc w:val="center"/>
        </w:trPr>
        <w:tc>
          <w:tcPr>
            <w:tcW w:w="5340" w:type="dxa"/>
            <w:tcBorders>
              <w:top w:val="nil"/>
              <w:left w:val="nil"/>
              <w:bottom w:val="nil"/>
              <w:right w:val="single" w:color="auto" w:sz="4" w:space="0"/>
            </w:tcBorders>
            <w:tcMar>
              <w:left w:w="105" w:type="dxa"/>
              <w:right w:w="105" w:type="dxa"/>
            </w:tcMar>
            <w:vAlign w:val="bottom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exact"/>
              <w:ind w:firstLine="814" w:firstLineChars="407"/>
              <w:jc w:val="both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农村</w:t>
            </w:r>
          </w:p>
        </w:tc>
        <w:tc>
          <w:tcPr>
            <w:tcW w:w="2636" w:type="dxa"/>
            <w:tcBorders>
              <w:top w:val="nil"/>
              <w:left w:val="single" w:color="auto" w:sz="4" w:space="0"/>
              <w:bottom w:val="nil"/>
              <w:right w:val="nil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right="840" w:rightChars="40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10</w:t>
            </w:r>
            <w:r>
              <w:rPr>
                <w:rFonts w:hint="eastAsia" w:ascii="宋体" w:hAnsi="宋体" w:cs="宋体"/>
                <w:color w:val="auto"/>
                <w:sz w:val="20"/>
                <w:szCs w:val="20"/>
                <w:lang w:val="en-US" w:eastAsia="zh-CN"/>
              </w:rPr>
              <w:t>0.1</w:t>
            </w:r>
          </w:p>
        </w:tc>
      </w:tr>
      <w:tr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  <w:jc w:val="center"/>
        </w:trPr>
        <w:tc>
          <w:tcPr>
            <w:tcW w:w="5340" w:type="dxa"/>
            <w:tcBorders>
              <w:top w:val="nil"/>
              <w:left w:val="nil"/>
              <w:bottom w:val="nil"/>
              <w:right w:val="single" w:color="auto" w:sz="4" w:space="0"/>
            </w:tcBorders>
            <w:tcMar>
              <w:left w:w="105" w:type="dxa"/>
              <w:right w:w="105" w:type="dxa"/>
            </w:tcMar>
            <w:vAlign w:val="bottom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exact"/>
              <w:ind w:firstLine="645"/>
              <w:jc w:val="both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一、食品烟酒</w:t>
            </w:r>
          </w:p>
        </w:tc>
        <w:tc>
          <w:tcPr>
            <w:tcW w:w="2636" w:type="dxa"/>
            <w:tcBorders>
              <w:top w:val="nil"/>
              <w:left w:val="single" w:color="auto" w:sz="4" w:space="0"/>
              <w:bottom w:val="nil"/>
              <w:right w:val="nil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right="840" w:rightChars="40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99.2</w:t>
            </w:r>
          </w:p>
        </w:tc>
      </w:tr>
      <w:tr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  <w:jc w:val="center"/>
        </w:trPr>
        <w:tc>
          <w:tcPr>
            <w:tcW w:w="5340" w:type="dxa"/>
            <w:tcBorders>
              <w:top w:val="nil"/>
              <w:left w:val="nil"/>
              <w:bottom w:val="nil"/>
              <w:right w:val="single" w:color="auto" w:sz="4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exact"/>
              <w:ind w:left="1260" w:leftChars="600"/>
              <w:jc w:val="left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#粮    食</w:t>
            </w:r>
          </w:p>
        </w:tc>
        <w:tc>
          <w:tcPr>
            <w:tcW w:w="2636" w:type="dxa"/>
            <w:tcBorders>
              <w:top w:val="nil"/>
              <w:left w:val="single" w:color="auto" w:sz="4" w:space="0"/>
              <w:bottom w:val="nil"/>
              <w:right w:val="nil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right="840" w:rightChars="40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101.9</w:t>
            </w:r>
          </w:p>
        </w:tc>
      </w:tr>
      <w:tr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  <w:jc w:val="center"/>
        </w:trPr>
        <w:tc>
          <w:tcPr>
            <w:tcW w:w="5340" w:type="dxa"/>
            <w:tcBorders>
              <w:top w:val="nil"/>
              <w:left w:val="nil"/>
              <w:bottom w:val="nil"/>
              <w:right w:val="single" w:color="auto" w:sz="4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exact"/>
              <w:ind w:left="1365" w:leftChars="65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</w:rPr>
              <w:t>鲜    菜</w:t>
            </w:r>
          </w:p>
        </w:tc>
        <w:tc>
          <w:tcPr>
            <w:tcW w:w="2636" w:type="dxa"/>
            <w:tcBorders>
              <w:top w:val="nil"/>
              <w:left w:val="single" w:color="auto" w:sz="4" w:space="0"/>
              <w:bottom w:val="nil"/>
              <w:right w:val="nil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right="840" w:rightChars="40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91.9</w:t>
            </w:r>
          </w:p>
        </w:tc>
      </w:tr>
      <w:tr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  <w:jc w:val="center"/>
        </w:trPr>
        <w:tc>
          <w:tcPr>
            <w:tcW w:w="5340" w:type="dxa"/>
            <w:tcBorders>
              <w:top w:val="nil"/>
              <w:left w:val="nil"/>
              <w:bottom w:val="nil"/>
              <w:right w:val="single" w:color="auto" w:sz="4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exact"/>
              <w:ind w:left="1365" w:leftChars="65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</w:rPr>
              <w:t>畜    肉</w:t>
            </w:r>
          </w:p>
        </w:tc>
        <w:tc>
          <w:tcPr>
            <w:tcW w:w="2636" w:type="dxa"/>
            <w:tcBorders>
              <w:top w:val="nil"/>
              <w:left w:val="single" w:color="auto" w:sz="4" w:space="0"/>
              <w:bottom w:val="nil"/>
              <w:right w:val="nil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right="840" w:rightChars="40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92.8</w:t>
            </w:r>
          </w:p>
        </w:tc>
      </w:tr>
      <w:tr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  <w:jc w:val="center"/>
        </w:trPr>
        <w:tc>
          <w:tcPr>
            <w:tcW w:w="5340" w:type="dxa"/>
            <w:tcBorders>
              <w:top w:val="nil"/>
              <w:left w:val="nil"/>
              <w:bottom w:val="nil"/>
              <w:right w:val="single" w:color="auto" w:sz="4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exact"/>
              <w:ind w:left="1365" w:leftChars="650"/>
              <w:jc w:val="left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水 产 品</w:t>
            </w:r>
          </w:p>
        </w:tc>
        <w:tc>
          <w:tcPr>
            <w:tcW w:w="2636" w:type="dxa"/>
            <w:tcBorders>
              <w:top w:val="nil"/>
              <w:left w:val="single" w:color="auto" w:sz="4" w:space="0"/>
              <w:bottom w:val="nil"/>
              <w:right w:val="nil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right="840" w:rightChars="40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96.8</w:t>
            </w:r>
          </w:p>
        </w:tc>
      </w:tr>
      <w:tr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  <w:jc w:val="center"/>
        </w:trPr>
        <w:tc>
          <w:tcPr>
            <w:tcW w:w="5340" w:type="dxa"/>
            <w:tcBorders>
              <w:top w:val="nil"/>
              <w:left w:val="nil"/>
              <w:bottom w:val="nil"/>
              <w:right w:val="single" w:color="auto" w:sz="4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exact"/>
              <w:ind w:left="1365" w:leftChars="650"/>
              <w:jc w:val="left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蛋</w:t>
            </w:r>
          </w:p>
        </w:tc>
        <w:tc>
          <w:tcPr>
            <w:tcW w:w="2636" w:type="dxa"/>
            <w:tcBorders>
              <w:top w:val="nil"/>
              <w:left w:val="single" w:color="auto" w:sz="4" w:space="0"/>
              <w:bottom w:val="nil"/>
              <w:right w:val="nil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right="840" w:rightChars="40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97.9</w:t>
            </w:r>
          </w:p>
        </w:tc>
      </w:tr>
      <w:tr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  <w:jc w:val="center"/>
        </w:trPr>
        <w:tc>
          <w:tcPr>
            <w:tcW w:w="5340" w:type="dxa"/>
            <w:tcBorders>
              <w:top w:val="nil"/>
              <w:left w:val="nil"/>
              <w:bottom w:val="nil"/>
              <w:right w:val="single" w:color="auto" w:sz="4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exact"/>
              <w:ind w:left="1365" w:leftChars="650"/>
              <w:jc w:val="left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鲜    果</w:t>
            </w:r>
          </w:p>
        </w:tc>
        <w:tc>
          <w:tcPr>
            <w:tcW w:w="2636" w:type="dxa"/>
            <w:tcBorders>
              <w:top w:val="nil"/>
              <w:left w:val="single" w:color="auto" w:sz="4" w:space="0"/>
              <w:bottom w:val="nil"/>
              <w:right w:val="nil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right="840" w:rightChars="40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101.7</w:t>
            </w:r>
          </w:p>
        </w:tc>
      </w:tr>
      <w:tr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  <w:jc w:val="center"/>
        </w:trPr>
        <w:tc>
          <w:tcPr>
            <w:tcW w:w="5340" w:type="dxa"/>
            <w:tcBorders>
              <w:top w:val="nil"/>
              <w:left w:val="nil"/>
              <w:bottom w:val="nil"/>
              <w:right w:val="single" w:color="auto" w:sz="4" w:space="0"/>
            </w:tcBorders>
            <w:tcMar>
              <w:left w:w="105" w:type="dxa"/>
              <w:right w:w="105" w:type="dxa"/>
            </w:tcMar>
            <w:vAlign w:val="bottom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exact"/>
              <w:ind w:firstLine="645"/>
              <w:jc w:val="both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二、衣着</w:t>
            </w:r>
          </w:p>
        </w:tc>
        <w:tc>
          <w:tcPr>
            <w:tcW w:w="2636" w:type="dxa"/>
            <w:tcBorders>
              <w:top w:val="nil"/>
              <w:left w:val="single" w:color="auto" w:sz="4" w:space="0"/>
              <w:bottom w:val="nil"/>
              <w:right w:val="nil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right="840" w:rightChars="400"/>
              <w:jc w:val="right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101.3</w:t>
            </w:r>
          </w:p>
        </w:tc>
      </w:tr>
      <w:tr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  <w:jc w:val="center"/>
        </w:trPr>
        <w:tc>
          <w:tcPr>
            <w:tcW w:w="5340" w:type="dxa"/>
            <w:tcBorders>
              <w:top w:val="nil"/>
              <w:left w:val="nil"/>
              <w:bottom w:val="nil"/>
              <w:right w:val="single" w:color="auto" w:sz="4" w:space="0"/>
            </w:tcBorders>
            <w:tcMar>
              <w:left w:w="105" w:type="dxa"/>
              <w:right w:w="105" w:type="dxa"/>
            </w:tcMar>
            <w:vAlign w:val="bottom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exact"/>
              <w:ind w:firstLine="645"/>
              <w:jc w:val="both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三、居住</w:t>
            </w:r>
          </w:p>
        </w:tc>
        <w:tc>
          <w:tcPr>
            <w:tcW w:w="2636" w:type="dxa"/>
            <w:tcBorders>
              <w:top w:val="nil"/>
              <w:left w:val="single" w:color="auto" w:sz="4" w:space="0"/>
              <w:bottom w:val="nil"/>
              <w:right w:val="nil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right="840" w:rightChars="400"/>
              <w:jc w:val="right"/>
              <w:textAlignment w:val="auto"/>
              <w:rPr>
                <w:rFonts w:ascii="宋体" w:hAnsi="宋体" w:cs="宋体"/>
                <w:color w:val="auto"/>
                <w:sz w:val="20"/>
                <w:szCs w:val="20"/>
                <w:lang w:val="e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99.9</w:t>
            </w:r>
          </w:p>
        </w:tc>
      </w:tr>
      <w:tr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  <w:jc w:val="center"/>
        </w:trPr>
        <w:tc>
          <w:tcPr>
            <w:tcW w:w="5340" w:type="dxa"/>
            <w:tcBorders>
              <w:top w:val="nil"/>
              <w:left w:val="nil"/>
              <w:bottom w:val="nil"/>
              <w:right w:val="single" w:color="auto" w:sz="4" w:space="0"/>
            </w:tcBorders>
            <w:tcMar>
              <w:left w:w="105" w:type="dxa"/>
              <w:right w:w="105" w:type="dxa"/>
            </w:tcMar>
            <w:vAlign w:val="bottom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exact"/>
              <w:ind w:firstLine="645"/>
              <w:jc w:val="both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四、生活用品及服务</w:t>
            </w:r>
          </w:p>
        </w:tc>
        <w:tc>
          <w:tcPr>
            <w:tcW w:w="2636" w:type="dxa"/>
            <w:tcBorders>
              <w:top w:val="nil"/>
              <w:left w:val="single" w:color="auto" w:sz="4" w:space="0"/>
              <w:bottom w:val="nil"/>
              <w:right w:val="nil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right="840" w:rightChars="400"/>
              <w:jc w:val="right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100.0</w:t>
            </w:r>
          </w:p>
        </w:tc>
      </w:tr>
      <w:tr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  <w:jc w:val="center"/>
        </w:trPr>
        <w:tc>
          <w:tcPr>
            <w:tcW w:w="5340" w:type="dxa"/>
            <w:tcBorders>
              <w:top w:val="nil"/>
              <w:left w:val="nil"/>
              <w:bottom w:val="nil"/>
              <w:right w:val="single" w:color="auto" w:sz="4" w:space="0"/>
            </w:tcBorders>
            <w:tcMar>
              <w:left w:w="105" w:type="dxa"/>
              <w:right w:w="105" w:type="dxa"/>
            </w:tcMar>
            <w:vAlign w:val="bottom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exact"/>
              <w:ind w:firstLine="645"/>
              <w:jc w:val="both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五、交通和通信</w:t>
            </w:r>
          </w:p>
        </w:tc>
        <w:tc>
          <w:tcPr>
            <w:tcW w:w="2636" w:type="dxa"/>
            <w:tcBorders>
              <w:top w:val="nil"/>
              <w:left w:val="single" w:color="auto" w:sz="4" w:space="0"/>
              <w:bottom w:val="nil"/>
              <w:right w:val="nil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right="840" w:rightChars="400"/>
              <w:jc w:val="right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98.6</w:t>
            </w:r>
          </w:p>
        </w:tc>
      </w:tr>
      <w:tr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  <w:jc w:val="center"/>
        </w:trPr>
        <w:tc>
          <w:tcPr>
            <w:tcW w:w="5340" w:type="dxa"/>
            <w:tcBorders>
              <w:top w:val="nil"/>
              <w:left w:val="nil"/>
              <w:bottom w:val="nil"/>
              <w:right w:val="single" w:color="auto" w:sz="4" w:space="0"/>
            </w:tcBorders>
            <w:tcMar>
              <w:left w:w="105" w:type="dxa"/>
              <w:right w:w="105" w:type="dxa"/>
            </w:tcMar>
            <w:vAlign w:val="bottom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exact"/>
              <w:ind w:firstLine="645"/>
              <w:jc w:val="both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六、教育文化和娱乐</w:t>
            </w:r>
          </w:p>
        </w:tc>
        <w:tc>
          <w:tcPr>
            <w:tcW w:w="2636" w:type="dxa"/>
            <w:tcBorders>
              <w:top w:val="nil"/>
              <w:left w:val="single" w:color="auto" w:sz="4" w:space="0"/>
              <w:bottom w:val="nil"/>
              <w:right w:val="nil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right="840" w:rightChars="400"/>
              <w:jc w:val="right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101.6</w:t>
            </w:r>
          </w:p>
        </w:tc>
      </w:tr>
      <w:tr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  <w:jc w:val="center"/>
        </w:trPr>
        <w:tc>
          <w:tcPr>
            <w:tcW w:w="5340" w:type="dxa"/>
            <w:tcBorders>
              <w:top w:val="nil"/>
              <w:left w:val="nil"/>
              <w:bottom w:val="nil"/>
              <w:right w:val="single" w:color="auto" w:sz="4" w:space="0"/>
            </w:tcBorders>
            <w:tcMar>
              <w:left w:w="105" w:type="dxa"/>
              <w:right w:w="105" w:type="dxa"/>
            </w:tcMar>
            <w:vAlign w:val="bottom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exact"/>
              <w:ind w:firstLine="645"/>
              <w:jc w:val="both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七、医疗保健</w:t>
            </w:r>
          </w:p>
        </w:tc>
        <w:tc>
          <w:tcPr>
            <w:tcW w:w="2636" w:type="dxa"/>
            <w:tcBorders>
              <w:top w:val="nil"/>
              <w:left w:val="single" w:color="auto" w:sz="4" w:space="0"/>
              <w:bottom w:val="nil"/>
              <w:right w:val="nil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right="840" w:rightChars="400"/>
              <w:jc w:val="right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100.5</w:t>
            </w:r>
          </w:p>
        </w:tc>
      </w:tr>
      <w:tr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  <w:jc w:val="center"/>
        </w:trPr>
        <w:tc>
          <w:tcPr>
            <w:tcW w:w="5340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vAlign w:val="bottom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exact"/>
              <w:ind w:firstLine="645"/>
              <w:jc w:val="both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 xml:space="preserve"> 八、其他用品和服务</w:t>
            </w:r>
          </w:p>
        </w:tc>
        <w:tc>
          <w:tcPr>
            <w:tcW w:w="2636" w:type="dxa"/>
            <w:tcBorders>
              <w:top w:val="nil"/>
              <w:left w:val="single" w:color="auto" w:sz="4" w:space="0"/>
              <w:bottom w:val="single" w:color="auto" w:sz="12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right="840" w:rightChars="400"/>
              <w:jc w:val="right"/>
              <w:textAlignment w:val="auto"/>
              <w:rPr>
                <w:rFonts w:hint="default" w:ascii="宋体" w:hAnsi="宋体" w:cs="宋体"/>
                <w:color w:val="auto"/>
                <w:sz w:val="20"/>
                <w:szCs w:val="20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102.7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</w:p>
        </w:tc>
      </w:tr>
    </w:tbl>
    <w:p>
      <w:pPr>
        <w:pStyle w:val="2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0" w:firstLineChars="0"/>
        <w:jc w:val="center"/>
        <w:textAlignment w:val="auto"/>
        <w:rPr>
          <w:rFonts w:ascii="Times New Roman" w:hAnsi="宋体"/>
          <w:color w:val="auto"/>
        </w:rPr>
      </w:pPr>
      <w:r>
        <w:rPr>
          <w:rFonts w:hint="eastAsia" w:ascii="Times New Roman" w:hAnsi="宋体"/>
          <w:b/>
          <w:color w:val="auto"/>
          <w:sz w:val="28"/>
          <w:szCs w:val="28"/>
        </w:rPr>
        <w:t>二、</w:t>
      </w:r>
      <w:r>
        <w:rPr>
          <w:rFonts w:ascii="Times New Roman" w:hAnsi="宋体"/>
          <w:b/>
          <w:color w:val="auto"/>
          <w:sz w:val="28"/>
          <w:szCs w:val="28"/>
        </w:rPr>
        <w:t>农</w:t>
      </w:r>
      <w:r>
        <w:rPr>
          <w:rFonts w:hint="eastAsia" w:ascii="Times New Roman" w:hAnsi="Times New Roman"/>
          <w:b/>
          <w:color w:val="auto"/>
          <w:sz w:val="28"/>
          <w:szCs w:val="28"/>
          <w:lang w:val="en-US" w:eastAsia="zh-CN"/>
        </w:rPr>
        <w:t xml:space="preserve">  </w:t>
      </w:r>
      <w:r>
        <w:rPr>
          <w:rFonts w:ascii="Times New Roman" w:hAnsi="宋体"/>
          <w:b/>
          <w:color w:val="auto"/>
          <w:sz w:val="28"/>
          <w:szCs w:val="28"/>
        </w:rPr>
        <w:t>业</w:t>
      </w:r>
    </w:p>
    <w:p>
      <w:pPr>
        <w:pStyle w:val="2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jc w:val="both"/>
        <w:textAlignment w:val="auto"/>
        <w:rPr>
          <w:rFonts w:hint="eastAsia" w:ascii="Times New Roman" w:hAnsi="宋体"/>
          <w:color w:val="auto"/>
        </w:rPr>
      </w:pPr>
      <w:r>
        <w:rPr>
          <w:rFonts w:hint="eastAsia" w:ascii="Times New Roman" w:hAnsi="宋体"/>
          <w:color w:val="auto"/>
        </w:rPr>
        <w:t>全年全市农林牧渔业总产值实现1185.63亿元，增长2.3%。其中，农业总产值773.04亿元，林业总产值</w:t>
      </w:r>
      <w:r>
        <w:rPr>
          <w:rFonts w:hint="eastAsia" w:ascii="Times New Roman" w:hAnsi="宋体"/>
          <w:color w:val="auto"/>
          <w:lang w:val="en-US" w:eastAsia="zh-CN"/>
        </w:rPr>
        <w:t>5.40</w:t>
      </w:r>
      <w:r>
        <w:rPr>
          <w:rFonts w:hint="eastAsia" w:ascii="Times New Roman" w:hAnsi="宋体"/>
          <w:color w:val="auto"/>
        </w:rPr>
        <w:t>亿元，牧业总产值296.7</w:t>
      </w:r>
      <w:r>
        <w:rPr>
          <w:rFonts w:hint="eastAsia" w:ascii="Times New Roman" w:hAnsi="宋体"/>
          <w:color w:val="auto"/>
          <w:lang w:val="en-US" w:eastAsia="zh-CN"/>
        </w:rPr>
        <w:t>0</w:t>
      </w:r>
      <w:r>
        <w:rPr>
          <w:rFonts w:hint="eastAsia" w:ascii="Times New Roman" w:hAnsi="宋体"/>
          <w:color w:val="auto"/>
        </w:rPr>
        <w:t>亿元，渔业总产值6.57亿元，农林牧渔服务业总产值103.92亿元。</w:t>
      </w:r>
    </w:p>
    <w:p>
      <w:pPr>
        <w:pStyle w:val="2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jc w:val="both"/>
        <w:textAlignment w:val="auto"/>
        <w:rPr>
          <w:rFonts w:hint="eastAsia" w:ascii="Times New Roman" w:hAnsi="Times New Roman"/>
          <w:b/>
          <w:bCs/>
          <w:color w:val="auto"/>
          <w:szCs w:val="22"/>
        </w:rPr>
      </w:pPr>
      <w:r>
        <w:rPr>
          <w:rFonts w:hint="eastAsia" w:ascii="Times New Roman" w:hAnsi="宋体" w:eastAsia="宋体"/>
          <w:color w:val="auto"/>
        </w:rPr>
        <w:t>全年全市粮食播种面积2066.</w:t>
      </w:r>
      <w:r>
        <w:rPr>
          <w:rFonts w:hint="eastAsia" w:ascii="Times New Roman" w:hAnsi="宋体" w:eastAsia="宋体"/>
          <w:color w:val="auto"/>
          <w:lang w:val="en-US" w:eastAsia="zh-CN"/>
        </w:rPr>
        <w:t>70</w:t>
      </w:r>
      <w:r>
        <w:rPr>
          <w:rFonts w:hint="eastAsia" w:ascii="Times New Roman" w:hAnsi="宋体" w:eastAsia="宋体"/>
          <w:color w:val="auto"/>
        </w:rPr>
        <w:t>万亩，总产量9</w:t>
      </w:r>
      <w:r>
        <w:rPr>
          <w:rFonts w:hint="eastAsia" w:ascii="Times New Roman" w:hAnsi="宋体" w:eastAsia="宋体"/>
          <w:color w:val="auto"/>
          <w:lang w:val="en-US" w:eastAsia="zh-CN"/>
        </w:rPr>
        <w:t>02</w:t>
      </w:r>
      <w:r>
        <w:rPr>
          <w:rFonts w:hint="eastAsia" w:ascii="Times New Roman" w:hAnsi="宋体" w:eastAsia="宋体"/>
          <w:color w:val="auto"/>
        </w:rPr>
        <w:t>.</w:t>
      </w:r>
      <w:r>
        <w:rPr>
          <w:rFonts w:hint="eastAsia" w:ascii="Times New Roman" w:hAnsi="宋体" w:eastAsia="宋体"/>
          <w:color w:val="auto"/>
          <w:lang w:val="en-US" w:eastAsia="zh-CN"/>
        </w:rPr>
        <w:t>61</w:t>
      </w:r>
      <w:r>
        <w:rPr>
          <w:rFonts w:hint="eastAsia" w:ascii="Times New Roman" w:hAnsi="宋体" w:eastAsia="宋体"/>
          <w:color w:val="auto"/>
        </w:rPr>
        <w:t>万吨，</w:t>
      </w:r>
      <w:r>
        <w:rPr>
          <w:rFonts w:hint="eastAsia" w:ascii="Times New Roman" w:hAnsi="宋体"/>
          <w:color w:val="auto"/>
          <w:lang w:eastAsia="zh-CN"/>
        </w:rPr>
        <w:t>减产</w:t>
      </w:r>
      <w:r>
        <w:rPr>
          <w:rFonts w:hint="eastAsia" w:ascii="Times New Roman" w:hAnsi="宋体" w:eastAsia="宋体"/>
          <w:color w:val="auto"/>
          <w:lang w:val="en-US" w:eastAsia="zh-CN"/>
        </w:rPr>
        <w:t>3.2</w:t>
      </w:r>
      <w:r>
        <w:rPr>
          <w:rFonts w:hint="eastAsia" w:ascii="Times New Roman" w:hAnsi="宋体" w:eastAsia="宋体"/>
          <w:color w:val="auto"/>
        </w:rPr>
        <w:t>%。其中，夏粮播种面积110</w:t>
      </w:r>
      <w:r>
        <w:rPr>
          <w:rFonts w:hint="eastAsia" w:ascii="Times New Roman" w:hAnsi="宋体" w:eastAsia="宋体"/>
          <w:color w:val="auto"/>
          <w:lang w:val="en-US" w:eastAsia="zh-CN"/>
        </w:rPr>
        <w:t>1</w:t>
      </w:r>
      <w:r>
        <w:rPr>
          <w:rFonts w:hint="eastAsia" w:ascii="Times New Roman" w:hAnsi="宋体" w:eastAsia="宋体"/>
          <w:color w:val="auto"/>
        </w:rPr>
        <w:t>.</w:t>
      </w:r>
      <w:r>
        <w:rPr>
          <w:rFonts w:hint="eastAsia" w:ascii="Times New Roman" w:hAnsi="宋体" w:eastAsia="宋体"/>
          <w:color w:val="auto"/>
          <w:lang w:val="en-US" w:eastAsia="zh-CN"/>
        </w:rPr>
        <w:t>60</w:t>
      </w:r>
      <w:r>
        <w:rPr>
          <w:rFonts w:hint="eastAsia" w:ascii="Times New Roman" w:hAnsi="宋体" w:eastAsia="宋体"/>
          <w:color w:val="auto"/>
        </w:rPr>
        <w:t>万亩，总产量</w:t>
      </w:r>
      <w:r>
        <w:rPr>
          <w:rFonts w:hint="eastAsia" w:ascii="Times New Roman" w:hAnsi="宋体" w:eastAsia="宋体"/>
          <w:color w:val="auto"/>
          <w:lang w:val="en-US" w:eastAsia="zh-CN"/>
        </w:rPr>
        <w:t>508.58</w:t>
      </w:r>
      <w:r>
        <w:rPr>
          <w:rFonts w:hint="eastAsia" w:ascii="Times New Roman" w:hAnsi="宋体" w:eastAsia="宋体"/>
          <w:color w:val="auto"/>
        </w:rPr>
        <w:t>万吨，</w:t>
      </w:r>
      <w:r>
        <w:rPr>
          <w:rFonts w:hint="eastAsia" w:ascii="Times New Roman" w:hAnsi="宋体"/>
          <w:color w:val="auto"/>
          <w:lang w:eastAsia="zh-CN"/>
        </w:rPr>
        <w:t>减产</w:t>
      </w:r>
      <w:r>
        <w:rPr>
          <w:rFonts w:hint="eastAsia" w:ascii="Times New Roman" w:hAnsi="宋体" w:eastAsia="宋体"/>
          <w:color w:val="auto"/>
          <w:lang w:val="en-US" w:eastAsia="zh-CN"/>
        </w:rPr>
        <w:t>8.6</w:t>
      </w:r>
      <w:r>
        <w:rPr>
          <w:rFonts w:hint="eastAsia" w:ascii="Times New Roman" w:hAnsi="宋体" w:eastAsia="宋体"/>
          <w:color w:val="auto"/>
        </w:rPr>
        <w:t>%；秋粮播种面积96</w:t>
      </w:r>
      <w:r>
        <w:rPr>
          <w:rFonts w:hint="eastAsia" w:ascii="Times New Roman" w:hAnsi="宋体" w:eastAsia="宋体"/>
          <w:color w:val="auto"/>
          <w:lang w:val="en-US" w:eastAsia="zh-CN"/>
        </w:rPr>
        <w:t>5.10</w:t>
      </w:r>
      <w:r>
        <w:rPr>
          <w:rFonts w:hint="eastAsia" w:ascii="Times New Roman" w:hAnsi="宋体" w:eastAsia="宋体"/>
          <w:color w:val="auto"/>
        </w:rPr>
        <w:t>万亩，总产量</w:t>
      </w:r>
      <w:r>
        <w:rPr>
          <w:rFonts w:hint="eastAsia" w:ascii="Times New Roman" w:hAnsi="宋体" w:eastAsia="宋体"/>
          <w:color w:val="auto"/>
          <w:lang w:val="en-US" w:eastAsia="zh-CN"/>
        </w:rPr>
        <w:t>394.03</w:t>
      </w:r>
      <w:r>
        <w:rPr>
          <w:rFonts w:hint="eastAsia" w:ascii="Times New Roman" w:hAnsi="宋体" w:eastAsia="宋体"/>
          <w:color w:val="auto"/>
        </w:rPr>
        <w:t>万吨，</w:t>
      </w:r>
      <w:r>
        <w:rPr>
          <w:rFonts w:hint="eastAsia" w:ascii="Times New Roman" w:hAnsi="宋体"/>
          <w:color w:val="auto"/>
          <w:lang w:eastAsia="zh-CN"/>
        </w:rPr>
        <w:t>增产</w:t>
      </w:r>
      <w:r>
        <w:rPr>
          <w:rFonts w:hint="eastAsia" w:ascii="Times New Roman" w:hAnsi="宋体" w:eastAsia="宋体"/>
          <w:color w:val="auto"/>
          <w:lang w:val="en-US" w:eastAsia="zh-CN"/>
        </w:rPr>
        <w:t>4.8</w:t>
      </w:r>
      <w:r>
        <w:rPr>
          <w:rFonts w:hint="eastAsia" w:ascii="Times New Roman" w:hAnsi="宋体" w:eastAsia="宋体"/>
          <w:color w:val="auto"/>
        </w:rPr>
        <w:t>%。</w:t>
      </w:r>
    </w:p>
    <w:p>
      <w:pPr>
        <w:pStyle w:val="2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0" w:firstLineChars="0"/>
        <w:jc w:val="center"/>
        <w:textAlignment w:val="auto"/>
        <w:rPr>
          <w:rFonts w:hint="eastAsia" w:ascii="Times New Roman" w:hAnsi="Times New Roman"/>
          <w:b/>
          <w:bCs/>
          <w:color w:val="auto"/>
          <w:szCs w:val="22"/>
        </w:rPr>
      </w:pPr>
      <w:r>
        <w:rPr>
          <w:rFonts w:hint="eastAsia" w:ascii="Times New Roman" w:hAnsi="Times New Roman"/>
          <w:b/>
          <w:bCs/>
          <w:color w:val="auto"/>
          <w:szCs w:val="22"/>
        </w:rPr>
        <w:t>图</w:t>
      </w:r>
      <w:r>
        <w:rPr>
          <w:rFonts w:hint="eastAsia" w:ascii="Times New Roman" w:hAnsi="Times New Roman"/>
          <w:b/>
          <w:bCs/>
          <w:color w:val="auto"/>
          <w:szCs w:val="22"/>
          <w:lang w:val="en-US" w:eastAsia="zh-CN"/>
        </w:rPr>
        <w:t>1</w:t>
      </w:r>
      <w:r>
        <w:rPr>
          <w:rFonts w:hint="eastAsia" w:ascii="Times New Roman" w:hAnsi="Times New Roman"/>
          <w:b/>
          <w:bCs/>
          <w:color w:val="auto"/>
          <w:szCs w:val="22"/>
        </w:rPr>
        <w:t xml:space="preserve">  2017-202</w:t>
      </w:r>
      <w:r>
        <w:rPr>
          <w:rFonts w:hint="eastAsia" w:ascii="Times New Roman" w:hAnsi="Times New Roman"/>
          <w:b/>
          <w:bCs/>
          <w:color w:val="auto"/>
          <w:szCs w:val="22"/>
          <w:lang w:val="en-US" w:eastAsia="zh-CN"/>
        </w:rPr>
        <w:t>3</w:t>
      </w:r>
      <w:r>
        <w:rPr>
          <w:rFonts w:hint="eastAsia" w:ascii="Times New Roman" w:hAnsi="Times New Roman"/>
          <w:b/>
          <w:bCs/>
          <w:color w:val="auto"/>
          <w:szCs w:val="22"/>
        </w:rPr>
        <w:t>年周口市粮食总产量</w:t>
      </w:r>
    </w:p>
    <w:p>
      <w:pPr>
        <w:pStyle w:val="2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0" w:firstLineChars="0"/>
        <w:jc w:val="right"/>
        <w:textAlignment w:val="auto"/>
        <w:rPr>
          <w:rFonts w:hint="eastAsia" w:ascii="Times New Roman" w:hAnsi="Times New Roman" w:eastAsia="宋体"/>
          <w:b w:val="0"/>
          <w:bCs w:val="0"/>
          <w:color w:val="auto"/>
          <w:sz w:val="21"/>
          <w:szCs w:val="21"/>
          <w:lang w:eastAsia="zh-CN"/>
        </w:rPr>
      </w:pPr>
      <w:r>
        <w:rPr>
          <w:rFonts w:hint="eastAsia" w:ascii="Times New Roman" w:hAnsi="Times New Roman"/>
          <w:b w:val="0"/>
          <w:bCs w:val="0"/>
          <w:color w:val="auto"/>
          <w:sz w:val="21"/>
          <w:szCs w:val="21"/>
          <w:lang w:eastAsia="zh-CN"/>
        </w:rPr>
        <w:t>单位：万吨</w:t>
      </w:r>
    </w:p>
    <w:p>
      <w:pPr>
        <w:pStyle w:val="25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jc w:val="both"/>
        <w:rPr>
          <w:rFonts w:hint="eastAsia" w:ascii="Times New Roman" w:hAnsi="宋体" w:eastAsia="宋体"/>
          <w:color w:val="auto"/>
        </w:rPr>
      </w:pPr>
      <w:r>
        <w:rPr>
          <w:rFonts w:hint="eastAsia" w:ascii="Times New Roman" w:hAnsi="宋体" w:eastAsia="宋体"/>
          <w:color w:val="auto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-74930</wp:posOffset>
            </wp:positionH>
            <wp:positionV relativeFrom="paragraph">
              <wp:posOffset>43815</wp:posOffset>
            </wp:positionV>
            <wp:extent cx="5271135" cy="2865120"/>
            <wp:effectExtent l="0" t="0" r="0" b="0"/>
            <wp:wrapTopAndBottom/>
            <wp:docPr id="4" name="图表 1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anchor>
        </w:drawing>
      </w:r>
      <w:r>
        <w:rPr>
          <w:rFonts w:hint="eastAsia" w:ascii="Times New Roman" w:hAnsi="宋体" w:eastAsia="宋体"/>
          <w:color w:val="auto"/>
        </w:rPr>
        <w:t>全年全市油料产量56.43万吨，比上年增</w:t>
      </w:r>
      <w:r>
        <w:rPr>
          <w:rFonts w:hint="eastAsia" w:ascii="Times New Roman" w:hAnsi="宋体" w:eastAsia="宋体"/>
          <w:color w:val="auto"/>
          <w:lang w:eastAsia="zh-CN"/>
        </w:rPr>
        <w:t>产</w:t>
      </w:r>
      <w:r>
        <w:rPr>
          <w:rFonts w:hint="eastAsia" w:ascii="Times New Roman" w:hAnsi="宋体" w:eastAsia="宋体"/>
          <w:color w:val="auto"/>
        </w:rPr>
        <w:t>6.8%，其中花生产量50.65万吨，增</w:t>
      </w:r>
      <w:r>
        <w:rPr>
          <w:rFonts w:hint="eastAsia" w:ascii="Times New Roman" w:hAnsi="宋体" w:eastAsia="宋体"/>
          <w:color w:val="auto"/>
          <w:lang w:eastAsia="zh-CN"/>
        </w:rPr>
        <w:t>产</w:t>
      </w:r>
      <w:r>
        <w:rPr>
          <w:rFonts w:hint="eastAsia" w:ascii="Times New Roman" w:hAnsi="宋体" w:eastAsia="宋体"/>
          <w:color w:val="auto"/>
        </w:rPr>
        <w:t>7.5%。蔬菜及食用菌产量1186.96万吨，增</w:t>
      </w:r>
      <w:r>
        <w:rPr>
          <w:rFonts w:hint="eastAsia" w:ascii="Times New Roman" w:hAnsi="宋体" w:eastAsia="宋体"/>
          <w:color w:val="auto"/>
          <w:lang w:eastAsia="zh-CN"/>
        </w:rPr>
        <w:t>产</w:t>
      </w:r>
      <w:r>
        <w:rPr>
          <w:rFonts w:hint="eastAsia" w:ascii="Times New Roman" w:hAnsi="宋体" w:eastAsia="宋体"/>
          <w:color w:val="auto"/>
        </w:rPr>
        <w:t>4.2%。瓜果产量356.92万吨，增</w:t>
      </w:r>
      <w:r>
        <w:rPr>
          <w:rFonts w:hint="eastAsia" w:ascii="Times New Roman" w:hAnsi="宋体" w:eastAsia="宋体"/>
          <w:color w:val="auto"/>
          <w:lang w:eastAsia="zh-CN"/>
        </w:rPr>
        <w:t>产</w:t>
      </w:r>
      <w:r>
        <w:rPr>
          <w:rFonts w:hint="eastAsia" w:ascii="Times New Roman" w:hAnsi="宋体" w:eastAsia="宋体"/>
          <w:color w:val="auto"/>
        </w:rPr>
        <w:t>1.4%。</w:t>
      </w:r>
    </w:p>
    <w:p>
      <w:pPr>
        <w:pStyle w:val="25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jc w:val="both"/>
        <w:rPr>
          <w:rFonts w:hint="eastAsia" w:ascii="Times New Roman" w:hAnsi="Times New Roman" w:cs="Times New Roman"/>
          <w:b/>
          <w:color w:val="auto"/>
          <w:kern w:val="1"/>
          <w:sz w:val="24"/>
          <w:lang w:val="en-US" w:eastAsia="zh-CN"/>
        </w:rPr>
      </w:pPr>
      <w:r>
        <w:rPr>
          <w:rFonts w:hint="eastAsia" w:ascii="Times New Roman" w:hAnsi="宋体"/>
          <w:color w:val="auto"/>
        </w:rPr>
        <w:t>全年全市生猪出栏量745.02万头，增长2.7%，年末全市生猪存栏547.01万头，增长2.0%</w:t>
      </w:r>
      <w:r>
        <w:rPr>
          <w:rFonts w:hint="eastAsia" w:ascii="Times New Roman" w:hAnsi="宋体"/>
          <w:color w:val="auto"/>
          <w:lang w:eastAsia="zh-CN"/>
        </w:rPr>
        <w:t>，</w:t>
      </w:r>
      <w:r>
        <w:rPr>
          <w:rFonts w:hint="eastAsia" w:ascii="Times New Roman" w:hAnsi="宋体"/>
          <w:color w:val="auto"/>
        </w:rPr>
        <w:t>猪肉产量55.08万吨，增长4.7%；牛出栏量18.98万头，增长8.4%，牛肉产量2.87万吨，增长7.1%；羊肉产量4.28万吨，增长2.6%；禽肉产量22.23万吨，增长4.8%</w:t>
      </w:r>
      <w:r>
        <w:rPr>
          <w:rFonts w:hint="eastAsia" w:ascii="Times New Roman" w:hAnsi="宋体"/>
          <w:color w:val="auto"/>
          <w:lang w:eastAsia="zh-CN"/>
        </w:rPr>
        <w:t>，</w:t>
      </w:r>
      <w:r>
        <w:rPr>
          <w:rFonts w:hint="eastAsia" w:ascii="Times New Roman" w:hAnsi="宋体"/>
          <w:color w:val="auto"/>
        </w:rPr>
        <w:t>禽蛋产量49.48万吨，下降2.0%</w:t>
      </w:r>
      <w:r>
        <w:rPr>
          <w:rFonts w:hint="eastAsia" w:ascii="Times New Roman" w:hAnsi="宋体"/>
          <w:color w:val="auto"/>
          <w:lang w:eastAsia="zh-CN"/>
        </w:rPr>
        <w:t>；</w:t>
      </w:r>
      <w:r>
        <w:rPr>
          <w:rFonts w:hint="eastAsia" w:ascii="Times New Roman" w:hAnsi="宋体"/>
          <w:color w:val="auto"/>
        </w:rPr>
        <w:t>牛奶产量4.32万吨，增长10.</w:t>
      </w:r>
      <w:r>
        <w:rPr>
          <w:rFonts w:hint="eastAsia" w:ascii="Times New Roman" w:hAnsi="宋体"/>
          <w:color w:val="auto"/>
          <w:lang w:val="en-US" w:eastAsia="zh-CN"/>
        </w:rPr>
        <w:t>9</w:t>
      </w:r>
      <w:r>
        <w:rPr>
          <w:rFonts w:hint="eastAsia" w:ascii="Times New Roman" w:hAnsi="宋体"/>
          <w:color w:val="auto"/>
        </w:rPr>
        <w:t>%。</w:t>
      </w:r>
    </w:p>
    <w:p>
      <w:pPr>
        <w:pStyle w:val="2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center"/>
        <w:textAlignment w:val="auto"/>
        <w:rPr>
          <w:rFonts w:ascii="Times New Roman" w:hAnsi="Times New Roman" w:cs="Times New Roman"/>
          <w:b/>
          <w:color w:val="auto"/>
          <w:kern w:val="1"/>
          <w:sz w:val="24"/>
        </w:rPr>
      </w:pPr>
      <w:r>
        <w:rPr>
          <w:rFonts w:hint="eastAsia" w:ascii="Times New Roman" w:hAnsi="Times New Roman" w:cs="Times New Roman"/>
          <w:b/>
          <w:color w:val="auto"/>
          <w:kern w:val="1"/>
          <w:sz w:val="24"/>
          <w:lang w:val="en-US" w:eastAsia="zh-CN"/>
        </w:rPr>
        <w:t>表3</w:t>
      </w:r>
      <w:r>
        <w:rPr>
          <w:rFonts w:hint="eastAsia" w:ascii="Times New Roman" w:hAnsi="Times New Roman" w:cs="Times New Roman"/>
          <w:b/>
          <w:color w:val="auto"/>
          <w:kern w:val="1"/>
          <w:sz w:val="24"/>
        </w:rPr>
        <w:t xml:space="preserve">  </w:t>
      </w:r>
      <w:r>
        <w:rPr>
          <w:rFonts w:ascii="Times New Roman" w:hAnsi="Times New Roman" w:cs="Times New Roman"/>
          <w:b/>
          <w:color w:val="auto"/>
          <w:kern w:val="1"/>
          <w:sz w:val="24"/>
        </w:rPr>
        <w:t>20</w:t>
      </w:r>
      <w:r>
        <w:rPr>
          <w:rFonts w:ascii="Times New Roman" w:hAnsi="Times New Roman" w:cs="Times New Roman"/>
          <w:b/>
          <w:color w:val="auto"/>
          <w:kern w:val="1"/>
          <w:sz w:val="24"/>
          <w:lang w:val="en"/>
        </w:rPr>
        <w:t>2</w:t>
      </w:r>
      <w:r>
        <w:rPr>
          <w:rFonts w:hint="eastAsia" w:ascii="Times New Roman" w:hAnsi="Times New Roman" w:cs="Times New Roman"/>
          <w:b/>
          <w:color w:val="auto"/>
          <w:kern w:val="1"/>
          <w:sz w:val="24"/>
          <w:lang w:val="en-US" w:eastAsia="zh-CN"/>
        </w:rPr>
        <w:t>3</w:t>
      </w:r>
      <w:r>
        <w:rPr>
          <w:rFonts w:ascii="Times New Roman" w:hAnsi="宋体" w:cs="Times New Roman"/>
          <w:b/>
          <w:color w:val="auto"/>
          <w:kern w:val="1"/>
          <w:sz w:val="24"/>
        </w:rPr>
        <w:t>年</w:t>
      </w:r>
      <w:r>
        <w:rPr>
          <w:rFonts w:hint="eastAsia" w:ascii="Times New Roman" w:hAnsi="宋体" w:cs="Times New Roman"/>
          <w:b/>
          <w:color w:val="auto"/>
          <w:kern w:val="1"/>
          <w:sz w:val="24"/>
          <w:lang w:eastAsia="zh-CN"/>
        </w:rPr>
        <w:t>周口市主要农产品产量及增速</w:t>
      </w:r>
    </w:p>
    <w:tbl>
      <w:tblPr>
        <w:tblStyle w:val="13"/>
        <w:tblW w:w="792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60"/>
        <w:gridCol w:w="2715"/>
        <w:gridCol w:w="284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exact"/>
          <w:jc w:val="center"/>
        </w:trPr>
        <w:tc>
          <w:tcPr>
            <w:tcW w:w="2360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rPr>
                <w:rFonts w:ascii="Times New Roman" w:hAnsi="Times New Roman" w:cs="Times New Roman"/>
                <w:b/>
                <w:color w:val="auto"/>
                <w:sz w:val="24"/>
              </w:rPr>
            </w:pPr>
            <w:r>
              <w:rPr>
                <w:rFonts w:ascii="Times New Roman" w:hAnsi="宋体" w:cs="Times New Roman"/>
                <w:b/>
                <w:color w:val="auto"/>
                <w:sz w:val="24"/>
              </w:rPr>
              <w:t>产品名称</w:t>
            </w:r>
          </w:p>
        </w:tc>
        <w:tc>
          <w:tcPr>
            <w:tcW w:w="2715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rPr>
                <w:rFonts w:ascii="Times New Roman" w:hAnsi="Times New Roman" w:cs="Times New Roman"/>
                <w:b/>
                <w:color w:val="auto"/>
                <w:sz w:val="24"/>
              </w:rPr>
            </w:pPr>
            <w:r>
              <w:rPr>
                <w:rFonts w:ascii="Times New Roman" w:hAnsi="宋体" w:cs="Times New Roman"/>
                <w:b/>
                <w:color w:val="auto"/>
                <w:sz w:val="24"/>
              </w:rPr>
              <w:t>产量（万吨）</w:t>
            </w:r>
          </w:p>
        </w:tc>
        <w:tc>
          <w:tcPr>
            <w:tcW w:w="2845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rPr>
                <w:rFonts w:ascii="Times New Roman" w:hAnsi="Times New Roman" w:cs="Times New Roman"/>
                <w:b/>
                <w:color w:val="auto"/>
                <w:sz w:val="24"/>
              </w:rPr>
            </w:pPr>
            <w:r>
              <w:rPr>
                <w:rFonts w:ascii="Times New Roman" w:hAnsi="宋体" w:cs="Times New Roman"/>
                <w:b/>
                <w:color w:val="auto"/>
                <w:sz w:val="24"/>
              </w:rPr>
              <w:t>比上年增长（</w:t>
            </w:r>
            <w:r>
              <w:rPr>
                <w:rFonts w:ascii="Times New Roman" w:hAnsi="Times New Roman" w:cs="Times New Roman"/>
                <w:b/>
                <w:color w:val="auto"/>
                <w:sz w:val="24"/>
              </w:rPr>
              <w:t>%</w:t>
            </w:r>
            <w:r>
              <w:rPr>
                <w:rFonts w:ascii="Times New Roman" w:hAnsi="宋体" w:cs="Times New Roman"/>
                <w:b/>
                <w:color w:val="auto"/>
                <w:sz w:val="24"/>
              </w:rPr>
              <w:t>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360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vAlign w:val="top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firstLine="0" w:firstLineChars="0"/>
              <w:jc w:val="both"/>
              <w:textAlignment w:val="auto"/>
              <w:rPr>
                <w:rFonts w:ascii="宋体" w:hAnsi="宋体" w:cs="宋体"/>
                <w:b w:val="0"/>
                <w:bCs w:val="0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b w:val="0"/>
                <w:bCs w:val="0"/>
                <w:color w:val="auto"/>
                <w:sz w:val="20"/>
                <w:szCs w:val="20"/>
              </w:rPr>
              <w:t>粮食</w:t>
            </w:r>
          </w:p>
        </w:tc>
        <w:tc>
          <w:tcPr>
            <w:tcW w:w="2715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right="945" w:rightChars="450" w:firstLine="0" w:firstLineChars="0"/>
              <w:jc w:val="right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902.61</w:t>
            </w:r>
          </w:p>
        </w:tc>
        <w:tc>
          <w:tcPr>
            <w:tcW w:w="2845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right="1155" w:rightChars="550" w:firstLine="0" w:firstLineChars="0"/>
              <w:jc w:val="right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-3.2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360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top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firstLine="200" w:firstLineChars="100"/>
              <w:jc w:val="both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  <w:lang w:eastAsia="zh-CN"/>
              </w:rPr>
              <w:t>其中：</w:t>
            </w: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夏粮</w:t>
            </w:r>
          </w:p>
        </w:tc>
        <w:tc>
          <w:tcPr>
            <w:tcW w:w="2715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right="945" w:rightChars="450" w:firstLine="0" w:firstLineChars="0"/>
              <w:jc w:val="right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508.58</w:t>
            </w:r>
          </w:p>
        </w:tc>
        <w:tc>
          <w:tcPr>
            <w:tcW w:w="2845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right="1155" w:rightChars="550" w:firstLine="0" w:firstLineChars="0"/>
              <w:jc w:val="right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-8.6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360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top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firstLine="800" w:firstLineChars="400"/>
              <w:jc w:val="both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秋粮</w:t>
            </w:r>
          </w:p>
        </w:tc>
        <w:tc>
          <w:tcPr>
            <w:tcW w:w="2715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right="945" w:rightChars="450" w:firstLine="0" w:firstLineChars="0"/>
              <w:jc w:val="right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394.03</w:t>
            </w:r>
          </w:p>
        </w:tc>
        <w:tc>
          <w:tcPr>
            <w:tcW w:w="2845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right="1155" w:rightChars="550" w:firstLine="0" w:firstLineChars="0"/>
              <w:jc w:val="right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4.8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360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top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firstLine="200" w:firstLineChars="100"/>
              <w:jc w:val="both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  <w:lang w:eastAsia="zh-CN"/>
              </w:rPr>
              <w:t>其中：</w:t>
            </w: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谷物</w:t>
            </w:r>
          </w:p>
        </w:tc>
        <w:tc>
          <w:tcPr>
            <w:tcW w:w="2715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right="945" w:rightChars="450" w:firstLine="0" w:firstLineChars="0"/>
              <w:jc w:val="right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874.82</w:t>
            </w:r>
          </w:p>
        </w:tc>
        <w:tc>
          <w:tcPr>
            <w:tcW w:w="2845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right="1155" w:rightChars="550" w:firstLine="0" w:firstLineChars="0"/>
              <w:jc w:val="right"/>
              <w:textAlignment w:val="auto"/>
              <w:rPr>
                <w:rFonts w:hint="default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-3.3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360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top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firstLine="1000" w:firstLineChars="5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  <w:lang w:eastAsia="zh-CN"/>
              </w:rPr>
              <w:t>其中：小麦</w:t>
            </w:r>
          </w:p>
        </w:tc>
        <w:tc>
          <w:tcPr>
            <w:tcW w:w="2715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right="945" w:rightChars="450" w:firstLine="0" w:firstLineChars="0"/>
              <w:jc w:val="right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508.58</w:t>
            </w:r>
          </w:p>
        </w:tc>
        <w:tc>
          <w:tcPr>
            <w:tcW w:w="2845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right="1155" w:rightChars="550" w:firstLine="0" w:firstLineChars="0"/>
              <w:jc w:val="right"/>
              <w:textAlignment w:val="auto"/>
              <w:rPr>
                <w:rFonts w:hint="default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-8.6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360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top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firstLine="1600" w:firstLineChars="800"/>
              <w:jc w:val="both"/>
              <w:textAlignment w:val="auto"/>
              <w:rPr>
                <w:rFonts w:hint="default" w:ascii="宋体" w:hAnsi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  <w:lang w:val="en-US" w:eastAsia="zh-CN"/>
              </w:rPr>
              <w:t>玉米</w:t>
            </w:r>
          </w:p>
        </w:tc>
        <w:tc>
          <w:tcPr>
            <w:tcW w:w="2715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right="945" w:rightChars="450" w:firstLine="0" w:firstLineChars="0"/>
              <w:jc w:val="right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365.54</w:t>
            </w:r>
          </w:p>
        </w:tc>
        <w:tc>
          <w:tcPr>
            <w:tcW w:w="2845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right="1155" w:rightChars="550" w:firstLine="0" w:firstLineChars="0"/>
              <w:jc w:val="right"/>
              <w:textAlignment w:val="auto"/>
              <w:rPr>
                <w:rFonts w:hint="default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5.2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360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top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firstLine="800" w:firstLineChars="400"/>
              <w:jc w:val="both"/>
              <w:textAlignment w:val="auto"/>
              <w:rPr>
                <w:rFonts w:hint="eastAsia"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豆类</w:t>
            </w:r>
          </w:p>
        </w:tc>
        <w:tc>
          <w:tcPr>
            <w:tcW w:w="2715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right="945" w:rightChars="450" w:firstLine="0" w:firstLineChars="0"/>
              <w:jc w:val="right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17.11</w:t>
            </w:r>
          </w:p>
        </w:tc>
        <w:tc>
          <w:tcPr>
            <w:tcW w:w="2845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right="1155" w:rightChars="550" w:firstLine="0" w:firstLineChars="0"/>
              <w:jc w:val="right"/>
              <w:textAlignment w:val="auto"/>
              <w:rPr>
                <w:rFonts w:hint="default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2.9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360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top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firstLine="800" w:firstLineChars="40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  <w:lang w:eastAsia="zh-CN"/>
              </w:rPr>
              <w:t>薯类（鲜薯）</w:t>
            </w:r>
          </w:p>
        </w:tc>
        <w:tc>
          <w:tcPr>
            <w:tcW w:w="2715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right="945" w:rightChars="450" w:firstLine="0" w:firstLineChars="0"/>
              <w:jc w:val="right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53.42</w:t>
            </w:r>
          </w:p>
        </w:tc>
        <w:tc>
          <w:tcPr>
            <w:tcW w:w="2845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right="1155" w:rightChars="550" w:firstLine="0" w:firstLineChars="0"/>
              <w:jc w:val="right"/>
              <w:textAlignment w:val="auto"/>
              <w:rPr>
                <w:rFonts w:hint="default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-1.1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360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top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  <w:lang w:eastAsia="zh-CN"/>
              </w:rPr>
              <w:t>油料</w:t>
            </w:r>
          </w:p>
        </w:tc>
        <w:tc>
          <w:tcPr>
            <w:tcW w:w="2715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right="945" w:rightChars="450" w:firstLine="0" w:firstLineChars="0"/>
              <w:jc w:val="right"/>
              <w:textAlignment w:val="auto"/>
              <w:rPr>
                <w:rFonts w:hint="default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56.43</w:t>
            </w:r>
          </w:p>
        </w:tc>
        <w:tc>
          <w:tcPr>
            <w:tcW w:w="2845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right="1155" w:rightChars="550" w:firstLine="0" w:firstLineChars="0"/>
              <w:jc w:val="right"/>
              <w:textAlignment w:val="auto"/>
              <w:rPr>
                <w:rFonts w:hint="default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6.8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360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top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firstLine="200" w:firstLineChars="100"/>
              <w:jc w:val="both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  <w:lang w:val="en-US" w:eastAsia="zh-CN"/>
              </w:rPr>
              <w:t>其中：花生</w:t>
            </w:r>
          </w:p>
        </w:tc>
        <w:tc>
          <w:tcPr>
            <w:tcW w:w="2715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right="945" w:rightChars="450" w:firstLine="0" w:firstLineChars="0"/>
              <w:jc w:val="right"/>
              <w:textAlignment w:val="auto"/>
              <w:rPr>
                <w:rFonts w:hint="default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50.65</w:t>
            </w:r>
          </w:p>
        </w:tc>
        <w:tc>
          <w:tcPr>
            <w:tcW w:w="2845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right="1155" w:rightChars="550" w:firstLine="0" w:firstLineChars="0"/>
              <w:jc w:val="right"/>
              <w:textAlignment w:val="auto"/>
              <w:rPr>
                <w:rFonts w:hint="default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7.5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360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top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  <w:lang w:eastAsia="zh-CN"/>
              </w:rPr>
              <w:t>蔬菜及食用菌</w:t>
            </w:r>
          </w:p>
        </w:tc>
        <w:tc>
          <w:tcPr>
            <w:tcW w:w="2715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right="945" w:rightChars="450" w:firstLine="0" w:firstLineChars="0"/>
              <w:jc w:val="right"/>
              <w:textAlignment w:val="auto"/>
              <w:rPr>
                <w:rFonts w:hint="default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1186.96</w:t>
            </w:r>
          </w:p>
        </w:tc>
        <w:tc>
          <w:tcPr>
            <w:tcW w:w="2845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right="1155" w:rightChars="550" w:firstLine="0" w:firstLineChars="0"/>
              <w:jc w:val="right"/>
              <w:textAlignment w:val="auto"/>
              <w:rPr>
                <w:rFonts w:hint="default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4.2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360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top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jc w:val="both"/>
              <w:textAlignment w:val="auto"/>
              <w:rPr>
                <w:rFonts w:hint="eastAsia" w:ascii="宋体" w:hAnsi="宋体" w:cs="宋体"/>
                <w:color w:val="auto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  <w:lang w:eastAsia="zh-CN"/>
              </w:rPr>
              <w:t>瓜果</w:t>
            </w:r>
          </w:p>
        </w:tc>
        <w:tc>
          <w:tcPr>
            <w:tcW w:w="2715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right="945" w:rightChars="450" w:firstLine="0" w:firstLineChars="0"/>
              <w:jc w:val="right"/>
              <w:textAlignment w:val="auto"/>
              <w:rPr>
                <w:rFonts w:hint="default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356.92</w:t>
            </w:r>
          </w:p>
        </w:tc>
        <w:tc>
          <w:tcPr>
            <w:tcW w:w="2845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right="1155" w:rightChars="550" w:firstLine="0" w:firstLineChars="0"/>
              <w:jc w:val="right"/>
              <w:textAlignment w:val="auto"/>
              <w:rPr>
                <w:rFonts w:hint="default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1.4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360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top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firstLine="0" w:firstLineChars="0"/>
              <w:jc w:val="both"/>
              <w:textAlignment w:val="auto"/>
              <w:rPr>
                <w:rFonts w:hint="eastAsia" w:ascii="宋体" w:hAnsi="宋体" w:cs="宋体"/>
                <w:color w:val="auto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  <w:lang w:eastAsia="zh-CN"/>
              </w:rPr>
              <w:t>猪肉</w:t>
            </w:r>
          </w:p>
        </w:tc>
        <w:tc>
          <w:tcPr>
            <w:tcW w:w="2715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right="945" w:rightChars="450" w:firstLine="0" w:firstLineChars="0"/>
              <w:jc w:val="right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55.08</w:t>
            </w:r>
          </w:p>
        </w:tc>
        <w:tc>
          <w:tcPr>
            <w:tcW w:w="2845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right="1155" w:rightChars="550" w:firstLine="0" w:firstLineChars="0"/>
              <w:jc w:val="right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4.7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360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top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firstLine="0" w:firstLineChars="0"/>
              <w:jc w:val="both"/>
              <w:textAlignment w:val="auto"/>
              <w:rPr>
                <w:rFonts w:hint="eastAsia" w:ascii="宋体" w:hAnsi="宋体" w:cs="宋体"/>
                <w:color w:val="auto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  <w:lang w:eastAsia="zh-CN"/>
              </w:rPr>
              <w:t>牛肉</w:t>
            </w:r>
          </w:p>
        </w:tc>
        <w:tc>
          <w:tcPr>
            <w:tcW w:w="2715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right="945" w:rightChars="450" w:firstLine="0" w:firstLineChars="0"/>
              <w:jc w:val="right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2.87</w:t>
            </w:r>
          </w:p>
        </w:tc>
        <w:tc>
          <w:tcPr>
            <w:tcW w:w="2845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right="1155" w:rightChars="550" w:firstLine="0" w:firstLineChars="0"/>
              <w:jc w:val="right"/>
              <w:textAlignment w:val="auto"/>
              <w:rPr>
                <w:rFonts w:hint="default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7.1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360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top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firstLine="0" w:firstLineChars="0"/>
              <w:jc w:val="both"/>
              <w:textAlignment w:val="auto"/>
              <w:rPr>
                <w:rFonts w:hint="eastAsia" w:ascii="宋体" w:hAnsi="宋体" w:cs="宋体"/>
                <w:color w:val="auto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  <w:lang w:eastAsia="zh-CN"/>
              </w:rPr>
              <w:t>羊肉</w:t>
            </w:r>
          </w:p>
        </w:tc>
        <w:tc>
          <w:tcPr>
            <w:tcW w:w="2715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right="945" w:rightChars="450" w:firstLine="0" w:firstLineChars="0"/>
              <w:jc w:val="right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4.28</w:t>
            </w:r>
          </w:p>
        </w:tc>
        <w:tc>
          <w:tcPr>
            <w:tcW w:w="2845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right="1155" w:rightChars="550" w:firstLine="0" w:firstLineChars="0"/>
              <w:jc w:val="right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2.6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360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top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firstLine="0" w:firstLineChars="0"/>
              <w:jc w:val="both"/>
              <w:textAlignment w:val="auto"/>
              <w:rPr>
                <w:rFonts w:hint="eastAsia" w:ascii="宋体" w:hAnsi="宋体" w:cs="宋体"/>
                <w:color w:val="auto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  <w:lang w:eastAsia="zh-CN"/>
              </w:rPr>
              <w:t>禽肉</w:t>
            </w:r>
          </w:p>
        </w:tc>
        <w:tc>
          <w:tcPr>
            <w:tcW w:w="2715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right="945" w:rightChars="450" w:firstLine="0" w:firstLineChars="0"/>
              <w:jc w:val="right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22.23</w:t>
            </w:r>
          </w:p>
        </w:tc>
        <w:tc>
          <w:tcPr>
            <w:tcW w:w="2845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right="1155" w:rightChars="550" w:firstLine="0" w:firstLineChars="0"/>
              <w:jc w:val="right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4.8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360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top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firstLine="0" w:firstLineChars="0"/>
              <w:jc w:val="both"/>
              <w:textAlignment w:val="auto"/>
              <w:rPr>
                <w:rFonts w:hint="eastAsia" w:ascii="宋体" w:hAnsi="宋体" w:cs="宋体"/>
                <w:color w:val="auto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  <w:lang w:eastAsia="zh-CN"/>
              </w:rPr>
              <w:t>禽蛋</w:t>
            </w:r>
          </w:p>
        </w:tc>
        <w:tc>
          <w:tcPr>
            <w:tcW w:w="2715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right="945" w:rightChars="450" w:firstLine="0" w:firstLineChars="0"/>
              <w:jc w:val="right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49.48</w:t>
            </w:r>
          </w:p>
        </w:tc>
        <w:tc>
          <w:tcPr>
            <w:tcW w:w="2845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right="1155" w:rightChars="550" w:firstLine="0" w:firstLineChars="0"/>
              <w:jc w:val="right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-2.0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360" w:type="dxa"/>
            <w:tcBorders>
              <w:top w:val="nil"/>
              <w:left w:val="nil"/>
              <w:bottom w:val="single" w:color="000000" w:sz="12" w:space="0"/>
              <w:right w:val="single" w:color="auto" w:sz="4" w:space="0"/>
            </w:tcBorders>
            <w:vAlign w:val="top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  <w:lang w:eastAsia="zh-CN"/>
              </w:rPr>
              <w:t>牛奶</w:t>
            </w:r>
          </w:p>
        </w:tc>
        <w:tc>
          <w:tcPr>
            <w:tcW w:w="2715" w:type="dxa"/>
            <w:tcBorders>
              <w:top w:val="nil"/>
              <w:left w:val="single" w:color="auto" w:sz="4" w:space="0"/>
              <w:bottom w:val="single" w:color="000000" w:sz="12" w:space="0"/>
              <w:right w:val="single" w:color="auto" w:sz="4" w:space="0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right="945" w:rightChars="450" w:firstLine="0" w:firstLineChars="0"/>
              <w:jc w:val="right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4.32</w:t>
            </w:r>
          </w:p>
        </w:tc>
        <w:tc>
          <w:tcPr>
            <w:tcW w:w="2845" w:type="dxa"/>
            <w:tcBorders>
              <w:top w:val="nil"/>
              <w:left w:val="single" w:color="auto" w:sz="4" w:space="0"/>
              <w:bottom w:val="single" w:color="000000" w:sz="12" w:space="0"/>
              <w:right w:val="nil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right="1155" w:rightChars="550" w:firstLine="0" w:firstLineChars="0"/>
              <w:jc w:val="right"/>
              <w:textAlignment w:val="auto"/>
              <w:rPr>
                <w:rFonts w:hint="default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10.9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rPr>
          <w:rFonts w:hint="eastAsia" w:ascii="Times New Roman" w:hAnsi="宋体" w:eastAsia="宋体" w:cs="Times New Roman"/>
          <w:strike/>
          <w:dstrike w:val="0"/>
          <w:color w:val="auto"/>
          <w:kern w:val="0"/>
          <w:sz w:val="24"/>
          <w:lang w:eastAsia="zh-CN"/>
        </w:rPr>
      </w:pPr>
      <w:r>
        <w:rPr>
          <w:rFonts w:hint="eastAsia" w:ascii="Times New Roman" w:hAnsi="宋体" w:cs="Times New Roman"/>
          <w:color w:val="auto"/>
          <w:kern w:val="0"/>
          <w:sz w:val="24"/>
        </w:rPr>
        <w:t>年末农业机械总动力</w:t>
      </w:r>
      <w:r>
        <w:rPr>
          <w:rFonts w:hint="eastAsia" w:ascii="Times New Roman" w:hAnsi="宋体" w:cs="Times New Roman"/>
          <w:color w:val="auto"/>
          <w:kern w:val="0"/>
          <w:sz w:val="24"/>
          <w:lang w:val="en-US" w:eastAsia="zh-CN"/>
        </w:rPr>
        <w:t>1094.62</w:t>
      </w:r>
      <w:r>
        <w:rPr>
          <w:rFonts w:hint="eastAsia" w:ascii="Times New Roman" w:hAnsi="宋体" w:cs="Times New Roman"/>
          <w:color w:val="auto"/>
          <w:kern w:val="0"/>
          <w:sz w:val="24"/>
        </w:rPr>
        <w:t>万千瓦，比上年增长</w:t>
      </w:r>
      <w:r>
        <w:rPr>
          <w:rFonts w:hint="eastAsia" w:ascii="Times New Roman" w:hAnsi="宋体" w:cs="Times New Roman"/>
          <w:color w:val="auto"/>
          <w:kern w:val="0"/>
          <w:sz w:val="24"/>
          <w:lang w:val="en-US" w:eastAsia="zh-CN"/>
        </w:rPr>
        <w:t>4.0</w:t>
      </w:r>
      <w:r>
        <w:rPr>
          <w:rFonts w:hint="eastAsia" w:ascii="Times New Roman" w:hAnsi="宋体" w:cs="Times New Roman"/>
          <w:color w:val="auto"/>
          <w:kern w:val="0"/>
          <w:sz w:val="24"/>
        </w:rPr>
        <w:t>%；农用拖拉机</w:t>
      </w:r>
      <w:r>
        <w:rPr>
          <w:rFonts w:hint="eastAsia" w:ascii="Times New Roman" w:hAnsi="宋体" w:cs="Times New Roman"/>
          <w:color w:val="auto"/>
          <w:kern w:val="0"/>
          <w:sz w:val="24"/>
          <w:lang w:val="en-US" w:eastAsia="zh-CN"/>
        </w:rPr>
        <w:t>30.14</w:t>
      </w:r>
      <w:r>
        <w:rPr>
          <w:rFonts w:hint="eastAsia" w:ascii="Times New Roman" w:hAnsi="宋体" w:cs="Times New Roman"/>
          <w:color w:val="auto"/>
          <w:kern w:val="0"/>
          <w:sz w:val="24"/>
        </w:rPr>
        <w:t>万台，下降</w:t>
      </w:r>
      <w:r>
        <w:rPr>
          <w:rFonts w:hint="eastAsia" w:ascii="Times New Roman" w:hAnsi="宋体" w:cs="Times New Roman"/>
          <w:color w:val="auto"/>
          <w:kern w:val="0"/>
          <w:sz w:val="24"/>
          <w:lang w:val="en-US" w:eastAsia="zh-CN"/>
        </w:rPr>
        <w:t>2.2</w:t>
      </w:r>
      <w:r>
        <w:rPr>
          <w:rFonts w:hint="eastAsia" w:ascii="Times New Roman" w:hAnsi="宋体" w:cs="Times New Roman"/>
          <w:color w:val="auto"/>
          <w:kern w:val="0"/>
          <w:sz w:val="24"/>
        </w:rPr>
        <w:t>%。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rPr>
          <w:rFonts w:ascii="Times New Roman" w:hAnsi="宋体" w:cs="Times New Roman"/>
          <w:color w:val="auto"/>
          <w:kern w:val="0"/>
          <w:sz w:val="24"/>
        </w:rPr>
      </w:pPr>
      <w:r>
        <w:rPr>
          <w:rFonts w:hint="eastAsia" w:ascii="Times New Roman" w:hAnsi="宋体" w:cs="Times New Roman"/>
          <w:color w:val="auto"/>
          <w:kern w:val="0"/>
          <w:sz w:val="24"/>
        </w:rPr>
        <w:t>截至2023年底，全市有效期内绿色食品</w:t>
      </w:r>
      <w:r>
        <w:rPr>
          <w:rFonts w:hint="eastAsia" w:ascii="Times New Roman" w:hAnsi="宋体" w:cs="Times New Roman"/>
          <w:color w:val="auto"/>
          <w:kern w:val="0"/>
          <w:sz w:val="24"/>
          <w:lang w:val="en-US" w:eastAsia="zh-CN"/>
        </w:rPr>
        <w:t>213</w:t>
      </w:r>
      <w:r>
        <w:rPr>
          <w:rFonts w:hint="eastAsia" w:ascii="Times New Roman" w:hAnsi="宋体" w:cs="Times New Roman"/>
          <w:color w:val="auto"/>
          <w:kern w:val="0"/>
          <w:sz w:val="24"/>
        </w:rPr>
        <w:t>个，地理标志农产品8个，全国名特优新农产品</w:t>
      </w:r>
      <w:r>
        <w:rPr>
          <w:rFonts w:hint="eastAsia" w:ascii="Times New Roman" w:hAnsi="宋体" w:cs="Times New Roman"/>
          <w:color w:val="auto"/>
          <w:kern w:val="0"/>
          <w:sz w:val="24"/>
          <w:lang w:val="en-US" w:eastAsia="zh-CN"/>
        </w:rPr>
        <w:t>44</w:t>
      </w:r>
      <w:r>
        <w:rPr>
          <w:rFonts w:hint="eastAsia" w:ascii="Times New Roman" w:hAnsi="宋体" w:cs="Times New Roman"/>
          <w:color w:val="auto"/>
          <w:kern w:val="0"/>
          <w:sz w:val="24"/>
        </w:rPr>
        <w:t>个，已创建全国绿色食品原料标准化生产基地4个，国家级农产品品牌1个，省级区域公用品牌9个，省级农业企业品牌</w:t>
      </w:r>
      <w:r>
        <w:rPr>
          <w:rFonts w:hint="eastAsia" w:ascii="Times New Roman" w:hAnsi="宋体" w:cs="Times New Roman"/>
          <w:color w:val="auto"/>
          <w:kern w:val="0"/>
          <w:sz w:val="24"/>
          <w:lang w:val="en-US" w:eastAsia="zh-CN"/>
        </w:rPr>
        <w:t>19</w:t>
      </w:r>
      <w:r>
        <w:rPr>
          <w:rFonts w:hint="eastAsia" w:ascii="Times New Roman" w:hAnsi="宋体" w:cs="Times New Roman"/>
          <w:color w:val="auto"/>
          <w:kern w:val="0"/>
          <w:sz w:val="24"/>
        </w:rPr>
        <w:t>个，省级农产品品牌</w:t>
      </w:r>
      <w:r>
        <w:rPr>
          <w:rFonts w:hint="eastAsia" w:ascii="Times New Roman" w:hAnsi="宋体" w:cs="Times New Roman"/>
          <w:color w:val="auto"/>
          <w:kern w:val="0"/>
          <w:sz w:val="24"/>
          <w:lang w:val="en-US" w:eastAsia="zh-CN"/>
        </w:rPr>
        <w:t>6</w:t>
      </w:r>
      <w:r>
        <w:rPr>
          <w:rFonts w:hint="eastAsia" w:ascii="Times New Roman" w:hAnsi="宋体" w:cs="Times New Roman"/>
          <w:color w:val="auto"/>
          <w:kern w:val="0"/>
          <w:sz w:val="24"/>
        </w:rPr>
        <w:t>8个。116.7万亩高标准农田建设全面竣工，100万亩高标准农田示范区</w:t>
      </w:r>
      <w:r>
        <w:rPr>
          <w:rFonts w:hint="eastAsia" w:ascii="Times New Roman" w:hAnsi="宋体" w:cs="Times New Roman"/>
          <w:color w:val="auto"/>
          <w:kern w:val="0"/>
          <w:sz w:val="24"/>
          <w:lang w:eastAsia="zh-CN"/>
        </w:rPr>
        <w:t>建设</w:t>
      </w:r>
      <w:r>
        <w:rPr>
          <w:rFonts w:hint="eastAsia" w:ascii="Times New Roman" w:hAnsi="宋体" w:cs="Times New Roman"/>
          <w:color w:val="auto"/>
          <w:kern w:val="0"/>
          <w:sz w:val="24"/>
        </w:rPr>
        <w:t>基本</w:t>
      </w:r>
      <w:r>
        <w:rPr>
          <w:rFonts w:hint="eastAsia" w:ascii="Times New Roman" w:hAnsi="宋体" w:cs="Times New Roman"/>
          <w:color w:val="auto"/>
          <w:kern w:val="0"/>
          <w:sz w:val="24"/>
          <w:lang w:eastAsia="zh-CN"/>
        </w:rPr>
        <w:t>完成。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Times New Roman" w:hAnsi="Times New Roman" w:cs="Times New Roman"/>
          <w:color w:val="auto"/>
          <w:kern w:val="1"/>
          <w:sz w:val="28"/>
          <w:szCs w:val="28"/>
        </w:rPr>
      </w:pPr>
      <w:r>
        <w:rPr>
          <w:rFonts w:ascii="Times New Roman" w:hAnsi="宋体" w:cs="Times New Roman"/>
          <w:b/>
          <w:bCs/>
          <w:color w:val="auto"/>
          <w:sz w:val="28"/>
          <w:szCs w:val="28"/>
        </w:rPr>
        <w:t>三、工业和建筑业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rPr>
          <w:rFonts w:ascii="Times New Roman" w:hAnsi="宋体" w:cs="Times New Roman"/>
          <w:color w:val="0070C0"/>
          <w:kern w:val="0"/>
          <w:sz w:val="24"/>
        </w:rPr>
      </w:pPr>
      <w:r>
        <w:rPr>
          <w:rFonts w:hint="eastAsia" w:ascii="Times New Roman" w:hAnsi="宋体" w:cs="Times New Roman"/>
          <w:color w:val="auto"/>
          <w:kern w:val="0"/>
          <w:sz w:val="24"/>
        </w:rPr>
        <w:t>全年全市</w:t>
      </w:r>
      <w:r>
        <w:rPr>
          <w:rFonts w:hint="eastAsia" w:ascii="Times New Roman" w:hAnsi="宋体" w:cs="Times New Roman"/>
          <w:kern w:val="0"/>
          <w:sz w:val="24"/>
        </w:rPr>
        <w:t>规模以上工业增加值增长5.0%。在规模以上工业中，重工业增加值增长11.2%，轻工业增加值增长0.2%，六大支柱产业增加值增长</w:t>
      </w:r>
      <w:r>
        <w:rPr>
          <w:rFonts w:hint="eastAsia" w:ascii="Times New Roman" w:hAnsi="宋体" w:cs="Times New Roman"/>
          <w:kern w:val="0"/>
          <w:sz w:val="24"/>
          <w:lang w:val="en-US" w:eastAsia="zh-CN"/>
        </w:rPr>
        <w:t>7.2</w:t>
      </w:r>
      <w:r>
        <w:rPr>
          <w:rFonts w:hint="eastAsia" w:ascii="Times New Roman" w:hAnsi="宋体" w:cs="Times New Roman"/>
          <w:kern w:val="0"/>
          <w:sz w:val="24"/>
        </w:rPr>
        <w:t>%。分行业看，全市32个行业大类中，有18个行业同比增长，增长面56.3%。分产品看，全市133种产品中，有72种产品同比增长，增长面54.1%。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rPr>
          <w:rFonts w:hint="eastAsia" w:ascii="Times New Roman" w:hAnsi="宋体" w:eastAsia="宋体" w:cs="Times New Roman"/>
          <w:b/>
          <w:color w:val="FF0000"/>
          <w:kern w:val="1"/>
          <w:sz w:val="24"/>
          <w:lang w:eastAsia="zh-CN"/>
        </w:rPr>
      </w:pPr>
      <w:r>
        <w:rPr>
          <w:rFonts w:hint="eastAsia" w:ascii="Times New Roman" w:hAnsi="宋体" w:cs="Times New Roman"/>
          <w:kern w:val="0"/>
          <w:sz w:val="24"/>
        </w:rPr>
        <w:t>全年全市高新技术产业增加值、高成长性制造业增加值分别增长21.4%、6.3%，高于规模以上工业增加值增速16.4个、1.3个百分点。</w:t>
      </w:r>
      <w:r>
        <w:rPr>
          <w:rFonts w:hint="eastAsia" w:ascii="Times New Roman" w:hAnsi="宋体" w:cs="Times New Roman"/>
          <w:kern w:val="0"/>
          <w:sz w:val="24"/>
          <w:lang w:eastAsia="zh-CN"/>
        </w:rPr>
        <w:t>全市</w:t>
      </w:r>
      <w:r>
        <w:rPr>
          <w:rFonts w:hint="eastAsia" w:ascii="Times New Roman" w:hAnsi="宋体" w:cs="Times New Roman"/>
          <w:kern w:val="0"/>
          <w:sz w:val="24"/>
        </w:rPr>
        <w:t>战略性新兴产业增加值同比增长3.9%</w:t>
      </w:r>
      <w:r>
        <w:rPr>
          <w:rFonts w:hint="eastAsia" w:ascii="Times New Roman" w:hAnsi="宋体" w:cs="Times New Roman"/>
          <w:kern w:val="0"/>
          <w:sz w:val="24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eastAsia="宋体"/>
          <w:color w:val="auto"/>
          <w:sz w:val="24"/>
          <w:szCs w:val="24"/>
          <w:lang w:eastAsia="zh-CN"/>
        </w:rPr>
      </w:pPr>
      <w:r>
        <w:rPr>
          <w:rFonts w:ascii="Times New Roman" w:hAnsi="宋体" w:cs="Times New Roman"/>
          <w:b/>
          <w:color w:val="auto"/>
          <w:kern w:val="1"/>
          <w:sz w:val="24"/>
          <w:szCs w:val="24"/>
        </w:rPr>
        <w:t>表</w:t>
      </w:r>
      <w:r>
        <w:rPr>
          <w:rFonts w:hint="eastAsia" w:ascii="Times New Roman" w:hAnsi="宋体" w:cs="Times New Roman"/>
          <w:b/>
          <w:color w:val="auto"/>
          <w:kern w:val="1"/>
          <w:sz w:val="24"/>
          <w:szCs w:val="24"/>
          <w:lang w:val="en-US" w:eastAsia="zh-CN"/>
        </w:rPr>
        <w:t>4</w:t>
      </w:r>
      <w:r>
        <w:rPr>
          <w:rFonts w:hint="eastAsia" w:ascii="Times New Roman" w:hAnsi="宋体" w:cs="Times New Roman"/>
          <w:b/>
          <w:color w:val="auto"/>
          <w:kern w:val="1"/>
          <w:sz w:val="24"/>
          <w:szCs w:val="24"/>
        </w:rPr>
        <w:t xml:space="preserve">  </w:t>
      </w:r>
      <w:r>
        <w:rPr>
          <w:rFonts w:ascii="Times New Roman" w:hAnsi="宋体" w:cs="Times New Roman"/>
          <w:b/>
          <w:color w:val="auto"/>
          <w:kern w:val="1"/>
          <w:sz w:val="24"/>
          <w:szCs w:val="24"/>
        </w:rPr>
        <w:t>20</w:t>
      </w:r>
      <w:r>
        <w:rPr>
          <w:rFonts w:hint="eastAsia" w:ascii="Times New Roman" w:hAnsi="宋体" w:cs="Times New Roman"/>
          <w:b/>
          <w:color w:val="auto"/>
          <w:kern w:val="1"/>
          <w:sz w:val="24"/>
          <w:szCs w:val="24"/>
        </w:rPr>
        <w:t>2</w:t>
      </w:r>
      <w:r>
        <w:rPr>
          <w:rFonts w:hint="eastAsia" w:ascii="Times New Roman" w:hAnsi="宋体" w:cs="Times New Roman"/>
          <w:b/>
          <w:color w:val="auto"/>
          <w:kern w:val="1"/>
          <w:sz w:val="24"/>
          <w:szCs w:val="24"/>
          <w:lang w:val="en-US" w:eastAsia="zh-CN"/>
        </w:rPr>
        <w:t>3</w:t>
      </w:r>
      <w:r>
        <w:rPr>
          <w:rFonts w:ascii="Times New Roman" w:hAnsi="宋体" w:cs="Times New Roman"/>
          <w:b/>
          <w:color w:val="auto"/>
          <w:kern w:val="1"/>
          <w:sz w:val="24"/>
          <w:szCs w:val="24"/>
        </w:rPr>
        <w:t>年</w:t>
      </w:r>
      <w:r>
        <w:rPr>
          <w:rFonts w:hint="eastAsia" w:ascii="Times New Roman" w:hAnsi="宋体" w:cs="Times New Roman"/>
          <w:b/>
          <w:color w:val="auto"/>
          <w:kern w:val="1"/>
          <w:sz w:val="24"/>
          <w:szCs w:val="24"/>
          <w:lang w:eastAsia="zh-CN"/>
        </w:rPr>
        <w:t>周口市</w:t>
      </w:r>
      <w:r>
        <w:rPr>
          <w:rFonts w:ascii="Times New Roman" w:hAnsi="宋体" w:cs="Times New Roman"/>
          <w:b/>
          <w:color w:val="auto"/>
          <w:kern w:val="1"/>
          <w:sz w:val="24"/>
          <w:szCs w:val="24"/>
        </w:rPr>
        <w:t>规模以上工业增加值</w:t>
      </w:r>
      <w:r>
        <w:rPr>
          <w:rFonts w:hint="eastAsia" w:ascii="Times New Roman" w:hAnsi="宋体" w:cs="Times New Roman"/>
          <w:b/>
          <w:color w:val="auto"/>
          <w:kern w:val="1"/>
          <w:sz w:val="24"/>
          <w:szCs w:val="24"/>
          <w:highlight w:val="none"/>
          <w:lang w:eastAsia="zh-CN"/>
        </w:rPr>
        <w:t>增速</w:t>
      </w:r>
    </w:p>
    <w:tbl>
      <w:tblPr>
        <w:tblStyle w:val="13"/>
        <w:tblW w:w="8559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69"/>
        <w:gridCol w:w="399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4569" w:type="dxa"/>
            <w:tcBorders>
              <w:top w:val="single" w:color="000000" w:sz="12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ascii="Times New Roman" w:hAnsi="Times New Roman" w:cs="Times New Roman"/>
                <w:color w:val="auto"/>
                <w:sz w:val="24"/>
              </w:rPr>
            </w:pPr>
            <w:r>
              <w:rPr>
                <w:rFonts w:ascii="Times New Roman" w:hAnsi="宋体" w:cs="Times New Roman"/>
                <w:b/>
                <w:bCs/>
                <w:color w:val="auto"/>
                <w:sz w:val="24"/>
              </w:rPr>
              <w:t>指标</w:t>
            </w:r>
          </w:p>
        </w:tc>
        <w:tc>
          <w:tcPr>
            <w:tcW w:w="3990" w:type="dxa"/>
            <w:tcBorders>
              <w:top w:val="single" w:color="000000" w:sz="12" w:space="0"/>
              <w:left w:val="single" w:color="000000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ascii="Times New Roman" w:hAnsi="Times New Roman" w:cs="Times New Roman"/>
                <w:color w:val="auto"/>
                <w:sz w:val="24"/>
              </w:rPr>
            </w:pPr>
            <w:r>
              <w:rPr>
                <w:rFonts w:ascii="Times New Roman" w:hAnsi="宋体" w:cs="Times New Roman"/>
                <w:b/>
                <w:bCs/>
                <w:color w:val="auto"/>
                <w:sz w:val="24"/>
              </w:rPr>
              <w:t>比上年增长（</w:t>
            </w:r>
            <w:r>
              <w:rPr>
                <w:rFonts w:ascii="Times New Roman" w:hAnsi="Times New Roman" w:cs="Times New Roman"/>
                <w:b/>
                <w:bCs/>
                <w:color w:val="auto"/>
                <w:sz w:val="24"/>
              </w:rPr>
              <w:t>%</w:t>
            </w:r>
            <w:r>
              <w:rPr>
                <w:rFonts w:ascii="Times New Roman" w:hAnsi="宋体" w:cs="Times New Roman"/>
                <w:b/>
                <w:bCs/>
                <w:color w:val="auto"/>
                <w:sz w:val="24"/>
              </w:rPr>
              <w:t>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4569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firstLine="645"/>
              <w:jc w:val="both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规模以上工业增加值</w:t>
            </w:r>
          </w:p>
        </w:tc>
        <w:tc>
          <w:tcPr>
            <w:tcW w:w="399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right="1575" w:rightChars="75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5.0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4569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firstLine="645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 xml:space="preserve">在总计中：  </w:t>
            </w:r>
            <w:r>
              <w:rPr>
                <w:rFonts w:hint="eastAsia" w:ascii="宋体" w:hAnsi="宋体" w:cs="宋体"/>
                <w:color w:val="auto"/>
                <w:sz w:val="20"/>
                <w:szCs w:val="20"/>
                <w:lang w:eastAsia="zh-CN"/>
              </w:rPr>
              <w:t>轻工业</w:t>
            </w:r>
          </w:p>
        </w:tc>
        <w:tc>
          <w:tcPr>
            <w:tcW w:w="3990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right="1575" w:rightChars="75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0.2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4569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firstLine="645"/>
              <w:jc w:val="both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 xml:space="preserve">            重工业</w:t>
            </w:r>
          </w:p>
        </w:tc>
        <w:tc>
          <w:tcPr>
            <w:tcW w:w="3990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right="1575" w:rightChars="75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11.2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4569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firstLine="645"/>
              <w:jc w:val="both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在总计中：  国有企业</w:t>
            </w:r>
          </w:p>
        </w:tc>
        <w:tc>
          <w:tcPr>
            <w:tcW w:w="3990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right="1575" w:rightChars="75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0"/>
                <w:szCs w:val="20"/>
              </w:rPr>
              <w:t>-2.0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4569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firstLine="645"/>
              <w:jc w:val="both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 xml:space="preserve">            集体企业</w:t>
            </w:r>
          </w:p>
        </w:tc>
        <w:tc>
          <w:tcPr>
            <w:tcW w:w="3990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right="1575" w:rightChars="75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0"/>
                <w:szCs w:val="20"/>
              </w:rPr>
              <w:t>-28.0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4569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firstLine="645"/>
              <w:jc w:val="both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 xml:space="preserve">            股份制企业</w:t>
            </w:r>
          </w:p>
        </w:tc>
        <w:tc>
          <w:tcPr>
            <w:tcW w:w="3990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right="1575" w:rightChars="75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0"/>
                <w:szCs w:val="20"/>
              </w:rPr>
              <w:t>6.7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4569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firstLine="645"/>
              <w:jc w:val="both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 xml:space="preserve">            外商和港澳台商投资企业</w:t>
            </w:r>
          </w:p>
        </w:tc>
        <w:tc>
          <w:tcPr>
            <w:tcW w:w="3990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right="1575" w:rightChars="75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0"/>
                <w:szCs w:val="20"/>
              </w:rPr>
              <w:t>0.5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4569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firstLine="645"/>
              <w:jc w:val="both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 xml:space="preserve">            其他</w:t>
            </w:r>
          </w:p>
        </w:tc>
        <w:tc>
          <w:tcPr>
            <w:tcW w:w="3990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right="1575" w:rightChars="75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0"/>
                <w:szCs w:val="20"/>
              </w:rPr>
              <w:t>-26.9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4569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firstLine="645"/>
              <w:jc w:val="both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在总计中：  公有制</w:t>
            </w:r>
          </w:p>
        </w:tc>
        <w:tc>
          <w:tcPr>
            <w:tcW w:w="3990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right="1575" w:rightChars="75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3.2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4569" w:type="dxa"/>
            <w:tcBorders>
              <w:top w:val="nil"/>
              <w:left w:val="nil"/>
              <w:bottom w:val="single" w:color="000000" w:sz="12" w:space="0"/>
              <w:right w:val="single" w:color="auto" w:sz="4" w:space="0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firstLine="645"/>
              <w:jc w:val="both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 xml:space="preserve">            非公有制</w:t>
            </w:r>
          </w:p>
        </w:tc>
        <w:tc>
          <w:tcPr>
            <w:tcW w:w="3990" w:type="dxa"/>
            <w:tcBorders>
              <w:top w:val="nil"/>
              <w:left w:val="single" w:color="auto" w:sz="4" w:space="0"/>
              <w:bottom w:val="single" w:color="000000" w:sz="12" w:space="0"/>
              <w:right w:val="nil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right="1575" w:rightChars="75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5.3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center"/>
        <w:textAlignment w:val="auto"/>
        <w:rPr>
          <w:rStyle w:val="15"/>
          <w:rFonts w:hint="eastAsia" w:ascii="Times New Roman" w:hAnsi="宋体" w:eastAsia="宋体"/>
          <w:color w:val="auto"/>
          <w:sz w:val="24"/>
          <w:szCs w:val="24"/>
          <w:lang w:eastAsia="zh-CN"/>
        </w:rPr>
      </w:pPr>
      <w:r>
        <w:rPr>
          <w:rStyle w:val="15"/>
          <w:rFonts w:ascii="Times New Roman" w:hAnsi="宋体"/>
          <w:color w:val="auto"/>
          <w:sz w:val="24"/>
          <w:szCs w:val="24"/>
        </w:rPr>
        <w:t>表</w:t>
      </w:r>
      <w:r>
        <w:rPr>
          <w:rStyle w:val="15"/>
          <w:rFonts w:hint="eastAsia" w:ascii="Times New Roman" w:hAnsi="宋体"/>
          <w:color w:val="auto"/>
          <w:sz w:val="24"/>
          <w:szCs w:val="24"/>
          <w:lang w:val="en-US" w:eastAsia="zh-CN"/>
        </w:rPr>
        <w:t>5</w:t>
      </w:r>
      <w:r>
        <w:rPr>
          <w:rStyle w:val="15"/>
          <w:rFonts w:hint="eastAsia" w:ascii="Times New Roman" w:hAnsi="宋体"/>
          <w:color w:val="auto"/>
          <w:sz w:val="24"/>
          <w:szCs w:val="24"/>
        </w:rPr>
        <w:t xml:space="preserve">  </w:t>
      </w:r>
      <w:r>
        <w:rPr>
          <w:rStyle w:val="15"/>
          <w:rFonts w:ascii="Times New Roman" w:hAnsi="宋体"/>
          <w:color w:val="auto"/>
          <w:sz w:val="24"/>
          <w:szCs w:val="24"/>
        </w:rPr>
        <w:t>20</w:t>
      </w:r>
      <w:r>
        <w:rPr>
          <w:rStyle w:val="15"/>
          <w:rFonts w:hint="eastAsia" w:ascii="Times New Roman" w:hAnsi="宋体"/>
          <w:color w:val="auto"/>
          <w:sz w:val="24"/>
          <w:szCs w:val="24"/>
        </w:rPr>
        <w:t>2</w:t>
      </w:r>
      <w:r>
        <w:rPr>
          <w:rStyle w:val="15"/>
          <w:rFonts w:hint="eastAsia" w:ascii="Times New Roman" w:hAnsi="宋体"/>
          <w:color w:val="auto"/>
          <w:sz w:val="24"/>
          <w:szCs w:val="24"/>
          <w:lang w:val="en-US" w:eastAsia="zh-CN"/>
        </w:rPr>
        <w:t>3</w:t>
      </w:r>
      <w:r>
        <w:rPr>
          <w:rStyle w:val="15"/>
          <w:rFonts w:ascii="Times New Roman" w:hAnsi="宋体"/>
          <w:color w:val="auto"/>
          <w:sz w:val="24"/>
          <w:szCs w:val="24"/>
        </w:rPr>
        <w:t>年</w:t>
      </w:r>
      <w:r>
        <w:rPr>
          <w:rStyle w:val="15"/>
          <w:rFonts w:hint="eastAsia" w:ascii="Times New Roman" w:hAnsi="宋体"/>
          <w:color w:val="auto"/>
          <w:sz w:val="24"/>
          <w:szCs w:val="24"/>
          <w:lang w:eastAsia="zh-CN"/>
        </w:rPr>
        <w:t>周口市</w:t>
      </w:r>
      <w:r>
        <w:rPr>
          <w:rStyle w:val="15"/>
          <w:rFonts w:ascii="Times New Roman" w:hAnsi="宋体"/>
          <w:color w:val="auto"/>
          <w:sz w:val="24"/>
          <w:szCs w:val="24"/>
        </w:rPr>
        <w:t>规模以上工业主要产品产量</w:t>
      </w:r>
      <w:r>
        <w:rPr>
          <w:rStyle w:val="15"/>
          <w:rFonts w:hint="eastAsia" w:ascii="Times New Roman" w:hAnsi="宋体"/>
          <w:color w:val="auto"/>
          <w:sz w:val="24"/>
          <w:szCs w:val="24"/>
          <w:highlight w:val="none"/>
          <w:lang w:eastAsia="zh-CN"/>
        </w:rPr>
        <w:t>及增速</w:t>
      </w:r>
    </w:p>
    <w:tbl>
      <w:tblPr>
        <w:tblStyle w:val="13"/>
        <w:tblW w:w="8529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17"/>
        <w:gridCol w:w="1568"/>
        <w:gridCol w:w="1584"/>
        <w:gridCol w:w="2260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  <w:jc w:val="center"/>
        </w:trPr>
        <w:tc>
          <w:tcPr>
            <w:tcW w:w="3117" w:type="dxa"/>
            <w:tcBorders>
              <w:top w:val="single" w:color="000000" w:sz="12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ascii="Times New Roman" w:hAnsi="宋体" w:cs="Times New Roman"/>
                <w:b/>
                <w:bCs/>
                <w:color w:val="auto"/>
                <w:sz w:val="24"/>
              </w:rPr>
            </w:pPr>
            <w:r>
              <w:rPr>
                <w:rFonts w:hint="eastAsia" w:ascii="Times New Roman" w:hAnsi="宋体" w:cs="Times New Roman"/>
                <w:b/>
                <w:bCs/>
                <w:color w:val="auto"/>
                <w:sz w:val="24"/>
              </w:rPr>
              <w:t>产品名称</w:t>
            </w:r>
          </w:p>
        </w:tc>
        <w:tc>
          <w:tcPr>
            <w:tcW w:w="1568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ascii="Times New Roman" w:hAnsi="宋体" w:cs="Times New Roman"/>
                <w:b/>
                <w:bCs/>
                <w:color w:val="auto"/>
                <w:sz w:val="24"/>
              </w:rPr>
            </w:pPr>
            <w:r>
              <w:rPr>
                <w:rFonts w:hint="eastAsia" w:ascii="Times New Roman" w:hAnsi="宋体" w:cs="Times New Roman"/>
                <w:b/>
                <w:bCs/>
                <w:color w:val="auto"/>
                <w:sz w:val="24"/>
              </w:rPr>
              <w:t>单位</w:t>
            </w:r>
          </w:p>
        </w:tc>
        <w:tc>
          <w:tcPr>
            <w:tcW w:w="1584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ascii="Times New Roman" w:hAnsi="宋体" w:cs="Times New Roman"/>
                <w:b/>
                <w:bCs/>
                <w:color w:val="auto"/>
                <w:sz w:val="24"/>
              </w:rPr>
            </w:pPr>
            <w:r>
              <w:rPr>
                <w:rFonts w:hint="eastAsia" w:ascii="Times New Roman" w:hAnsi="宋体" w:cs="Times New Roman"/>
                <w:b/>
                <w:bCs/>
                <w:color w:val="auto"/>
                <w:sz w:val="24"/>
              </w:rPr>
              <w:t>产  量</w:t>
            </w:r>
          </w:p>
        </w:tc>
        <w:tc>
          <w:tcPr>
            <w:tcW w:w="2260" w:type="dxa"/>
            <w:tcBorders>
              <w:top w:val="single" w:color="000000" w:sz="12" w:space="0"/>
              <w:left w:val="single" w:color="000000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ascii="Times New Roman" w:hAnsi="宋体" w:cs="Times New Roman"/>
                <w:b/>
                <w:bCs/>
                <w:color w:val="auto"/>
                <w:sz w:val="24"/>
              </w:rPr>
            </w:pPr>
            <w:r>
              <w:rPr>
                <w:rFonts w:hint="eastAsia" w:ascii="Times New Roman" w:hAnsi="宋体" w:cs="Times New Roman"/>
                <w:b/>
                <w:bCs/>
                <w:color w:val="auto"/>
                <w:sz w:val="24"/>
              </w:rPr>
              <w:t>比上年增长（%）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  <w:jc w:val="center"/>
        </w:trPr>
        <w:tc>
          <w:tcPr>
            <w:tcW w:w="3117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left="420" w:leftChars="200" w:right="0" w:rightChars="0"/>
              <w:jc w:val="both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钢材</w:t>
            </w:r>
          </w:p>
        </w:tc>
        <w:tc>
          <w:tcPr>
            <w:tcW w:w="1568" w:type="dxa"/>
            <w:tcBorders>
              <w:top w:val="single" w:color="000000" w:sz="4" w:space="0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firstLine="0" w:firstLineChars="0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吨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auto" w:sz="4" w:space="0"/>
              <w:bottom w:val="nil"/>
              <w:right w:val="single" w:color="auto" w:sz="4" w:space="0"/>
            </w:tcBorders>
            <w:vAlign w:val="bottom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right="420" w:rightChars="20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</w:rPr>
              <w:t>1577693</w:t>
            </w:r>
          </w:p>
        </w:tc>
        <w:tc>
          <w:tcPr>
            <w:tcW w:w="2260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vAlign w:val="bottom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right="945" w:rightChars="45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</w:rPr>
              <w:t>48.8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  <w:jc w:val="center"/>
        </w:trPr>
        <w:tc>
          <w:tcPr>
            <w:tcW w:w="3117" w:type="dxa"/>
            <w:tcBorders>
              <w:top w:val="nil"/>
              <w:left w:val="nil"/>
              <w:bottom w:val="nil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left="420" w:leftChars="200" w:right="0" w:rightChars="0"/>
              <w:jc w:val="both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鲜、冷藏肉</w:t>
            </w:r>
          </w:p>
        </w:tc>
        <w:tc>
          <w:tcPr>
            <w:tcW w:w="1568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firstLine="0" w:firstLineChars="0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吨</w:t>
            </w:r>
          </w:p>
        </w:tc>
        <w:tc>
          <w:tcPr>
            <w:tcW w:w="1584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bottom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right="420" w:rightChars="20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</w:rPr>
              <w:t>242158</w:t>
            </w:r>
          </w:p>
        </w:tc>
        <w:tc>
          <w:tcPr>
            <w:tcW w:w="2260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bottom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right="945" w:rightChars="45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</w:rPr>
              <w:t>39.9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  <w:jc w:val="center"/>
        </w:trPr>
        <w:tc>
          <w:tcPr>
            <w:tcW w:w="3117" w:type="dxa"/>
            <w:tcBorders>
              <w:top w:val="nil"/>
              <w:left w:val="nil"/>
              <w:bottom w:val="nil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left="420" w:leftChars="200" w:right="0" w:rightChars="0"/>
              <w:jc w:val="both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cs="宋体"/>
                <w:color w:val="auto"/>
                <w:sz w:val="20"/>
                <w:szCs w:val="20"/>
              </w:rPr>
              <w:t>糖果</w:t>
            </w:r>
          </w:p>
        </w:tc>
        <w:tc>
          <w:tcPr>
            <w:tcW w:w="1568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firstLine="0" w:firstLineChars="0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cs="宋体"/>
                <w:color w:val="auto"/>
                <w:sz w:val="20"/>
                <w:szCs w:val="20"/>
              </w:rPr>
              <w:t>吨</w:t>
            </w:r>
          </w:p>
        </w:tc>
        <w:tc>
          <w:tcPr>
            <w:tcW w:w="1584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bottom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right="420" w:rightChars="20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</w:rPr>
              <w:t>26073</w:t>
            </w:r>
          </w:p>
        </w:tc>
        <w:tc>
          <w:tcPr>
            <w:tcW w:w="2260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bottom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right="945" w:rightChars="45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</w:rPr>
              <w:t>-3.3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  <w:jc w:val="center"/>
        </w:trPr>
        <w:tc>
          <w:tcPr>
            <w:tcW w:w="3117" w:type="dxa"/>
            <w:tcBorders>
              <w:top w:val="nil"/>
              <w:left w:val="nil"/>
              <w:bottom w:val="nil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left="420" w:leftChars="200" w:right="0" w:rightChars="0"/>
              <w:jc w:val="both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小麦粉</w:t>
            </w:r>
          </w:p>
        </w:tc>
        <w:tc>
          <w:tcPr>
            <w:tcW w:w="1568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firstLine="0" w:firstLineChars="0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吨</w:t>
            </w:r>
          </w:p>
        </w:tc>
        <w:tc>
          <w:tcPr>
            <w:tcW w:w="1584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bottom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right="420" w:rightChars="20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</w:rPr>
              <w:t>2296205</w:t>
            </w:r>
          </w:p>
        </w:tc>
        <w:tc>
          <w:tcPr>
            <w:tcW w:w="2260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bottom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right="945" w:rightChars="45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</w:rPr>
              <w:t>8.4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  <w:jc w:val="center"/>
        </w:trPr>
        <w:tc>
          <w:tcPr>
            <w:tcW w:w="3117" w:type="dxa"/>
            <w:tcBorders>
              <w:top w:val="nil"/>
              <w:left w:val="nil"/>
              <w:bottom w:val="nil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left="420" w:leftChars="200" w:right="0" w:rightChars="0"/>
              <w:jc w:val="both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精制食用植物油</w:t>
            </w:r>
          </w:p>
        </w:tc>
        <w:tc>
          <w:tcPr>
            <w:tcW w:w="1568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firstLine="0" w:firstLineChars="0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吨</w:t>
            </w:r>
          </w:p>
        </w:tc>
        <w:tc>
          <w:tcPr>
            <w:tcW w:w="1584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bottom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right="420" w:rightChars="20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</w:rPr>
              <w:t>222763</w:t>
            </w:r>
          </w:p>
        </w:tc>
        <w:tc>
          <w:tcPr>
            <w:tcW w:w="2260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bottom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right="945" w:rightChars="45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</w:rPr>
              <w:t>-19.3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  <w:jc w:val="center"/>
        </w:trPr>
        <w:tc>
          <w:tcPr>
            <w:tcW w:w="3117" w:type="dxa"/>
            <w:tcBorders>
              <w:top w:val="nil"/>
              <w:left w:val="nil"/>
              <w:bottom w:val="nil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left="420" w:leftChars="200" w:right="0" w:rightChars="0"/>
              <w:jc w:val="both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熟肉制品</w:t>
            </w:r>
          </w:p>
        </w:tc>
        <w:tc>
          <w:tcPr>
            <w:tcW w:w="1568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firstLine="0" w:firstLineChars="0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吨</w:t>
            </w:r>
          </w:p>
        </w:tc>
        <w:tc>
          <w:tcPr>
            <w:tcW w:w="1584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bottom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right="420" w:rightChars="20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</w:rPr>
              <w:t>12962</w:t>
            </w:r>
          </w:p>
        </w:tc>
        <w:tc>
          <w:tcPr>
            <w:tcW w:w="2260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bottom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right="945" w:rightChars="45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</w:rPr>
              <w:t>111.1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  <w:jc w:val="center"/>
        </w:trPr>
        <w:tc>
          <w:tcPr>
            <w:tcW w:w="3117" w:type="dxa"/>
            <w:tcBorders>
              <w:top w:val="nil"/>
              <w:left w:val="nil"/>
              <w:bottom w:val="nil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left="420" w:leftChars="200" w:right="0" w:rightChars="0"/>
              <w:jc w:val="both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饮料酒</w:t>
            </w:r>
          </w:p>
        </w:tc>
        <w:tc>
          <w:tcPr>
            <w:tcW w:w="1568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firstLine="0" w:firstLineChars="0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千升</w:t>
            </w:r>
          </w:p>
        </w:tc>
        <w:tc>
          <w:tcPr>
            <w:tcW w:w="1584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bottom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right="420" w:rightChars="20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</w:rPr>
              <w:t>23027</w:t>
            </w:r>
          </w:p>
        </w:tc>
        <w:tc>
          <w:tcPr>
            <w:tcW w:w="2260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bottom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right="945" w:rightChars="45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</w:rPr>
              <w:t>-58.6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  <w:jc w:val="center"/>
        </w:trPr>
        <w:tc>
          <w:tcPr>
            <w:tcW w:w="3117" w:type="dxa"/>
            <w:tcBorders>
              <w:top w:val="nil"/>
              <w:left w:val="nil"/>
              <w:bottom w:val="nil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left="420" w:leftChars="200" w:right="0" w:rightChars="0"/>
              <w:jc w:val="both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饮料</w:t>
            </w:r>
          </w:p>
        </w:tc>
        <w:tc>
          <w:tcPr>
            <w:tcW w:w="1568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firstLine="0" w:firstLineChars="0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吨</w:t>
            </w:r>
          </w:p>
        </w:tc>
        <w:tc>
          <w:tcPr>
            <w:tcW w:w="1584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bottom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right="420" w:rightChars="20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</w:rPr>
              <w:t>107267</w:t>
            </w:r>
          </w:p>
        </w:tc>
        <w:tc>
          <w:tcPr>
            <w:tcW w:w="2260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bottom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right="945" w:rightChars="45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</w:rPr>
              <w:t>31.1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  <w:jc w:val="center"/>
        </w:trPr>
        <w:tc>
          <w:tcPr>
            <w:tcW w:w="3117" w:type="dxa"/>
            <w:tcBorders>
              <w:top w:val="nil"/>
              <w:left w:val="nil"/>
              <w:bottom w:val="nil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left="420" w:leftChars="200" w:right="0" w:rightChars="0"/>
              <w:jc w:val="both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服装</w:t>
            </w:r>
          </w:p>
        </w:tc>
        <w:tc>
          <w:tcPr>
            <w:tcW w:w="1568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firstLine="0" w:firstLineChars="0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万件</w:t>
            </w:r>
          </w:p>
        </w:tc>
        <w:tc>
          <w:tcPr>
            <w:tcW w:w="1584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bottom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right="420" w:rightChars="20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</w:rPr>
              <w:t>7938</w:t>
            </w:r>
          </w:p>
        </w:tc>
        <w:tc>
          <w:tcPr>
            <w:tcW w:w="2260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bottom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right="945" w:rightChars="45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</w:rPr>
              <w:t>0.3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  <w:jc w:val="center"/>
        </w:trPr>
        <w:tc>
          <w:tcPr>
            <w:tcW w:w="3117" w:type="dxa"/>
            <w:tcBorders>
              <w:top w:val="nil"/>
              <w:left w:val="nil"/>
              <w:bottom w:val="nil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left="420" w:leftChars="200" w:right="0" w:rightChars="0"/>
              <w:jc w:val="both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纱</w:t>
            </w:r>
          </w:p>
        </w:tc>
        <w:tc>
          <w:tcPr>
            <w:tcW w:w="1568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firstLine="0" w:firstLineChars="0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吨</w:t>
            </w:r>
          </w:p>
        </w:tc>
        <w:tc>
          <w:tcPr>
            <w:tcW w:w="1584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bottom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right="420" w:rightChars="20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</w:rPr>
              <w:t>189128</w:t>
            </w:r>
          </w:p>
        </w:tc>
        <w:tc>
          <w:tcPr>
            <w:tcW w:w="2260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bottom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right="945" w:rightChars="45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</w:rPr>
              <w:t>19.3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  <w:jc w:val="center"/>
        </w:trPr>
        <w:tc>
          <w:tcPr>
            <w:tcW w:w="3117" w:type="dxa"/>
            <w:tcBorders>
              <w:top w:val="nil"/>
              <w:left w:val="nil"/>
              <w:bottom w:val="nil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left="420" w:leftChars="200" w:right="0" w:rightChars="0"/>
              <w:jc w:val="both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cs="宋体"/>
                <w:color w:val="auto"/>
                <w:sz w:val="20"/>
                <w:szCs w:val="20"/>
              </w:rPr>
              <w:t>工业锅炉</w:t>
            </w:r>
          </w:p>
        </w:tc>
        <w:tc>
          <w:tcPr>
            <w:tcW w:w="1568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firstLine="0" w:firstLineChars="0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蒸发量吨</w:t>
            </w:r>
          </w:p>
        </w:tc>
        <w:tc>
          <w:tcPr>
            <w:tcW w:w="1584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bottom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right="420" w:rightChars="200"/>
              <w:jc w:val="right"/>
              <w:textAlignment w:val="auto"/>
              <w:rPr>
                <w:rFonts w:hint="eastAsia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</w:rPr>
              <w:t>15262</w:t>
            </w:r>
          </w:p>
        </w:tc>
        <w:tc>
          <w:tcPr>
            <w:tcW w:w="2260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bottom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right="945" w:rightChars="45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</w:rPr>
              <w:t>-30.5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  <w:jc w:val="center"/>
        </w:trPr>
        <w:tc>
          <w:tcPr>
            <w:tcW w:w="3117" w:type="dxa"/>
            <w:tcBorders>
              <w:top w:val="nil"/>
              <w:left w:val="nil"/>
              <w:bottom w:val="single" w:color="000000" w:sz="12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left="420" w:leftChars="200" w:right="0" w:rightChars="0"/>
              <w:jc w:val="both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化学药品原药</w:t>
            </w:r>
          </w:p>
        </w:tc>
        <w:tc>
          <w:tcPr>
            <w:tcW w:w="1568" w:type="dxa"/>
            <w:tcBorders>
              <w:top w:val="nil"/>
              <w:left w:val="single" w:color="auto" w:sz="4" w:space="0"/>
              <w:bottom w:val="single" w:color="000000" w:sz="12" w:space="0"/>
              <w:right w:val="single" w:color="auto" w:sz="4" w:space="0"/>
            </w:tcBorders>
            <w:vAlign w:val="center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firstLine="0" w:firstLineChars="0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吨</w:t>
            </w:r>
          </w:p>
        </w:tc>
        <w:tc>
          <w:tcPr>
            <w:tcW w:w="1584" w:type="dxa"/>
            <w:tcBorders>
              <w:top w:val="nil"/>
              <w:left w:val="single" w:color="auto" w:sz="4" w:space="0"/>
              <w:bottom w:val="single" w:color="000000" w:sz="12" w:space="0"/>
              <w:right w:val="single" w:color="auto" w:sz="4" w:space="0"/>
            </w:tcBorders>
            <w:vAlign w:val="bottom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right="420" w:rightChars="200"/>
              <w:jc w:val="right"/>
              <w:textAlignment w:val="auto"/>
              <w:rPr>
                <w:rFonts w:hint="eastAsia" w:ascii="宋体" w:hAnsi="宋体" w:eastAsia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</w:rPr>
              <w:t>1916</w:t>
            </w:r>
          </w:p>
        </w:tc>
        <w:tc>
          <w:tcPr>
            <w:tcW w:w="2260" w:type="dxa"/>
            <w:tcBorders>
              <w:top w:val="nil"/>
              <w:left w:val="single" w:color="auto" w:sz="4" w:space="0"/>
              <w:bottom w:val="single" w:color="000000" w:sz="12" w:space="0"/>
              <w:right w:val="nil"/>
            </w:tcBorders>
            <w:vAlign w:val="bottom"/>
          </w:tcPr>
          <w:p>
            <w:pPr>
              <w:pStyle w:val="2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ind w:right="945" w:rightChars="45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</w:rPr>
              <w:t>9.1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rPr>
          <w:rFonts w:hint="eastAsia" w:ascii="Times New Roman" w:hAnsi="宋体" w:cs="Times New Roman"/>
          <w:kern w:val="0"/>
          <w:sz w:val="24"/>
          <w:lang w:val="zh-CN"/>
        </w:rPr>
      </w:pPr>
      <w:r>
        <w:rPr>
          <w:rFonts w:hint="eastAsia" w:ascii="Times New Roman" w:hAnsi="宋体" w:cs="Times New Roman"/>
          <w:kern w:val="0"/>
          <w:sz w:val="24"/>
          <w:lang w:val="zh-CN"/>
        </w:rPr>
        <w:t>全年全市规模以上工业企业营业收入同比增长9.4%，利润总额同比增长23.7%。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rPr>
          <w:color w:val="auto"/>
          <w:lang w:val="zh-CN"/>
        </w:rPr>
      </w:pPr>
      <w:r>
        <w:rPr>
          <w:rFonts w:hint="eastAsia" w:ascii="Times New Roman" w:hAnsi="宋体" w:cs="Times New Roman"/>
          <w:color w:val="auto"/>
          <w:kern w:val="0"/>
          <w:sz w:val="24"/>
          <w:lang w:val="zh-CN"/>
        </w:rPr>
        <w:t>全年全市建筑业总产值增长</w:t>
      </w:r>
      <w:r>
        <w:rPr>
          <w:rFonts w:hint="eastAsia" w:ascii="Times New Roman" w:hAnsi="宋体" w:cs="Times New Roman"/>
          <w:color w:val="auto"/>
          <w:kern w:val="0"/>
          <w:sz w:val="24"/>
          <w:lang w:val="en-US" w:eastAsia="zh-CN"/>
        </w:rPr>
        <w:t>9.4</w:t>
      </w:r>
      <w:r>
        <w:rPr>
          <w:rFonts w:hint="eastAsia" w:ascii="Times New Roman" w:hAnsi="宋体" w:cs="Times New Roman"/>
          <w:color w:val="auto"/>
          <w:kern w:val="0"/>
          <w:sz w:val="24"/>
          <w:lang w:val="zh-CN"/>
        </w:rPr>
        <w:t>%。具有资质等级的总承包和专业承包建筑业企业</w:t>
      </w:r>
      <w:r>
        <w:rPr>
          <w:rFonts w:hint="eastAsia" w:ascii="Times New Roman" w:hAnsi="宋体" w:cs="Times New Roman"/>
          <w:color w:val="auto"/>
          <w:kern w:val="0"/>
          <w:sz w:val="24"/>
          <w:lang w:val="en-US" w:eastAsia="zh-CN"/>
        </w:rPr>
        <w:t>559</w:t>
      </w:r>
      <w:r>
        <w:rPr>
          <w:rFonts w:hint="eastAsia" w:ascii="Times New Roman" w:hAnsi="宋体" w:cs="Times New Roman"/>
          <w:color w:val="auto"/>
          <w:kern w:val="0"/>
          <w:sz w:val="24"/>
          <w:lang w:val="zh-CN"/>
        </w:rPr>
        <w:t>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Times New Roman" w:hAnsi="Times New Roman" w:cs="Times New Roman"/>
          <w:b/>
          <w:color w:val="auto"/>
          <w:sz w:val="28"/>
          <w:szCs w:val="28"/>
        </w:rPr>
      </w:pPr>
      <w:r>
        <w:rPr>
          <w:rFonts w:ascii="Times New Roman" w:hAnsi="宋体" w:cs="Times New Roman"/>
          <w:b/>
          <w:bCs/>
          <w:color w:val="auto"/>
          <w:sz w:val="28"/>
          <w:szCs w:val="28"/>
        </w:rPr>
        <w:t>四、固定资产投资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rPr>
          <w:rFonts w:hint="eastAsia" w:ascii="Times New Roman" w:hAnsi="宋体" w:cs="Times New Roman"/>
          <w:color w:val="auto"/>
          <w:kern w:val="0"/>
          <w:sz w:val="24"/>
          <w:lang w:val="zh-CN"/>
        </w:rPr>
      </w:pPr>
      <w:r>
        <w:rPr>
          <w:rFonts w:hint="eastAsia" w:ascii="Times New Roman" w:hAnsi="宋体" w:cs="Times New Roman"/>
          <w:color w:val="auto"/>
          <w:kern w:val="0"/>
          <w:sz w:val="24"/>
          <w:lang w:val="zh-CN"/>
        </w:rPr>
        <w:t>全年全市固定资产投资（不含农户，下同）同比增长</w:t>
      </w:r>
      <w:r>
        <w:rPr>
          <w:rFonts w:hint="eastAsia" w:ascii="Times New Roman" w:hAnsi="宋体" w:cs="Times New Roman"/>
          <w:color w:val="auto"/>
          <w:kern w:val="0"/>
          <w:sz w:val="24"/>
          <w:lang w:val="en-US" w:eastAsia="zh-CN"/>
        </w:rPr>
        <w:t>10.5</w:t>
      </w:r>
      <w:r>
        <w:rPr>
          <w:rFonts w:hint="eastAsia" w:ascii="Times New Roman" w:hAnsi="宋体" w:cs="Times New Roman"/>
          <w:color w:val="auto"/>
          <w:kern w:val="0"/>
          <w:sz w:val="24"/>
          <w:lang w:val="zh-CN"/>
        </w:rPr>
        <w:t>%。分领域看，工业投资增长</w:t>
      </w:r>
      <w:r>
        <w:rPr>
          <w:rFonts w:hint="eastAsia" w:ascii="Times New Roman" w:hAnsi="宋体" w:cs="Times New Roman"/>
          <w:color w:val="auto"/>
          <w:kern w:val="0"/>
          <w:sz w:val="24"/>
          <w:lang w:val="en-US" w:eastAsia="zh-CN"/>
        </w:rPr>
        <w:t>12.8</w:t>
      </w:r>
      <w:r>
        <w:rPr>
          <w:rFonts w:hint="eastAsia" w:ascii="Times New Roman" w:hAnsi="宋体" w:cs="Times New Roman"/>
          <w:color w:val="auto"/>
          <w:kern w:val="0"/>
          <w:sz w:val="24"/>
          <w:lang w:val="zh-CN"/>
        </w:rPr>
        <w:t>%，基础设施投资增长</w:t>
      </w:r>
      <w:r>
        <w:rPr>
          <w:rFonts w:hint="eastAsia" w:ascii="Times New Roman" w:hAnsi="宋体" w:cs="Times New Roman"/>
          <w:color w:val="auto"/>
          <w:kern w:val="0"/>
          <w:sz w:val="24"/>
          <w:lang w:val="en-US" w:eastAsia="zh-CN"/>
        </w:rPr>
        <w:t>60.1</w:t>
      </w:r>
      <w:r>
        <w:rPr>
          <w:rFonts w:hint="eastAsia" w:ascii="Times New Roman" w:hAnsi="宋体" w:cs="Times New Roman"/>
          <w:color w:val="auto"/>
          <w:kern w:val="0"/>
          <w:sz w:val="24"/>
          <w:lang w:val="zh-CN"/>
        </w:rPr>
        <w:t>%，民间投资增长</w:t>
      </w:r>
      <w:r>
        <w:rPr>
          <w:rFonts w:hint="eastAsia" w:ascii="Times New Roman" w:hAnsi="宋体" w:cs="Times New Roman"/>
          <w:color w:val="auto"/>
          <w:kern w:val="0"/>
          <w:sz w:val="24"/>
          <w:lang w:val="en-US" w:eastAsia="zh-CN"/>
        </w:rPr>
        <w:t>7.0</w:t>
      </w:r>
      <w:r>
        <w:rPr>
          <w:rFonts w:hint="eastAsia" w:ascii="Times New Roman" w:hAnsi="宋体" w:cs="Times New Roman"/>
          <w:color w:val="auto"/>
          <w:kern w:val="0"/>
          <w:sz w:val="24"/>
          <w:lang w:val="zh-CN"/>
        </w:rPr>
        <w:t>%。分产业看，第一产业投资增长</w:t>
      </w:r>
      <w:r>
        <w:rPr>
          <w:rFonts w:hint="eastAsia" w:ascii="Times New Roman" w:hAnsi="宋体" w:cs="Times New Roman"/>
          <w:color w:val="auto"/>
          <w:kern w:val="0"/>
          <w:sz w:val="24"/>
          <w:lang w:val="en-US" w:eastAsia="zh-CN"/>
        </w:rPr>
        <w:t>182.7</w:t>
      </w:r>
      <w:r>
        <w:rPr>
          <w:rFonts w:hint="eastAsia" w:ascii="Times New Roman" w:hAnsi="宋体" w:cs="Times New Roman"/>
          <w:color w:val="auto"/>
          <w:kern w:val="0"/>
          <w:sz w:val="24"/>
          <w:lang w:val="zh-CN"/>
        </w:rPr>
        <w:t>%，第二产业投资增长</w:t>
      </w:r>
      <w:r>
        <w:rPr>
          <w:rFonts w:hint="eastAsia" w:ascii="Times New Roman" w:hAnsi="宋体" w:cs="Times New Roman"/>
          <w:color w:val="auto"/>
          <w:kern w:val="0"/>
          <w:sz w:val="24"/>
          <w:lang w:val="en-US" w:eastAsia="zh-CN"/>
        </w:rPr>
        <w:t>12.8</w:t>
      </w:r>
      <w:r>
        <w:rPr>
          <w:rFonts w:hint="eastAsia" w:ascii="Times New Roman" w:hAnsi="宋体" w:cs="Times New Roman"/>
          <w:color w:val="auto"/>
          <w:kern w:val="0"/>
          <w:sz w:val="24"/>
          <w:lang w:val="zh-CN"/>
        </w:rPr>
        <w:t>%，第三产业投资增长</w:t>
      </w:r>
      <w:r>
        <w:rPr>
          <w:rFonts w:hint="eastAsia" w:ascii="Times New Roman" w:hAnsi="宋体" w:cs="Times New Roman"/>
          <w:color w:val="auto"/>
          <w:kern w:val="0"/>
          <w:sz w:val="24"/>
          <w:lang w:val="en-US" w:eastAsia="zh-CN"/>
        </w:rPr>
        <w:t>5.4</w:t>
      </w:r>
      <w:r>
        <w:rPr>
          <w:rFonts w:hint="eastAsia" w:ascii="Times New Roman" w:hAnsi="宋体" w:cs="Times New Roman"/>
          <w:color w:val="auto"/>
          <w:kern w:val="0"/>
          <w:sz w:val="24"/>
          <w:lang w:val="zh-CN"/>
        </w:rPr>
        <w:t>%。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rPr>
          <w:rFonts w:hint="eastAsia" w:ascii="Times New Roman" w:hAnsi="宋体" w:cs="Times New Roman"/>
          <w:color w:val="auto"/>
          <w:kern w:val="0"/>
          <w:sz w:val="24"/>
          <w:lang w:val="zh-CN"/>
        </w:rPr>
      </w:pPr>
      <w:r>
        <w:rPr>
          <w:rFonts w:hint="eastAsia" w:ascii="Times New Roman" w:hAnsi="宋体" w:cs="Times New Roman"/>
          <w:color w:val="auto"/>
          <w:kern w:val="0"/>
          <w:sz w:val="24"/>
          <w:lang w:val="zh-CN"/>
        </w:rPr>
        <w:t>全年全市房地产开发投资下降</w:t>
      </w:r>
      <w:r>
        <w:rPr>
          <w:rFonts w:hint="eastAsia" w:ascii="Times New Roman" w:hAnsi="宋体" w:cs="Times New Roman"/>
          <w:color w:val="auto"/>
          <w:kern w:val="0"/>
          <w:sz w:val="24"/>
          <w:lang w:val="en-US" w:eastAsia="zh-CN"/>
        </w:rPr>
        <w:t>24.4</w:t>
      </w:r>
      <w:r>
        <w:rPr>
          <w:rFonts w:hint="eastAsia" w:ascii="Times New Roman" w:hAnsi="宋体" w:cs="Times New Roman"/>
          <w:color w:val="auto"/>
          <w:kern w:val="0"/>
          <w:sz w:val="24"/>
          <w:lang w:val="zh-CN"/>
        </w:rPr>
        <w:t>%。其中，住宅投资下降</w:t>
      </w:r>
      <w:r>
        <w:rPr>
          <w:rFonts w:hint="eastAsia" w:ascii="Times New Roman" w:hAnsi="宋体" w:cs="Times New Roman"/>
          <w:color w:val="auto"/>
          <w:kern w:val="0"/>
          <w:sz w:val="24"/>
          <w:lang w:val="en-US" w:eastAsia="zh-CN"/>
        </w:rPr>
        <w:t>25.2</w:t>
      </w:r>
      <w:r>
        <w:rPr>
          <w:rFonts w:hint="eastAsia" w:ascii="Times New Roman" w:hAnsi="宋体" w:cs="Times New Roman"/>
          <w:color w:val="auto"/>
          <w:kern w:val="0"/>
          <w:sz w:val="24"/>
          <w:lang w:val="zh-CN"/>
        </w:rPr>
        <w:t>%。商品房销售面积增长</w:t>
      </w:r>
      <w:r>
        <w:rPr>
          <w:rFonts w:hint="eastAsia" w:ascii="Times New Roman" w:hAnsi="宋体" w:cs="Times New Roman"/>
          <w:color w:val="auto"/>
          <w:kern w:val="0"/>
          <w:sz w:val="24"/>
          <w:lang w:val="en-US" w:eastAsia="zh-CN"/>
        </w:rPr>
        <w:t>8.4</w:t>
      </w:r>
      <w:r>
        <w:rPr>
          <w:rFonts w:hint="eastAsia" w:ascii="Times New Roman" w:hAnsi="宋体" w:cs="Times New Roman"/>
          <w:color w:val="auto"/>
          <w:kern w:val="0"/>
          <w:sz w:val="24"/>
          <w:lang w:val="zh-CN"/>
        </w:rPr>
        <w:t>%，商品房销售额增长</w:t>
      </w:r>
      <w:r>
        <w:rPr>
          <w:rFonts w:hint="eastAsia" w:ascii="Times New Roman" w:hAnsi="宋体" w:cs="Times New Roman"/>
          <w:color w:val="auto"/>
          <w:kern w:val="0"/>
          <w:sz w:val="24"/>
          <w:lang w:val="en-US" w:eastAsia="zh-CN"/>
        </w:rPr>
        <w:t>2.5</w:t>
      </w:r>
      <w:r>
        <w:rPr>
          <w:rFonts w:hint="eastAsia" w:ascii="Times New Roman" w:hAnsi="宋体" w:cs="Times New Roman"/>
          <w:color w:val="auto"/>
          <w:kern w:val="0"/>
          <w:sz w:val="24"/>
          <w:lang w:val="zh-CN"/>
        </w:rPr>
        <w:t>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宋体" w:eastAsia="宋体" w:cs="Times New Roman"/>
          <w:b/>
          <w:color w:val="auto"/>
          <w:sz w:val="28"/>
          <w:szCs w:val="28"/>
          <w:lang w:eastAsia="zh-CN"/>
        </w:rPr>
      </w:pPr>
      <w:r>
        <w:rPr>
          <w:rFonts w:hint="eastAsia" w:ascii="Times New Roman" w:hAnsi="宋体" w:cs="Times New Roman"/>
          <w:b/>
          <w:color w:val="auto"/>
          <w:sz w:val="28"/>
          <w:szCs w:val="28"/>
          <w:lang w:eastAsia="zh-CN"/>
        </w:rPr>
        <w:t>五</w:t>
      </w:r>
      <w:r>
        <w:rPr>
          <w:rFonts w:ascii="Times New Roman" w:hAnsi="宋体" w:cs="Times New Roman"/>
          <w:b/>
          <w:color w:val="auto"/>
          <w:sz w:val="28"/>
          <w:szCs w:val="28"/>
        </w:rPr>
        <w:t>、</w:t>
      </w:r>
      <w:r>
        <w:rPr>
          <w:rFonts w:hint="eastAsia" w:ascii="Times New Roman" w:hAnsi="宋体" w:cs="Times New Roman"/>
          <w:b/>
          <w:color w:val="auto"/>
          <w:sz w:val="28"/>
          <w:szCs w:val="28"/>
          <w:lang w:eastAsia="zh-CN"/>
        </w:rPr>
        <w:t>交通和邮电</w:t>
      </w:r>
    </w:p>
    <w:p>
      <w:pPr>
        <w:pStyle w:val="2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jc w:val="both"/>
        <w:textAlignment w:val="auto"/>
        <w:rPr>
          <w:rFonts w:hint="eastAsia" w:ascii="Times New Roman" w:hAnsi="Times New Roman"/>
          <w:color w:val="0070C0"/>
          <w:kern w:val="1"/>
          <w:highlight w:val="none"/>
          <w:lang w:val="en-US" w:eastAsia="zh-CN"/>
        </w:rPr>
      </w:pP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全年</w:t>
      </w:r>
      <w:r>
        <w:rPr>
          <w:rFonts w:hint="eastAsia" w:ascii="Times New Roman" w:hAnsi="Times New Roman"/>
          <w:color w:val="auto"/>
          <w:kern w:val="1"/>
          <w:highlight w:val="none"/>
        </w:rPr>
        <w:t>全市货物运输总量</w:t>
      </w: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2.92</w:t>
      </w:r>
      <w:r>
        <w:rPr>
          <w:rFonts w:hint="eastAsia" w:ascii="Times New Roman" w:hAnsi="Times New Roman"/>
          <w:color w:val="auto"/>
          <w:kern w:val="1"/>
          <w:highlight w:val="none"/>
        </w:rPr>
        <w:t>亿吨，比上年</w:t>
      </w:r>
      <w:r>
        <w:rPr>
          <w:rFonts w:hint="eastAsia" w:ascii="Times New Roman" w:hAnsi="Times New Roman"/>
          <w:color w:val="auto"/>
          <w:kern w:val="1"/>
          <w:highlight w:val="none"/>
          <w:lang w:eastAsia="zh-CN"/>
        </w:rPr>
        <w:t>增长</w:t>
      </w: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6.6</w:t>
      </w:r>
      <w:r>
        <w:rPr>
          <w:rFonts w:hint="eastAsia" w:ascii="Times New Roman" w:hAnsi="Times New Roman"/>
          <w:color w:val="auto"/>
          <w:kern w:val="1"/>
          <w:highlight w:val="none"/>
        </w:rPr>
        <w:t>%；货物运输周转量</w:t>
      </w: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962.97</w:t>
      </w:r>
      <w:r>
        <w:rPr>
          <w:rFonts w:hint="eastAsia" w:ascii="Times New Roman" w:hAnsi="Times New Roman"/>
          <w:color w:val="auto"/>
          <w:kern w:val="1"/>
          <w:highlight w:val="none"/>
        </w:rPr>
        <w:t>亿吨公里，比上年</w:t>
      </w:r>
      <w:r>
        <w:rPr>
          <w:rFonts w:hint="eastAsia" w:ascii="Times New Roman" w:hAnsi="Times New Roman"/>
          <w:color w:val="auto"/>
          <w:kern w:val="1"/>
          <w:highlight w:val="none"/>
          <w:lang w:eastAsia="zh-CN"/>
        </w:rPr>
        <w:t>下降</w:t>
      </w: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15.4</w:t>
      </w:r>
      <w:r>
        <w:rPr>
          <w:rFonts w:hint="eastAsia" w:ascii="Times New Roman" w:hAnsi="Times New Roman"/>
          <w:color w:val="auto"/>
          <w:kern w:val="1"/>
          <w:highlight w:val="none"/>
        </w:rPr>
        <w:t>%；旅客运输总量</w:t>
      </w: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4448.38</w:t>
      </w:r>
      <w:r>
        <w:rPr>
          <w:rFonts w:hint="eastAsia" w:ascii="Times New Roman" w:hAnsi="Times New Roman"/>
          <w:color w:val="auto"/>
          <w:kern w:val="1"/>
          <w:highlight w:val="none"/>
        </w:rPr>
        <w:t>万人，比上年</w:t>
      </w:r>
      <w:r>
        <w:rPr>
          <w:rFonts w:hint="eastAsia" w:ascii="Times New Roman" w:hAnsi="Times New Roman"/>
          <w:color w:val="auto"/>
          <w:kern w:val="1"/>
          <w:highlight w:val="none"/>
          <w:lang w:eastAsia="zh-CN"/>
        </w:rPr>
        <w:t>增长</w:t>
      </w: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110.6</w:t>
      </w:r>
      <w:r>
        <w:rPr>
          <w:rFonts w:hint="eastAsia" w:ascii="Times New Roman" w:hAnsi="Times New Roman"/>
          <w:color w:val="auto"/>
          <w:kern w:val="1"/>
          <w:highlight w:val="none"/>
        </w:rPr>
        <w:t>%；旅客运输周转量</w:t>
      </w: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36.73</w:t>
      </w:r>
      <w:r>
        <w:rPr>
          <w:rFonts w:hint="eastAsia" w:ascii="Times New Roman" w:hAnsi="Times New Roman"/>
          <w:color w:val="auto"/>
          <w:kern w:val="1"/>
          <w:highlight w:val="none"/>
        </w:rPr>
        <w:t>亿人公里，比上年</w:t>
      </w:r>
      <w:r>
        <w:rPr>
          <w:rFonts w:hint="eastAsia" w:ascii="Times New Roman" w:hAnsi="Times New Roman"/>
          <w:color w:val="auto"/>
          <w:kern w:val="1"/>
          <w:highlight w:val="none"/>
          <w:lang w:eastAsia="zh-CN"/>
        </w:rPr>
        <w:t>增长</w:t>
      </w: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67.4</w:t>
      </w:r>
      <w:r>
        <w:rPr>
          <w:rFonts w:hint="eastAsia" w:ascii="Times New Roman" w:hAnsi="Times New Roman"/>
          <w:color w:val="auto"/>
          <w:kern w:val="1"/>
          <w:highlight w:val="none"/>
        </w:rPr>
        <w:t>%。</w:t>
      </w: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2023年</w:t>
      </w:r>
      <w:r>
        <w:rPr>
          <w:rFonts w:hint="eastAsia" w:ascii="Times New Roman" w:hAnsi="Times New Roman"/>
          <w:color w:val="auto"/>
          <w:kern w:val="1"/>
          <w:highlight w:val="none"/>
          <w:lang w:eastAsia="zh-CN"/>
        </w:rPr>
        <w:t>周口市境内高铁发送旅客</w:t>
      </w: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516.2万人次。</w:t>
      </w:r>
    </w:p>
    <w:p>
      <w:pPr>
        <w:pStyle w:val="2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jc w:val="both"/>
        <w:textAlignment w:val="auto"/>
        <w:rPr>
          <w:rFonts w:hint="eastAsia" w:ascii="Times New Roman" w:hAnsi="Times New Roman"/>
          <w:color w:val="auto"/>
          <w:kern w:val="1"/>
          <w:highlight w:val="none"/>
        </w:rPr>
      </w:pPr>
      <w:r>
        <w:rPr>
          <w:rFonts w:hint="eastAsia" w:ascii="Times New Roman" w:hAnsi="Times New Roman"/>
          <w:color w:val="auto"/>
          <w:kern w:val="1"/>
        </w:rPr>
        <w:t>2023年</w:t>
      </w:r>
      <w:r>
        <w:rPr>
          <w:rFonts w:hint="eastAsia" w:ascii="Times New Roman" w:hAnsi="Times New Roman"/>
          <w:color w:val="auto"/>
          <w:kern w:val="1"/>
          <w:lang w:eastAsia="zh-CN"/>
        </w:rPr>
        <w:t>全市</w:t>
      </w:r>
      <w:r>
        <w:rPr>
          <w:rFonts w:hint="eastAsia" w:ascii="Times New Roman" w:hAnsi="Times New Roman"/>
          <w:color w:val="auto"/>
          <w:kern w:val="1"/>
        </w:rPr>
        <w:t>港口货物吞吐量4081万吨，同比增长23.5%，占全省的87.1%；集装箱吞吐量10.5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4</w:t>
      </w:r>
      <w:r>
        <w:rPr>
          <w:rFonts w:hint="eastAsia" w:ascii="Times New Roman" w:hAnsi="Times New Roman"/>
          <w:color w:val="auto"/>
          <w:kern w:val="1"/>
        </w:rPr>
        <w:t>万标箱，增长163%</w:t>
      </w:r>
      <w:r>
        <w:rPr>
          <w:rFonts w:hint="eastAsia" w:ascii="Times New Roman" w:hAnsi="Times New Roman"/>
          <w:color w:val="auto"/>
          <w:kern w:val="1"/>
          <w:lang w:eastAsia="zh-CN"/>
        </w:rPr>
        <w:t>。</w:t>
      </w:r>
      <w:r>
        <w:rPr>
          <w:rFonts w:hint="eastAsia" w:ascii="Times New Roman" w:hAnsi="Times New Roman"/>
          <w:color w:val="auto"/>
          <w:kern w:val="1"/>
        </w:rPr>
        <w:t>目前，全市已累计开通国内集装箱航线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14</w:t>
      </w:r>
      <w:r>
        <w:rPr>
          <w:rFonts w:hint="eastAsia" w:ascii="Times New Roman" w:hAnsi="Times New Roman"/>
          <w:color w:val="auto"/>
          <w:kern w:val="1"/>
        </w:rPr>
        <w:t>条，</w:t>
      </w:r>
      <w:r>
        <w:rPr>
          <w:rFonts w:hint="eastAsia" w:ascii="Times New Roman" w:hAnsi="Times New Roman"/>
          <w:color w:val="auto"/>
          <w:kern w:val="1"/>
          <w:lang w:eastAsia="zh-CN"/>
        </w:rPr>
        <w:t>国际集装箱航线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10条，</w:t>
      </w:r>
      <w:r>
        <w:rPr>
          <w:rFonts w:hint="eastAsia" w:ascii="Times New Roman" w:hAnsi="Times New Roman"/>
          <w:color w:val="auto"/>
          <w:kern w:val="1"/>
          <w:lang w:eastAsia="zh-CN"/>
        </w:rPr>
        <w:t>已</w:t>
      </w:r>
      <w:r>
        <w:rPr>
          <w:rFonts w:hint="eastAsia" w:ascii="Times New Roman" w:hAnsi="Times New Roman"/>
          <w:color w:val="auto"/>
          <w:kern w:val="1"/>
          <w:highlight w:val="none"/>
        </w:rPr>
        <w:t>建成规模性港口</w:t>
      </w: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8</w:t>
      </w:r>
      <w:r>
        <w:rPr>
          <w:rFonts w:hint="eastAsia" w:ascii="Times New Roman" w:hAnsi="Times New Roman"/>
          <w:color w:val="auto"/>
          <w:kern w:val="1"/>
          <w:highlight w:val="none"/>
        </w:rPr>
        <w:t>个、泊位</w:t>
      </w: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91</w:t>
      </w:r>
      <w:r>
        <w:rPr>
          <w:rFonts w:hint="eastAsia" w:ascii="Times New Roman" w:hAnsi="Times New Roman"/>
          <w:color w:val="auto"/>
          <w:kern w:val="1"/>
          <w:highlight w:val="none"/>
        </w:rPr>
        <w:t>个，拥有航运企业</w:t>
      </w: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20</w:t>
      </w:r>
      <w:r>
        <w:rPr>
          <w:rFonts w:hint="eastAsia" w:ascii="Times New Roman" w:hAnsi="Times New Roman"/>
          <w:color w:val="auto"/>
          <w:kern w:val="1"/>
          <w:highlight w:val="none"/>
        </w:rPr>
        <w:t>家，从业人员2.5万人，货运船舶</w:t>
      </w: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1389</w:t>
      </w:r>
      <w:r>
        <w:rPr>
          <w:rFonts w:hint="eastAsia" w:ascii="Times New Roman" w:hAnsi="Times New Roman"/>
          <w:color w:val="auto"/>
          <w:kern w:val="1"/>
          <w:highlight w:val="none"/>
        </w:rPr>
        <w:t>艘，总载重吨位</w:t>
      </w: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151</w:t>
      </w:r>
      <w:r>
        <w:rPr>
          <w:rFonts w:hint="eastAsia" w:ascii="Times New Roman" w:hAnsi="Times New Roman"/>
          <w:color w:val="auto"/>
          <w:kern w:val="1"/>
          <w:highlight w:val="none"/>
        </w:rPr>
        <w:t>万吨以上。沙颍河周口中心港达到四级内河航道标准</w:t>
      </w:r>
      <w:r>
        <w:rPr>
          <w:rFonts w:hint="eastAsia" w:ascii="Times New Roman" w:hAnsi="Times New Roman"/>
          <w:color w:val="auto"/>
          <w:kern w:val="1"/>
          <w:highlight w:val="none"/>
          <w:lang w:eastAsia="zh-CN"/>
        </w:rPr>
        <w:t>，</w:t>
      </w:r>
      <w:r>
        <w:rPr>
          <w:rFonts w:hint="eastAsia" w:ascii="Times New Roman" w:hAnsi="Times New Roman"/>
          <w:color w:val="auto"/>
          <w:kern w:val="1"/>
          <w:highlight w:val="none"/>
        </w:rPr>
        <w:t>具备常年单船2000吨级、拖船10000吨级的通行能力。</w:t>
      </w:r>
    </w:p>
    <w:p>
      <w:pPr>
        <w:rPr>
          <w:rFonts w:hint="eastAsia" w:ascii="Times New Roman" w:hAnsi="Times New Roman"/>
          <w:color w:val="auto"/>
          <w:kern w:val="1"/>
          <w:highlight w:val="none"/>
        </w:rPr>
      </w:pPr>
      <w:r>
        <w:rPr>
          <w:rFonts w:hint="eastAsia" w:ascii="Times New Roman" w:hAnsi="Times New Roman"/>
          <w:color w:val="auto"/>
          <w:kern w:val="1"/>
          <w:highlight w:val="none"/>
        </w:rPr>
        <w:br w:type="page"/>
      </w:r>
    </w:p>
    <w:p>
      <w:pPr>
        <w:pStyle w:val="2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center"/>
        <w:textAlignment w:val="auto"/>
        <w:rPr>
          <w:rStyle w:val="15"/>
          <w:rFonts w:ascii="Times New Roman" w:hAnsi="宋体"/>
          <w:color w:val="auto"/>
        </w:rPr>
      </w:pPr>
      <w:r>
        <w:rPr>
          <w:rStyle w:val="15"/>
          <w:rFonts w:ascii="Times New Roman" w:hAnsi="宋体"/>
          <w:color w:val="auto"/>
        </w:rPr>
        <w:t>表</w:t>
      </w:r>
      <w:r>
        <w:rPr>
          <w:rStyle w:val="15"/>
          <w:rFonts w:hint="eastAsia" w:ascii="Times New Roman" w:hAnsi="宋体"/>
          <w:color w:val="auto"/>
          <w:lang w:val="en-US" w:eastAsia="zh-CN"/>
        </w:rPr>
        <w:t>6</w:t>
      </w:r>
      <w:r>
        <w:rPr>
          <w:rStyle w:val="15"/>
          <w:rFonts w:hint="eastAsia" w:ascii="Times New Roman" w:hAnsi="宋体"/>
          <w:color w:val="auto"/>
        </w:rPr>
        <w:t xml:space="preserve">  </w:t>
      </w:r>
      <w:r>
        <w:rPr>
          <w:rFonts w:hint="eastAsia" w:ascii="Times New Roman" w:hAnsi="Times New Roman"/>
          <w:b/>
          <w:color w:val="auto"/>
        </w:rPr>
        <w:t>20</w:t>
      </w:r>
      <w:r>
        <w:rPr>
          <w:rFonts w:hint="eastAsia" w:ascii="Times New Roman" w:hAnsi="Times New Roman"/>
          <w:b/>
          <w:color w:val="auto"/>
          <w:lang w:val="en-US" w:eastAsia="zh-CN"/>
        </w:rPr>
        <w:t>23</w:t>
      </w:r>
      <w:r>
        <w:rPr>
          <w:rFonts w:hint="eastAsia" w:ascii="Times New Roman" w:hAnsi="Times New Roman"/>
          <w:b/>
          <w:color w:val="auto"/>
        </w:rPr>
        <w:t>年</w:t>
      </w:r>
      <w:r>
        <w:rPr>
          <w:rFonts w:hint="eastAsia" w:ascii="Times New Roman" w:hAnsi="Times New Roman"/>
          <w:b/>
          <w:color w:val="auto"/>
          <w:lang w:eastAsia="zh-CN"/>
        </w:rPr>
        <w:t>周口市</w:t>
      </w:r>
      <w:r>
        <w:rPr>
          <w:rFonts w:hint="eastAsia" w:ascii="Times New Roman" w:hAnsi="Times New Roman"/>
          <w:b/>
          <w:color w:val="auto"/>
        </w:rPr>
        <w:t>交通运输主要指标</w:t>
      </w:r>
      <w:r>
        <w:rPr>
          <w:rFonts w:hint="eastAsia" w:ascii="Times New Roman" w:hAnsi="Times New Roman"/>
          <w:b/>
          <w:color w:val="auto"/>
          <w:highlight w:val="none"/>
        </w:rPr>
        <w:t>及增速</w:t>
      </w:r>
    </w:p>
    <w:tbl>
      <w:tblPr>
        <w:tblStyle w:val="13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67"/>
        <w:gridCol w:w="1793"/>
        <w:gridCol w:w="2131"/>
        <w:gridCol w:w="213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exact"/>
          <w:jc w:val="center"/>
        </w:trPr>
        <w:tc>
          <w:tcPr>
            <w:tcW w:w="2467" w:type="dxa"/>
            <w:tcBorders>
              <w:top w:val="single" w:color="000000" w:sz="12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ascii="Times New Roman" w:hAnsi="宋体" w:cs="Times New Roman"/>
                <w:b/>
                <w:bCs/>
                <w:color w:val="auto"/>
                <w:sz w:val="24"/>
                <w:highlight w:val="none"/>
              </w:rPr>
            </w:pPr>
            <w:r>
              <w:rPr>
                <w:rFonts w:hint="eastAsia" w:ascii="Times New Roman" w:hAnsi="宋体" w:cs="Times New Roman"/>
                <w:b/>
                <w:bCs/>
                <w:color w:val="auto"/>
                <w:sz w:val="24"/>
                <w:highlight w:val="none"/>
              </w:rPr>
              <w:t>指标</w:t>
            </w:r>
          </w:p>
        </w:tc>
        <w:tc>
          <w:tcPr>
            <w:tcW w:w="1793" w:type="dxa"/>
            <w:tcBorders>
              <w:top w:val="single" w:color="000000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ascii="Times New Roman" w:hAnsi="宋体" w:cs="Times New Roman"/>
                <w:b/>
                <w:bCs/>
                <w:color w:val="auto"/>
                <w:sz w:val="24"/>
                <w:highlight w:val="none"/>
              </w:rPr>
            </w:pPr>
            <w:r>
              <w:rPr>
                <w:rFonts w:hint="eastAsia" w:ascii="Times New Roman" w:hAnsi="宋体" w:cs="Times New Roman"/>
                <w:b/>
                <w:bCs/>
                <w:color w:val="auto"/>
                <w:sz w:val="24"/>
                <w:highlight w:val="none"/>
              </w:rPr>
              <w:t>单位</w:t>
            </w:r>
          </w:p>
        </w:tc>
        <w:tc>
          <w:tcPr>
            <w:tcW w:w="2131" w:type="dxa"/>
            <w:tcBorders>
              <w:top w:val="single" w:color="000000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ascii="Times New Roman" w:hAnsi="宋体" w:cs="Times New Roman"/>
                <w:b/>
                <w:bCs/>
                <w:color w:val="auto"/>
                <w:sz w:val="24"/>
                <w:highlight w:val="none"/>
              </w:rPr>
            </w:pPr>
            <w:r>
              <w:rPr>
                <w:rFonts w:hint="eastAsia" w:ascii="Times New Roman" w:hAnsi="宋体" w:cs="Times New Roman"/>
                <w:b/>
                <w:bCs/>
                <w:color w:val="auto"/>
                <w:sz w:val="24"/>
                <w:highlight w:val="none"/>
              </w:rPr>
              <w:t>绝对数</w:t>
            </w:r>
          </w:p>
        </w:tc>
        <w:tc>
          <w:tcPr>
            <w:tcW w:w="2131" w:type="dxa"/>
            <w:tcBorders>
              <w:top w:val="single" w:color="000000" w:sz="12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ascii="Times New Roman" w:hAnsi="宋体" w:cs="Times New Roman"/>
                <w:b/>
                <w:bCs/>
                <w:color w:val="auto"/>
                <w:sz w:val="24"/>
                <w:highlight w:val="none"/>
              </w:rPr>
            </w:pPr>
            <w:r>
              <w:rPr>
                <w:rFonts w:hint="eastAsia" w:ascii="Times New Roman" w:hAnsi="宋体" w:cs="Times New Roman"/>
                <w:b/>
                <w:bCs/>
                <w:color w:val="auto"/>
                <w:sz w:val="24"/>
                <w:highlight w:val="none"/>
              </w:rPr>
              <w:t>增长%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467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525" w:leftChars="250"/>
              <w:jc w:val="left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0"/>
                <w:szCs w:val="20"/>
                <w:highlight w:val="none"/>
                <w:lang w:bidi="ar"/>
              </w:rPr>
              <w:t>货物运输总量</w:t>
            </w:r>
          </w:p>
        </w:tc>
        <w:tc>
          <w:tcPr>
            <w:tcW w:w="1793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0"/>
                <w:szCs w:val="20"/>
                <w:highlight w:val="none"/>
                <w:lang w:bidi="ar"/>
              </w:rPr>
              <w:t>亿吨</w:t>
            </w:r>
          </w:p>
        </w:tc>
        <w:tc>
          <w:tcPr>
            <w:tcW w:w="2131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735" w:rightChars="350"/>
              <w:jc w:val="right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2"/>
                <w:sz w:val="20"/>
                <w:szCs w:val="20"/>
                <w:highlight w:val="none"/>
                <w:lang w:val="en-US" w:eastAsia="zh-CN"/>
              </w:rPr>
              <w:t>2.92</w:t>
            </w:r>
          </w:p>
        </w:tc>
        <w:tc>
          <w:tcPr>
            <w:tcW w:w="2131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840" w:rightChars="400"/>
              <w:jc w:val="right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/>
              </w:rPr>
              <w:t>6.6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467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0"/>
                <w:szCs w:val="20"/>
                <w:highlight w:val="none"/>
                <w:lang w:bidi="ar"/>
              </w:rPr>
              <w:t>#</w:t>
            </w:r>
            <w:r>
              <w:rPr>
                <w:rStyle w:val="38"/>
                <w:rFonts w:hint="default"/>
                <w:color w:val="auto"/>
                <w:highlight w:val="none"/>
                <w:lang w:bidi="ar"/>
              </w:rPr>
              <w:t>铁路</w:t>
            </w:r>
          </w:p>
        </w:tc>
        <w:tc>
          <w:tcPr>
            <w:tcW w:w="1793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0"/>
                <w:szCs w:val="20"/>
                <w:highlight w:val="none"/>
                <w:lang w:bidi="ar"/>
              </w:rPr>
              <w:t>亿吨</w:t>
            </w:r>
          </w:p>
        </w:tc>
        <w:tc>
          <w:tcPr>
            <w:tcW w:w="2131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735" w:rightChars="350"/>
              <w:jc w:val="right"/>
              <w:textAlignment w:val="auto"/>
              <w:rPr>
                <w:rFonts w:hint="default" w:ascii="宋体" w:hAnsi="宋体" w:cs="宋体"/>
                <w:color w:val="auto"/>
                <w:sz w:val="20"/>
                <w:szCs w:val="20"/>
                <w:highlight w:val="none"/>
                <w:lang w:val="en-US"/>
              </w:rPr>
            </w:pPr>
            <w:r>
              <w:rPr>
                <w:rFonts w:hint="eastAsia" w:ascii="宋体" w:hAnsi="宋体" w:cs="宋体"/>
                <w:color w:val="auto"/>
                <w:kern w:val="2"/>
                <w:sz w:val="20"/>
                <w:szCs w:val="20"/>
                <w:highlight w:val="none"/>
                <w:lang w:val="en-US" w:eastAsia="zh-CN"/>
              </w:rPr>
              <w:t>0.80</w:t>
            </w:r>
          </w:p>
        </w:tc>
        <w:tc>
          <w:tcPr>
            <w:tcW w:w="2131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840" w:rightChars="400"/>
              <w:jc w:val="right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2"/>
                <w:sz w:val="20"/>
                <w:szCs w:val="20"/>
                <w:highlight w:val="none"/>
                <w:lang w:val="en-US" w:eastAsia="zh-CN"/>
              </w:rPr>
              <w:t>-6.6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467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0"/>
                <w:szCs w:val="20"/>
                <w:highlight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cs="宋体"/>
                <w:color w:val="auto"/>
                <w:kern w:val="0"/>
                <w:sz w:val="20"/>
                <w:szCs w:val="20"/>
                <w:highlight w:val="none"/>
                <w:lang w:bidi="ar"/>
              </w:rPr>
              <w:t>水运</w:t>
            </w:r>
          </w:p>
        </w:tc>
        <w:tc>
          <w:tcPr>
            <w:tcW w:w="1793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0"/>
                <w:szCs w:val="20"/>
                <w:highlight w:val="none"/>
                <w:lang w:bidi="ar"/>
              </w:rPr>
              <w:t>亿吨</w:t>
            </w:r>
          </w:p>
        </w:tc>
        <w:tc>
          <w:tcPr>
            <w:tcW w:w="2131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735" w:rightChars="350"/>
              <w:jc w:val="right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/>
              </w:rPr>
              <w:t>0.3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/>
              </w:rPr>
              <w:t>5</w:t>
            </w:r>
          </w:p>
        </w:tc>
        <w:tc>
          <w:tcPr>
            <w:tcW w:w="2131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840" w:rightChars="400"/>
              <w:jc w:val="right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/>
              </w:rPr>
              <w:t>7.3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467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0"/>
                <w:szCs w:val="20"/>
                <w:highlight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cs="宋体"/>
                <w:color w:val="auto"/>
                <w:kern w:val="0"/>
                <w:sz w:val="20"/>
                <w:szCs w:val="20"/>
                <w:highlight w:val="none"/>
                <w:lang w:bidi="ar"/>
              </w:rPr>
              <w:t>公路</w:t>
            </w:r>
          </w:p>
        </w:tc>
        <w:tc>
          <w:tcPr>
            <w:tcW w:w="1793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0"/>
                <w:szCs w:val="20"/>
                <w:highlight w:val="none"/>
                <w:lang w:bidi="ar"/>
              </w:rPr>
              <w:t>亿吨</w:t>
            </w:r>
          </w:p>
        </w:tc>
        <w:tc>
          <w:tcPr>
            <w:tcW w:w="2131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735" w:rightChars="350"/>
              <w:jc w:val="right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/>
              </w:rPr>
              <w:t>1.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/>
              </w:rPr>
              <w:t>77</w:t>
            </w:r>
          </w:p>
        </w:tc>
        <w:tc>
          <w:tcPr>
            <w:tcW w:w="2131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840" w:rightChars="400"/>
              <w:jc w:val="right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/>
              </w:rPr>
              <w:t>3.6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467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525" w:leftChars="250"/>
              <w:jc w:val="left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0"/>
                <w:szCs w:val="20"/>
                <w:highlight w:val="none"/>
                <w:lang w:bidi="ar"/>
              </w:rPr>
              <w:t>货物运输周转量</w:t>
            </w:r>
          </w:p>
        </w:tc>
        <w:tc>
          <w:tcPr>
            <w:tcW w:w="1793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0"/>
                <w:szCs w:val="20"/>
                <w:highlight w:val="none"/>
                <w:lang w:bidi="ar"/>
              </w:rPr>
              <w:t>亿吨公里</w:t>
            </w:r>
          </w:p>
        </w:tc>
        <w:tc>
          <w:tcPr>
            <w:tcW w:w="2131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735" w:rightChars="350"/>
              <w:jc w:val="right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  <w:lang w:val="en"/>
              </w:rPr>
            </w:pPr>
            <w:r>
              <w:rPr>
                <w:rFonts w:hint="eastAsia" w:ascii="宋体" w:hAnsi="宋体" w:cs="宋体"/>
                <w:color w:val="auto"/>
                <w:kern w:val="2"/>
                <w:sz w:val="20"/>
                <w:szCs w:val="20"/>
                <w:highlight w:val="none"/>
                <w:lang w:val="en-US" w:eastAsia="zh-CN"/>
              </w:rPr>
              <w:t>962.97</w:t>
            </w:r>
          </w:p>
        </w:tc>
        <w:tc>
          <w:tcPr>
            <w:tcW w:w="2131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840" w:rightChars="400"/>
              <w:jc w:val="right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  <w:lang w:val="en"/>
              </w:rPr>
            </w:pPr>
            <w:r>
              <w:rPr>
                <w:rFonts w:hint="eastAsia" w:ascii="宋体" w:hAnsi="宋体" w:cs="宋体"/>
                <w:color w:val="auto"/>
                <w:kern w:val="2"/>
                <w:sz w:val="20"/>
                <w:szCs w:val="20"/>
                <w:highlight w:val="none"/>
                <w:lang w:val="en-US" w:eastAsia="zh-CN"/>
              </w:rPr>
              <w:t>-15.4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467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900" w:firstLineChars="450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0"/>
                <w:szCs w:val="20"/>
                <w:highlight w:val="none"/>
                <w:lang w:bidi="ar"/>
              </w:rPr>
              <w:t>#</w:t>
            </w:r>
            <w:r>
              <w:rPr>
                <w:rStyle w:val="38"/>
                <w:rFonts w:hint="default"/>
                <w:color w:val="auto"/>
                <w:highlight w:val="none"/>
                <w:lang w:bidi="ar"/>
              </w:rPr>
              <w:t>铁路</w:t>
            </w:r>
          </w:p>
        </w:tc>
        <w:tc>
          <w:tcPr>
            <w:tcW w:w="1793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0"/>
                <w:szCs w:val="20"/>
                <w:highlight w:val="none"/>
                <w:lang w:bidi="ar"/>
              </w:rPr>
              <w:t>亿吨公里</w:t>
            </w:r>
          </w:p>
        </w:tc>
        <w:tc>
          <w:tcPr>
            <w:tcW w:w="2131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735" w:rightChars="350"/>
              <w:jc w:val="right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/>
              </w:rPr>
              <w:t>39.57</w:t>
            </w:r>
          </w:p>
        </w:tc>
        <w:tc>
          <w:tcPr>
            <w:tcW w:w="2131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840" w:rightChars="400"/>
              <w:jc w:val="right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/>
              </w:rPr>
              <w:t>-2.2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467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0"/>
                <w:szCs w:val="20"/>
                <w:highlight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cs="宋体"/>
                <w:color w:val="auto"/>
                <w:kern w:val="0"/>
                <w:sz w:val="20"/>
                <w:szCs w:val="20"/>
                <w:highlight w:val="none"/>
                <w:lang w:bidi="ar"/>
              </w:rPr>
              <w:t>水运</w:t>
            </w:r>
          </w:p>
        </w:tc>
        <w:tc>
          <w:tcPr>
            <w:tcW w:w="1793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0"/>
                <w:szCs w:val="20"/>
                <w:highlight w:val="none"/>
                <w:lang w:bidi="ar"/>
              </w:rPr>
              <w:t>亿吨公里</w:t>
            </w:r>
          </w:p>
        </w:tc>
        <w:tc>
          <w:tcPr>
            <w:tcW w:w="2131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735" w:rightChars="350"/>
              <w:jc w:val="right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/>
              </w:rPr>
              <w:t>75.26</w:t>
            </w:r>
          </w:p>
        </w:tc>
        <w:tc>
          <w:tcPr>
            <w:tcW w:w="2131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840" w:rightChars="400"/>
              <w:jc w:val="right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/>
              </w:rPr>
              <w:t>6.6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467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0"/>
                <w:szCs w:val="20"/>
                <w:highlight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cs="宋体"/>
                <w:color w:val="auto"/>
                <w:kern w:val="0"/>
                <w:sz w:val="20"/>
                <w:szCs w:val="20"/>
                <w:highlight w:val="none"/>
                <w:lang w:bidi="ar"/>
              </w:rPr>
              <w:t>公路</w:t>
            </w:r>
          </w:p>
        </w:tc>
        <w:tc>
          <w:tcPr>
            <w:tcW w:w="1793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0"/>
                <w:szCs w:val="20"/>
                <w:highlight w:val="none"/>
                <w:lang w:bidi="ar"/>
              </w:rPr>
              <w:t>亿吨公里</w:t>
            </w:r>
          </w:p>
        </w:tc>
        <w:tc>
          <w:tcPr>
            <w:tcW w:w="2131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735" w:rightChars="350"/>
              <w:jc w:val="right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  <w:lang w:val="en"/>
              </w:rPr>
            </w:pPr>
            <w:r>
              <w:rPr>
                <w:rFonts w:hint="eastAsia" w:ascii="宋体" w:hAnsi="宋体" w:cs="宋体"/>
                <w:color w:val="auto"/>
                <w:kern w:val="2"/>
                <w:sz w:val="20"/>
                <w:szCs w:val="20"/>
                <w:highlight w:val="none"/>
                <w:lang w:val="en-US" w:eastAsia="zh-CN"/>
              </w:rPr>
              <w:t>648.14</w:t>
            </w:r>
          </w:p>
        </w:tc>
        <w:tc>
          <w:tcPr>
            <w:tcW w:w="2131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840" w:rightChars="400"/>
              <w:jc w:val="right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  <w:lang w:val="en"/>
              </w:rPr>
            </w:pPr>
            <w:r>
              <w:rPr>
                <w:rFonts w:hint="eastAsia" w:ascii="宋体" w:hAnsi="宋体" w:cs="宋体"/>
                <w:color w:val="auto"/>
                <w:kern w:val="2"/>
                <w:sz w:val="20"/>
                <w:szCs w:val="20"/>
                <w:highlight w:val="none"/>
                <w:lang w:val="en-US" w:eastAsia="zh-CN"/>
              </w:rPr>
              <w:t>7.9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467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525" w:leftChars="250"/>
              <w:jc w:val="left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0"/>
                <w:szCs w:val="20"/>
                <w:highlight w:val="none"/>
                <w:lang w:bidi="ar"/>
              </w:rPr>
              <w:t>旅客运输总量</w:t>
            </w:r>
          </w:p>
        </w:tc>
        <w:tc>
          <w:tcPr>
            <w:tcW w:w="1793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0"/>
                <w:szCs w:val="20"/>
                <w:highlight w:val="none"/>
                <w:lang w:bidi="ar"/>
              </w:rPr>
              <w:t>万人</w:t>
            </w:r>
          </w:p>
        </w:tc>
        <w:tc>
          <w:tcPr>
            <w:tcW w:w="2131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735" w:rightChars="350"/>
              <w:jc w:val="right"/>
              <w:textAlignment w:val="auto"/>
              <w:rPr>
                <w:rFonts w:hint="default" w:ascii="宋体" w:hAnsi="宋体" w:cs="宋体"/>
                <w:color w:val="auto"/>
                <w:sz w:val="20"/>
                <w:szCs w:val="20"/>
                <w:highlight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/>
              </w:rPr>
              <w:t>4448.38</w:t>
            </w:r>
          </w:p>
        </w:tc>
        <w:tc>
          <w:tcPr>
            <w:tcW w:w="2131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840" w:rightChars="400"/>
              <w:jc w:val="right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/>
              </w:rPr>
              <w:t>110.6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467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0"/>
                <w:szCs w:val="20"/>
                <w:highlight w:val="none"/>
                <w:lang w:bidi="ar"/>
              </w:rPr>
              <w:t>#</w:t>
            </w:r>
            <w:r>
              <w:rPr>
                <w:rStyle w:val="38"/>
                <w:rFonts w:hint="default"/>
                <w:color w:val="auto"/>
                <w:highlight w:val="none"/>
                <w:lang w:bidi="ar"/>
              </w:rPr>
              <w:t>铁路</w:t>
            </w:r>
          </w:p>
        </w:tc>
        <w:tc>
          <w:tcPr>
            <w:tcW w:w="1793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0"/>
                <w:szCs w:val="20"/>
                <w:highlight w:val="none"/>
                <w:lang w:bidi="ar"/>
              </w:rPr>
              <w:t>万人</w:t>
            </w:r>
          </w:p>
        </w:tc>
        <w:tc>
          <w:tcPr>
            <w:tcW w:w="2131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735" w:rightChars="350"/>
              <w:jc w:val="right"/>
              <w:textAlignment w:val="auto"/>
              <w:rPr>
                <w:rFonts w:hint="default" w:ascii="宋体" w:hAnsi="宋体" w:cs="宋体"/>
                <w:color w:val="auto"/>
                <w:sz w:val="20"/>
                <w:szCs w:val="20"/>
                <w:highlight w:val="none"/>
                <w:lang w:val="en-US"/>
              </w:rPr>
            </w:pPr>
            <w:r>
              <w:rPr>
                <w:rFonts w:hint="eastAsia" w:ascii="宋体" w:hAnsi="宋体" w:cs="宋体"/>
                <w:color w:val="auto"/>
                <w:kern w:val="2"/>
                <w:sz w:val="20"/>
                <w:szCs w:val="20"/>
                <w:highlight w:val="none"/>
                <w:lang w:val="en-US" w:eastAsia="zh-CN"/>
              </w:rPr>
              <w:t>148.62</w:t>
            </w:r>
          </w:p>
        </w:tc>
        <w:tc>
          <w:tcPr>
            <w:tcW w:w="2131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840" w:rightChars="400"/>
              <w:jc w:val="right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/>
              </w:rPr>
              <w:t>132.9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467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0"/>
                <w:szCs w:val="20"/>
                <w:highlight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cs="宋体"/>
                <w:color w:val="auto"/>
                <w:kern w:val="0"/>
                <w:sz w:val="20"/>
                <w:szCs w:val="20"/>
                <w:highlight w:val="none"/>
                <w:lang w:bidi="ar"/>
              </w:rPr>
              <w:t>水运</w:t>
            </w:r>
          </w:p>
        </w:tc>
        <w:tc>
          <w:tcPr>
            <w:tcW w:w="1793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0"/>
                <w:szCs w:val="20"/>
                <w:highlight w:val="none"/>
                <w:lang w:bidi="ar"/>
              </w:rPr>
              <w:t>万人</w:t>
            </w:r>
          </w:p>
        </w:tc>
        <w:tc>
          <w:tcPr>
            <w:tcW w:w="2131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735" w:rightChars="350"/>
              <w:jc w:val="right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/>
              </w:rPr>
              <w:t>29.76</w:t>
            </w:r>
          </w:p>
        </w:tc>
        <w:tc>
          <w:tcPr>
            <w:tcW w:w="2131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840" w:rightChars="400"/>
              <w:jc w:val="right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2"/>
                <w:sz w:val="20"/>
                <w:szCs w:val="20"/>
                <w:highlight w:val="none"/>
                <w:lang w:val="en-US" w:eastAsia="zh-CN"/>
              </w:rPr>
              <w:t>31.4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467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0"/>
                <w:szCs w:val="20"/>
                <w:highlight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cs="宋体"/>
                <w:color w:val="auto"/>
                <w:kern w:val="0"/>
                <w:sz w:val="20"/>
                <w:szCs w:val="20"/>
                <w:highlight w:val="none"/>
                <w:lang w:bidi="ar"/>
              </w:rPr>
              <w:t>公路</w:t>
            </w:r>
          </w:p>
        </w:tc>
        <w:tc>
          <w:tcPr>
            <w:tcW w:w="1793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0"/>
                <w:szCs w:val="20"/>
                <w:highlight w:val="none"/>
                <w:lang w:bidi="ar"/>
              </w:rPr>
              <w:t>万人</w:t>
            </w:r>
          </w:p>
        </w:tc>
        <w:tc>
          <w:tcPr>
            <w:tcW w:w="2131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735" w:rightChars="350"/>
              <w:jc w:val="right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/>
              </w:rPr>
              <w:t>4270.00</w:t>
            </w:r>
          </w:p>
        </w:tc>
        <w:tc>
          <w:tcPr>
            <w:tcW w:w="2131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840" w:rightChars="400"/>
              <w:jc w:val="right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/>
              </w:rPr>
              <w:t>110.8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467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525" w:leftChars="250"/>
              <w:jc w:val="left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0"/>
                <w:szCs w:val="20"/>
                <w:highlight w:val="none"/>
                <w:lang w:bidi="ar"/>
              </w:rPr>
              <w:t>旅客运输周转量</w:t>
            </w:r>
          </w:p>
        </w:tc>
        <w:tc>
          <w:tcPr>
            <w:tcW w:w="1793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0"/>
                <w:szCs w:val="20"/>
                <w:highlight w:val="none"/>
                <w:lang w:bidi="ar"/>
              </w:rPr>
              <w:t>亿人公里</w:t>
            </w:r>
          </w:p>
        </w:tc>
        <w:tc>
          <w:tcPr>
            <w:tcW w:w="2131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735" w:rightChars="350"/>
              <w:jc w:val="right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  <w:lang w:val="en"/>
              </w:rPr>
            </w:pPr>
            <w:r>
              <w:rPr>
                <w:rFonts w:hint="eastAsia" w:ascii="宋体" w:hAnsi="宋体" w:cs="宋体"/>
                <w:color w:val="auto"/>
                <w:kern w:val="2"/>
                <w:sz w:val="20"/>
                <w:szCs w:val="20"/>
                <w:highlight w:val="none"/>
                <w:lang w:val="en-US" w:eastAsia="zh-CN"/>
              </w:rPr>
              <w:t>36.73</w:t>
            </w:r>
          </w:p>
        </w:tc>
        <w:tc>
          <w:tcPr>
            <w:tcW w:w="2131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840" w:rightChars="400"/>
              <w:jc w:val="right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  <w:lang w:val="en"/>
              </w:rPr>
            </w:pPr>
            <w:r>
              <w:rPr>
                <w:rFonts w:hint="eastAsia" w:ascii="宋体" w:hAnsi="宋体" w:cs="宋体"/>
                <w:color w:val="auto"/>
                <w:kern w:val="2"/>
                <w:sz w:val="20"/>
                <w:szCs w:val="20"/>
                <w:highlight w:val="none"/>
                <w:lang w:val="en-US" w:eastAsia="zh-CN"/>
              </w:rPr>
              <w:t>67.4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467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0"/>
                <w:szCs w:val="20"/>
                <w:highlight w:val="none"/>
                <w:lang w:bidi="ar"/>
              </w:rPr>
              <w:t>#</w:t>
            </w:r>
            <w:r>
              <w:rPr>
                <w:rStyle w:val="38"/>
                <w:rFonts w:hint="default"/>
                <w:color w:val="auto"/>
                <w:highlight w:val="none"/>
                <w:lang w:bidi="ar"/>
              </w:rPr>
              <w:t>铁路</w:t>
            </w:r>
          </w:p>
        </w:tc>
        <w:tc>
          <w:tcPr>
            <w:tcW w:w="1793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0"/>
                <w:szCs w:val="20"/>
                <w:highlight w:val="none"/>
                <w:lang w:bidi="ar"/>
              </w:rPr>
              <w:t>亿人公里</w:t>
            </w:r>
          </w:p>
        </w:tc>
        <w:tc>
          <w:tcPr>
            <w:tcW w:w="2131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735" w:rightChars="350"/>
              <w:jc w:val="right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/>
              </w:rPr>
              <w:t>1.36</w:t>
            </w:r>
          </w:p>
        </w:tc>
        <w:tc>
          <w:tcPr>
            <w:tcW w:w="2131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840" w:rightChars="400"/>
              <w:jc w:val="right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/>
              </w:rPr>
              <w:t>83.8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467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Style w:val="38"/>
                <w:rFonts w:hint="eastAsia"/>
                <w:color w:val="auto"/>
                <w:highlight w:val="none"/>
                <w:lang w:val="en-US" w:eastAsia="zh-CN" w:bidi="ar"/>
              </w:rPr>
              <w:t xml:space="preserve"> </w:t>
            </w:r>
            <w:r>
              <w:rPr>
                <w:rStyle w:val="38"/>
                <w:rFonts w:hint="default"/>
                <w:color w:val="auto"/>
                <w:highlight w:val="none"/>
                <w:lang w:bidi="ar"/>
              </w:rPr>
              <w:t>水运</w:t>
            </w:r>
          </w:p>
        </w:tc>
        <w:tc>
          <w:tcPr>
            <w:tcW w:w="1793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0"/>
                <w:szCs w:val="20"/>
                <w:highlight w:val="none"/>
                <w:lang w:bidi="ar"/>
              </w:rPr>
              <w:t>亿人公里</w:t>
            </w:r>
          </w:p>
        </w:tc>
        <w:tc>
          <w:tcPr>
            <w:tcW w:w="2131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735" w:rightChars="350"/>
              <w:jc w:val="right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/>
              </w:rPr>
              <w:t>0.01</w:t>
            </w:r>
          </w:p>
        </w:tc>
        <w:tc>
          <w:tcPr>
            <w:tcW w:w="2131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840" w:rightChars="400"/>
              <w:jc w:val="right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/>
              </w:rPr>
              <w:t>31.4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467" w:type="dxa"/>
            <w:tcBorders>
              <w:top w:val="nil"/>
              <w:left w:val="nil"/>
              <w:bottom w:val="single" w:color="000000" w:sz="12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0"/>
                <w:szCs w:val="20"/>
                <w:highlight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cs="宋体"/>
                <w:color w:val="auto"/>
                <w:kern w:val="0"/>
                <w:sz w:val="20"/>
                <w:szCs w:val="20"/>
                <w:highlight w:val="none"/>
                <w:lang w:bidi="ar"/>
              </w:rPr>
              <w:t>公路</w:t>
            </w:r>
          </w:p>
        </w:tc>
        <w:tc>
          <w:tcPr>
            <w:tcW w:w="1793" w:type="dxa"/>
            <w:tcBorders>
              <w:top w:val="nil"/>
              <w:left w:val="single" w:color="auto" w:sz="4" w:space="0"/>
              <w:bottom w:val="single" w:color="000000" w:sz="12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0"/>
                <w:szCs w:val="20"/>
                <w:highlight w:val="none"/>
                <w:lang w:bidi="ar"/>
              </w:rPr>
              <w:t>亿人公里</w:t>
            </w:r>
          </w:p>
        </w:tc>
        <w:tc>
          <w:tcPr>
            <w:tcW w:w="2131" w:type="dxa"/>
            <w:tcBorders>
              <w:top w:val="nil"/>
              <w:left w:val="single" w:color="auto" w:sz="4" w:space="0"/>
              <w:bottom w:val="single" w:color="000000" w:sz="12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735" w:rightChars="350"/>
              <w:jc w:val="right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  <w:lang w:val="e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/>
              </w:rPr>
              <w:t>35.36</w:t>
            </w:r>
          </w:p>
        </w:tc>
        <w:tc>
          <w:tcPr>
            <w:tcW w:w="2131" w:type="dxa"/>
            <w:tcBorders>
              <w:top w:val="nil"/>
              <w:left w:val="single" w:color="auto" w:sz="4" w:space="0"/>
              <w:bottom w:val="single" w:color="000000" w:sz="12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840" w:rightChars="400"/>
              <w:jc w:val="right"/>
              <w:textAlignment w:val="auto"/>
              <w:rPr>
                <w:rFonts w:ascii="宋体" w:hAnsi="宋体" w:cs="宋体"/>
                <w:color w:val="auto"/>
                <w:sz w:val="20"/>
                <w:szCs w:val="20"/>
                <w:highlight w:val="none"/>
                <w:lang w:val="e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/>
              </w:rPr>
              <w:t>66.8</w:t>
            </w:r>
          </w:p>
        </w:tc>
      </w:tr>
    </w:tbl>
    <w:p>
      <w:pPr>
        <w:pStyle w:val="25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jc w:val="both"/>
        <w:rPr>
          <w:rFonts w:hint="eastAsia" w:ascii="Times New Roman" w:hAnsi="Times New Roman" w:eastAsia="宋体"/>
          <w:color w:val="auto"/>
          <w:kern w:val="1"/>
          <w:highlight w:val="none"/>
          <w:lang w:eastAsia="zh-CN"/>
        </w:rPr>
      </w:pPr>
      <w:r>
        <w:rPr>
          <w:rFonts w:hint="eastAsia" w:ascii="Times New Roman" w:hAnsi="Times New Roman"/>
          <w:color w:val="auto"/>
          <w:kern w:val="1"/>
          <w:highlight w:val="none"/>
        </w:rPr>
        <w:t>年末全市民用汽车保有量</w:t>
      </w: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130.28</w:t>
      </w:r>
      <w:r>
        <w:rPr>
          <w:rFonts w:hint="eastAsia" w:ascii="Times New Roman" w:hAnsi="Times New Roman"/>
          <w:color w:val="auto"/>
          <w:kern w:val="1"/>
          <w:highlight w:val="none"/>
        </w:rPr>
        <w:t>万辆，比上年末增长</w:t>
      </w: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2.9</w:t>
      </w:r>
      <w:r>
        <w:rPr>
          <w:rFonts w:hint="eastAsia" w:ascii="Times New Roman" w:hAnsi="Times New Roman"/>
          <w:color w:val="auto"/>
          <w:kern w:val="1"/>
          <w:highlight w:val="none"/>
        </w:rPr>
        <w:t>%，其中私人汽车</w:t>
      </w: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118.34</w:t>
      </w:r>
      <w:r>
        <w:rPr>
          <w:rFonts w:hint="eastAsia" w:ascii="Times New Roman" w:hAnsi="Times New Roman"/>
          <w:color w:val="auto"/>
          <w:kern w:val="1"/>
          <w:highlight w:val="none"/>
        </w:rPr>
        <w:t>万辆，增长</w:t>
      </w: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1</w:t>
      </w:r>
      <w:r>
        <w:rPr>
          <w:rFonts w:hint="eastAsia" w:ascii="Times New Roman" w:hAnsi="Times New Roman"/>
          <w:color w:val="auto"/>
          <w:kern w:val="1"/>
          <w:highlight w:val="none"/>
        </w:rPr>
        <w:t>.0%。民用轿车保有量</w:t>
      </w: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59.29</w:t>
      </w:r>
      <w:r>
        <w:rPr>
          <w:rFonts w:hint="eastAsia" w:ascii="Times New Roman" w:hAnsi="Times New Roman"/>
          <w:color w:val="auto"/>
          <w:kern w:val="1"/>
          <w:highlight w:val="none"/>
        </w:rPr>
        <w:t>万辆，</w:t>
      </w:r>
      <w:r>
        <w:rPr>
          <w:rFonts w:hint="eastAsia" w:ascii="Times New Roman" w:hAnsi="Times New Roman"/>
          <w:color w:val="auto"/>
          <w:kern w:val="1"/>
          <w:highlight w:val="none"/>
          <w:lang w:eastAsia="zh-CN"/>
        </w:rPr>
        <w:t>下降</w:t>
      </w: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3.9</w:t>
      </w:r>
      <w:r>
        <w:rPr>
          <w:rFonts w:hint="eastAsia" w:ascii="Times New Roman" w:hAnsi="Times New Roman"/>
          <w:color w:val="auto"/>
          <w:kern w:val="1"/>
          <w:highlight w:val="none"/>
        </w:rPr>
        <w:t>%，其中私人轿车</w:t>
      </w: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57.94</w:t>
      </w:r>
      <w:r>
        <w:rPr>
          <w:rFonts w:hint="eastAsia" w:ascii="Times New Roman" w:hAnsi="Times New Roman"/>
          <w:color w:val="auto"/>
          <w:kern w:val="1"/>
          <w:highlight w:val="none"/>
        </w:rPr>
        <w:t>万辆，</w:t>
      </w:r>
      <w:r>
        <w:rPr>
          <w:rFonts w:hint="eastAsia" w:ascii="Times New Roman" w:hAnsi="Times New Roman"/>
          <w:color w:val="auto"/>
          <w:kern w:val="1"/>
          <w:highlight w:val="none"/>
          <w:lang w:eastAsia="zh-CN"/>
        </w:rPr>
        <w:t>下降</w:t>
      </w: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3.7</w:t>
      </w:r>
      <w:r>
        <w:rPr>
          <w:rFonts w:hint="eastAsia" w:ascii="Times New Roman" w:hAnsi="Times New Roman"/>
          <w:color w:val="auto"/>
          <w:kern w:val="1"/>
          <w:highlight w:val="none"/>
        </w:rPr>
        <w:t>%。</w:t>
      </w:r>
    </w:p>
    <w:p>
      <w:pPr>
        <w:pStyle w:val="25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jc w:val="both"/>
        <w:rPr>
          <w:rFonts w:hint="eastAsia" w:ascii="Times New Roman" w:hAnsi="Times New Roman"/>
          <w:color w:val="0070C0"/>
          <w:kern w:val="1"/>
        </w:rPr>
      </w:pPr>
      <w:r>
        <w:rPr>
          <w:rFonts w:hint="eastAsia" w:ascii="Times New Roman" w:hAnsi="Times New Roman"/>
          <w:color w:val="auto"/>
          <w:kern w:val="1"/>
          <w:highlight w:val="none"/>
        </w:rPr>
        <w:t>全年全市邮政行业业务总量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33.34</w:t>
      </w:r>
      <w:r>
        <w:rPr>
          <w:rFonts w:hint="eastAsia" w:ascii="Times New Roman" w:hAnsi="Times New Roman"/>
          <w:color w:val="auto"/>
          <w:kern w:val="1"/>
        </w:rPr>
        <w:t>亿</w:t>
      </w:r>
      <w:r>
        <w:rPr>
          <w:rFonts w:hint="eastAsia" w:ascii="Times New Roman" w:hAnsi="Times New Roman"/>
          <w:color w:val="auto"/>
          <w:kern w:val="1"/>
          <w:lang w:eastAsia="zh-CN"/>
        </w:rPr>
        <w:t>元，</w:t>
      </w:r>
      <w:r>
        <w:rPr>
          <w:rFonts w:hint="eastAsia" w:ascii="Times New Roman" w:hAnsi="Times New Roman"/>
          <w:color w:val="auto"/>
          <w:kern w:val="1"/>
        </w:rPr>
        <w:t>增长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30.1</w:t>
      </w:r>
      <w:r>
        <w:rPr>
          <w:rFonts w:hint="eastAsia" w:ascii="Times New Roman" w:hAnsi="Times New Roman"/>
          <w:color w:val="auto"/>
          <w:kern w:val="1"/>
        </w:rPr>
        <w:t>%</w:t>
      </w:r>
      <w:r>
        <w:rPr>
          <w:rFonts w:hint="eastAsia" w:ascii="Times New Roman" w:hAnsi="Times New Roman"/>
          <w:color w:val="auto"/>
          <w:kern w:val="1"/>
          <w:lang w:eastAsia="zh-CN"/>
        </w:rPr>
        <w:t>。其中</w:t>
      </w:r>
      <w:r>
        <w:rPr>
          <w:rFonts w:hint="eastAsia" w:ascii="Times New Roman" w:hAnsi="Times New Roman"/>
          <w:color w:val="auto"/>
          <w:kern w:val="1"/>
        </w:rPr>
        <w:t>快递业务总量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2.24</w:t>
      </w:r>
      <w:r>
        <w:rPr>
          <w:rFonts w:hint="eastAsia" w:ascii="Times New Roman" w:hAnsi="Times New Roman"/>
          <w:color w:val="auto"/>
          <w:kern w:val="1"/>
        </w:rPr>
        <w:t>亿件，增长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59.4</w:t>
      </w:r>
      <w:r>
        <w:rPr>
          <w:rFonts w:hint="eastAsia" w:ascii="Times New Roman" w:hAnsi="Times New Roman"/>
          <w:color w:val="auto"/>
          <w:kern w:val="1"/>
        </w:rPr>
        <w:t>%。电信业务总量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70.79</w:t>
      </w:r>
      <w:r>
        <w:rPr>
          <w:rFonts w:hint="eastAsia" w:ascii="Times New Roman" w:hAnsi="Times New Roman"/>
          <w:color w:val="auto"/>
          <w:kern w:val="1"/>
        </w:rPr>
        <w:t>亿元，增长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18.7</w:t>
      </w:r>
      <w:r>
        <w:rPr>
          <w:rFonts w:hint="eastAsia" w:ascii="Times New Roman" w:hAnsi="Times New Roman"/>
          <w:color w:val="auto"/>
          <w:kern w:val="1"/>
        </w:rPr>
        <w:t>%。年末本地固定电话用户19.35万户，移动电话用户811.9万户。年</w:t>
      </w:r>
      <w:r>
        <w:rPr>
          <w:rFonts w:hint="eastAsia" w:ascii="Times New Roman" w:hAnsi="Times New Roman"/>
          <w:color w:val="auto"/>
          <w:kern w:val="1"/>
          <w:lang w:eastAsia="zh-CN"/>
        </w:rPr>
        <w:t>末</w:t>
      </w:r>
      <w:r>
        <w:rPr>
          <w:rFonts w:hint="eastAsia" w:ascii="Times New Roman" w:hAnsi="Times New Roman"/>
          <w:color w:val="auto"/>
          <w:kern w:val="1"/>
        </w:rPr>
        <w:t>互联网用户361.2万户。全年新开通5G基站2298个，</w:t>
      </w:r>
      <w:r>
        <w:rPr>
          <w:rFonts w:hint="eastAsia" w:ascii="Times New Roman" w:hAnsi="Times New Roman"/>
          <w:color w:val="auto"/>
          <w:kern w:val="1"/>
          <w:highlight w:val="none"/>
          <w:lang w:eastAsia="zh-CN"/>
        </w:rPr>
        <w:t>全市</w:t>
      </w:r>
      <w:r>
        <w:rPr>
          <w:rFonts w:hint="eastAsia" w:ascii="Times New Roman" w:hAnsi="Times New Roman"/>
          <w:color w:val="auto"/>
          <w:kern w:val="1"/>
          <w:highlight w:val="none"/>
        </w:rPr>
        <w:t>5G移动电话用户总数达到</w:t>
      </w: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426.3</w:t>
      </w:r>
      <w:bookmarkStart w:id="0" w:name="_GoBack"/>
      <w:bookmarkEnd w:id="0"/>
      <w:r>
        <w:rPr>
          <w:rFonts w:hint="eastAsia" w:ascii="Times New Roman" w:hAnsi="Times New Roman"/>
          <w:color w:val="auto"/>
          <w:kern w:val="1"/>
          <w:highlight w:val="none"/>
        </w:rPr>
        <w:t>万户。</w:t>
      </w:r>
    </w:p>
    <w:p>
      <w:pPr>
        <w:pStyle w:val="2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0" w:firstLineChars="0"/>
        <w:jc w:val="center"/>
        <w:textAlignment w:val="auto"/>
        <w:rPr>
          <w:rFonts w:ascii="Times New Roman" w:hAnsi="Times New Roman" w:cs="Times New Roman"/>
          <w:b/>
          <w:color w:val="auto"/>
          <w:kern w:val="1"/>
          <w:sz w:val="28"/>
          <w:szCs w:val="28"/>
          <w:highlight w:val="none"/>
        </w:rPr>
      </w:pPr>
      <w:r>
        <w:rPr>
          <w:rFonts w:hint="eastAsia" w:ascii="Times New Roman" w:hAnsi="宋体" w:cs="Times New Roman"/>
          <w:b/>
          <w:color w:val="auto"/>
          <w:sz w:val="28"/>
          <w:szCs w:val="28"/>
          <w:highlight w:val="none"/>
          <w:lang w:eastAsia="zh-CN"/>
        </w:rPr>
        <w:t>六</w:t>
      </w:r>
      <w:r>
        <w:rPr>
          <w:rFonts w:ascii="Times New Roman" w:hAnsi="宋体" w:cs="Times New Roman"/>
          <w:b/>
          <w:color w:val="auto"/>
          <w:sz w:val="28"/>
          <w:szCs w:val="28"/>
          <w:highlight w:val="none"/>
        </w:rPr>
        <w:t>、国内贸易和对外经济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textAlignment w:val="auto"/>
        <w:rPr>
          <w:rFonts w:hint="eastAsia" w:ascii="Times New Roman" w:hAnsi="Times New Roman"/>
          <w:b/>
          <w:bCs/>
          <w:color w:val="auto"/>
          <w:sz w:val="24"/>
        </w:rPr>
      </w:pPr>
      <w:r>
        <w:rPr>
          <w:rFonts w:hint="eastAsia" w:ascii="Times New Roman" w:hAnsi="宋体" w:cs="Times New Roman"/>
          <w:color w:val="auto"/>
          <w:kern w:val="0"/>
          <w:sz w:val="24"/>
          <w:lang w:val="zh-CN"/>
        </w:rPr>
        <w:t>全年全市社会消费品零售总额</w:t>
      </w:r>
      <w:r>
        <w:rPr>
          <w:rFonts w:hint="eastAsia" w:ascii="Times New Roman" w:hAnsi="宋体" w:cs="Times New Roman"/>
          <w:color w:val="auto"/>
          <w:kern w:val="0"/>
          <w:sz w:val="24"/>
          <w:lang w:val="en-US" w:eastAsia="zh-CN"/>
        </w:rPr>
        <w:t>1954.60</w:t>
      </w:r>
      <w:r>
        <w:rPr>
          <w:rFonts w:hint="eastAsia" w:ascii="Times New Roman" w:hAnsi="宋体" w:cs="Times New Roman"/>
          <w:color w:val="auto"/>
          <w:kern w:val="0"/>
          <w:sz w:val="24"/>
          <w:lang w:val="zh-CN"/>
        </w:rPr>
        <w:t>亿元，同比增长</w:t>
      </w:r>
      <w:r>
        <w:rPr>
          <w:rFonts w:hint="eastAsia" w:ascii="Times New Roman" w:hAnsi="宋体" w:cs="Times New Roman"/>
          <w:color w:val="auto"/>
          <w:kern w:val="0"/>
          <w:sz w:val="24"/>
          <w:lang w:val="en-US" w:eastAsia="zh-CN"/>
        </w:rPr>
        <w:t>6.4</w:t>
      </w:r>
      <w:r>
        <w:rPr>
          <w:rFonts w:hint="eastAsia" w:ascii="Times New Roman" w:hAnsi="宋体" w:cs="Times New Roman"/>
          <w:color w:val="auto"/>
          <w:kern w:val="0"/>
          <w:sz w:val="24"/>
          <w:lang w:val="zh-CN"/>
        </w:rPr>
        <w:t>%。按销售单位所在地分，城镇消费品零售额</w:t>
      </w:r>
      <w:r>
        <w:rPr>
          <w:rFonts w:hint="eastAsia" w:ascii="Times New Roman" w:hAnsi="宋体" w:cs="Times New Roman"/>
          <w:color w:val="auto"/>
          <w:kern w:val="0"/>
          <w:sz w:val="24"/>
          <w:lang w:val="en-US" w:eastAsia="zh-CN"/>
        </w:rPr>
        <w:t>1615.23</w:t>
      </w:r>
      <w:r>
        <w:rPr>
          <w:rFonts w:hint="eastAsia" w:ascii="Times New Roman" w:hAnsi="宋体" w:cs="Times New Roman"/>
          <w:color w:val="auto"/>
          <w:kern w:val="0"/>
          <w:sz w:val="24"/>
          <w:lang w:val="zh-CN"/>
        </w:rPr>
        <w:t>亿元，增长</w:t>
      </w:r>
      <w:r>
        <w:rPr>
          <w:rFonts w:hint="eastAsia" w:ascii="Times New Roman" w:hAnsi="宋体" w:cs="Times New Roman"/>
          <w:color w:val="auto"/>
          <w:kern w:val="0"/>
          <w:sz w:val="24"/>
          <w:lang w:val="en-US" w:eastAsia="zh-CN"/>
        </w:rPr>
        <w:t>6.3</w:t>
      </w:r>
      <w:r>
        <w:rPr>
          <w:rFonts w:hint="eastAsia" w:ascii="Times New Roman" w:hAnsi="宋体" w:cs="Times New Roman"/>
          <w:color w:val="auto"/>
          <w:kern w:val="0"/>
          <w:sz w:val="24"/>
          <w:lang w:val="zh-CN"/>
        </w:rPr>
        <w:t>%，其中城区消费品零售额</w:t>
      </w:r>
      <w:r>
        <w:rPr>
          <w:rFonts w:hint="eastAsia" w:ascii="Times New Roman" w:hAnsi="宋体" w:cs="Times New Roman"/>
          <w:color w:val="auto"/>
          <w:kern w:val="0"/>
          <w:sz w:val="24"/>
          <w:lang w:val="en-US" w:eastAsia="zh-CN"/>
        </w:rPr>
        <w:t>861.74</w:t>
      </w:r>
      <w:r>
        <w:rPr>
          <w:rFonts w:hint="eastAsia" w:ascii="Times New Roman" w:hAnsi="宋体" w:cs="Times New Roman"/>
          <w:color w:val="auto"/>
          <w:kern w:val="0"/>
          <w:sz w:val="24"/>
          <w:lang w:val="zh-CN"/>
        </w:rPr>
        <w:t>亿元，增长</w:t>
      </w:r>
      <w:r>
        <w:rPr>
          <w:rFonts w:hint="eastAsia" w:ascii="Times New Roman" w:hAnsi="宋体" w:cs="Times New Roman"/>
          <w:color w:val="auto"/>
          <w:kern w:val="0"/>
          <w:sz w:val="24"/>
          <w:lang w:val="en-US" w:eastAsia="zh-CN"/>
        </w:rPr>
        <w:t>5.8</w:t>
      </w:r>
      <w:r>
        <w:rPr>
          <w:rFonts w:hint="eastAsia" w:ascii="Times New Roman" w:hAnsi="宋体" w:cs="Times New Roman"/>
          <w:color w:val="auto"/>
          <w:kern w:val="0"/>
          <w:sz w:val="24"/>
          <w:lang w:val="zh-CN"/>
        </w:rPr>
        <w:t>%；乡村消费品零售额</w:t>
      </w:r>
      <w:r>
        <w:rPr>
          <w:rFonts w:hint="eastAsia" w:ascii="Times New Roman" w:hAnsi="宋体" w:cs="Times New Roman"/>
          <w:color w:val="auto"/>
          <w:kern w:val="0"/>
          <w:sz w:val="24"/>
          <w:lang w:val="en-US" w:eastAsia="zh-CN"/>
        </w:rPr>
        <w:t>339.37</w:t>
      </w:r>
      <w:r>
        <w:rPr>
          <w:rFonts w:hint="eastAsia" w:ascii="Times New Roman" w:hAnsi="宋体" w:cs="Times New Roman"/>
          <w:color w:val="auto"/>
          <w:kern w:val="0"/>
          <w:sz w:val="24"/>
          <w:lang w:val="zh-CN"/>
        </w:rPr>
        <w:t>亿元，增长</w:t>
      </w:r>
      <w:r>
        <w:rPr>
          <w:rFonts w:hint="eastAsia" w:ascii="Times New Roman" w:hAnsi="宋体" w:cs="Times New Roman"/>
          <w:color w:val="auto"/>
          <w:kern w:val="0"/>
          <w:sz w:val="24"/>
          <w:lang w:val="en-US" w:eastAsia="zh-CN"/>
        </w:rPr>
        <w:t>6.7</w:t>
      </w:r>
      <w:r>
        <w:rPr>
          <w:rFonts w:hint="eastAsia" w:ascii="Times New Roman" w:hAnsi="宋体" w:cs="Times New Roman"/>
          <w:color w:val="auto"/>
          <w:kern w:val="0"/>
          <w:sz w:val="24"/>
          <w:lang w:val="zh-CN"/>
        </w:rPr>
        <w:t>%。按行业分，批发业零售额</w:t>
      </w:r>
      <w:r>
        <w:rPr>
          <w:rFonts w:hint="eastAsia" w:ascii="Times New Roman" w:hAnsi="宋体" w:cs="Times New Roman"/>
          <w:color w:val="auto"/>
          <w:kern w:val="0"/>
          <w:sz w:val="24"/>
          <w:lang w:val="en-US" w:eastAsia="zh-CN"/>
        </w:rPr>
        <w:t>273.45</w:t>
      </w:r>
      <w:r>
        <w:rPr>
          <w:rFonts w:hint="eastAsia" w:ascii="Times New Roman" w:hAnsi="宋体" w:cs="Times New Roman"/>
          <w:color w:val="auto"/>
          <w:kern w:val="0"/>
          <w:sz w:val="24"/>
          <w:lang w:val="zh-CN"/>
        </w:rPr>
        <w:t>亿元，增长</w:t>
      </w:r>
      <w:r>
        <w:rPr>
          <w:rFonts w:hint="eastAsia" w:ascii="Times New Roman" w:hAnsi="宋体" w:cs="Times New Roman"/>
          <w:color w:val="auto"/>
          <w:kern w:val="0"/>
          <w:sz w:val="24"/>
          <w:lang w:val="en-US" w:eastAsia="zh-CN"/>
        </w:rPr>
        <w:t>6.0</w:t>
      </w:r>
      <w:r>
        <w:rPr>
          <w:rFonts w:hint="eastAsia" w:ascii="Times New Roman" w:hAnsi="宋体" w:cs="Times New Roman"/>
          <w:color w:val="auto"/>
          <w:kern w:val="0"/>
          <w:sz w:val="24"/>
          <w:lang w:val="zh-CN"/>
        </w:rPr>
        <w:t>%；零售业零售额</w:t>
      </w:r>
      <w:r>
        <w:rPr>
          <w:rFonts w:hint="eastAsia" w:ascii="Times New Roman" w:hAnsi="宋体" w:cs="Times New Roman"/>
          <w:color w:val="auto"/>
          <w:kern w:val="0"/>
          <w:sz w:val="24"/>
          <w:lang w:val="en-US" w:eastAsia="zh-CN"/>
        </w:rPr>
        <w:t>1247.37</w:t>
      </w:r>
      <w:r>
        <w:rPr>
          <w:rFonts w:hint="eastAsia" w:ascii="Times New Roman" w:hAnsi="宋体" w:cs="Times New Roman"/>
          <w:color w:val="auto"/>
          <w:kern w:val="0"/>
          <w:sz w:val="24"/>
          <w:lang w:val="zh-CN"/>
        </w:rPr>
        <w:t>亿元，增长</w:t>
      </w:r>
      <w:r>
        <w:rPr>
          <w:rFonts w:hint="eastAsia" w:ascii="Times New Roman" w:hAnsi="宋体" w:cs="Times New Roman"/>
          <w:color w:val="auto"/>
          <w:kern w:val="0"/>
          <w:sz w:val="24"/>
          <w:lang w:val="en-US" w:eastAsia="zh-CN"/>
        </w:rPr>
        <w:t>6.2</w:t>
      </w:r>
      <w:r>
        <w:rPr>
          <w:rFonts w:hint="eastAsia" w:ascii="Times New Roman" w:hAnsi="宋体" w:cs="Times New Roman"/>
          <w:color w:val="auto"/>
          <w:kern w:val="0"/>
          <w:sz w:val="24"/>
          <w:lang w:val="zh-CN"/>
        </w:rPr>
        <w:t>%；住宿业零售额</w:t>
      </w:r>
      <w:r>
        <w:rPr>
          <w:rFonts w:hint="eastAsia" w:ascii="Times New Roman" w:hAnsi="宋体" w:cs="Times New Roman"/>
          <w:color w:val="auto"/>
          <w:kern w:val="0"/>
          <w:sz w:val="24"/>
          <w:lang w:val="en-US" w:eastAsia="zh-CN"/>
        </w:rPr>
        <w:t>23.61</w:t>
      </w:r>
      <w:r>
        <w:rPr>
          <w:rFonts w:hint="eastAsia" w:ascii="Times New Roman" w:hAnsi="宋体" w:cs="Times New Roman"/>
          <w:color w:val="auto"/>
          <w:kern w:val="0"/>
          <w:sz w:val="24"/>
          <w:lang w:val="zh-CN"/>
        </w:rPr>
        <w:t>亿元，增长</w:t>
      </w:r>
      <w:r>
        <w:rPr>
          <w:rFonts w:hint="eastAsia" w:ascii="Times New Roman" w:hAnsi="宋体" w:cs="Times New Roman"/>
          <w:color w:val="auto"/>
          <w:kern w:val="0"/>
          <w:sz w:val="24"/>
          <w:lang w:val="en-US" w:eastAsia="zh-CN"/>
        </w:rPr>
        <w:t>7.3</w:t>
      </w:r>
      <w:r>
        <w:rPr>
          <w:rFonts w:hint="eastAsia" w:ascii="Times New Roman" w:hAnsi="宋体" w:cs="Times New Roman"/>
          <w:color w:val="auto"/>
          <w:kern w:val="0"/>
          <w:sz w:val="24"/>
          <w:lang w:val="zh-CN"/>
        </w:rPr>
        <w:t>%；餐饮业零售额</w:t>
      </w:r>
      <w:r>
        <w:rPr>
          <w:rFonts w:hint="eastAsia" w:ascii="Times New Roman" w:hAnsi="宋体" w:cs="Times New Roman"/>
          <w:color w:val="auto"/>
          <w:kern w:val="0"/>
          <w:sz w:val="24"/>
          <w:lang w:val="en-US" w:eastAsia="zh-CN"/>
        </w:rPr>
        <w:t>410.17</w:t>
      </w:r>
      <w:r>
        <w:rPr>
          <w:rFonts w:hint="eastAsia" w:ascii="Times New Roman" w:hAnsi="宋体" w:cs="Times New Roman"/>
          <w:color w:val="auto"/>
          <w:kern w:val="0"/>
          <w:sz w:val="24"/>
          <w:lang w:val="zh-CN"/>
        </w:rPr>
        <w:t>亿元，增长</w:t>
      </w:r>
      <w:r>
        <w:rPr>
          <w:rFonts w:hint="eastAsia" w:ascii="Times New Roman" w:hAnsi="宋体" w:cs="Times New Roman"/>
          <w:color w:val="auto"/>
          <w:kern w:val="0"/>
          <w:sz w:val="24"/>
          <w:lang w:val="en-US" w:eastAsia="zh-CN"/>
        </w:rPr>
        <w:t>7.0</w:t>
      </w:r>
      <w:r>
        <w:rPr>
          <w:rFonts w:hint="eastAsia" w:ascii="Times New Roman" w:hAnsi="宋体" w:cs="Times New Roman"/>
          <w:color w:val="auto"/>
          <w:kern w:val="0"/>
          <w:sz w:val="24"/>
          <w:lang w:val="zh-CN"/>
        </w:rPr>
        <w:t>%。</w:t>
      </w:r>
    </w:p>
    <w:p>
      <w:pPr>
        <w:pStyle w:val="2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jc w:val="both"/>
        <w:textAlignment w:val="auto"/>
        <w:rPr>
          <w:rFonts w:hint="eastAsia" w:ascii="Times New Roman" w:hAnsi="Times New Roman"/>
          <w:color w:val="auto"/>
          <w:kern w:val="1"/>
        </w:rPr>
      </w:pPr>
      <w:r>
        <w:rPr>
          <w:rFonts w:hint="eastAsia" w:ascii="Times New Roman" w:hAnsi="Times New Roman"/>
          <w:color w:val="auto"/>
          <w:kern w:val="1"/>
        </w:rPr>
        <w:t>全年全市限额以上单位消费品零售额332.58亿元，同比增长6.3%。限额以上单位烟酒类、粮油食品类零售额分别增长39.2%、6.6%。限额以上单位家用电器和音像器材类、体育娱乐用品类和书报杂志类分别增长2.4%、3.7%和7.1%。限额以上单位石油及制品类商品零售额增长34.2%，限额以上单位新能源汽车零售额增长49.6%。</w:t>
      </w:r>
    </w:p>
    <w:p>
      <w:pPr>
        <w:pStyle w:val="2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jc w:val="both"/>
        <w:textAlignment w:val="auto"/>
        <w:rPr>
          <w:rFonts w:hint="eastAsia" w:ascii="Times New Roman" w:hAnsi="Times New Roman" w:eastAsia="宋体"/>
          <w:color w:val="auto"/>
          <w:kern w:val="1"/>
          <w:highlight w:val="none"/>
          <w:lang w:eastAsia="zh-CN"/>
        </w:rPr>
      </w:pPr>
      <w:r>
        <w:rPr>
          <w:rFonts w:hint="eastAsia" w:ascii="Times New Roman" w:hAnsi="Times New Roman" w:eastAsia="宋体"/>
          <w:color w:val="auto"/>
          <w:kern w:val="1"/>
          <w:highlight w:val="none"/>
          <w:lang w:eastAsia="zh-CN"/>
        </w:rPr>
        <w:t>全年全市</w:t>
      </w:r>
      <w:r>
        <w:rPr>
          <w:rFonts w:hint="eastAsia" w:ascii="Times New Roman" w:hAnsi="Times New Roman"/>
          <w:color w:val="auto"/>
          <w:kern w:val="1"/>
          <w:highlight w:val="none"/>
          <w:lang w:eastAsia="zh-CN"/>
        </w:rPr>
        <w:t>货物</w:t>
      </w:r>
      <w:r>
        <w:rPr>
          <w:rFonts w:hint="eastAsia" w:ascii="Times New Roman" w:hAnsi="Times New Roman" w:eastAsia="宋体"/>
          <w:color w:val="auto"/>
          <w:kern w:val="1"/>
          <w:highlight w:val="none"/>
          <w:lang w:eastAsia="zh-CN"/>
        </w:rPr>
        <w:t>进出口总值109.26亿元，比上年增长9%。其中，出口64.6亿元，</w:t>
      </w:r>
      <w:r>
        <w:rPr>
          <w:rFonts w:hint="eastAsia" w:ascii="Times New Roman" w:hAnsi="Times New Roman"/>
          <w:color w:val="auto"/>
          <w:kern w:val="1"/>
          <w:highlight w:val="none"/>
          <w:lang w:eastAsia="zh-CN"/>
        </w:rPr>
        <w:t>下降</w:t>
      </w:r>
      <w:r>
        <w:rPr>
          <w:rFonts w:hint="eastAsia" w:ascii="Times New Roman" w:hAnsi="Times New Roman" w:eastAsia="宋体"/>
          <w:color w:val="auto"/>
          <w:kern w:val="1"/>
          <w:highlight w:val="none"/>
          <w:lang w:eastAsia="zh-CN"/>
        </w:rPr>
        <w:t>23.2%；进口44.66亿元，增长177.4%。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Times New Roman" w:hAnsi="Times New Roman" w:cs="Times New Roman"/>
          <w:b/>
          <w:color w:val="auto"/>
          <w:sz w:val="28"/>
          <w:szCs w:val="28"/>
        </w:rPr>
      </w:pPr>
      <w:r>
        <w:rPr>
          <w:rFonts w:ascii="Times New Roman" w:hAnsi="宋体" w:cs="Times New Roman"/>
          <w:b/>
          <w:bCs/>
          <w:color w:val="auto"/>
          <w:sz w:val="28"/>
          <w:szCs w:val="28"/>
          <w:highlight w:val="none"/>
        </w:rPr>
        <w:t>七、财政</w:t>
      </w:r>
      <w:r>
        <w:rPr>
          <w:rFonts w:hint="eastAsia" w:ascii="Times New Roman" w:hAnsi="宋体" w:cs="Times New Roman"/>
          <w:b/>
          <w:bCs/>
          <w:color w:val="auto"/>
          <w:sz w:val="28"/>
          <w:szCs w:val="28"/>
          <w:highlight w:val="none"/>
        </w:rPr>
        <w:t>和</w:t>
      </w:r>
      <w:r>
        <w:rPr>
          <w:rFonts w:ascii="Times New Roman" w:hAnsi="宋体" w:cs="Times New Roman"/>
          <w:b/>
          <w:bCs/>
          <w:color w:val="auto"/>
          <w:sz w:val="28"/>
          <w:szCs w:val="28"/>
          <w:highlight w:val="none"/>
        </w:rPr>
        <w:t>金融</w:t>
      </w:r>
    </w:p>
    <w:p>
      <w:pPr>
        <w:pStyle w:val="25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jc w:val="both"/>
        <w:rPr>
          <w:rFonts w:hint="eastAsia" w:ascii="Times New Roman" w:hAnsi="Times New Roman"/>
          <w:color w:val="auto"/>
          <w:kern w:val="1"/>
        </w:rPr>
      </w:pPr>
      <w:r>
        <w:rPr>
          <w:rFonts w:hint="eastAsia" w:ascii="Times New Roman" w:hAnsi="Times New Roman"/>
          <w:color w:val="auto"/>
          <w:kern w:val="1"/>
        </w:rPr>
        <w:t>全年全市地方财政总收入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306.05</w:t>
      </w:r>
      <w:r>
        <w:rPr>
          <w:rFonts w:hint="eastAsia" w:ascii="Times New Roman" w:hAnsi="Times New Roman"/>
          <w:color w:val="auto"/>
          <w:kern w:val="1"/>
        </w:rPr>
        <w:t>亿元，同比增长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18.1</w:t>
      </w:r>
      <w:r>
        <w:rPr>
          <w:rFonts w:hint="eastAsia" w:ascii="Times New Roman" w:hAnsi="Times New Roman"/>
          <w:color w:val="auto"/>
          <w:kern w:val="1"/>
        </w:rPr>
        <w:t>%。一般公共预算收入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202.27</w:t>
      </w:r>
      <w:r>
        <w:rPr>
          <w:rFonts w:hint="eastAsia" w:ascii="Times New Roman" w:hAnsi="Times New Roman"/>
          <w:color w:val="auto"/>
          <w:kern w:val="1"/>
        </w:rPr>
        <w:t>亿元，增长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12.3</w:t>
      </w:r>
      <w:r>
        <w:rPr>
          <w:rFonts w:hint="eastAsia" w:ascii="Times New Roman" w:hAnsi="Times New Roman"/>
          <w:color w:val="auto"/>
          <w:kern w:val="1"/>
        </w:rPr>
        <w:t>%。其中，税收收入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136.35</w:t>
      </w:r>
      <w:r>
        <w:rPr>
          <w:rFonts w:hint="eastAsia" w:ascii="Times New Roman" w:hAnsi="Times New Roman"/>
          <w:color w:val="auto"/>
          <w:kern w:val="1"/>
        </w:rPr>
        <w:t>亿元，增长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15.6</w:t>
      </w:r>
      <w:r>
        <w:rPr>
          <w:rFonts w:hint="eastAsia" w:ascii="Times New Roman" w:hAnsi="Times New Roman"/>
          <w:color w:val="auto"/>
          <w:kern w:val="1"/>
        </w:rPr>
        <w:t>%。一般公共预算支出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731.49</w:t>
      </w:r>
      <w:r>
        <w:rPr>
          <w:rFonts w:hint="eastAsia" w:ascii="Times New Roman" w:hAnsi="Times New Roman"/>
          <w:color w:val="auto"/>
          <w:kern w:val="1"/>
        </w:rPr>
        <w:t>亿元，</w:t>
      </w:r>
      <w:r>
        <w:rPr>
          <w:rFonts w:hint="eastAsia" w:ascii="Times New Roman" w:hAnsi="Times New Roman"/>
          <w:color w:val="auto"/>
          <w:kern w:val="1"/>
          <w:lang w:eastAsia="zh-CN"/>
        </w:rPr>
        <w:t>增长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5.9</w:t>
      </w:r>
      <w:r>
        <w:rPr>
          <w:rFonts w:hint="eastAsia" w:ascii="Times New Roman" w:hAnsi="Times New Roman"/>
          <w:color w:val="auto"/>
          <w:kern w:val="1"/>
        </w:rPr>
        <w:t>%。</w:t>
      </w:r>
    </w:p>
    <w:p>
      <w:pPr>
        <w:pStyle w:val="25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jc w:val="both"/>
        <w:rPr>
          <w:rFonts w:ascii="Times New Roman" w:hAnsi="宋体" w:cs="Times New Roman"/>
          <w:b/>
          <w:color w:val="auto"/>
          <w:sz w:val="28"/>
          <w:szCs w:val="28"/>
        </w:rPr>
      </w:pPr>
      <w:r>
        <w:rPr>
          <w:rFonts w:hint="eastAsia" w:ascii="Times New Roman" w:hAnsi="Times New Roman"/>
          <w:color w:val="auto"/>
          <w:kern w:val="1"/>
        </w:rPr>
        <w:t>年末全市金融机构</w:t>
      </w:r>
      <w:r>
        <w:rPr>
          <w:rFonts w:hint="eastAsia" w:ascii="Times New Roman" w:hAnsi="Times New Roman"/>
          <w:color w:val="auto"/>
          <w:kern w:val="1"/>
          <w:highlight w:val="none"/>
          <w:lang w:eastAsia="zh-CN"/>
        </w:rPr>
        <w:t>本外</w:t>
      </w:r>
      <w:r>
        <w:rPr>
          <w:rFonts w:hint="eastAsia" w:ascii="Times New Roman" w:hAnsi="Times New Roman"/>
          <w:color w:val="auto"/>
          <w:kern w:val="1"/>
        </w:rPr>
        <w:t>币各项存款余额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5625.03</w:t>
      </w:r>
      <w:r>
        <w:rPr>
          <w:rFonts w:hint="eastAsia" w:ascii="Times New Roman" w:hAnsi="Times New Roman"/>
          <w:color w:val="auto"/>
          <w:kern w:val="1"/>
        </w:rPr>
        <w:t>亿元，比年初增加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586.96</w:t>
      </w:r>
      <w:r>
        <w:rPr>
          <w:rFonts w:hint="eastAsia" w:ascii="Times New Roman" w:hAnsi="Times New Roman"/>
          <w:color w:val="auto"/>
          <w:kern w:val="1"/>
        </w:rPr>
        <w:t>亿元。其中，住户存款余额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4870.84</w:t>
      </w:r>
      <w:r>
        <w:rPr>
          <w:rFonts w:hint="eastAsia" w:ascii="Times New Roman" w:hAnsi="Times New Roman"/>
          <w:color w:val="auto"/>
          <w:kern w:val="1"/>
        </w:rPr>
        <w:t>亿元，比年初增加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585.66</w:t>
      </w:r>
      <w:r>
        <w:rPr>
          <w:rFonts w:hint="eastAsia" w:ascii="Times New Roman" w:hAnsi="Times New Roman"/>
          <w:color w:val="auto"/>
          <w:kern w:val="1"/>
        </w:rPr>
        <w:t>亿元。金融机构</w:t>
      </w:r>
      <w:r>
        <w:rPr>
          <w:rFonts w:hint="eastAsia" w:ascii="Times New Roman" w:hAnsi="Times New Roman"/>
          <w:color w:val="auto"/>
          <w:kern w:val="1"/>
          <w:highlight w:val="none"/>
          <w:lang w:eastAsia="zh-CN"/>
        </w:rPr>
        <w:t>本外币</w:t>
      </w:r>
      <w:r>
        <w:rPr>
          <w:rFonts w:hint="eastAsia" w:ascii="Times New Roman" w:hAnsi="Times New Roman"/>
          <w:color w:val="auto"/>
          <w:kern w:val="1"/>
        </w:rPr>
        <w:t>各项贷款余额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2578.80</w:t>
      </w:r>
      <w:r>
        <w:rPr>
          <w:rFonts w:hint="eastAsia" w:ascii="Times New Roman" w:hAnsi="Times New Roman"/>
          <w:color w:val="auto"/>
          <w:kern w:val="1"/>
        </w:rPr>
        <w:t>亿元，比年初增加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345.32</w:t>
      </w:r>
      <w:r>
        <w:rPr>
          <w:rFonts w:hint="eastAsia" w:ascii="Times New Roman" w:hAnsi="Times New Roman"/>
          <w:color w:val="auto"/>
          <w:kern w:val="1"/>
        </w:rPr>
        <w:t>亿元。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Times New Roman" w:hAnsi="Times New Roman" w:cs="Times New Roman"/>
          <w:b/>
          <w:color w:val="auto"/>
          <w:sz w:val="28"/>
          <w:szCs w:val="28"/>
        </w:rPr>
      </w:pPr>
      <w:r>
        <w:rPr>
          <w:rFonts w:ascii="Times New Roman" w:hAnsi="宋体" w:cs="Times New Roman"/>
          <w:b/>
          <w:color w:val="auto"/>
          <w:sz w:val="28"/>
          <w:szCs w:val="28"/>
        </w:rPr>
        <w:t>八、教育和科学技术</w:t>
      </w:r>
    </w:p>
    <w:p>
      <w:pPr>
        <w:pStyle w:val="25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jc w:val="both"/>
        <w:rPr>
          <w:rFonts w:hint="eastAsia" w:ascii="Times New Roman" w:hAnsi="Times New Roman"/>
          <w:color w:val="auto"/>
          <w:kern w:val="1"/>
          <w:lang w:eastAsia="zh-CN"/>
        </w:rPr>
      </w:pPr>
      <w:r>
        <w:rPr>
          <w:rFonts w:hint="eastAsia" w:ascii="Times New Roman" w:hAnsi="Times New Roman"/>
          <w:color w:val="auto"/>
          <w:kern w:val="1"/>
          <w:lang w:eastAsia="zh-CN"/>
        </w:rPr>
        <w:t>全年全市各级各类学校4563所，毕业生55.6万人，在校生211.74万人，招生51.75万人，教职工16.49万人。其中，高等教育学校5所，毕业生2.49万人，在校生10.64万人，招生4.26万人，教职工0.47万人。中等职业教育学校（含技工）37所，毕业生2.19万人，在校生6.85万人，招生2.27万人，教职工0.48万人。普通高中学校70所，毕业生6.99万人，在校生22.95万人，招生7.88万人，教职工2.07万人。初级中学461所，毕业生14.49万人，在校生46.5万人，招生15.55万人，教职工4.55万人。普通小学学校1705所，毕业生15.54万人，在校生92.53万人，招生13.8万人，教职工5.8万人。幼儿园2275所，毕业生13.85万人，在校生31.69万人，招生7.92万人，教职工3.03万人。特殊教育（含随班就读）10所，在校生5820人，招生707人，教职工457人。民办学校1858所，招生15.3万人，在校生61.42万人，毕业生21.07万人，教职工5.38万人。</w:t>
      </w:r>
    </w:p>
    <w:p>
      <w:pPr>
        <w:pStyle w:val="25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jc w:val="both"/>
        <w:rPr>
          <w:rFonts w:hint="eastAsia" w:ascii="Times New Roman" w:hAnsi="Times New Roman"/>
          <w:color w:val="auto"/>
          <w:kern w:val="1"/>
          <w:highlight w:val="none"/>
        </w:rPr>
      </w:pP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2023年全市获批省级工程技术研究中心29家，</w:t>
      </w:r>
      <w:r>
        <w:rPr>
          <w:rFonts w:hint="eastAsia" w:ascii="Times New Roman" w:hAnsi="Times New Roman"/>
          <w:color w:val="auto"/>
          <w:kern w:val="1"/>
          <w:highlight w:val="none"/>
        </w:rPr>
        <w:t>获批高新技术企业112家，认定国家科技型中小企业714家，新增“瞪羚企业”9家。新增省级高新技术开发区4家，省中试基地1家。新增省级科普基地1家。</w:t>
      </w:r>
    </w:p>
    <w:p>
      <w:pPr>
        <w:pStyle w:val="25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jc w:val="both"/>
        <w:rPr>
          <w:rFonts w:hint="eastAsia" w:ascii="Times New Roman" w:hAnsi="Times New Roman"/>
          <w:color w:val="auto"/>
          <w:kern w:val="1"/>
          <w:highlight w:val="none"/>
        </w:rPr>
      </w:pP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2023年全市</w:t>
      </w:r>
      <w:r>
        <w:rPr>
          <w:rFonts w:hint="eastAsia" w:ascii="Times New Roman" w:hAnsi="Times New Roman"/>
          <w:color w:val="auto"/>
          <w:kern w:val="1"/>
          <w:highlight w:val="none"/>
        </w:rPr>
        <w:t>培育创新型中小企业586家、省级“专精特新”中小企业64家。297个智能化改造项目全部完成，新增国家级新一代信息技术与制造业融合发展示范企业1家、国家级智能制造示范优秀场景2家、河南省服务型制造标杆企业1家</w:t>
      </w:r>
      <w:r>
        <w:rPr>
          <w:rFonts w:hint="eastAsia" w:ascii="Times New Roman" w:hAnsi="Times New Roman"/>
          <w:color w:val="auto"/>
          <w:kern w:val="1"/>
          <w:highlight w:val="none"/>
          <w:lang w:eastAsia="zh-CN"/>
        </w:rPr>
        <w:t>、</w:t>
      </w:r>
      <w:r>
        <w:rPr>
          <w:rFonts w:hint="eastAsia" w:ascii="Times New Roman" w:hAnsi="Times New Roman"/>
          <w:color w:val="auto"/>
          <w:kern w:val="1"/>
          <w:highlight w:val="none"/>
        </w:rPr>
        <w:t>河南省智能制造标杆企业1家、智能车间（工厂）17家。</w:t>
      </w:r>
    </w:p>
    <w:p>
      <w:pPr>
        <w:pStyle w:val="25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jc w:val="both"/>
        <w:rPr>
          <w:rFonts w:ascii="Times New Roman" w:hAnsi="宋体" w:cs="Times New Roman"/>
          <w:b/>
          <w:bCs/>
          <w:color w:val="auto"/>
          <w:sz w:val="28"/>
          <w:szCs w:val="28"/>
        </w:rPr>
      </w:pPr>
      <w:r>
        <w:rPr>
          <w:rFonts w:hint="eastAsia" w:ascii="Times New Roman" w:hAnsi="Times New Roman"/>
          <w:color w:val="auto"/>
          <w:kern w:val="1"/>
          <w:highlight w:val="none"/>
        </w:rPr>
        <w:t>截至2023年</w:t>
      </w:r>
      <w:r>
        <w:rPr>
          <w:rFonts w:hint="eastAsia" w:ascii="Times New Roman" w:hAnsi="Times New Roman"/>
          <w:color w:val="auto"/>
          <w:kern w:val="1"/>
          <w:highlight w:val="none"/>
          <w:lang w:eastAsia="zh-CN"/>
        </w:rPr>
        <w:t>底，</w:t>
      </w:r>
      <w:r>
        <w:rPr>
          <w:rFonts w:hint="eastAsia" w:ascii="Times New Roman" w:hAnsi="Times New Roman"/>
          <w:color w:val="auto"/>
          <w:kern w:val="1"/>
          <w:highlight w:val="none"/>
        </w:rPr>
        <w:t>全市有效专利拥有量</w:t>
      </w: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18619</w:t>
      </w:r>
      <w:r>
        <w:rPr>
          <w:rFonts w:hint="eastAsia" w:ascii="Times New Roman" w:hAnsi="Times New Roman"/>
          <w:color w:val="auto"/>
          <w:kern w:val="1"/>
          <w:highlight w:val="none"/>
        </w:rPr>
        <w:t>件，增长</w:t>
      </w: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19.6</w:t>
      </w:r>
      <w:r>
        <w:rPr>
          <w:rFonts w:hint="eastAsia" w:ascii="Times New Roman" w:hAnsi="Times New Roman"/>
          <w:color w:val="auto"/>
          <w:kern w:val="1"/>
          <w:highlight w:val="none"/>
        </w:rPr>
        <w:t>%。</w:t>
      </w: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新增授权专利3046件，培育国家知识产权示范企业1家、国家知识产权优势企业3家、省级知识产权示范企业1家、省级知识产权优势企业23家。周口“智慧岛”、国家知识产权专利审查协作周口工作站、国家技术转移郑州中心周口分中心挂牌运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Times New Roman" w:hAnsi="Times New Roman" w:cs="Times New Roman"/>
          <w:b/>
          <w:color w:val="auto"/>
          <w:sz w:val="28"/>
          <w:szCs w:val="28"/>
        </w:rPr>
      </w:pPr>
      <w:r>
        <w:rPr>
          <w:rFonts w:ascii="Times New Roman" w:hAnsi="宋体" w:cs="Times New Roman"/>
          <w:b/>
          <w:bCs/>
          <w:color w:val="auto"/>
          <w:sz w:val="28"/>
          <w:szCs w:val="28"/>
        </w:rPr>
        <w:t>九、文化</w:t>
      </w:r>
      <w:r>
        <w:rPr>
          <w:rFonts w:hint="eastAsia" w:ascii="Times New Roman" w:hAnsi="宋体" w:cs="Times New Roman"/>
          <w:b/>
          <w:bCs/>
          <w:color w:val="auto"/>
          <w:sz w:val="28"/>
          <w:szCs w:val="28"/>
          <w:lang w:eastAsia="zh-CN"/>
        </w:rPr>
        <w:t>旅游</w:t>
      </w:r>
      <w:r>
        <w:rPr>
          <w:rFonts w:ascii="Times New Roman" w:hAnsi="宋体" w:cs="Times New Roman"/>
          <w:b/>
          <w:bCs/>
          <w:color w:val="auto"/>
          <w:sz w:val="28"/>
          <w:szCs w:val="28"/>
        </w:rPr>
        <w:t>、卫生</w:t>
      </w:r>
      <w:r>
        <w:rPr>
          <w:rFonts w:hint="eastAsia" w:ascii="Times New Roman" w:hAnsi="宋体" w:cs="Times New Roman"/>
          <w:b/>
          <w:bCs/>
          <w:color w:val="auto"/>
          <w:sz w:val="28"/>
          <w:szCs w:val="28"/>
          <w:lang w:eastAsia="zh-CN"/>
        </w:rPr>
        <w:t>健康</w:t>
      </w:r>
      <w:r>
        <w:rPr>
          <w:rFonts w:ascii="Times New Roman" w:hAnsi="宋体" w:cs="Times New Roman"/>
          <w:b/>
          <w:bCs/>
          <w:color w:val="auto"/>
          <w:sz w:val="28"/>
          <w:szCs w:val="28"/>
        </w:rPr>
        <w:t>和体育</w:t>
      </w:r>
    </w:p>
    <w:p>
      <w:pPr>
        <w:pStyle w:val="25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jc w:val="both"/>
        <w:rPr>
          <w:rFonts w:hint="eastAsia" w:ascii="Times New Roman" w:hAnsi="Times New Roman"/>
          <w:color w:val="auto"/>
          <w:kern w:val="1"/>
          <w:highlight w:val="none"/>
        </w:rPr>
      </w:pPr>
      <w:r>
        <w:rPr>
          <w:rFonts w:hint="eastAsia" w:ascii="Times New Roman" w:hAnsi="Times New Roman"/>
          <w:color w:val="auto"/>
          <w:kern w:val="1"/>
          <w:highlight w:val="none"/>
        </w:rPr>
        <w:t>年末全市共有国有院团11家，文化馆12个，博物馆</w:t>
      </w: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21</w:t>
      </w:r>
      <w:r>
        <w:rPr>
          <w:rFonts w:hint="eastAsia" w:ascii="Times New Roman" w:hAnsi="Times New Roman"/>
          <w:color w:val="auto"/>
          <w:kern w:val="1"/>
          <w:highlight w:val="none"/>
        </w:rPr>
        <w:t>个，公共图书馆11个。广播电台10座，电视台10座，调频转播台1座。</w:t>
      </w:r>
      <w:r>
        <w:rPr>
          <w:rFonts w:hint="eastAsia" w:ascii="Times New Roman" w:hAnsi="Times New Roman"/>
          <w:color w:val="auto"/>
          <w:kern w:val="1"/>
          <w:highlight w:val="none"/>
          <w:lang w:eastAsia="zh-CN"/>
        </w:rPr>
        <w:t>本年新增图书藏量</w:t>
      </w: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7.51万</w:t>
      </w:r>
      <w:r>
        <w:rPr>
          <w:rFonts w:hint="eastAsia" w:ascii="Times New Roman" w:hAnsi="Times New Roman"/>
          <w:color w:val="auto"/>
          <w:kern w:val="1"/>
          <w:highlight w:val="none"/>
        </w:rPr>
        <w:t>册，其中少儿类</w:t>
      </w: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0.72万</w:t>
      </w:r>
      <w:r>
        <w:rPr>
          <w:rFonts w:hint="eastAsia" w:ascii="Times New Roman" w:hAnsi="Times New Roman"/>
          <w:color w:val="auto"/>
          <w:kern w:val="1"/>
          <w:highlight w:val="none"/>
        </w:rPr>
        <w:t>册，成人类</w:t>
      </w: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6.79万</w:t>
      </w:r>
      <w:r>
        <w:rPr>
          <w:rFonts w:hint="eastAsia" w:ascii="Times New Roman" w:hAnsi="Times New Roman"/>
          <w:color w:val="auto"/>
          <w:kern w:val="1"/>
          <w:highlight w:val="none"/>
        </w:rPr>
        <w:t>册。公共文化场馆继续免费开放。</w:t>
      </w:r>
    </w:p>
    <w:p>
      <w:pPr>
        <w:pStyle w:val="25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jc w:val="both"/>
        <w:rPr>
          <w:rFonts w:hint="eastAsia" w:ascii="Times New Roman" w:hAnsi="Times New Roman"/>
          <w:color w:val="auto"/>
          <w:kern w:val="1"/>
          <w:highlight w:val="none"/>
        </w:rPr>
      </w:pPr>
      <w:r>
        <w:rPr>
          <w:rFonts w:hint="eastAsia" w:ascii="Times New Roman" w:hAnsi="Times New Roman"/>
          <w:color w:val="auto"/>
          <w:kern w:val="1"/>
          <w:highlight w:val="none"/>
        </w:rPr>
        <w:t>全年全市共接待海内外游客</w:t>
      </w: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3605.61</w:t>
      </w:r>
      <w:r>
        <w:rPr>
          <w:rFonts w:hint="eastAsia" w:ascii="Times New Roman" w:hAnsi="Times New Roman"/>
          <w:color w:val="auto"/>
          <w:kern w:val="1"/>
          <w:highlight w:val="none"/>
        </w:rPr>
        <w:t>万人次。其中</w:t>
      </w:r>
      <w:r>
        <w:rPr>
          <w:rFonts w:hint="eastAsia"/>
          <w:color w:val="auto"/>
          <w:highlight w:val="none"/>
          <w:lang w:eastAsia="zh-CN"/>
        </w:rPr>
        <w:t>，</w:t>
      </w:r>
      <w:r>
        <w:rPr>
          <w:rFonts w:hint="eastAsia" w:ascii="Times New Roman" w:hAnsi="Times New Roman"/>
          <w:color w:val="auto"/>
          <w:kern w:val="1"/>
          <w:highlight w:val="none"/>
        </w:rPr>
        <w:t>接待国内游客</w:t>
      </w: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3605.12</w:t>
      </w:r>
      <w:r>
        <w:rPr>
          <w:rFonts w:hint="eastAsia" w:ascii="Times New Roman" w:hAnsi="Times New Roman"/>
          <w:color w:val="auto"/>
          <w:kern w:val="1"/>
          <w:highlight w:val="none"/>
        </w:rPr>
        <w:t>万人次。旅游综合收入</w:t>
      </w: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117.24</w:t>
      </w:r>
      <w:r>
        <w:rPr>
          <w:rFonts w:hint="eastAsia" w:ascii="Times New Roman" w:hAnsi="Times New Roman"/>
          <w:color w:val="auto"/>
          <w:kern w:val="1"/>
          <w:highlight w:val="none"/>
        </w:rPr>
        <w:t>亿元。年末全市共有A级景区</w:t>
      </w: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39</w:t>
      </w:r>
      <w:r>
        <w:rPr>
          <w:rFonts w:hint="eastAsia" w:ascii="Times New Roman" w:hAnsi="Times New Roman"/>
          <w:color w:val="auto"/>
          <w:kern w:val="1"/>
          <w:highlight w:val="none"/>
        </w:rPr>
        <w:t>家。其中，4A级景区</w:t>
      </w: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6</w:t>
      </w:r>
      <w:r>
        <w:rPr>
          <w:rFonts w:hint="eastAsia" w:ascii="Times New Roman" w:hAnsi="Times New Roman"/>
          <w:color w:val="auto"/>
          <w:kern w:val="1"/>
          <w:highlight w:val="none"/>
        </w:rPr>
        <w:t>家，3A级景区</w:t>
      </w: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23</w:t>
      </w:r>
      <w:r>
        <w:rPr>
          <w:rFonts w:hint="eastAsia" w:ascii="Times New Roman" w:hAnsi="Times New Roman"/>
          <w:color w:val="auto"/>
          <w:kern w:val="1"/>
          <w:highlight w:val="none"/>
        </w:rPr>
        <w:t>家，2A级景区</w:t>
      </w: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10</w:t>
      </w:r>
      <w:r>
        <w:rPr>
          <w:rFonts w:hint="eastAsia" w:ascii="Times New Roman" w:hAnsi="Times New Roman"/>
          <w:color w:val="auto"/>
          <w:kern w:val="1"/>
          <w:highlight w:val="none"/>
        </w:rPr>
        <w:t>家。旅行社</w:t>
      </w: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46</w:t>
      </w:r>
      <w:r>
        <w:rPr>
          <w:rFonts w:hint="eastAsia" w:ascii="Times New Roman" w:hAnsi="Times New Roman"/>
          <w:color w:val="auto"/>
          <w:kern w:val="1"/>
          <w:highlight w:val="none"/>
        </w:rPr>
        <w:t>家</w:t>
      </w: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，</w:t>
      </w:r>
      <w:r>
        <w:rPr>
          <w:rFonts w:hint="eastAsia" w:ascii="Times New Roman" w:hAnsi="Times New Roman"/>
          <w:color w:val="auto"/>
          <w:kern w:val="1"/>
          <w:highlight w:val="none"/>
        </w:rPr>
        <w:t>星级饭店</w:t>
      </w: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8</w:t>
      </w:r>
      <w:r>
        <w:rPr>
          <w:rFonts w:hint="eastAsia" w:ascii="Times New Roman" w:hAnsi="Times New Roman"/>
          <w:color w:val="auto"/>
          <w:kern w:val="1"/>
          <w:highlight w:val="none"/>
          <w:lang w:eastAsia="zh-CN"/>
        </w:rPr>
        <w:t>个</w:t>
      </w:r>
      <w:r>
        <w:rPr>
          <w:rFonts w:hint="eastAsia" w:ascii="Times New Roman" w:hAnsi="Times New Roman"/>
          <w:color w:val="auto"/>
          <w:kern w:val="1"/>
          <w:highlight w:val="none"/>
        </w:rPr>
        <w:t>。</w:t>
      </w:r>
    </w:p>
    <w:p>
      <w:pPr>
        <w:pStyle w:val="25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jc w:val="both"/>
        <w:rPr>
          <w:rFonts w:ascii="Times New Roman" w:hAnsi="Times New Roman"/>
          <w:color w:val="auto"/>
          <w:kern w:val="1"/>
          <w:highlight w:val="none"/>
        </w:rPr>
      </w:pPr>
      <w:r>
        <w:rPr>
          <w:rFonts w:hint="eastAsia" w:ascii="Times New Roman" w:hAnsi="Times New Roman"/>
          <w:color w:val="auto"/>
          <w:kern w:val="1"/>
          <w:highlight w:val="none"/>
        </w:rPr>
        <w:t>年末全市共有全国重点文物保护单位18处，省级重点文物保护单位72处，市级文物保护单位</w:t>
      </w: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147</w:t>
      </w:r>
      <w:r>
        <w:rPr>
          <w:rFonts w:hint="eastAsia" w:ascii="Times New Roman" w:hAnsi="Times New Roman"/>
          <w:color w:val="auto"/>
          <w:kern w:val="1"/>
          <w:highlight w:val="none"/>
        </w:rPr>
        <w:t>处，县级文物保护单位</w:t>
      </w: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507</w:t>
      </w:r>
      <w:r>
        <w:rPr>
          <w:rFonts w:hint="eastAsia" w:ascii="Times New Roman" w:hAnsi="Times New Roman"/>
          <w:color w:val="auto"/>
          <w:kern w:val="1"/>
          <w:highlight w:val="none"/>
        </w:rPr>
        <w:t>处，不可移动文物3884处，国家级非物质文化遗产10项，省级非物质文化遗产</w:t>
      </w: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50</w:t>
      </w:r>
      <w:r>
        <w:rPr>
          <w:rFonts w:hint="eastAsia" w:ascii="Times New Roman" w:hAnsi="Times New Roman"/>
          <w:color w:val="auto"/>
          <w:kern w:val="1"/>
          <w:highlight w:val="none"/>
        </w:rPr>
        <w:t>项。</w:t>
      </w:r>
    </w:p>
    <w:p>
      <w:pPr>
        <w:pStyle w:val="25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jc w:val="both"/>
        <w:rPr>
          <w:rFonts w:hint="eastAsia" w:ascii="Times New Roman" w:hAnsi="Times New Roman" w:eastAsia="宋体"/>
          <w:color w:val="auto"/>
          <w:kern w:val="1"/>
          <w:lang w:eastAsia="zh-CN"/>
        </w:rPr>
      </w:pPr>
      <w:r>
        <w:rPr>
          <w:rFonts w:hint="eastAsia" w:ascii="Times New Roman" w:hAnsi="Times New Roman"/>
          <w:color w:val="auto"/>
          <w:kern w:val="1"/>
        </w:rPr>
        <w:t>2023年全市共有医疗卫生机构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9534</w:t>
      </w:r>
      <w:r>
        <w:rPr>
          <w:rFonts w:hint="eastAsia" w:ascii="Times New Roman" w:hAnsi="Times New Roman"/>
          <w:color w:val="auto"/>
          <w:kern w:val="1"/>
        </w:rPr>
        <w:t>个（含村卫生室7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77</w:t>
      </w:r>
      <w:r>
        <w:rPr>
          <w:rFonts w:hint="eastAsia" w:ascii="Times New Roman" w:hAnsi="Times New Roman"/>
          <w:color w:val="auto"/>
          <w:kern w:val="1"/>
        </w:rPr>
        <w:t>1个），医院（含民营）288个，卫生院178个，妇幼保健院（所、站）11个。执业医师和执业助理医师3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.</w:t>
      </w:r>
      <w:r>
        <w:rPr>
          <w:rFonts w:hint="eastAsia" w:ascii="Times New Roman" w:hAnsi="Times New Roman"/>
          <w:color w:val="auto"/>
          <w:kern w:val="1"/>
        </w:rPr>
        <w:t>0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0万</w:t>
      </w:r>
      <w:r>
        <w:rPr>
          <w:rFonts w:hint="eastAsia" w:ascii="Times New Roman" w:hAnsi="Times New Roman"/>
          <w:color w:val="auto"/>
          <w:kern w:val="1"/>
        </w:rPr>
        <w:t>人，注册护士3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.</w:t>
      </w:r>
      <w:r>
        <w:rPr>
          <w:rFonts w:hint="eastAsia" w:ascii="Times New Roman" w:hAnsi="Times New Roman"/>
          <w:color w:val="auto"/>
          <w:kern w:val="1"/>
        </w:rPr>
        <w:t>10</w:t>
      </w:r>
      <w:r>
        <w:rPr>
          <w:rFonts w:hint="eastAsia" w:ascii="Times New Roman" w:hAnsi="Times New Roman"/>
          <w:color w:val="auto"/>
          <w:kern w:val="1"/>
          <w:lang w:eastAsia="zh-CN"/>
        </w:rPr>
        <w:t>万</w:t>
      </w:r>
      <w:r>
        <w:rPr>
          <w:rFonts w:hint="eastAsia" w:ascii="Times New Roman" w:hAnsi="Times New Roman"/>
          <w:color w:val="auto"/>
          <w:kern w:val="1"/>
        </w:rPr>
        <w:t>人。疾病预防控制中心11个，卫生监督所11个。乡镇卫生院177个。编制床位4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.</w:t>
      </w:r>
      <w:r>
        <w:rPr>
          <w:rFonts w:hint="eastAsia" w:ascii="Times New Roman" w:hAnsi="Times New Roman"/>
          <w:color w:val="auto"/>
          <w:kern w:val="1"/>
        </w:rPr>
        <w:t>78</w:t>
      </w:r>
      <w:r>
        <w:rPr>
          <w:rFonts w:hint="eastAsia" w:ascii="Times New Roman" w:hAnsi="Times New Roman"/>
          <w:color w:val="auto"/>
          <w:kern w:val="1"/>
          <w:lang w:eastAsia="zh-CN"/>
        </w:rPr>
        <w:t>万</w:t>
      </w:r>
      <w:r>
        <w:rPr>
          <w:rFonts w:hint="eastAsia" w:ascii="Times New Roman" w:hAnsi="Times New Roman"/>
          <w:color w:val="auto"/>
          <w:kern w:val="1"/>
        </w:rPr>
        <w:t>张，实有床位数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7.15万</w:t>
      </w:r>
      <w:r>
        <w:rPr>
          <w:rFonts w:hint="eastAsia" w:ascii="Times New Roman" w:hAnsi="Times New Roman"/>
          <w:color w:val="auto"/>
          <w:kern w:val="1"/>
        </w:rPr>
        <w:t>张，卫生技术人员7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.</w:t>
      </w:r>
      <w:r>
        <w:rPr>
          <w:rFonts w:hint="eastAsia" w:ascii="Times New Roman" w:hAnsi="Times New Roman"/>
          <w:color w:val="auto"/>
          <w:kern w:val="1"/>
        </w:rPr>
        <w:t>2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4万</w:t>
      </w:r>
      <w:r>
        <w:rPr>
          <w:rFonts w:hint="eastAsia" w:ascii="Times New Roman" w:hAnsi="Times New Roman"/>
          <w:color w:val="auto"/>
          <w:kern w:val="1"/>
        </w:rPr>
        <w:t>人。三级医院共14家，其中，三级甲等综合医院1家，三级中医院4家；二级医院75家，其中，中医医院9家</w:t>
      </w:r>
      <w:r>
        <w:rPr>
          <w:rFonts w:hint="eastAsia" w:ascii="Times New Roman" w:hAnsi="Times New Roman"/>
          <w:color w:val="auto"/>
          <w:kern w:val="1"/>
          <w:lang w:eastAsia="zh-CN"/>
        </w:rPr>
        <w:t>。</w:t>
      </w:r>
    </w:p>
    <w:p>
      <w:pPr>
        <w:pStyle w:val="25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jc w:val="both"/>
        <w:rPr>
          <w:rFonts w:hint="eastAsia" w:ascii="Times New Roman" w:hAnsi="Times New Roman" w:eastAsia="宋体"/>
          <w:color w:val="auto"/>
          <w:kern w:val="1"/>
          <w:lang w:val="en-US" w:eastAsia="zh-CN"/>
        </w:rPr>
      </w:pPr>
      <w:r>
        <w:rPr>
          <w:rFonts w:hint="eastAsia" w:ascii="Times New Roman" w:hAnsi="Times New Roman" w:eastAsia="宋体"/>
          <w:color w:val="auto"/>
          <w:kern w:val="1"/>
        </w:rPr>
        <w:t>第十四届河南省运动会，周口市代表团（青少年组）共夺得31枚金牌、31枚银牌、40枚铜牌。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Times New Roman" w:hAnsi="宋体" w:cs="Times New Roman"/>
          <w:b/>
          <w:bCs/>
          <w:color w:val="auto"/>
          <w:sz w:val="28"/>
          <w:szCs w:val="28"/>
        </w:rPr>
      </w:pPr>
      <w:r>
        <w:rPr>
          <w:rFonts w:ascii="Times New Roman" w:hAnsi="宋体" w:cs="Times New Roman"/>
          <w:b/>
          <w:bCs/>
          <w:color w:val="auto"/>
          <w:sz w:val="28"/>
          <w:szCs w:val="28"/>
        </w:rPr>
        <w:t>十、人民生活和社会保障</w:t>
      </w:r>
    </w:p>
    <w:p>
      <w:pPr>
        <w:pStyle w:val="25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jc w:val="both"/>
        <w:rPr>
          <w:rFonts w:hint="eastAsia" w:ascii="Times New Roman" w:hAnsi="Times New Roman"/>
          <w:b/>
          <w:bCs/>
          <w:color w:val="auto"/>
          <w:szCs w:val="22"/>
        </w:rPr>
      </w:pPr>
      <w:r>
        <w:rPr>
          <w:rFonts w:hint="eastAsia" w:ascii="Times New Roman" w:hAnsi="Times New Roman"/>
          <w:color w:val="auto"/>
          <w:kern w:val="1"/>
        </w:rPr>
        <w:t>全年全市居民人均可支配收入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23102</w:t>
      </w:r>
      <w:r>
        <w:rPr>
          <w:rFonts w:hint="eastAsia" w:ascii="Times New Roman" w:hAnsi="Times New Roman"/>
          <w:color w:val="auto"/>
          <w:kern w:val="1"/>
        </w:rPr>
        <w:t>元，</w:t>
      </w:r>
      <w:r>
        <w:rPr>
          <w:rFonts w:hint="eastAsia" w:ascii="Times New Roman" w:hAnsi="Times New Roman"/>
          <w:color w:val="auto"/>
          <w:kern w:val="1"/>
          <w:lang w:eastAsia="zh-CN"/>
        </w:rPr>
        <w:t>同比</w:t>
      </w:r>
      <w:r>
        <w:rPr>
          <w:rFonts w:hint="eastAsia" w:ascii="Times New Roman" w:hAnsi="Times New Roman"/>
          <w:color w:val="auto"/>
          <w:kern w:val="1"/>
        </w:rPr>
        <w:t>增长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5.1</w:t>
      </w:r>
      <w:r>
        <w:rPr>
          <w:rFonts w:hint="eastAsia" w:ascii="Times New Roman" w:hAnsi="Times New Roman"/>
          <w:color w:val="auto"/>
          <w:kern w:val="1"/>
        </w:rPr>
        <w:t>%。按常住地分，城镇居民人均可支配收入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33084</w:t>
      </w:r>
      <w:r>
        <w:rPr>
          <w:rFonts w:hint="eastAsia" w:ascii="Times New Roman" w:hAnsi="Times New Roman"/>
          <w:color w:val="auto"/>
          <w:kern w:val="1"/>
        </w:rPr>
        <w:t>元，增长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4.3</w:t>
      </w:r>
      <w:r>
        <w:rPr>
          <w:rFonts w:hint="eastAsia" w:ascii="Times New Roman" w:hAnsi="Times New Roman"/>
          <w:color w:val="auto"/>
          <w:kern w:val="1"/>
        </w:rPr>
        <w:t>%；农村居民人均可支配收入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16342</w:t>
      </w:r>
      <w:r>
        <w:rPr>
          <w:rFonts w:hint="eastAsia" w:ascii="Times New Roman" w:hAnsi="Times New Roman"/>
          <w:color w:val="auto"/>
          <w:kern w:val="1"/>
        </w:rPr>
        <w:t>元，增长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7.5</w:t>
      </w:r>
      <w:r>
        <w:rPr>
          <w:rFonts w:hint="eastAsia" w:ascii="Times New Roman" w:hAnsi="Times New Roman"/>
          <w:color w:val="auto"/>
          <w:kern w:val="1"/>
        </w:rPr>
        <w:t>%</w:t>
      </w:r>
      <w:r>
        <w:rPr>
          <w:rFonts w:hint="eastAsia" w:ascii="Times New Roman" w:hAnsi="Times New Roman"/>
          <w:color w:val="auto"/>
          <w:kern w:val="1"/>
          <w:highlight w:val="none"/>
        </w:rPr>
        <w:t>。</w:t>
      </w:r>
      <w:r>
        <w:rPr>
          <w:rFonts w:hint="eastAsia" w:ascii="Times New Roman" w:hAnsi="Times New Roman"/>
          <w:color w:val="auto"/>
          <w:kern w:val="1"/>
          <w:highlight w:val="none"/>
          <w:lang w:eastAsia="zh-CN"/>
        </w:rPr>
        <w:t>全市居民人均消费支出</w:t>
      </w: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17286元，同比增长8.8%。</w:t>
      </w:r>
      <w:r>
        <w:rPr>
          <w:rFonts w:hint="eastAsia" w:ascii="Times New Roman" w:hAnsi="Times New Roman"/>
          <w:color w:val="auto"/>
          <w:kern w:val="1"/>
          <w:highlight w:val="none"/>
        </w:rPr>
        <w:t>按常住地分，城镇居民人均</w:t>
      </w:r>
      <w:r>
        <w:rPr>
          <w:rFonts w:hint="eastAsia" w:ascii="Times New Roman" w:hAnsi="Times New Roman"/>
          <w:color w:val="auto"/>
          <w:kern w:val="1"/>
          <w:highlight w:val="none"/>
          <w:lang w:eastAsia="zh-CN"/>
        </w:rPr>
        <w:t>消费支出</w:t>
      </w: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21197</w:t>
      </w:r>
      <w:r>
        <w:rPr>
          <w:rFonts w:hint="eastAsia" w:ascii="Times New Roman" w:hAnsi="Times New Roman"/>
          <w:color w:val="auto"/>
          <w:kern w:val="1"/>
          <w:highlight w:val="none"/>
        </w:rPr>
        <w:t>元，增长</w:t>
      </w: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1.2</w:t>
      </w:r>
      <w:r>
        <w:rPr>
          <w:rFonts w:hint="eastAsia" w:ascii="Times New Roman" w:hAnsi="Times New Roman"/>
          <w:color w:val="auto"/>
          <w:kern w:val="1"/>
          <w:highlight w:val="none"/>
        </w:rPr>
        <w:t>%；农村居民人均</w:t>
      </w:r>
      <w:r>
        <w:rPr>
          <w:rFonts w:hint="eastAsia" w:ascii="Times New Roman" w:hAnsi="Times New Roman"/>
          <w:color w:val="auto"/>
          <w:kern w:val="1"/>
          <w:highlight w:val="none"/>
          <w:lang w:eastAsia="zh-CN"/>
        </w:rPr>
        <w:t>消费支出</w:t>
      </w: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14638</w:t>
      </w:r>
      <w:r>
        <w:rPr>
          <w:rFonts w:hint="eastAsia" w:ascii="Times New Roman" w:hAnsi="Times New Roman"/>
          <w:color w:val="auto"/>
          <w:kern w:val="1"/>
          <w:highlight w:val="none"/>
        </w:rPr>
        <w:t>元，增长</w:t>
      </w:r>
      <w:r>
        <w:rPr>
          <w:rFonts w:hint="eastAsia" w:ascii="Times New Roman" w:hAnsi="Times New Roman"/>
          <w:color w:val="auto"/>
          <w:kern w:val="1"/>
          <w:highlight w:val="none"/>
          <w:lang w:val="en-US" w:eastAsia="zh-CN"/>
        </w:rPr>
        <w:t>18.4</w:t>
      </w:r>
      <w:r>
        <w:rPr>
          <w:rFonts w:hint="eastAsia" w:ascii="Times New Roman" w:hAnsi="Times New Roman"/>
          <w:color w:val="auto"/>
          <w:kern w:val="1"/>
          <w:highlight w:val="none"/>
        </w:rPr>
        <w:t>%。</w:t>
      </w:r>
    </w:p>
    <w:p>
      <w:pPr>
        <w:pStyle w:val="2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1" w:firstLineChars="200"/>
        <w:jc w:val="center"/>
        <w:textAlignment w:val="auto"/>
        <w:rPr>
          <w:rFonts w:hint="eastAsia" w:ascii="Times New Roman" w:hAnsi="Times New Roman"/>
          <w:b/>
          <w:bCs/>
          <w:color w:val="auto"/>
          <w:szCs w:val="22"/>
        </w:rPr>
      </w:pPr>
      <w:r>
        <w:rPr>
          <w:rFonts w:hint="eastAsia" w:ascii="Times New Roman" w:hAnsi="Times New Roman"/>
          <w:b/>
          <w:bCs/>
          <w:color w:val="auto"/>
          <w:szCs w:val="22"/>
        </w:rPr>
        <w:t>图</w:t>
      </w:r>
      <w:r>
        <w:rPr>
          <w:rFonts w:hint="eastAsia" w:ascii="Times New Roman" w:hAnsi="Times New Roman"/>
          <w:b/>
          <w:bCs/>
          <w:color w:val="auto"/>
          <w:szCs w:val="22"/>
          <w:lang w:val="en-US" w:eastAsia="zh-CN"/>
        </w:rPr>
        <w:t>2</w:t>
      </w:r>
      <w:r>
        <w:rPr>
          <w:rFonts w:hint="eastAsia" w:ascii="Times New Roman" w:hAnsi="Times New Roman"/>
          <w:b/>
          <w:bCs/>
          <w:color w:val="auto"/>
          <w:szCs w:val="22"/>
        </w:rPr>
        <w:t xml:space="preserve">  2017-202</w:t>
      </w:r>
      <w:r>
        <w:rPr>
          <w:rFonts w:hint="eastAsia" w:ascii="Times New Roman" w:hAnsi="Times New Roman"/>
          <w:b/>
          <w:bCs/>
          <w:color w:val="auto"/>
          <w:szCs w:val="22"/>
          <w:lang w:val="en-US" w:eastAsia="zh-CN"/>
        </w:rPr>
        <w:t>3</w:t>
      </w:r>
      <w:r>
        <w:rPr>
          <w:rFonts w:hint="eastAsia" w:ascii="Times New Roman" w:hAnsi="Times New Roman"/>
          <w:b/>
          <w:bCs/>
          <w:color w:val="auto"/>
          <w:szCs w:val="22"/>
        </w:rPr>
        <w:t>年</w:t>
      </w:r>
      <w:r>
        <w:rPr>
          <w:rFonts w:hint="eastAsia" w:ascii="Times New Roman" w:hAnsi="Times New Roman"/>
          <w:b/>
          <w:bCs/>
          <w:color w:val="auto"/>
          <w:szCs w:val="22"/>
          <w:lang w:eastAsia="zh-CN"/>
        </w:rPr>
        <w:t>周口</w:t>
      </w:r>
      <w:r>
        <w:rPr>
          <w:rFonts w:hint="eastAsia" w:ascii="Times New Roman" w:hAnsi="Times New Roman"/>
          <w:b/>
          <w:bCs/>
          <w:color w:val="auto"/>
          <w:szCs w:val="22"/>
        </w:rPr>
        <w:t>市居民人均可支配收入及增速</w:t>
      </w:r>
    </w:p>
    <w:p>
      <w:pPr>
        <w:pStyle w:val="2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firstLine="480" w:firstLineChars="200"/>
        <w:jc w:val="righ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z w:val="21"/>
          <w:szCs w:val="21"/>
          <w:lang w:val="en-US" w:eastAsia="zh-CN"/>
        </w:rPr>
      </w:pPr>
      <w:r>
        <w:rPr>
          <w:color w:val="auto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page">
              <wp:align>center</wp:align>
            </wp:positionH>
            <wp:positionV relativeFrom="page">
              <wp:posOffset>7196455</wp:posOffset>
            </wp:positionV>
            <wp:extent cx="5271135" cy="2504440"/>
            <wp:effectExtent l="0" t="0" r="0" b="0"/>
            <wp:wrapTopAndBottom/>
            <wp:docPr id="79354" name="图表 1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anchor>
        </w:drawing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z w:val="21"/>
          <w:szCs w:val="21"/>
          <w:lang w:eastAsia="zh-CN"/>
        </w:rPr>
        <w:t>单位：元，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z w:val="21"/>
          <w:szCs w:val="21"/>
          <w:lang w:val="en-US" w:eastAsia="zh-CN"/>
        </w:rPr>
        <w:t>%</w:t>
      </w:r>
    </w:p>
    <w:p>
      <w:pPr>
        <w:pStyle w:val="2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jc w:val="both"/>
        <w:textAlignment w:val="auto"/>
        <w:rPr>
          <w:rFonts w:hint="eastAsia" w:ascii="Times New Roman" w:hAnsi="Times New Roman"/>
          <w:color w:val="auto"/>
          <w:kern w:val="1"/>
        </w:rPr>
      </w:pPr>
      <w:r>
        <w:rPr>
          <w:rFonts w:hint="eastAsia" w:ascii="Times New Roman" w:hAnsi="Times New Roman"/>
          <w:color w:val="auto"/>
          <w:kern w:val="1"/>
        </w:rPr>
        <w:t>截至202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3</w:t>
      </w:r>
      <w:r>
        <w:rPr>
          <w:rFonts w:hint="eastAsia" w:ascii="Times New Roman" w:hAnsi="Times New Roman"/>
          <w:color w:val="auto"/>
          <w:kern w:val="1"/>
        </w:rPr>
        <w:t>年末，</w:t>
      </w:r>
      <w:r>
        <w:rPr>
          <w:rFonts w:hint="eastAsia" w:ascii="Times New Roman" w:hAnsi="Times New Roman"/>
          <w:color w:val="auto"/>
          <w:kern w:val="1"/>
          <w:lang w:eastAsia="zh-CN"/>
        </w:rPr>
        <w:t>全市参加</w:t>
      </w:r>
      <w:r>
        <w:rPr>
          <w:rFonts w:hint="eastAsia" w:ascii="Times New Roman" w:hAnsi="Times New Roman"/>
          <w:color w:val="auto"/>
          <w:kern w:val="1"/>
        </w:rPr>
        <w:t>城镇职工基本养老保险人数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138.96</w:t>
      </w:r>
      <w:r>
        <w:rPr>
          <w:rFonts w:hint="eastAsia" w:ascii="Times New Roman" w:hAnsi="Times New Roman"/>
          <w:color w:val="auto"/>
          <w:kern w:val="1"/>
        </w:rPr>
        <w:t>万人。其中，企业职工基本养老保险参保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105.55</w:t>
      </w:r>
      <w:r>
        <w:rPr>
          <w:rFonts w:hint="eastAsia" w:ascii="Times New Roman" w:hAnsi="Times New Roman"/>
          <w:color w:val="auto"/>
          <w:kern w:val="1"/>
        </w:rPr>
        <w:t>万人，参保</w:t>
      </w:r>
      <w:r>
        <w:rPr>
          <w:rFonts w:hint="eastAsia" w:ascii="Times New Roman" w:hAnsi="Times New Roman"/>
          <w:color w:val="auto"/>
          <w:kern w:val="1"/>
          <w:lang w:eastAsia="zh-CN"/>
        </w:rPr>
        <w:t>在职</w:t>
      </w:r>
      <w:r>
        <w:rPr>
          <w:rFonts w:hint="eastAsia" w:ascii="Times New Roman" w:hAnsi="Times New Roman"/>
          <w:color w:val="auto"/>
          <w:kern w:val="1"/>
        </w:rPr>
        <w:t>职工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81.33</w:t>
      </w:r>
      <w:r>
        <w:rPr>
          <w:rFonts w:hint="eastAsia" w:ascii="Times New Roman" w:hAnsi="Times New Roman"/>
          <w:color w:val="auto"/>
          <w:kern w:val="1"/>
        </w:rPr>
        <w:t>万人，</w:t>
      </w:r>
      <w:r>
        <w:rPr>
          <w:rFonts w:hint="eastAsia" w:ascii="Times New Roman" w:hAnsi="Times New Roman"/>
          <w:color w:val="auto"/>
          <w:kern w:val="1"/>
          <w:lang w:eastAsia="zh-CN"/>
        </w:rPr>
        <w:t>参保</w:t>
      </w:r>
      <w:r>
        <w:rPr>
          <w:rFonts w:hint="eastAsia" w:ascii="Times New Roman" w:hAnsi="Times New Roman"/>
          <w:color w:val="auto"/>
          <w:kern w:val="1"/>
        </w:rPr>
        <w:t>离退休人员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24.22</w:t>
      </w:r>
      <w:r>
        <w:rPr>
          <w:rFonts w:hint="eastAsia" w:ascii="Times New Roman" w:hAnsi="Times New Roman"/>
          <w:color w:val="auto"/>
          <w:kern w:val="1"/>
        </w:rPr>
        <w:t>万人；机关事业</w:t>
      </w:r>
      <w:r>
        <w:rPr>
          <w:rFonts w:hint="eastAsia" w:ascii="Times New Roman" w:hAnsi="Times New Roman"/>
          <w:color w:val="auto"/>
          <w:kern w:val="1"/>
          <w:lang w:eastAsia="zh-CN"/>
        </w:rPr>
        <w:t>单位</w:t>
      </w:r>
      <w:r>
        <w:rPr>
          <w:rFonts w:hint="eastAsia" w:ascii="Times New Roman" w:hAnsi="Times New Roman"/>
          <w:color w:val="auto"/>
          <w:kern w:val="1"/>
        </w:rPr>
        <w:t>养老保险参保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33.41</w:t>
      </w:r>
      <w:r>
        <w:rPr>
          <w:rFonts w:hint="eastAsia" w:ascii="Times New Roman" w:hAnsi="Times New Roman"/>
          <w:color w:val="auto"/>
          <w:kern w:val="1"/>
        </w:rPr>
        <w:t>万人，参保在职职工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21.28</w:t>
      </w:r>
      <w:r>
        <w:rPr>
          <w:rFonts w:hint="eastAsia" w:ascii="Times New Roman" w:hAnsi="Times New Roman"/>
          <w:color w:val="auto"/>
          <w:kern w:val="1"/>
        </w:rPr>
        <w:t>万人，</w:t>
      </w:r>
      <w:r>
        <w:rPr>
          <w:rFonts w:hint="eastAsia" w:ascii="Times New Roman" w:hAnsi="Times New Roman"/>
          <w:color w:val="auto"/>
          <w:kern w:val="1"/>
          <w:lang w:eastAsia="zh-CN"/>
        </w:rPr>
        <w:t>参保</w:t>
      </w:r>
      <w:r>
        <w:rPr>
          <w:rFonts w:hint="eastAsia" w:ascii="Times New Roman" w:hAnsi="Times New Roman"/>
          <w:color w:val="auto"/>
          <w:kern w:val="1"/>
        </w:rPr>
        <w:t>离退休人员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12.13</w:t>
      </w:r>
      <w:r>
        <w:rPr>
          <w:rFonts w:hint="eastAsia" w:ascii="Times New Roman" w:hAnsi="Times New Roman"/>
          <w:color w:val="auto"/>
          <w:kern w:val="1"/>
        </w:rPr>
        <w:t>万人。参加城乡居民基本养老保险人数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608.63</w:t>
      </w:r>
      <w:r>
        <w:rPr>
          <w:rFonts w:hint="eastAsia" w:ascii="Times New Roman" w:hAnsi="Times New Roman"/>
          <w:color w:val="auto"/>
          <w:kern w:val="1"/>
        </w:rPr>
        <w:t>万人。全市参加基本医疗保险</w:t>
      </w:r>
      <w:r>
        <w:rPr>
          <w:rFonts w:hint="eastAsia" w:ascii="Times New Roman" w:hAnsi="Times New Roman"/>
          <w:color w:val="auto"/>
          <w:kern w:val="1"/>
          <w:lang w:eastAsia="zh-CN"/>
        </w:rPr>
        <w:t>人数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1026.69</w:t>
      </w:r>
      <w:r>
        <w:rPr>
          <w:rFonts w:hint="eastAsia" w:ascii="Times New Roman" w:hAnsi="Times New Roman"/>
          <w:color w:val="auto"/>
          <w:kern w:val="1"/>
        </w:rPr>
        <w:t>万人，其中，全市城镇职工医保参保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60.68</w:t>
      </w:r>
      <w:r>
        <w:rPr>
          <w:rFonts w:hint="eastAsia" w:ascii="Times New Roman" w:hAnsi="Times New Roman"/>
          <w:color w:val="auto"/>
          <w:kern w:val="1"/>
        </w:rPr>
        <w:t>万人，全市城乡居民医保参保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966.01</w:t>
      </w:r>
      <w:r>
        <w:rPr>
          <w:rFonts w:hint="eastAsia" w:ascii="Times New Roman" w:hAnsi="Times New Roman"/>
          <w:color w:val="auto"/>
          <w:kern w:val="1"/>
        </w:rPr>
        <w:t>万人。参加失业保险人数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56.61</w:t>
      </w:r>
      <w:r>
        <w:rPr>
          <w:rFonts w:hint="eastAsia" w:ascii="Times New Roman" w:hAnsi="Times New Roman"/>
          <w:color w:val="auto"/>
          <w:kern w:val="1"/>
        </w:rPr>
        <w:t>万人。参加工伤保险人数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61.26</w:t>
      </w:r>
      <w:r>
        <w:rPr>
          <w:rFonts w:hint="eastAsia" w:ascii="Times New Roman" w:hAnsi="Times New Roman"/>
          <w:color w:val="auto"/>
          <w:kern w:val="1"/>
        </w:rPr>
        <w:t>万人。全市城镇职工生育保险参保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38.06</w:t>
      </w:r>
      <w:r>
        <w:rPr>
          <w:rFonts w:hint="eastAsia" w:ascii="Times New Roman" w:hAnsi="Times New Roman"/>
          <w:color w:val="auto"/>
          <w:kern w:val="1"/>
        </w:rPr>
        <w:t>万人。</w:t>
      </w:r>
    </w:p>
    <w:p>
      <w:pPr>
        <w:pStyle w:val="2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jc w:val="both"/>
        <w:textAlignment w:val="auto"/>
        <w:rPr>
          <w:rFonts w:ascii="Times New Roman" w:hAnsi="宋体" w:cs="Times New Roman"/>
          <w:b/>
          <w:bCs/>
          <w:color w:val="auto"/>
          <w:sz w:val="28"/>
          <w:szCs w:val="28"/>
        </w:rPr>
      </w:pPr>
      <w:r>
        <w:rPr>
          <w:rFonts w:hint="eastAsia" w:ascii="Times New Roman" w:hAnsi="Times New Roman"/>
          <w:color w:val="auto"/>
          <w:kern w:val="1"/>
        </w:rPr>
        <w:t>全年全市发放城市低保金0.76亿元，年末共保障城市低保对象1.91万人；全年发放农村低保金9.36亿元，年末共保障农村低保对象35.52万人。全年发放农村特困人员救助供养金4.57亿元，年末共保障农村特困人员5.71万人。全年发放城市特困人员救助供养金</w:t>
      </w:r>
      <w:r>
        <w:rPr>
          <w:rFonts w:hint="eastAsia" w:ascii="Times New Roman" w:hAnsi="Times New Roman"/>
          <w:color w:val="auto"/>
          <w:kern w:val="1"/>
          <w:lang w:val="en-US" w:eastAsia="zh-CN"/>
        </w:rPr>
        <w:t>810.19万</w:t>
      </w:r>
      <w:r>
        <w:rPr>
          <w:rFonts w:hint="eastAsia" w:ascii="Times New Roman" w:hAnsi="Times New Roman"/>
          <w:color w:val="auto"/>
          <w:kern w:val="1"/>
        </w:rPr>
        <w:t>元，年末共保障城市特困人员620人。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Times New Roman" w:hAnsi="宋体" w:cs="Times New Roman"/>
          <w:b/>
          <w:bCs/>
          <w:color w:val="auto"/>
          <w:sz w:val="28"/>
          <w:szCs w:val="28"/>
        </w:rPr>
      </w:pPr>
      <w:r>
        <w:rPr>
          <w:rFonts w:ascii="Times New Roman" w:hAnsi="宋体" w:cs="Times New Roman"/>
          <w:b/>
          <w:bCs/>
          <w:color w:val="auto"/>
          <w:sz w:val="28"/>
          <w:szCs w:val="28"/>
        </w:rPr>
        <w:t>十一、环境保护</w:t>
      </w:r>
      <w:r>
        <w:rPr>
          <w:rFonts w:hint="eastAsia" w:ascii="Times New Roman" w:hAnsi="宋体" w:cs="Times New Roman"/>
          <w:b/>
          <w:bCs/>
          <w:color w:val="auto"/>
          <w:sz w:val="28"/>
          <w:szCs w:val="28"/>
        </w:rPr>
        <w:t>和</w:t>
      </w:r>
      <w:r>
        <w:rPr>
          <w:rFonts w:ascii="Times New Roman" w:hAnsi="宋体" w:cs="Times New Roman"/>
          <w:b/>
          <w:bCs/>
          <w:color w:val="auto"/>
          <w:sz w:val="28"/>
          <w:szCs w:val="28"/>
        </w:rPr>
        <w:t>安全生产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textAlignment w:val="auto"/>
        <w:rPr>
          <w:rFonts w:hint="eastAsia" w:ascii="Times New Roman" w:hAnsi="Times New Roman" w:cs="Times New Roman"/>
          <w:color w:val="auto"/>
          <w:kern w:val="1"/>
          <w:sz w:val="24"/>
        </w:rPr>
      </w:pPr>
      <w:r>
        <w:rPr>
          <w:rFonts w:hint="eastAsia" w:ascii="Times New Roman" w:hAnsi="Times New Roman" w:cs="Times New Roman"/>
          <w:color w:val="auto"/>
          <w:kern w:val="1"/>
          <w:sz w:val="24"/>
        </w:rPr>
        <w:t>全年全市PM</w:t>
      </w:r>
      <w:r>
        <w:rPr>
          <w:rFonts w:hint="eastAsia" w:ascii="Times New Roman" w:hAnsi="Times New Roman" w:cs="Times New Roman"/>
          <w:color w:val="auto"/>
          <w:kern w:val="1"/>
          <w:sz w:val="24"/>
          <w:vertAlign w:val="subscript"/>
        </w:rPr>
        <w:t>2.5</w:t>
      </w:r>
      <w:r>
        <w:rPr>
          <w:rFonts w:hint="eastAsia" w:ascii="Times New Roman" w:hAnsi="Times New Roman" w:cs="Times New Roman"/>
          <w:color w:val="auto"/>
          <w:kern w:val="1"/>
          <w:sz w:val="24"/>
          <w:vertAlign w:val="baseline"/>
          <w:lang w:eastAsia="zh-CN"/>
        </w:rPr>
        <w:t>年</w:t>
      </w:r>
      <w:r>
        <w:rPr>
          <w:rFonts w:hint="eastAsia" w:ascii="Times New Roman" w:hAnsi="Times New Roman" w:cs="Times New Roman"/>
          <w:color w:val="auto"/>
          <w:kern w:val="1"/>
          <w:sz w:val="24"/>
        </w:rPr>
        <w:t>平均浓度47微克/立方米，PM</w:t>
      </w:r>
      <w:r>
        <w:rPr>
          <w:rFonts w:hint="eastAsia" w:ascii="Times New Roman" w:hAnsi="Times New Roman" w:cs="Times New Roman"/>
          <w:color w:val="auto"/>
          <w:kern w:val="1"/>
          <w:sz w:val="24"/>
          <w:szCs w:val="24"/>
          <w:vertAlign w:val="subscript"/>
        </w:rPr>
        <w:t>10</w:t>
      </w:r>
      <w:r>
        <w:rPr>
          <w:rFonts w:hint="eastAsia" w:ascii="Times New Roman" w:hAnsi="Times New Roman" w:cs="Times New Roman"/>
          <w:color w:val="auto"/>
          <w:kern w:val="1"/>
          <w:sz w:val="24"/>
          <w:vertAlign w:val="baseline"/>
          <w:lang w:eastAsia="zh-CN"/>
        </w:rPr>
        <w:t>年</w:t>
      </w:r>
      <w:r>
        <w:rPr>
          <w:rFonts w:hint="eastAsia" w:ascii="Times New Roman" w:hAnsi="Times New Roman" w:cs="Times New Roman"/>
          <w:color w:val="auto"/>
          <w:kern w:val="1"/>
          <w:sz w:val="24"/>
        </w:rPr>
        <w:t>平均浓度74微克/立方米，优良天数254天；截至2023年底，全市17个省级以上地表水目标考核断面全部达到目标值要求，累计平均达标率为100%；县级及以上集中式饮用水水源地水质达标率为100%。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textAlignment w:val="auto"/>
        <w:rPr>
          <w:rFonts w:hint="eastAsia" w:ascii="Times New Roman" w:hAnsi="Times New Roman" w:eastAsia="宋体" w:cs="Times New Roman"/>
          <w:color w:val="0070C0"/>
          <w:kern w:val="1"/>
          <w:sz w:val="24"/>
          <w:highlight w:val="none"/>
          <w:lang w:eastAsia="zh-CN"/>
        </w:rPr>
      </w:pPr>
      <w:r>
        <w:rPr>
          <w:rFonts w:hint="eastAsia" w:ascii="Times New Roman" w:hAnsi="Times New Roman" w:cs="Times New Roman"/>
          <w:color w:val="auto"/>
          <w:kern w:val="1"/>
          <w:sz w:val="24"/>
        </w:rPr>
        <w:t>全年全市完成造林面积</w:t>
      </w:r>
      <w:r>
        <w:rPr>
          <w:rFonts w:hint="eastAsia" w:ascii="Times New Roman" w:hAnsi="Times New Roman" w:cs="Times New Roman"/>
          <w:color w:val="auto"/>
          <w:kern w:val="1"/>
          <w:sz w:val="24"/>
          <w:lang w:val="en-US" w:eastAsia="zh-CN"/>
        </w:rPr>
        <w:t>74.43</w:t>
      </w:r>
      <w:r>
        <w:rPr>
          <w:rFonts w:hint="eastAsia" w:ascii="Times New Roman" w:hAnsi="Times New Roman" w:cs="Times New Roman"/>
          <w:color w:val="auto"/>
          <w:kern w:val="1"/>
          <w:sz w:val="24"/>
        </w:rPr>
        <w:t>万亩。</w:t>
      </w:r>
      <w:r>
        <w:rPr>
          <w:rFonts w:hint="eastAsia" w:ascii="Times New Roman" w:hAnsi="Times New Roman" w:cs="Times New Roman"/>
          <w:color w:val="auto"/>
          <w:kern w:val="1"/>
          <w:sz w:val="24"/>
          <w:highlight w:val="none"/>
        </w:rPr>
        <w:t>202</w:t>
      </w:r>
      <w:r>
        <w:rPr>
          <w:rFonts w:hint="eastAsia" w:ascii="Times New Roman" w:hAnsi="Times New Roman" w:cs="Times New Roman"/>
          <w:color w:val="auto"/>
          <w:kern w:val="1"/>
          <w:sz w:val="24"/>
          <w:highlight w:val="none"/>
          <w:lang w:val="en-US" w:eastAsia="zh-CN"/>
        </w:rPr>
        <w:t>3</w:t>
      </w:r>
      <w:r>
        <w:rPr>
          <w:rFonts w:hint="eastAsia" w:ascii="Times New Roman" w:hAnsi="Times New Roman" w:cs="Times New Roman"/>
          <w:color w:val="auto"/>
          <w:kern w:val="1"/>
          <w:sz w:val="24"/>
          <w:highlight w:val="none"/>
        </w:rPr>
        <w:t>年末</w:t>
      </w:r>
      <w:r>
        <w:rPr>
          <w:rFonts w:hint="eastAsia" w:ascii="Times New Roman" w:hAnsi="Times New Roman" w:cs="Times New Roman"/>
          <w:color w:val="auto"/>
          <w:kern w:val="1"/>
          <w:sz w:val="24"/>
          <w:highlight w:val="none"/>
          <w:lang w:eastAsia="zh-CN"/>
        </w:rPr>
        <w:t>全市</w:t>
      </w:r>
      <w:r>
        <w:rPr>
          <w:rFonts w:hint="eastAsia" w:ascii="Times New Roman" w:hAnsi="Times New Roman" w:cs="Times New Roman"/>
          <w:color w:val="auto"/>
          <w:kern w:val="1"/>
          <w:sz w:val="24"/>
          <w:highlight w:val="none"/>
        </w:rPr>
        <w:t>共有自然保护地21个</w:t>
      </w:r>
      <w:r>
        <w:rPr>
          <w:rFonts w:hint="eastAsia" w:ascii="Times New Roman" w:hAnsi="Times New Roman" w:cs="Times New Roman"/>
          <w:color w:val="auto"/>
          <w:kern w:val="1"/>
          <w:sz w:val="24"/>
          <w:highlight w:val="none"/>
          <w:lang w:eastAsia="zh-CN"/>
        </w:rPr>
        <w:t>。</w:t>
      </w:r>
      <w:r>
        <w:rPr>
          <w:rFonts w:hint="eastAsia" w:ascii="Times New Roman" w:hAnsi="Times New Roman" w:cs="Times New Roman"/>
          <w:color w:val="auto"/>
          <w:kern w:val="1"/>
          <w:sz w:val="24"/>
          <w:highlight w:val="none"/>
        </w:rPr>
        <w:t>其中，湿地公园18个，森林公园2个，风景名胜区1个。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jc w:val="both"/>
        <w:textAlignment w:val="auto"/>
        <w:rPr>
          <w:rFonts w:hint="eastAsia"/>
          <w:color w:val="auto"/>
          <w:lang w:eastAsia="zh-CN"/>
        </w:rPr>
      </w:pPr>
      <w:r>
        <w:rPr>
          <w:rFonts w:hint="eastAsia" w:ascii="Times New Roman" w:hAnsi="宋体" w:cs="Times New Roman"/>
          <w:color w:val="auto"/>
          <w:kern w:val="1"/>
          <w:sz w:val="24"/>
          <w:highlight w:val="none"/>
        </w:rPr>
        <w:t>2023年，受强对流天气影响，我市共发生5次自然灾害过程，其中洪涝灾害3次、风雹灾害2次。共造成全市693</w:t>
      </w:r>
      <w:r>
        <w:rPr>
          <w:rFonts w:hint="eastAsia" w:ascii="Times New Roman" w:hAnsi="宋体" w:cs="Times New Roman"/>
          <w:color w:val="auto"/>
          <w:kern w:val="1"/>
          <w:sz w:val="24"/>
          <w:highlight w:val="none"/>
          <w:lang w:val="en-US" w:eastAsia="zh-CN"/>
        </w:rPr>
        <w:t>.</w:t>
      </w:r>
      <w:r>
        <w:rPr>
          <w:rFonts w:hint="eastAsia" w:ascii="Times New Roman" w:hAnsi="宋体" w:cs="Times New Roman"/>
          <w:color w:val="auto"/>
          <w:kern w:val="1"/>
          <w:sz w:val="24"/>
          <w:highlight w:val="none"/>
        </w:rPr>
        <w:t>6</w:t>
      </w:r>
      <w:r>
        <w:rPr>
          <w:rFonts w:hint="eastAsia" w:ascii="Times New Roman" w:hAnsi="宋体" w:cs="Times New Roman"/>
          <w:color w:val="auto"/>
          <w:kern w:val="1"/>
          <w:sz w:val="24"/>
          <w:highlight w:val="none"/>
          <w:lang w:val="en-US" w:eastAsia="zh-CN"/>
        </w:rPr>
        <w:t>1万</w:t>
      </w:r>
      <w:r>
        <w:rPr>
          <w:rFonts w:hint="eastAsia" w:ascii="Times New Roman" w:hAnsi="宋体" w:cs="Times New Roman"/>
          <w:color w:val="auto"/>
          <w:kern w:val="1"/>
          <w:sz w:val="24"/>
          <w:highlight w:val="none"/>
        </w:rPr>
        <w:t>人次受灾，农作物受灾面积45</w:t>
      </w:r>
      <w:r>
        <w:rPr>
          <w:rFonts w:hint="eastAsia" w:ascii="Times New Roman" w:hAnsi="宋体" w:cs="Times New Roman"/>
          <w:color w:val="auto"/>
          <w:kern w:val="1"/>
          <w:sz w:val="24"/>
          <w:highlight w:val="none"/>
          <w:lang w:val="en-US" w:eastAsia="zh-CN"/>
        </w:rPr>
        <w:t>.</w:t>
      </w:r>
      <w:r>
        <w:rPr>
          <w:rFonts w:hint="eastAsia" w:ascii="Times New Roman" w:hAnsi="宋体" w:cs="Times New Roman"/>
          <w:color w:val="auto"/>
          <w:kern w:val="1"/>
          <w:sz w:val="24"/>
          <w:highlight w:val="none"/>
        </w:rPr>
        <w:t>4</w:t>
      </w:r>
      <w:r>
        <w:rPr>
          <w:rFonts w:hint="eastAsia" w:ascii="Times New Roman" w:hAnsi="宋体" w:cs="Times New Roman"/>
          <w:color w:val="auto"/>
          <w:kern w:val="1"/>
          <w:sz w:val="24"/>
          <w:highlight w:val="none"/>
          <w:lang w:val="en-US" w:eastAsia="zh-CN"/>
        </w:rPr>
        <w:t>1万</w:t>
      </w:r>
      <w:r>
        <w:rPr>
          <w:rFonts w:hint="eastAsia" w:ascii="Times New Roman" w:hAnsi="宋体" w:cs="Times New Roman"/>
          <w:color w:val="auto"/>
          <w:kern w:val="1"/>
          <w:sz w:val="24"/>
          <w:highlight w:val="none"/>
        </w:rPr>
        <w:t>公顷，成灾面积1</w:t>
      </w:r>
      <w:r>
        <w:rPr>
          <w:rFonts w:hint="eastAsia" w:ascii="Times New Roman" w:hAnsi="宋体" w:cs="Times New Roman"/>
          <w:color w:val="auto"/>
          <w:kern w:val="1"/>
          <w:sz w:val="24"/>
          <w:highlight w:val="none"/>
          <w:lang w:val="en-US" w:eastAsia="zh-CN"/>
        </w:rPr>
        <w:t>8.00万</w:t>
      </w:r>
      <w:r>
        <w:rPr>
          <w:rFonts w:hint="eastAsia" w:ascii="Times New Roman" w:hAnsi="宋体" w:cs="Times New Roman"/>
          <w:color w:val="auto"/>
          <w:kern w:val="1"/>
          <w:sz w:val="24"/>
          <w:highlight w:val="none"/>
        </w:rPr>
        <w:t>公顷，绝收面积14.6公顷，直接经济损失23</w:t>
      </w:r>
      <w:r>
        <w:rPr>
          <w:rFonts w:hint="eastAsia" w:ascii="Times New Roman" w:hAnsi="宋体" w:cs="Times New Roman"/>
          <w:color w:val="auto"/>
          <w:kern w:val="1"/>
          <w:sz w:val="24"/>
          <w:highlight w:val="none"/>
          <w:lang w:val="en-US" w:eastAsia="zh-CN"/>
        </w:rPr>
        <w:t>.</w:t>
      </w:r>
      <w:r>
        <w:rPr>
          <w:rFonts w:hint="eastAsia" w:ascii="Times New Roman" w:hAnsi="宋体" w:cs="Times New Roman"/>
          <w:color w:val="auto"/>
          <w:kern w:val="1"/>
          <w:sz w:val="24"/>
          <w:highlight w:val="none"/>
        </w:rPr>
        <w:t>33</w:t>
      </w:r>
      <w:r>
        <w:rPr>
          <w:rFonts w:hint="eastAsia" w:ascii="Times New Roman" w:hAnsi="宋体" w:cs="Times New Roman"/>
          <w:color w:val="auto"/>
          <w:kern w:val="1"/>
          <w:sz w:val="24"/>
          <w:highlight w:val="none"/>
          <w:lang w:eastAsia="zh-CN"/>
        </w:rPr>
        <w:t>亿</w:t>
      </w:r>
      <w:r>
        <w:rPr>
          <w:rFonts w:hint="eastAsia" w:ascii="Times New Roman" w:hAnsi="宋体" w:cs="Times New Roman"/>
          <w:color w:val="auto"/>
          <w:kern w:val="1"/>
          <w:sz w:val="24"/>
          <w:highlight w:val="none"/>
        </w:rPr>
        <w:t>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textAlignment w:val="auto"/>
        <w:rPr>
          <w:rFonts w:ascii="Times New Roman" w:hAnsi="Times New Roman" w:eastAsia="楷体" w:cs="Times New Roman"/>
          <w:color w:val="auto"/>
          <w:kern w:val="1"/>
          <w:sz w:val="24"/>
        </w:rPr>
      </w:pPr>
      <w:r>
        <w:rPr>
          <w:rFonts w:hint="eastAsia" w:ascii="Times New Roman" w:hAnsi="Times New Roman" w:eastAsia="楷体" w:cs="Times New Roman"/>
          <w:color w:val="auto"/>
          <w:kern w:val="1"/>
          <w:sz w:val="24"/>
        </w:rPr>
        <w:t>注释</w:t>
      </w:r>
      <w:r>
        <w:rPr>
          <w:rFonts w:ascii="Times New Roman" w:hAnsi="Times New Roman" w:eastAsia="楷体" w:cs="Times New Roman"/>
          <w:color w:val="auto"/>
          <w:kern w:val="1"/>
          <w:sz w:val="24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textAlignment w:val="auto"/>
        <w:rPr>
          <w:rFonts w:ascii="Times New Roman" w:hAnsi="Times New Roman" w:eastAsia="楷体" w:cs="Times New Roman"/>
          <w:color w:val="auto"/>
          <w:kern w:val="1"/>
          <w:sz w:val="24"/>
        </w:rPr>
      </w:pPr>
      <w:r>
        <w:rPr>
          <w:rFonts w:hint="eastAsia" w:ascii="Times New Roman" w:hAnsi="Times New Roman" w:eastAsia="楷体" w:cs="Times New Roman"/>
          <w:color w:val="auto"/>
          <w:kern w:val="1"/>
          <w:sz w:val="24"/>
        </w:rPr>
        <w:t>[1]</w:t>
      </w:r>
      <w:r>
        <w:rPr>
          <w:rFonts w:ascii="Times New Roman" w:hAnsi="Times New Roman" w:eastAsia="楷体" w:cs="Times New Roman"/>
          <w:color w:val="auto"/>
          <w:kern w:val="1"/>
          <w:sz w:val="24"/>
        </w:rPr>
        <w:t>本公报20</w:t>
      </w:r>
      <w:r>
        <w:rPr>
          <w:rFonts w:hint="eastAsia" w:ascii="Times New Roman" w:hAnsi="Times New Roman" w:eastAsia="楷体" w:cs="Times New Roman"/>
          <w:color w:val="auto"/>
          <w:kern w:val="1"/>
          <w:sz w:val="24"/>
          <w:lang w:val="en-US" w:eastAsia="zh-CN"/>
        </w:rPr>
        <w:t>23</w:t>
      </w:r>
      <w:r>
        <w:rPr>
          <w:rFonts w:ascii="Times New Roman" w:hAnsi="Times New Roman" w:eastAsia="楷体" w:cs="Times New Roman"/>
          <w:color w:val="auto"/>
          <w:kern w:val="1"/>
          <w:sz w:val="24"/>
        </w:rPr>
        <w:t>年数据为初步</w:t>
      </w:r>
      <w:r>
        <w:rPr>
          <w:rFonts w:hint="eastAsia" w:ascii="Times New Roman" w:hAnsi="Times New Roman" w:eastAsia="楷体" w:cs="Times New Roman"/>
          <w:color w:val="auto"/>
          <w:kern w:val="1"/>
          <w:sz w:val="24"/>
        </w:rPr>
        <w:t>统计结果</w:t>
      </w:r>
      <w:r>
        <w:rPr>
          <w:rFonts w:ascii="Times New Roman" w:hAnsi="Times New Roman" w:eastAsia="楷体" w:cs="Times New Roman"/>
          <w:color w:val="auto"/>
          <w:kern w:val="1"/>
          <w:sz w:val="24"/>
        </w:rPr>
        <w:t>。部分数据因四舍五入的原因，存在总计与分项合计不等的情况。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textAlignment w:val="auto"/>
        <w:rPr>
          <w:rFonts w:ascii="Times New Roman" w:hAnsi="Times New Roman" w:eastAsia="楷体"/>
          <w:bCs w:val="0"/>
          <w:color w:val="auto"/>
          <w:kern w:val="1"/>
          <w:sz w:val="24"/>
        </w:rPr>
      </w:pPr>
      <w:r>
        <w:rPr>
          <w:rFonts w:hint="eastAsia" w:ascii="Times New Roman" w:hAnsi="Times New Roman" w:eastAsia="楷体"/>
          <w:bCs w:val="0"/>
          <w:color w:val="auto"/>
          <w:kern w:val="1"/>
          <w:sz w:val="24"/>
        </w:rPr>
        <w:t>[2]</w:t>
      </w:r>
      <w:r>
        <w:rPr>
          <w:rFonts w:hint="eastAsia" w:ascii="Times New Roman" w:hAnsi="Times New Roman" w:eastAsia="楷体"/>
          <w:bCs w:val="0"/>
          <w:color w:val="auto"/>
          <w:kern w:val="1"/>
          <w:sz w:val="24"/>
          <w:lang w:val="en-US" w:eastAsia="zh-CN"/>
        </w:rPr>
        <w:t>2023年</w:t>
      </w:r>
      <w:r>
        <w:rPr>
          <w:rFonts w:hint="eastAsia" w:ascii="Times New Roman" w:hAnsi="Times New Roman" w:eastAsia="楷体"/>
          <w:bCs w:val="0"/>
          <w:color w:val="auto"/>
          <w:kern w:val="1"/>
          <w:sz w:val="24"/>
        </w:rPr>
        <w:t>地区</w:t>
      </w:r>
      <w:r>
        <w:rPr>
          <w:rFonts w:ascii="Times New Roman" w:hAnsi="Times New Roman" w:eastAsia="楷体"/>
          <w:bCs w:val="0"/>
          <w:color w:val="auto"/>
          <w:kern w:val="1"/>
          <w:sz w:val="24"/>
        </w:rPr>
        <w:t>生产总值、各产业增加值</w:t>
      </w:r>
      <w:r>
        <w:rPr>
          <w:rFonts w:hint="eastAsia" w:ascii="Times New Roman" w:hAnsi="Times New Roman" w:eastAsia="楷体"/>
          <w:bCs w:val="0"/>
          <w:color w:val="auto"/>
          <w:kern w:val="1"/>
          <w:sz w:val="24"/>
          <w:lang w:eastAsia="zh-CN"/>
        </w:rPr>
        <w:t>为初步核算数据，</w:t>
      </w:r>
      <w:r>
        <w:rPr>
          <w:rFonts w:ascii="Times New Roman" w:hAnsi="Times New Roman" w:eastAsia="楷体"/>
          <w:bCs w:val="0"/>
          <w:color w:val="auto"/>
          <w:kern w:val="1"/>
          <w:sz w:val="24"/>
        </w:rPr>
        <w:t>绝对数按现价计算，增长速度按</w:t>
      </w:r>
      <w:r>
        <w:rPr>
          <w:rFonts w:hint="eastAsia" w:ascii="Times New Roman" w:hAnsi="Times New Roman" w:eastAsia="楷体"/>
          <w:bCs w:val="0"/>
          <w:color w:val="auto"/>
          <w:kern w:val="1"/>
          <w:sz w:val="24"/>
          <w:lang w:eastAsia="zh-CN"/>
        </w:rPr>
        <w:t>可比价</w:t>
      </w:r>
      <w:r>
        <w:rPr>
          <w:rFonts w:ascii="Times New Roman" w:hAnsi="Times New Roman" w:eastAsia="楷体"/>
          <w:bCs w:val="0"/>
          <w:color w:val="auto"/>
          <w:kern w:val="1"/>
          <w:sz w:val="24"/>
        </w:rPr>
        <w:t>计算</w:t>
      </w:r>
      <w:r>
        <w:rPr>
          <w:rFonts w:hint="eastAsia" w:ascii="Times New Roman" w:hAnsi="Times New Roman" w:eastAsia="楷体"/>
          <w:bCs w:val="0"/>
          <w:color w:val="auto"/>
          <w:kern w:val="1"/>
          <w:sz w:val="24"/>
          <w:lang w:eastAsia="zh-CN"/>
        </w:rPr>
        <w:t>。</w:t>
      </w:r>
      <w:r>
        <w:rPr>
          <w:rFonts w:hint="eastAsia" w:ascii="Times New Roman" w:hAnsi="Times New Roman" w:eastAsia="楷体"/>
          <w:bCs w:val="0"/>
          <w:color w:val="auto"/>
          <w:kern w:val="1"/>
          <w:sz w:val="24"/>
          <w:lang w:val="en-US" w:eastAsia="zh-CN"/>
        </w:rPr>
        <w:t>2023年农林牧渔业总产值绝对数按现价计算，增长速度按可比价计算</w:t>
      </w:r>
      <w:r>
        <w:rPr>
          <w:rFonts w:ascii="Times New Roman" w:hAnsi="Times New Roman" w:eastAsia="楷体"/>
          <w:bCs w:val="0"/>
          <w:color w:val="auto"/>
          <w:kern w:val="1"/>
          <w:sz w:val="24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textAlignment w:val="auto"/>
        <w:rPr>
          <w:rFonts w:hint="eastAsia" w:ascii="Times New Roman" w:hAnsi="Times New Roman" w:eastAsia="楷体" w:cs="Times New Roman"/>
          <w:color w:val="auto"/>
          <w:kern w:val="1"/>
          <w:sz w:val="24"/>
        </w:rPr>
      </w:pPr>
      <w:r>
        <w:rPr>
          <w:rFonts w:hint="eastAsia" w:ascii="Times New Roman" w:hAnsi="Times New Roman" w:eastAsia="楷体" w:cs="Times New Roman"/>
          <w:color w:val="auto"/>
          <w:kern w:val="1"/>
          <w:sz w:val="24"/>
        </w:rPr>
        <w:t>[3]三次产业分类，依据国家统计局2018年修订的《三次产业划分规定》，分为第一产业、第二产业和第三产业。第一产业是指农、林、牧、渔业（不含农、林、牧、渔专业及辅助性活动）；第二产业是指采矿业（不含开采专业及辅助性活动），制造业（不含金属制品、机械和设备修理业），电力、热力、燃气及水生产和供应业，建筑业；第三产业即服务业，是指除第一产业、第二产业以外的其他行业（剔除国际组织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textAlignment w:val="auto"/>
        <w:rPr>
          <w:rFonts w:hint="eastAsia" w:ascii="Times New Roman" w:hAnsi="Times New Roman" w:eastAsia="楷体" w:cs="Times New Roman"/>
          <w:color w:val="auto"/>
          <w:kern w:val="1"/>
          <w:sz w:val="24"/>
          <w:highlight w:val="yellow"/>
          <w:lang w:eastAsia="zh-CN"/>
        </w:rPr>
      </w:pPr>
      <w:r>
        <w:rPr>
          <w:rFonts w:hint="eastAsia" w:ascii="Times New Roman" w:hAnsi="Times New Roman" w:eastAsia="楷体" w:cs="Times New Roman"/>
          <w:color w:val="auto"/>
          <w:kern w:val="1"/>
          <w:sz w:val="24"/>
        </w:rPr>
        <w:t>[4]</w:t>
      </w:r>
      <w:r>
        <w:rPr>
          <w:rFonts w:ascii="Times New Roman" w:hAnsi="Times New Roman" w:eastAsia="楷体" w:cs="Times New Roman"/>
          <w:color w:val="auto"/>
          <w:kern w:val="1"/>
          <w:sz w:val="24"/>
        </w:rPr>
        <w:t>资料来源：本公报中</w:t>
      </w:r>
      <w:r>
        <w:rPr>
          <w:rFonts w:hint="eastAsia" w:ascii="Times New Roman" w:hAnsi="Times New Roman" w:eastAsia="楷体" w:cs="Times New Roman"/>
          <w:color w:val="auto"/>
          <w:kern w:val="1"/>
          <w:sz w:val="24"/>
          <w:lang w:eastAsia="zh-CN"/>
        </w:rPr>
        <w:t>就业相关数据和</w:t>
      </w:r>
      <w:r>
        <w:rPr>
          <w:rFonts w:ascii="Times New Roman" w:hAnsi="Times New Roman" w:eastAsia="楷体" w:cs="Times New Roman"/>
          <w:color w:val="auto"/>
          <w:kern w:val="1"/>
          <w:sz w:val="24"/>
        </w:rPr>
        <w:t>参加养老、失业保险数据来自市人力资源和社会保障局；</w:t>
      </w:r>
      <w:r>
        <w:rPr>
          <w:rFonts w:hint="eastAsia" w:ascii="Times New Roman" w:hAnsi="Times New Roman" w:eastAsia="楷体" w:cs="Times New Roman"/>
          <w:color w:val="auto"/>
          <w:kern w:val="1"/>
          <w:sz w:val="24"/>
          <w:lang w:eastAsia="zh-CN"/>
        </w:rPr>
        <w:t>市场主体数据、</w:t>
      </w:r>
      <w:r>
        <w:rPr>
          <w:rFonts w:hint="eastAsia" w:ascii="Times New Roman" w:hAnsi="Times New Roman" w:eastAsia="楷体" w:cs="Times New Roman"/>
          <w:color w:val="auto"/>
          <w:kern w:val="1"/>
          <w:sz w:val="24"/>
        </w:rPr>
        <w:t>专利</w:t>
      </w:r>
      <w:r>
        <w:rPr>
          <w:rFonts w:ascii="Times New Roman" w:hAnsi="Times New Roman" w:eastAsia="楷体" w:cs="Times New Roman"/>
          <w:color w:val="auto"/>
          <w:kern w:val="1"/>
          <w:sz w:val="24"/>
        </w:rPr>
        <w:t>数据</w:t>
      </w:r>
      <w:r>
        <w:rPr>
          <w:rFonts w:hint="eastAsia" w:ascii="Times New Roman" w:hAnsi="Times New Roman" w:eastAsia="楷体" w:cs="Times New Roman"/>
          <w:color w:val="auto"/>
          <w:kern w:val="1"/>
          <w:sz w:val="24"/>
          <w:lang w:eastAsia="zh-CN"/>
        </w:rPr>
        <w:t>、知识产权优势产业等数据</w:t>
      </w:r>
      <w:r>
        <w:rPr>
          <w:rFonts w:ascii="Times New Roman" w:hAnsi="Times New Roman" w:eastAsia="楷体" w:cs="Times New Roman"/>
          <w:color w:val="auto"/>
          <w:kern w:val="1"/>
          <w:sz w:val="24"/>
        </w:rPr>
        <w:t>来自市</w:t>
      </w:r>
      <w:r>
        <w:rPr>
          <w:rFonts w:hint="eastAsia" w:ascii="Times New Roman" w:hAnsi="Times New Roman" w:eastAsia="楷体" w:cs="Times New Roman"/>
          <w:color w:val="auto"/>
          <w:kern w:val="1"/>
          <w:sz w:val="24"/>
        </w:rPr>
        <w:t>市场监管</w:t>
      </w:r>
      <w:r>
        <w:rPr>
          <w:rFonts w:ascii="Times New Roman" w:hAnsi="Times New Roman" w:eastAsia="楷体" w:cs="Times New Roman"/>
          <w:color w:val="auto"/>
          <w:kern w:val="1"/>
          <w:sz w:val="24"/>
        </w:rPr>
        <w:t>局；</w:t>
      </w:r>
      <w:r>
        <w:rPr>
          <w:rFonts w:hint="eastAsia" w:ascii="Times New Roman" w:hAnsi="Times New Roman" w:eastAsia="楷体" w:cs="Times New Roman"/>
          <w:color w:val="auto"/>
          <w:kern w:val="1"/>
          <w:sz w:val="24"/>
          <w:lang w:eastAsia="zh-CN"/>
        </w:rPr>
        <w:t>农业机械总动力、农业拖拉机</w:t>
      </w:r>
      <w:r>
        <w:rPr>
          <w:rFonts w:hint="eastAsia" w:ascii="Times New Roman" w:hAnsi="Times New Roman" w:eastAsia="楷体" w:cs="Times New Roman"/>
          <w:color w:val="auto"/>
          <w:kern w:val="1"/>
          <w:sz w:val="24"/>
        </w:rPr>
        <w:t>等数据来自市</w:t>
      </w:r>
      <w:r>
        <w:rPr>
          <w:rFonts w:hint="eastAsia" w:ascii="Times New Roman" w:hAnsi="Times New Roman" w:eastAsia="楷体" w:cs="Times New Roman"/>
          <w:color w:val="auto"/>
          <w:kern w:val="1"/>
          <w:sz w:val="24"/>
          <w:lang w:eastAsia="zh-CN"/>
        </w:rPr>
        <w:t>农机技术中心</w:t>
      </w:r>
      <w:r>
        <w:rPr>
          <w:rFonts w:hint="eastAsia" w:ascii="Times New Roman" w:hAnsi="Times New Roman" w:eastAsia="楷体" w:cs="Times New Roman"/>
          <w:color w:val="auto"/>
          <w:kern w:val="1"/>
          <w:sz w:val="24"/>
        </w:rPr>
        <w:t>；有效期内绿色食品等</w:t>
      </w:r>
      <w:r>
        <w:rPr>
          <w:rFonts w:hint="eastAsia" w:ascii="Times New Roman" w:hAnsi="Times New Roman" w:eastAsia="楷体" w:cs="Times New Roman"/>
          <w:color w:val="auto"/>
          <w:kern w:val="1"/>
          <w:sz w:val="24"/>
          <w:lang w:eastAsia="zh-CN"/>
        </w:rPr>
        <w:t>农业</w:t>
      </w:r>
      <w:r>
        <w:rPr>
          <w:rFonts w:hint="eastAsia" w:ascii="Times New Roman" w:hAnsi="Times New Roman" w:eastAsia="楷体" w:cs="Times New Roman"/>
          <w:color w:val="auto"/>
          <w:kern w:val="1"/>
          <w:sz w:val="24"/>
        </w:rPr>
        <w:t>数据来自市农业农村局；</w:t>
      </w:r>
      <w:r>
        <w:rPr>
          <w:rFonts w:ascii="Times New Roman" w:hAnsi="Times New Roman" w:eastAsia="楷体" w:cs="Times New Roman"/>
          <w:color w:val="auto"/>
          <w:kern w:val="1"/>
          <w:sz w:val="24"/>
        </w:rPr>
        <w:t>公路数据来自市交通</w:t>
      </w:r>
      <w:r>
        <w:rPr>
          <w:rFonts w:hint="eastAsia" w:ascii="Times New Roman" w:hAnsi="Times New Roman" w:eastAsia="楷体" w:cs="Times New Roman"/>
          <w:color w:val="auto"/>
          <w:kern w:val="1"/>
          <w:sz w:val="24"/>
          <w:lang w:eastAsia="zh-CN"/>
        </w:rPr>
        <w:t>运输</w:t>
      </w:r>
      <w:r>
        <w:rPr>
          <w:rFonts w:ascii="Times New Roman" w:hAnsi="Times New Roman" w:eastAsia="楷体" w:cs="Times New Roman"/>
          <w:color w:val="auto"/>
          <w:kern w:val="1"/>
          <w:sz w:val="24"/>
        </w:rPr>
        <w:t>局；</w:t>
      </w:r>
      <w:r>
        <w:rPr>
          <w:rFonts w:hint="eastAsia" w:ascii="Times New Roman" w:hAnsi="Times New Roman" w:eastAsia="楷体" w:cs="Times New Roman"/>
          <w:color w:val="auto"/>
          <w:kern w:val="1"/>
          <w:sz w:val="24"/>
          <w:highlight w:val="none"/>
          <w:lang w:eastAsia="zh-CN"/>
        </w:rPr>
        <w:t>铁路数据来自漯阜铁路公司</w:t>
      </w:r>
      <w:r>
        <w:rPr>
          <w:rFonts w:hint="eastAsia" w:ascii="Times New Roman" w:hAnsi="Times New Roman" w:eastAsia="楷体" w:cs="Times New Roman"/>
          <w:color w:val="auto"/>
          <w:kern w:val="1"/>
          <w:sz w:val="24"/>
          <w:lang w:eastAsia="zh-CN"/>
        </w:rPr>
        <w:t>；</w:t>
      </w:r>
      <w:r>
        <w:rPr>
          <w:rFonts w:hint="eastAsia" w:ascii="Times New Roman" w:hAnsi="Times New Roman" w:eastAsia="楷体" w:cs="Times New Roman"/>
          <w:color w:val="auto"/>
          <w:kern w:val="1"/>
          <w:sz w:val="24"/>
          <w:highlight w:val="none"/>
          <w:lang w:eastAsia="zh-CN"/>
        </w:rPr>
        <w:t>高铁数据来自市发展改革委</w:t>
      </w:r>
      <w:r>
        <w:rPr>
          <w:rFonts w:hint="eastAsia" w:ascii="Times New Roman" w:hAnsi="Times New Roman" w:eastAsia="楷体" w:cs="Times New Roman"/>
          <w:color w:val="auto"/>
          <w:kern w:val="1"/>
          <w:sz w:val="24"/>
          <w:lang w:eastAsia="zh-CN"/>
        </w:rPr>
        <w:t>；水运运输、</w:t>
      </w:r>
      <w:r>
        <w:rPr>
          <w:rFonts w:hint="eastAsia" w:ascii="Times New Roman" w:hAnsi="Times New Roman" w:eastAsia="楷体" w:cs="Times New Roman"/>
          <w:color w:val="auto"/>
          <w:kern w:val="1"/>
          <w:sz w:val="24"/>
        </w:rPr>
        <w:t>港口数据来自市港航局；</w:t>
      </w:r>
      <w:r>
        <w:rPr>
          <w:rFonts w:hint="eastAsia" w:ascii="Times New Roman" w:hAnsi="Times New Roman" w:eastAsia="楷体" w:cs="Times New Roman"/>
          <w:color w:val="auto"/>
          <w:kern w:val="1"/>
          <w:sz w:val="24"/>
          <w:highlight w:val="none"/>
          <w:lang w:eastAsia="zh-CN"/>
        </w:rPr>
        <w:t>民用汽车、轿车保有量数据来自市公安局交警支队；</w:t>
      </w:r>
      <w:r>
        <w:rPr>
          <w:rFonts w:ascii="Times New Roman" w:hAnsi="Times New Roman" w:eastAsia="楷体" w:cs="Times New Roman"/>
          <w:color w:val="auto"/>
          <w:kern w:val="1"/>
          <w:sz w:val="24"/>
        </w:rPr>
        <w:t>邮政数据来自市邮政管理局；电信数据来自市通信管理</w:t>
      </w:r>
      <w:r>
        <w:rPr>
          <w:rFonts w:hint="eastAsia" w:ascii="Times New Roman" w:hAnsi="Times New Roman" w:eastAsia="楷体" w:cs="Times New Roman"/>
          <w:color w:val="auto"/>
          <w:kern w:val="1"/>
          <w:sz w:val="24"/>
          <w:lang w:eastAsia="zh-CN"/>
        </w:rPr>
        <w:t>办</w:t>
      </w:r>
      <w:r>
        <w:rPr>
          <w:rFonts w:ascii="Times New Roman" w:hAnsi="Times New Roman" w:eastAsia="楷体" w:cs="Times New Roman"/>
          <w:color w:val="auto"/>
          <w:kern w:val="1"/>
          <w:sz w:val="24"/>
        </w:rPr>
        <w:t>；</w:t>
      </w:r>
      <w:r>
        <w:rPr>
          <w:rFonts w:hint="eastAsia" w:ascii="Times New Roman" w:hAnsi="Times New Roman" w:eastAsia="楷体" w:cs="Times New Roman"/>
          <w:color w:val="auto"/>
          <w:kern w:val="1"/>
          <w:sz w:val="24"/>
          <w:lang w:eastAsia="zh-CN"/>
        </w:rPr>
        <w:t>对外贸易</w:t>
      </w:r>
      <w:r>
        <w:rPr>
          <w:rFonts w:ascii="Times New Roman" w:hAnsi="Times New Roman" w:eastAsia="楷体" w:cs="Times New Roman"/>
          <w:color w:val="auto"/>
          <w:kern w:val="1"/>
          <w:sz w:val="24"/>
        </w:rPr>
        <w:t>数据来自市商务局；财政数据来自市财政局；金融数据来自</w:t>
      </w:r>
      <w:r>
        <w:rPr>
          <w:rFonts w:hint="eastAsia" w:ascii="Times New Roman" w:hAnsi="Times New Roman" w:eastAsia="楷体" w:cs="Times New Roman"/>
          <w:color w:val="auto"/>
          <w:kern w:val="1"/>
          <w:sz w:val="24"/>
        </w:rPr>
        <w:t>中国人民银行</w:t>
      </w:r>
      <w:r>
        <w:rPr>
          <w:rFonts w:ascii="Times New Roman" w:hAnsi="Times New Roman" w:eastAsia="楷体" w:cs="Times New Roman"/>
          <w:color w:val="auto"/>
          <w:kern w:val="1"/>
          <w:sz w:val="24"/>
        </w:rPr>
        <w:t>周口</w:t>
      </w:r>
      <w:r>
        <w:rPr>
          <w:rFonts w:hint="eastAsia" w:ascii="Times New Roman" w:hAnsi="Times New Roman" w:eastAsia="楷体" w:cs="Times New Roman"/>
          <w:color w:val="auto"/>
          <w:kern w:val="1"/>
          <w:sz w:val="24"/>
        </w:rPr>
        <w:t>中心</w:t>
      </w:r>
      <w:r>
        <w:rPr>
          <w:rFonts w:ascii="Times New Roman" w:hAnsi="Times New Roman" w:eastAsia="楷体" w:cs="Times New Roman"/>
          <w:color w:val="auto"/>
          <w:kern w:val="1"/>
          <w:sz w:val="24"/>
        </w:rPr>
        <w:t>支行；</w:t>
      </w:r>
      <w:r>
        <w:rPr>
          <w:rFonts w:hint="eastAsia" w:ascii="Times New Roman" w:hAnsi="Times New Roman" w:eastAsia="楷体" w:cs="Times New Roman"/>
          <w:color w:val="auto"/>
          <w:kern w:val="1"/>
          <w:sz w:val="24"/>
        </w:rPr>
        <w:t>医疗、生育保险数据来自市</w:t>
      </w:r>
      <w:r>
        <w:rPr>
          <w:rFonts w:hint="eastAsia" w:ascii="Times New Roman" w:hAnsi="Times New Roman" w:eastAsia="楷体" w:cs="Times New Roman"/>
          <w:color w:val="auto"/>
          <w:kern w:val="1"/>
          <w:sz w:val="24"/>
          <w:lang w:eastAsia="zh-CN"/>
        </w:rPr>
        <w:t>医疗保障局</w:t>
      </w:r>
      <w:r>
        <w:rPr>
          <w:rFonts w:hint="eastAsia" w:ascii="Times New Roman" w:hAnsi="Times New Roman" w:eastAsia="楷体" w:cs="Times New Roman"/>
          <w:color w:val="auto"/>
          <w:kern w:val="1"/>
          <w:sz w:val="24"/>
        </w:rPr>
        <w:t>；</w:t>
      </w:r>
      <w:r>
        <w:rPr>
          <w:rFonts w:hint="eastAsia" w:ascii="Times New Roman" w:hAnsi="Times New Roman" w:eastAsia="楷体" w:cs="Times New Roman"/>
          <w:color w:val="auto"/>
          <w:kern w:val="1"/>
          <w:sz w:val="24"/>
          <w:lang w:eastAsia="zh-CN"/>
        </w:rPr>
        <w:t>工程技术研究中心、高新技术企业等</w:t>
      </w:r>
      <w:r>
        <w:rPr>
          <w:rFonts w:hint="eastAsia" w:ascii="Times New Roman" w:hAnsi="Times New Roman" w:eastAsia="楷体" w:cs="Times New Roman"/>
          <w:color w:val="auto"/>
          <w:kern w:val="1"/>
          <w:sz w:val="24"/>
          <w:highlight w:val="none"/>
          <w:lang w:eastAsia="zh-CN"/>
        </w:rPr>
        <w:t>科学技术相关数据</w:t>
      </w:r>
      <w:r>
        <w:rPr>
          <w:rFonts w:ascii="Times New Roman" w:hAnsi="Times New Roman" w:eastAsia="楷体" w:cs="Times New Roman"/>
          <w:color w:val="auto"/>
          <w:kern w:val="1"/>
          <w:sz w:val="24"/>
          <w:highlight w:val="none"/>
        </w:rPr>
        <w:t>来自市</w:t>
      </w:r>
      <w:r>
        <w:rPr>
          <w:rFonts w:hint="eastAsia" w:ascii="Times New Roman" w:hAnsi="Times New Roman" w:eastAsia="楷体" w:cs="Times New Roman"/>
          <w:color w:val="auto"/>
          <w:kern w:val="1"/>
          <w:sz w:val="24"/>
          <w:highlight w:val="none"/>
          <w:lang w:eastAsia="zh-CN"/>
        </w:rPr>
        <w:t>科技局</w:t>
      </w:r>
      <w:r>
        <w:rPr>
          <w:rFonts w:ascii="Times New Roman" w:hAnsi="Times New Roman" w:eastAsia="楷体" w:cs="Times New Roman"/>
          <w:color w:val="auto"/>
          <w:kern w:val="1"/>
          <w:sz w:val="24"/>
        </w:rPr>
        <w:t>；</w:t>
      </w:r>
      <w:r>
        <w:rPr>
          <w:rFonts w:hint="eastAsia" w:ascii="Times New Roman" w:hAnsi="Times New Roman" w:eastAsia="楷体" w:cs="Times New Roman"/>
          <w:color w:val="auto"/>
          <w:kern w:val="1"/>
          <w:sz w:val="24"/>
          <w:lang w:eastAsia="zh-CN"/>
        </w:rPr>
        <w:t>创新型、“专精特新”中小企业和智能化改造项目、车间等数据来自市工信局；</w:t>
      </w:r>
      <w:r>
        <w:rPr>
          <w:rFonts w:ascii="Times New Roman" w:hAnsi="Times New Roman" w:eastAsia="楷体" w:cs="Times New Roman"/>
          <w:color w:val="auto"/>
          <w:kern w:val="1"/>
          <w:sz w:val="24"/>
        </w:rPr>
        <w:t>教育</w:t>
      </w:r>
      <w:r>
        <w:rPr>
          <w:rFonts w:hint="eastAsia" w:ascii="Times New Roman" w:hAnsi="Times New Roman" w:eastAsia="楷体" w:cs="Times New Roman"/>
          <w:color w:val="auto"/>
          <w:kern w:val="1"/>
          <w:sz w:val="24"/>
        </w:rPr>
        <w:t>、体育</w:t>
      </w:r>
      <w:r>
        <w:rPr>
          <w:rFonts w:ascii="Times New Roman" w:hAnsi="Times New Roman" w:eastAsia="楷体" w:cs="Times New Roman"/>
          <w:color w:val="auto"/>
          <w:kern w:val="1"/>
          <w:sz w:val="24"/>
        </w:rPr>
        <w:t>数据来自市</w:t>
      </w:r>
      <w:r>
        <w:rPr>
          <w:rFonts w:hint="eastAsia" w:ascii="Times New Roman" w:hAnsi="Times New Roman" w:eastAsia="楷体" w:cs="Times New Roman"/>
          <w:color w:val="auto"/>
          <w:kern w:val="1"/>
          <w:sz w:val="24"/>
          <w:lang w:eastAsia="zh-CN"/>
        </w:rPr>
        <w:t>教育体育</w:t>
      </w:r>
      <w:r>
        <w:rPr>
          <w:rFonts w:ascii="Times New Roman" w:hAnsi="Times New Roman" w:eastAsia="楷体" w:cs="Times New Roman"/>
          <w:color w:val="auto"/>
          <w:kern w:val="1"/>
          <w:sz w:val="24"/>
        </w:rPr>
        <w:t>局；旅游</w:t>
      </w:r>
      <w:r>
        <w:rPr>
          <w:rFonts w:hint="eastAsia" w:ascii="Times New Roman" w:hAnsi="Times New Roman" w:eastAsia="楷体" w:cs="Times New Roman"/>
          <w:color w:val="auto"/>
          <w:kern w:val="1"/>
          <w:sz w:val="24"/>
          <w:lang w:eastAsia="zh-CN"/>
        </w:rPr>
        <w:t>、文化</w:t>
      </w:r>
      <w:r>
        <w:rPr>
          <w:rFonts w:ascii="Times New Roman" w:hAnsi="Times New Roman" w:eastAsia="楷体" w:cs="Times New Roman"/>
          <w:color w:val="auto"/>
          <w:kern w:val="1"/>
          <w:sz w:val="24"/>
        </w:rPr>
        <w:t>数据来自市文广旅局；医疗卫生数据来自市</w:t>
      </w:r>
      <w:r>
        <w:rPr>
          <w:rFonts w:hint="eastAsia" w:ascii="Times New Roman" w:hAnsi="Times New Roman" w:eastAsia="楷体" w:cs="Times New Roman"/>
          <w:color w:val="auto"/>
          <w:kern w:val="1"/>
          <w:sz w:val="24"/>
          <w:lang w:eastAsia="zh-CN"/>
        </w:rPr>
        <w:t>卫生健康</w:t>
      </w:r>
      <w:r>
        <w:rPr>
          <w:rFonts w:hint="eastAsia" w:ascii="Times New Roman" w:hAnsi="Times New Roman" w:eastAsia="楷体" w:cs="Times New Roman"/>
          <w:color w:val="auto"/>
          <w:kern w:val="1"/>
          <w:sz w:val="24"/>
        </w:rPr>
        <w:t>委</w:t>
      </w:r>
      <w:r>
        <w:rPr>
          <w:rFonts w:ascii="Times New Roman" w:hAnsi="Times New Roman" w:eastAsia="楷体" w:cs="Times New Roman"/>
          <w:color w:val="auto"/>
          <w:kern w:val="1"/>
          <w:sz w:val="24"/>
        </w:rPr>
        <w:t>；</w:t>
      </w:r>
      <w:r>
        <w:rPr>
          <w:rFonts w:hint="eastAsia" w:ascii="Times New Roman" w:hAnsi="Times New Roman" w:eastAsia="楷体" w:cs="Times New Roman"/>
          <w:color w:val="auto"/>
          <w:kern w:val="1"/>
          <w:sz w:val="24"/>
          <w:lang w:eastAsia="zh-CN"/>
        </w:rPr>
        <w:t>低保相关数据来自市民政局；</w:t>
      </w:r>
      <w:r>
        <w:rPr>
          <w:rFonts w:ascii="Times New Roman" w:hAnsi="Times New Roman" w:eastAsia="楷体" w:cs="Times New Roman"/>
          <w:color w:val="auto"/>
          <w:kern w:val="1"/>
          <w:sz w:val="24"/>
        </w:rPr>
        <w:t>环保状况、水质状况、空气状况来自市</w:t>
      </w:r>
      <w:r>
        <w:rPr>
          <w:rFonts w:hint="eastAsia" w:ascii="Times New Roman" w:hAnsi="Times New Roman" w:eastAsia="楷体" w:cs="Times New Roman"/>
          <w:color w:val="auto"/>
          <w:kern w:val="1"/>
          <w:sz w:val="24"/>
          <w:lang w:eastAsia="zh-CN"/>
        </w:rPr>
        <w:t>生态环境</w:t>
      </w:r>
      <w:r>
        <w:rPr>
          <w:rFonts w:ascii="Times New Roman" w:hAnsi="Times New Roman" w:eastAsia="楷体" w:cs="Times New Roman"/>
          <w:color w:val="auto"/>
          <w:kern w:val="1"/>
          <w:sz w:val="24"/>
        </w:rPr>
        <w:t>局</w:t>
      </w:r>
      <w:r>
        <w:rPr>
          <w:rFonts w:hint="eastAsia" w:ascii="Times New Roman" w:hAnsi="Times New Roman" w:eastAsia="楷体" w:cs="Times New Roman"/>
          <w:color w:val="auto"/>
          <w:kern w:val="1"/>
          <w:sz w:val="24"/>
          <w:lang w:eastAsia="zh-CN"/>
        </w:rPr>
        <w:t>（</w:t>
      </w:r>
      <w:r>
        <w:rPr>
          <w:rFonts w:ascii="Times New Roman" w:hAnsi="Times New Roman" w:eastAsia="楷体" w:cs="Times New Roman"/>
          <w:color w:val="auto"/>
          <w:kern w:val="1"/>
          <w:sz w:val="24"/>
        </w:rPr>
        <w:t>大气质量优良天数为新标准[AQI]</w:t>
      </w:r>
      <w:r>
        <w:rPr>
          <w:rFonts w:hint="eastAsia" w:ascii="Times New Roman" w:hAnsi="Times New Roman" w:eastAsia="楷体" w:cs="Times New Roman"/>
          <w:color w:val="auto"/>
          <w:kern w:val="1"/>
          <w:sz w:val="24"/>
          <w:lang w:eastAsia="zh-CN"/>
        </w:rPr>
        <w:t>）</w:t>
      </w:r>
      <w:r>
        <w:rPr>
          <w:rFonts w:ascii="Times New Roman" w:hAnsi="Times New Roman" w:eastAsia="楷体" w:cs="Times New Roman"/>
          <w:color w:val="auto"/>
          <w:kern w:val="1"/>
          <w:sz w:val="24"/>
        </w:rPr>
        <w:t>；</w:t>
      </w:r>
      <w:r>
        <w:rPr>
          <w:rFonts w:hint="eastAsia" w:ascii="Times New Roman" w:hAnsi="Times New Roman" w:eastAsia="楷体" w:cs="Times New Roman"/>
          <w:color w:val="auto"/>
          <w:kern w:val="1"/>
          <w:sz w:val="24"/>
        </w:rPr>
        <w:t>造林面积数据来自市林业保护中心；</w:t>
      </w:r>
      <w:r>
        <w:rPr>
          <w:rFonts w:hint="eastAsia" w:ascii="Times New Roman" w:hAnsi="Times New Roman" w:eastAsia="楷体" w:cs="Times New Roman"/>
          <w:color w:val="auto"/>
          <w:kern w:val="1"/>
          <w:sz w:val="24"/>
          <w:lang w:eastAsia="zh-CN"/>
        </w:rPr>
        <w:t>自然保护地数据来自市自然资源规划局；安全生产数据来自市应急管理局（受灾数据来自国家自然灾害灾情管理系统）；</w:t>
      </w:r>
      <w:r>
        <w:rPr>
          <w:rFonts w:hint="eastAsia" w:ascii="Times New Roman" w:hAnsi="Times New Roman" w:eastAsia="楷体" w:cs="Times New Roman"/>
          <w:color w:val="auto"/>
          <w:kern w:val="1"/>
          <w:sz w:val="24"/>
        </w:rPr>
        <w:t>粮食数据、</w:t>
      </w:r>
      <w:r>
        <w:rPr>
          <w:rFonts w:hint="eastAsia" w:ascii="Times New Roman" w:hAnsi="Times New Roman" w:eastAsia="楷体" w:cs="Times New Roman"/>
          <w:color w:val="auto"/>
          <w:kern w:val="1"/>
          <w:sz w:val="24"/>
          <w:lang w:eastAsia="zh-CN"/>
        </w:rPr>
        <w:t>畜牧业数据、居民</w:t>
      </w:r>
      <w:r>
        <w:rPr>
          <w:rFonts w:ascii="Times New Roman" w:hAnsi="Times New Roman" w:eastAsia="楷体" w:cs="Times New Roman"/>
          <w:color w:val="auto"/>
          <w:kern w:val="1"/>
          <w:sz w:val="24"/>
        </w:rPr>
        <w:t>收入</w:t>
      </w:r>
      <w:r>
        <w:rPr>
          <w:rFonts w:hint="eastAsia" w:ascii="Times New Roman" w:hAnsi="Times New Roman" w:eastAsia="楷体" w:cs="Times New Roman"/>
          <w:color w:val="auto"/>
          <w:kern w:val="1"/>
          <w:sz w:val="24"/>
          <w:lang w:eastAsia="zh-CN"/>
        </w:rPr>
        <w:t>、消费支出</w:t>
      </w:r>
      <w:r>
        <w:rPr>
          <w:rFonts w:ascii="Times New Roman" w:hAnsi="Times New Roman" w:eastAsia="楷体" w:cs="Times New Roman"/>
          <w:color w:val="auto"/>
          <w:kern w:val="1"/>
          <w:sz w:val="24"/>
        </w:rPr>
        <w:t>数据</w:t>
      </w:r>
      <w:r>
        <w:rPr>
          <w:rFonts w:hint="eastAsia" w:ascii="Times New Roman" w:hAnsi="Times New Roman" w:eastAsia="楷体" w:cs="Times New Roman"/>
          <w:color w:val="auto"/>
          <w:kern w:val="1"/>
          <w:sz w:val="24"/>
        </w:rPr>
        <w:t>来自国家统计局周口调查队；</w:t>
      </w:r>
      <w:r>
        <w:rPr>
          <w:rFonts w:hint="eastAsia" w:ascii="Times New Roman" w:hAnsi="Times New Roman" w:eastAsia="楷体" w:cs="Times New Roman"/>
          <w:color w:val="auto"/>
          <w:kern w:val="1"/>
          <w:sz w:val="24"/>
          <w:lang w:eastAsia="zh-CN"/>
        </w:rPr>
        <w:t>居民消费价格指数（</w:t>
      </w:r>
      <w:r>
        <w:rPr>
          <w:rFonts w:hint="eastAsia" w:ascii="Times New Roman" w:hAnsi="Times New Roman" w:eastAsia="楷体" w:cs="Times New Roman"/>
          <w:color w:val="auto"/>
          <w:kern w:val="1"/>
          <w:sz w:val="24"/>
          <w:lang w:val="en-US" w:eastAsia="zh-CN"/>
        </w:rPr>
        <w:t>CPI</w:t>
      </w:r>
      <w:r>
        <w:rPr>
          <w:rFonts w:hint="eastAsia" w:ascii="Times New Roman" w:hAnsi="Times New Roman" w:eastAsia="楷体" w:cs="Times New Roman"/>
          <w:color w:val="auto"/>
          <w:kern w:val="1"/>
          <w:sz w:val="24"/>
          <w:lang w:eastAsia="zh-CN"/>
        </w:rPr>
        <w:t>）来自河南省地方经济社会调查队周口分队；</w:t>
      </w:r>
      <w:r>
        <w:rPr>
          <w:rFonts w:hint="eastAsia" w:ascii="Times New Roman" w:hAnsi="Times New Roman" w:eastAsia="楷体" w:cs="Times New Roman"/>
          <w:color w:val="auto"/>
          <w:kern w:val="1"/>
          <w:sz w:val="24"/>
        </w:rPr>
        <w:t>其他数据来自市统计局</w:t>
      </w:r>
      <w:r>
        <w:rPr>
          <w:rFonts w:ascii="Times New Roman" w:hAnsi="Times New Roman" w:eastAsia="楷体" w:cs="Times New Roman"/>
          <w:color w:val="auto"/>
          <w:kern w:val="1"/>
          <w:sz w:val="24"/>
        </w:rPr>
        <w:t>。</w:t>
      </w:r>
    </w:p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微软雅黑">
    <w:altName w:val="黑体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Menlo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2540635</wp:posOffset>
              </wp:positionH>
              <wp:positionV relativeFrom="paragraph">
                <wp:posOffset>0</wp:posOffset>
              </wp:positionV>
              <wp:extent cx="701040" cy="139700"/>
              <wp:effectExtent l="0" t="0" r="0" b="0"/>
              <wp:wrapNone/>
              <wp:docPr id="1" name="Text Box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0104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- 4 -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Text Box 1025" o:spid="_x0000_s1026" o:spt="202" type="#_x0000_t202" style="position:absolute;left:0pt;margin-left:200.05pt;margin-top:0pt;height:11pt;width:55.2pt;mso-position-horizontal-relative:margin;z-index:251659264;mso-width-relative:page;mso-height-relative:page;" filled="f" stroked="f" coordsize="21600,21600" o:gfxdata="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Theme="minorEastAsia" w:hAnsiTheme="minorEastAsia" w:eastAsiaTheme="minorEastAsia" w:cstheme="minorEastAsia"/>
                        <w:sz w:val="28"/>
                        <w:szCs w:val="28"/>
                      </w:rPr>
                      <w:t>- 4 -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lMzIwMzQ4MjM2Y2NhNmU5OTAxZDQ2ZWU2YTU1YmQifQ=="/>
  </w:docVars>
  <w:rsids>
    <w:rsidRoot w:val="00B0068E"/>
    <w:rsid w:val="000D6B34"/>
    <w:rsid w:val="0016459D"/>
    <w:rsid w:val="00207774"/>
    <w:rsid w:val="00266718"/>
    <w:rsid w:val="002C309A"/>
    <w:rsid w:val="002F50A2"/>
    <w:rsid w:val="003A1F3C"/>
    <w:rsid w:val="003E5204"/>
    <w:rsid w:val="00403708"/>
    <w:rsid w:val="004118A4"/>
    <w:rsid w:val="00495AA8"/>
    <w:rsid w:val="004B5B83"/>
    <w:rsid w:val="00533022"/>
    <w:rsid w:val="00544B75"/>
    <w:rsid w:val="005755EF"/>
    <w:rsid w:val="005E3F43"/>
    <w:rsid w:val="00711644"/>
    <w:rsid w:val="00723B6C"/>
    <w:rsid w:val="007C6963"/>
    <w:rsid w:val="007F153D"/>
    <w:rsid w:val="00905357"/>
    <w:rsid w:val="009F13A9"/>
    <w:rsid w:val="00A20AC3"/>
    <w:rsid w:val="00A5143E"/>
    <w:rsid w:val="00A57218"/>
    <w:rsid w:val="00AA543C"/>
    <w:rsid w:val="00AF3D6A"/>
    <w:rsid w:val="00B0068E"/>
    <w:rsid w:val="00BA37C5"/>
    <w:rsid w:val="00BF2DCF"/>
    <w:rsid w:val="00C54B4F"/>
    <w:rsid w:val="00C724C2"/>
    <w:rsid w:val="00D95BE7"/>
    <w:rsid w:val="00E62D51"/>
    <w:rsid w:val="02770B0F"/>
    <w:rsid w:val="03F44B91"/>
    <w:rsid w:val="06314738"/>
    <w:rsid w:val="06430726"/>
    <w:rsid w:val="07BC63DE"/>
    <w:rsid w:val="0A9520BC"/>
    <w:rsid w:val="0D952FEF"/>
    <w:rsid w:val="0E411DB8"/>
    <w:rsid w:val="0EFF5417"/>
    <w:rsid w:val="0EFF9007"/>
    <w:rsid w:val="0F6FC94E"/>
    <w:rsid w:val="106F69AA"/>
    <w:rsid w:val="109376FA"/>
    <w:rsid w:val="125F3CC1"/>
    <w:rsid w:val="12ED4754"/>
    <w:rsid w:val="13CF85AC"/>
    <w:rsid w:val="147E456B"/>
    <w:rsid w:val="156F0307"/>
    <w:rsid w:val="15A106F2"/>
    <w:rsid w:val="15DB580B"/>
    <w:rsid w:val="16DF7229"/>
    <w:rsid w:val="171E3802"/>
    <w:rsid w:val="17FDBFF8"/>
    <w:rsid w:val="1861692D"/>
    <w:rsid w:val="18D075E7"/>
    <w:rsid w:val="196C7F91"/>
    <w:rsid w:val="19B4308D"/>
    <w:rsid w:val="19BD7254"/>
    <w:rsid w:val="19CE163C"/>
    <w:rsid w:val="1A396C03"/>
    <w:rsid w:val="1CA44F43"/>
    <w:rsid w:val="1CB97D41"/>
    <w:rsid w:val="1CF96EE4"/>
    <w:rsid w:val="1D5D243D"/>
    <w:rsid w:val="1D8745E0"/>
    <w:rsid w:val="1DD12D29"/>
    <w:rsid w:val="1DEF6FF3"/>
    <w:rsid w:val="1EB66707"/>
    <w:rsid w:val="1EE342D9"/>
    <w:rsid w:val="1EE35B22"/>
    <w:rsid w:val="1FEE0FF7"/>
    <w:rsid w:val="1FFDF7DC"/>
    <w:rsid w:val="20D7A4E1"/>
    <w:rsid w:val="21831890"/>
    <w:rsid w:val="2191411F"/>
    <w:rsid w:val="22E24B7F"/>
    <w:rsid w:val="270153C0"/>
    <w:rsid w:val="273E4BA1"/>
    <w:rsid w:val="28C13A14"/>
    <w:rsid w:val="2AA73737"/>
    <w:rsid w:val="2AE00C88"/>
    <w:rsid w:val="2B355336"/>
    <w:rsid w:val="2BAF201E"/>
    <w:rsid w:val="2D8533C9"/>
    <w:rsid w:val="2DE57910"/>
    <w:rsid w:val="2E5074CD"/>
    <w:rsid w:val="2F1BDD5A"/>
    <w:rsid w:val="32FA2702"/>
    <w:rsid w:val="33F92A00"/>
    <w:rsid w:val="340E5685"/>
    <w:rsid w:val="34167907"/>
    <w:rsid w:val="34277ABB"/>
    <w:rsid w:val="34FC3148"/>
    <w:rsid w:val="35ED7A04"/>
    <w:rsid w:val="35FAA509"/>
    <w:rsid w:val="36327974"/>
    <w:rsid w:val="36B7766B"/>
    <w:rsid w:val="36CDF842"/>
    <w:rsid w:val="36F95023"/>
    <w:rsid w:val="379E5458"/>
    <w:rsid w:val="37AD43C0"/>
    <w:rsid w:val="37D42812"/>
    <w:rsid w:val="37DB064A"/>
    <w:rsid w:val="37E93E5B"/>
    <w:rsid w:val="38506218"/>
    <w:rsid w:val="39BF39BF"/>
    <w:rsid w:val="3AFB1E37"/>
    <w:rsid w:val="3B33724B"/>
    <w:rsid w:val="3B3921EE"/>
    <w:rsid w:val="3B65A767"/>
    <w:rsid w:val="3B8979CF"/>
    <w:rsid w:val="3BF54158"/>
    <w:rsid w:val="3CFA8848"/>
    <w:rsid w:val="3D5B1FEA"/>
    <w:rsid w:val="3D9FD99D"/>
    <w:rsid w:val="3DA71625"/>
    <w:rsid w:val="3DF7E67D"/>
    <w:rsid w:val="3DFFF7E6"/>
    <w:rsid w:val="3E5385FB"/>
    <w:rsid w:val="3F3F005B"/>
    <w:rsid w:val="3F7DD494"/>
    <w:rsid w:val="3F863D41"/>
    <w:rsid w:val="3FB86062"/>
    <w:rsid w:val="3FC3458F"/>
    <w:rsid w:val="3FD04598"/>
    <w:rsid w:val="3FDB6F3F"/>
    <w:rsid w:val="3FE7AFD9"/>
    <w:rsid w:val="3FF7AA32"/>
    <w:rsid w:val="3FFD0F2C"/>
    <w:rsid w:val="40BC669F"/>
    <w:rsid w:val="4104029D"/>
    <w:rsid w:val="41F067AB"/>
    <w:rsid w:val="431D1CC0"/>
    <w:rsid w:val="443C0366"/>
    <w:rsid w:val="44B47F70"/>
    <w:rsid w:val="47C95084"/>
    <w:rsid w:val="47FEBA18"/>
    <w:rsid w:val="48854A43"/>
    <w:rsid w:val="496D279F"/>
    <w:rsid w:val="4BED12FD"/>
    <w:rsid w:val="4BF33FFE"/>
    <w:rsid w:val="4CDF1DC1"/>
    <w:rsid w:val="4D7FDDA6"/>
    <w:rsid w:val="4DF76C1B"/>
    <w:rsid w:val="4F9F1659"/>
    <w:rsid w:val="4FDFBEB6"/>
    <w:rsid w:val="4FFF584A"/>
    <w:rsid w:val="50016A06"/>
    <w:rsid w:val="50C40074"/>
    <w:rsid w:val="50EE0D9F"/>
    <w:rsid w:val="53FFCCE8"/>
    <w:rsid w:val="540E2EDC"/>
    <w:rsid w:val="55216577"/>
    <w:rsid w:val="55FF9674"/>
    <w:rsid w:val="57BD889F"/>
    <w:rsid w:val="57CF15ED"/>
    <w:rsid w:val="589C434F"/>
    <w:rsid w:val="58D378D4"/>
    <w:rsid w:val="595419A2"/>
    <w:rsid w:val="5A13578C"/>
    <w:rsid w:val="5A1F1135"/>
    <w:rsid w:val="5BEF06A0"/>
    <w:rsid w:val="5BEF0B8A"/>
    <w:rsid w:val="5C051A69"/>
    <w:rsid w:val="5C4200D5"/>
    <w:rsid w:val="5CCE4C5B"/>
    <w:rsid w:val="5D7E09F6"/>
    <w:rsid w:val="5D865447"/>
    <w:rsid w:val="5DA775E4"/>
    <w:rsid w:val="5DB01517"/>
    <w:rsid w:val="5DE22C69"/>
    <w:rsid w:val="5DF4F387"/>
    <w:rsid w:val="5DFB97D6"/>
    <w:rsid w:val="5DFC7FC9"/>
    <w:rsid w:val="5E7E0376"/>
    <w:rsid w:val="5EC255FF"/>
    <w:rsid w:val="5EEFE05E"/>
    <w:rsid w:val="5EF79237"/>
    <w:rsid w:val="5F2F7D31"/>
    <w:rsid w:val="5F7F17C1"/>
    <w:rsid w:val="5F9F8131"/>
    <w:rsid w:val="5FB7A530"/>
    <w:rsid w:val="5FDB11E6"/>
    <w:rsid w:val="5FDB8165"/>
    <w:rsid w:val="5FDD3F72"/>
    <w:rsid w:val="5FE3B639"/>
    <w:rsid w:val="5FEDBBA8"/>
    <w:rsid w:val="5FEF8CA6"/>
    <w:rsid w:val="5FF52854"/>
    <w:rsid w:val="5FFB4052"/>
    <w:rsid w:val="5FFD0D1D"/>
    <w:rsid w:val="5FFF6AB4"/>
    <w:rsid w:val="5FFFF59C"/>
    <w:rsid w:val="60611A62"/>
    <w:rsid w:val="62645C0C"/>
    <w:rsid w:val="632121C7"/>
    <w:rsid w:val="6341552A"/>
    <w:rsid w:val="6550266A"/>
    <w:rsid w:val="656B781B"/>
    <w:rsid w:val="658716F1"/>
    <w:rsid w:val="67BF0A16"/>
    <w:rsid w:val="67DE03A2"/>
    <w:rsid w:val="67DE3E27"/>
    <w:rsid w:val="68241D63"/>
    <w:rsid w:val="68B322B9"/>
    <w:rsid w:val="692339CE"/>
    <w:rsid w:val="69766A05"/>
    <w:rsid w:val="6BA54493"/>
    <w:rsid w:val="6BEF9B99"/>
    <w:rsid w:val="6BFED1E5"/>
    <w:rsid w:val="6C6E5D0E"/>
    <w:rsid w:val="6C882293"/>
    <w:rsid w:val="6CF9C395"/>
    <w:rsid w:val="6D1E0B73"/>
    <w:rsid w:val="6DEE7671"/>
    <w:rsid w:val="6E5F756E"/>
    <w:rsid w:val="6E7ECD85"/>
    <w:rsid w:val="6EEE4356"/>
    <w:rsid w:val="6EEEF336"/>
    <w:rsid w:val="6EFB336A"/>
    <w:rsid w:val="6F6F19C3"/>
    <w:rsid w:val="6F8B092E"/>
    <w:rsid w:val="6FBCB669"/>
    <w:rsid w:val="6FE73072"/>
    <w:rsid w:val="6FEE858C"/>
    <w:rsid w:val="6FEECBD4"/>
    <w:rsid w:val="6FEF189F"/>
    <w:rsid w:val="6FF7ED3F"/>
    <w:rsid w:val="6FFC68D9"/>
    <w:rsid w:val="6FFED810"/>
    <w:rsid w:val="6FFF589F"/>
    <w:rsid w:val="70256027"/>
    <w:rsid w:val="705E3FA3"/>
    <w:rsid w:val="71757B5C"/>
    <w:rsid w:val="71BE5A33"/>
    <w:rsid w:val="739F19CD"/>
    <w:rsid w:val="745C07C0"/>
    <w:rsid w:val="75782FAA"/>
    <w:rsid w:val="75A7E9C3"/>
    <w:rsid w:val="75BBE7E2"/>
    <w:rsid w:val="75BFFA97"/>
    <w:rsid w:val="75FEC0DF"/>
    <w:rsid w:val="75FFDA2C"/>
    <w:rsid w:val="76DF1C88"/>
    <w:rsid w:val="76FE6B8D"/>
    <w:rsid w:val="772E421E"/>
    <w:rsid w:val="777BAE50"/>
    <w:rsid w:val="77EF0E12"/>
    <w:rsid w:val="77EF4675"/>
    <w:rsid w:val="77EF972D"/>
    <w:rsid w:val="77F74E9F"/>
    <w:rsid w:val="77FB1268"/>
    <w:rsid w:val="77FE9764"/>
    <w:rsid w:val="77FFFC4C"/>
    <w:rsid w:val="7AEF5B50"/>
    <w:rsid w:val="7B136D89"/>
    <w:rsid w:val="7B7538DF"/>
    <w:rsid w:val="7B799C21"/>
    <w:rsid w:val="7B9E8E5D"/>
    <w:rsid w:val="7BAFFA6B"/>
    <w:rsid w:val="7BD86900"/>
    <w:rsid w:val="7BDD075A"/>
    <w:rsid w:val="7BDD2DA3"/>
    <w:rsid w:val="7BEE9350"/>
    <w:rsid w:val="7CD4226B"/>
    <w:rsid w:val="7CEDE7D3"/>
    <w:rsid w:val="7D2EC2E0"/>
    <w:rsid w:val="7D5921C2"/>
    <w:rsid w:val="7DA46E65"/>
    <w:rsid w:val="7DB743FC"/>
    <w:rsid w:val="7DC13A3B"/>
    <w:rsid w:val="7DEE437A"/>
    <w:rsid w:val="7DFBF06F"/>
    <w:rsid w:val="7DFDD300"/>
    <w:rsid w:val="7DFE0226"/>
    <w:rsid w:val="7DFEEC72"/>
    <w:rsid w:val="7DFF5076"/>
    <w:rsid w:val="7E56D8A0"/>
    <w:rsid w:val="7E640341"/>
    <w:rsid w:val="7EDD5EAA"/>
    <w:rsid w:val="7EEF8AB7"/>
    <w:rsid w:val="7EEFBB92"/>
    <w:rsid w:val="7EF52E07"/>
    <w:rsid w:val="7F1A7618"/>
    <w:rsid w:val="7F47689C"/>
    <w:rsid w:val="7F65D8B5"/>
    <w:rsid w:val="7F692707"/>
    <w:rsid w:val="7F6E165C"/>
    <w:rsid w:val="7F7B36A8"/>
    <w:rsid w:val="7F7FDDAE"/>
    <w:rsid w:val="7FB7B31F"/>
    <w:rsid w:val="7FBE8294"/>
    <w:rsid w:val="7FBF6162"/>
    <w:rsid w:val="7FBF74E0"/>
    <w:rsid w:val="7FBFE3C7"/>
    <w:rsid w:val="7FDEE8DD"/>
    <w:rsid w:val="7FE1B56A"/>
    <w:rsid w:val="7FEA0693"/>
    <w:rsid w:val="7FF20417"/>
    <w:rsid w:val="7FFB9644"/>
    <w:rsid w:val="7FFD1BAF"/>
    <w:rsid w:val="7FFD6293"/>
    <w:rsid w:val="7FFECEC7"/>
    <w:rsid w:val="7FFEE112"/>
    <w:rsid w:val="7FFF4D3B"/>
    <w:rsid w:val="7FFFCB58"/>
    <w:rsid w:val="880EB6AE"/>
    <w:rsid w:val="8FD7FD87"/>
    <w:rsid w:val="8FF765F5"/>
    <w:rsid w:val="8FFF28FD"/>
    <w:rsid w:val="91BB1A1D"/>
    <w:rsid w:val="9A7BB496"/>
    <w:rsid w:val="9BBBF0B9"/>
    <w:rsid w:val="9BCF1DA8"/>
    <w:rsid w:val="9EBFD574"/>
    <w:rsid w:val="9EF53BE5"/>
    <w:rsid w:val="9FD32242"/>
    <w:rsid w:val="ABDD916F"/>
    <w:rsid w:val="ABFDA315"/>
    <w:rsid w:val="AC1F1BAB"/>
    <w:rsid w:val="AF6B1E60"/>
    <w:rsid w:val="AFBDA5CB"/>
    <w:rsid w:val="AFCF2915"/>
    <w:rsid w:val="AFEF9F35"/>
    <w:rsid w:val="AFFFCD49"/>
    <w:rsid w:val="B3DFA18F"/>
    <w:rsid w:val="B4FF6B34"/>
    <w:rsid w:val="B4FFBD29"/>
    <w:rsid w:val="B5FF4110"/>
    <w:rsid w:val="B6776D54"/>
    <w:rsid w:val="B6FD446A"/>
    <w:rsid w:val="B76D8AC5"/>
    <w:rsid w:val="B7FB37E4"/>
    <w:rsid w:val="BBB4634E"/>
    <w:rsid w:val="BBE73C52"/>
    <w:rsid w:val="BBF94C01"/>
    <w:rsid w:val="BBFFCAF2"/>
    <w:rsid w:val="BCE7BEB3"/>
    <w:rsid w:val="BDFF98F4"/>
    <w:rsid w:val="BEB77FEA"/>
    <w:rsid w:val="BED76CE1"/>
    <w:rsid w:val="BEE6E4CA"/>
    <w:rsid w:val="BEEE5850"/>
    <w:rsid w:val="BF7D7CD4"/>
    <w:rsid w:val="BF7EA67C"/>
    <w:rsid w:val="BFB87B1C"/>
    <w:rsid w:val="BFBF14BB"/>
    <w:rsid w:val="BFED7C7D"/>
    <w:rsid w:val="BFF37EB8"/>
    <w:rsid w:val="BFF7752A"/>
    <w:rsid w:val="C35FE6B5"/>
    <w:rsid w:val="C776A3E5"/>
    <w:rsid w:val="CB3B3BBD"/>
    <w:rsid w:val="CE77F345"/>
    <w:rsid w:val="CFDF9CC2"/>
    <w:rsid w:val="CFEFBDD8"/>
    <w:rsid w:val="CFFB9B47"/>
    <w:rsid w:val="D53BD36C"/>
    <w:rsid w:val="D6EDFAB8"/>
    <w:rsid w:val="D6F3356D"/>
    <w:rsid w:val="D7DFD442"/>
    <w:rsid w:val="D7FFD9DC"/>
    <w:rsid w:val="D913E746"/>
    <w:rsid w:val="DBE5E3CD"/>
    <w:rsid w:val="DCDCB69C"/>
    <w:rsid w:val="DCEFA8BB"/>
    <w:rsid w:val="DDBFB922"/>
    <w:rsid w:val="DDF7F726"/>
    <w:rsid w:val="DE72D372"/>
    <w:rsid w:val="DEDBAEEB"/>
    <w:rsid w:val="DEEF8659"/>
    <w:rsid w:val="DEF3AACF"/>
    <w:rsid w:val="DF2E24DF"/>
    <w:rsid w:val="DF4E37DD"/>
    <w:rsid w:val="DF6DC8BF"/>
    <w:rsid w:val="DF766F7F"/>
    <w:rsid w:val="DFCADD3F"/>
    <w:rsid w:val="DFDA9522"/>
    <w:rsid w:val="DFED2505"/>
    <w:rsid w:val="DFEE5131"/>
    <w:rsid w:val="DFF5D9C7"/>
    <w:rsid w:val="DFFC9F8B"/>
    <w:rsid w:val="DFFFF191"/>
    <w:rsid w:val="E2F08545"/>
    <w:rsid w:val="E33C7494"/>
    <w:rsid w:val="E5963112"/>
    <w:rsid w:val="E5F33CBA"/>
    <w:rsid w:val="E67B062E"/>
    <w:rsid w:val="E69F53E3"/>
    <w:rsid w:val="E6FD65CF"/>
    <w:rsid w:val="E7753C13"/>
    <w:rsid w:val="E9FBD0D0"/>
    <w:rsid w:val="EB7FD69E"/>
    <w:rsid w:val="EB86A498"/>
    <w:rsid w:val="EBB72C40"/>
    <w:rsid w:val="ED5664C2"/>
    <w:rsid w:val="ED79EE40"/>
    <w:rsid w:val="EDF1DDDD"/>
    <w:rsid w:val="EDFBAF14"/>
    <w:rsid w:val="EE57885C"/>
    <w:rsid w:val="EEFB3131"/>
    <w:rsid w:val="EF1F40D3"/>
    <w:rsid w:val="EFA783FB"/>
    <w:rsid w:val="EFBE5EC9"/>
    <w:rsid w:val="EFDDEDA7"/>
    <w:rsid w:val="F1EE157B"/>
    <w:rsid w:val="F33EA316"/>
    <w:rsid w:val="F35FC2B8"/>
    <w:rsid w:val="F3A33E63"/>
    <w:rsid w:val="F3AB6309"/>
    <w:rsid w:val="F3AD96E9"/>
    <w:rsid w:val="F3DFA0EE"/>
    <w:rsid w:val="F3FEF888"/>
    <w:rsid w:val="F49F0DF6"/>
    <w:rsid w:val="F4EB41FD"/>
    <w:rsid w:val="F4EF09AD"/>
    <w:rsid w:val="F5BFC891"/>
    <w:rsid w:val="F5CBCC96"/>
    <w:rsid w:val="F5F3C04F"/>
    <w:rsid w:val="F6573BD5"/>
    <w:rsid w:val="F6EB774E"/>
    <w:rsid w:val="F6EC5F14"/>
    <w:rsid w:val="F6ED1D18"/>
    <w:rsid w:val="F6FDC238"/>
    <w:rsid w:val="F6FFDC75"/>
    <w:rsid w:val="F7750CB7"/>
    <w:rsid w:val="F77FA9B1"/>
    <w:rsid w:val="F7891C1A"/>
    <w:rsid w:val="F7BF52CF"/>
    <w:rsid w:val="F7CF4530"/>
    <w:rsid w:val="F7DCE5E6"/>
    <w:rsid w:val="F7F10CE7"/>
    <w:rsid w:val="F7FF390A"/>
    <w:rsid w:val="F8E5978F"/>
    <w:rsid w:val="F8E7119E"/>
    <w:rsid w:val="F96F1F73"/>
    <w:rsid w:val="F9EBEABC"/>
    <w:rsid w:val="F9F7CD9E"/>
    <w:rsid w:val="FABEB7DF"/>
    <w:rsid w:val="FADB8D44"/>
    <w:rsid w:val="FB733275"/>
    <w:rsid w:val="FB7E3DB3"/>
    <w:rsid w:val="FB8F679B"/>
    <w:rsid w:val="FB9F99CE"/>
    <w:rsid w:val="FB9F9E19"/>
    <w:rsid w:val="FBAA5227"/>
    <w:rsid w:val="FBB20EF9"/>
    <w:rsid w:val="FBD8C90E"/>
    <w:rsid w:val="FBE7D801"/>
    <w:rsid w:val="FBF3669E"/>
    <w:rsid w:val="FBFB18EF"/>
    <w:rsid w:val="FBFEAD68"/>
    <w:rsid w:val="FBFF903E"/>
    <w:rsid w:val="FBFFD049"/>
    <w:rsid w:val="FC263C55"/>
    <w:rsid w:val="FCC6A548"/>
    <w:rsid w:val="FD7F07A1"/>
    <w:rsid w:val="FDB4F5E4"/>
    <w:rsid w:val="FDBA0C08"/>
    <w:rsid w:val="FDBF8FAC"/>
    <w:rsid w:val="FDDEF47B"/>
    <w:rsid w:val="FDDF7250"/>
    <w:rsid w:val="FDFB010C"/>
    <w:rsid w:val="FDFF9058"/>
    <w:rsid w:val="FE5FC432"/>
    <w:rsid w:val="FE7ED631"/>
    <w:rsid w:val="FEBFD8C7"/>
    <w:rsid w:val="FEF79D42"/>
    <w:rsid w:val="FEF7DD38"/>
    <w:rsid w:val="FEFE55AA"/>
    <w:rsid w:val="FF22A28A"/>
    <w:rsid w:val="FF2CAF04"/>
    <w:rsid w:val="FF7B764B"/>
    <w:rsid w:val="FF7DEBC0"/>
    <w:rsid w:val="FF7E089E"/>
    <w:rsid w:val="FF7E980F"/>
    <w:rsid w:val="FF7EA732"/>
    <w:rsid w:val="FF9EA9BE"/>
    <w:rsid w:val="FFA417BF"/>
    <w:rsid w:val="FFA6974A"/>
    <w:rsid w:val="FFAF65EE"/>
    <w:rsid w:val="FFDCA3C3"/>
    <w:rsid w:val="FFEE5CAB"/>
    <w:rsid w:val="FFEF9EFE"/>
    <w:rsid w:val="FFF5E8F7"/>
    <w:rsid w:val="FFF5F5F3"/>
    <w:rsid w:val="FFF90C35"/>
    <w:rsid w:val="FFFBC4A0"/>
    <w:rsid w:val="FFFD3DF4"/>
    <w:rsid w:val="FFFD8F90"/>
    <w:rsid w:val="FFFE94A7"/>
    <w:rsid w:val="FFFE9DFB"/>
    <w:rsid w:val="FFFF0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paragraph" w:styleId="7">
    <w:name w:val="heading 2"/>
    <w:basedOn w:val="1"/>
    <w:next w:val="1"/>
    <w:qFormat/>
    <w:uiPriority w:val="0"/>
    <w:pPr>
      <w:spacing w:beforeAutospacing="1" w:afterAutospacing="1"/>
      <w:jc w:val="left"/>
      <w:outlineLvl w:val="1"/>
    </w:pPr>
    <w:rPr>
      <w:rFonts w:hint="eastAsia" w:ascii="宋体" w:hAnsi="宋体" w:cs="Times New Roman"/>
      <w:b/>
      <w:kern w:val="0"/>
      <w:sz w:val="36"/>
      <w:szCs w:val="36"/>
    </w:rPr>
  </w:style>
  <w:style w:type="character" w:default="1" w:styleId="14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next w:val="4"/>
    <w:qFormat/>
    <w:uiPriority w:val="0"/>
    <w:pPr>
      <w:spacing w:line="600" w:lineRule="exact"/>
      <w:ind w:firstLine="420"/>
    </w:pPr>
    <w:rPr>
      <w:rFonts w:ascii="Times New Roman" w:hAnsi="Times New Roman" w:eastAsia="宋体" w:cs="Times New Roman"/>
      <w:bCs/>
      <w:sz w:val="30"/>
    </w:rPr>
  </w:style>
  <w:style w:type="paragraph" w:styleId="3">
    <w:name w:val="Body Text"/>
    <w:basedOn w:val="1"/>
    <w:next w:val="1"/>
    <w:qFormat/>
    <w:uiPriority w:val="0"/>
    <w:pPr>
      <w:spacing w:line="240" w:lineRule="atLeast"/>
    </w:pPr>
    <w:rPr>
      <w:rFonts w:ascii="仿宋_GB2312" w:eastAsia="仿宋_GB2312"/>
      <w:sz w:val="32"/>
    </w:rPr>
  </w:style>
  <w:style w:type="paragraph" w:styleId="4">
    <w:name w:val="Body Text First Indent 2"/>
    <w:basedOn w:val="5"/>
    <w:next w:val="1"/>
    <w:qFormat/>
    <w:uiPriority w:val="0"/>
    <w:pPr>
      <w:ind w:firstLine="420" w:firstLineChars="200"/>
    </w:pPr>
    <w:rPr>
      <w:rFonts w:ascii="Times New Roman" w:hAnsi="Times New Roman"/>
    </w:rPr>
  </w:style>
  <w:style w:type="paragraph" w:styleId="5">
    <w:name w:val="Body Text Indent"/>
    <w:basedOn w:val="1"/>
    <w:next w:val="6"/>
    <w:qFormat/>
    <w:uiPriority w:val="0"/>
    <w:pPr>
      <w:ind w:firstLine="560"/>
    </w:pPr>
    <w:rPr>
      <w:rFonts w:ascii="宋体" w:hAnsi="宋体" w:eastAsia="宋体" w:cs="Times New Roman"/>
      <w:bCs/>
      <w:kern w:val="11"/>
    </w:rPr>
  </w:style>
  <w:style w:type="paragraph" w:styleId="6">
    <w:name w:val="Body Text Indent 2"/>
    <w:basedOn w:val="1"/>
    <w:next w:val="1"/>
    <w:qFormat/>
    <w:uiPriority w:val="0"/>
    <w:pPr>
      <w:spacing w:line="474" w:lineRule="exact"/>
      <w:ind w:firstLine="645"/>
    </w:pPr>
    <w:rPr>
      <w:rFonts w:ascii="Calibri" w:hAnsi="Calibri" w:eastAsia="宋体" w:cs="Times New Roman"/>
      <w:spacing w:val="10"/>
      <w:sz w:val="28"/>
    </w:rPr>
  </w:style>
  <w:style w:type="paragraph" w:styleId="8">
    <w:name w:val="Balloon Text"/>
    <w:basedOn w:val="1"/>
    <w:link w:val="40"/>
    <w:qFormat/>
    <w:uiPriority w:val="0"/>
    <w:rPr>
      <w:sz w:val="18"/>
      <w:szCs w:val="18"/>
    </w:rPr>
  </w:style>
  <w:style w:type="paragraph" w:styleId="9">
    <w:name w:val="footer"/>
    <w:basedOn w:val="1"/>
    <w:qFormat/>
    <w:uiPriority w:val="0"/>
    <w:pPr>
      <w:tabs>
        <w:tab w:val="center" w:pos="4153"/>
        <w:tab w:val="right" w:pos="8305"/>
      </w:tabs>
      <w:jc w:val="left"/>
    </w:pPr>
    <w:rPr>
      <w:kern w:val="1"/>
      <w:sz w:val="18"/>
      <w:szCs w:val="18"/>
    </w:rPr>
  </w:style>
  <w:style w:type="paragraph" w:styleId="10">
    <w:name w:val="header"/>
    <w:basedOn w:val="1"/>
    <w:link w:val="3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1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cs="Times New Roman"/>
      <w:kern w:val="0"/>
      <w:sz w:val="24"/>
    </w:rPr>
  </w:style>
  <w:style w:type="paragraph" w:styleId="1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15">
    <w:name w:val="Strong"/>
    <w:qFormat/>
    <w:uiPriority w:val="0"/>
    <w:rPr>
      <w:b/>
    </w:rPr>
  </w:style>
  <w:style w:type="character" w:styleId="16">
    <w:name w:val="FollowedHyperlink"/>
    <w:qFormat/>
    <w:uiPriority w:val="0"/>
    <w:rPr>
      <w:rFonts w:hint="eastAsia" w:ascii="微软雅黑" w:hAnsi="微软雅黑" w:eastAsia="微软雅黑" w:cs="微软雅黑"/>
      <w:color w:val="666666"/>
      <w:sz w:val="21"/>
      <w:szCs w:val="21"/>
      <w:u w:val="single"/>
    </w:rPr>
  </w:style>
  <w:style w:type="character" w:styleId="17">
    <w:name w:val="Hyperlink"/>
    <w:qFormat/>
    <w:uiPriority w:val="0"/>
    <w:rPr>
      <w:rFonts w:ascii="微软雅黑" w:hAnsi="微软雅黑" w:eastAsia="微软雅黑" w:cs="微软雅黑"/>
      <w:color w:val="666666"/>
      <w:sz w:val="21"/>
      <w:szCs w:val="21"/>
      <w:u w:val="single"/>
    </w:rPr>
  </w:style>
  <w:style w:type="paragraph" w:customStyle="1" w:styleId="18">
    <w:name w:val="Body Text First Indent1"/>
    <w:basedOn w:val="3"/>
    <w:next w:val="19"/>
    <w:qFormat/>
    <w:uiPriority w:val="0"/>
    <w:pPr>
      <w:spacing w:line="600" w:lineRule="exact"/>
      <w:ind w:firstLine="420"/>
    </w:pPr>
    <w:rPr>
      <w:rFonts w:ascii="Times New Roman" w:hAnsi="Times New Roman" w:eastAsia="宋体" w:cs="Times New Roman"/>
      <w:bCs/>
      <w:sz w:val="30"/>
    </w:rPr>
  </w:style>
  <w:style w:type="paragraph" w:customStyle="1" w:styleId="19">
    <w:name w:val="Body Text First Indent 21"/>
    <w:basedOn w:val="20"/>
    <w:next w:val="1"/>
    <w:qFormat/>
    <w:uiPriority w:val="0"/>
    <w:pPr>
      <w:ind w:firstLine="420" w:firstLineChars="200"/>
    </w:pPr>
    <w:rPr>
      <w:rFonts w:ascii="Times New Roman" w:hAnsi="Times New Roman"/>
    </w:rPr>
  </w:style>
  <w:style w:type="paragraph" w:customStyle="1" w:styleId="20">
    <w:name w:val="Body Text Indent1"/>
    <w:basedOn w:val="1"/>
    <w:next w:val="21"/>
    <w:qFormat/>
    <w:uiPriority w:val="0"/>
    <w:pPr>
      <w:ind w:firstLine="560"/>
    </w:pPr>
    <w:rPr>
      <w:rFonts w:ascii="宋体" w:hAnsi="宋体" w:eastAsia="宋体" w:cs="Times New Roman"/>
      <w:bCs/>
      <w:kern w:val="11"/>
    </w:rPr>
  </w:style>
  <w:style w:type="paragraph" w:customStyle="1" w:styleId="21">
    <w:name w:val="Body Text Indent 21"/>
    <w:basedOn w:val="1"/>
    <w:next w:val="1"/>
    <w:qFormat/>
    <w:uiPriority w:val="0"/>
    <w:pPr>
      <w:spacing w:line="474" w:lineRule="exact"/>
      <w:ind w:firstLine="645"/>
    </w:pPr>
    <w:rPr>
      <w:rFonts w:ascii="Calibri" w:hAnsi="Calibri" w:eastAsia="宋体" w:cs="Times New Roman"/>
      <w:spacing w:val="10"/>
      <w:sz w:val="28"/>
    </w:rPr>
  </w:style>
  <w:style w:type="paragraph" w:customStyle="1" w:styleId="22">
    <w:name w:val="批注框文本1"/>
    <w:basedOn w:val="1"/>
    <w:link w:val="23"/>
    <w:qFormat/>
    <w:uiPriority w:val="0"/>
    <w:rPr>
      <w:sz w:val="18"/>
      <w:szCs w:val="18"/>
    </w:rPr>
  </w:style>
  <w:style w:type="character" w:customStyle="1" w:styleId="23">
    <w:name w:val="批注框文本 Char"/>
    <w:link w:val="22"/>
    <w:semiHidden/>
    <w:qFormat/>
    <w:uiPriority w:val="0"/>
    <w:rPr>
      <w:rFonts w:ascii="Calibri" w:hAnsi="Calibri" w:eastAsia="宋体" w:cs="黑体"/>
      <w:kern w:val="2"/>
      <w:sz w:val="18"/>
      <w:szCs w:val="18"/>
    </w:rPr>
  </w:style>
  <w:style w:type="paragraph" w:customStyle="1" w:styleId="24">
    <w:name w:val="纯文本1"/>
    <w:basedOn w:val="1"/>
    <w:qFormat/>
    <w:uiPriority w:val="0"/>
    <w:pPr>
      <w:spacing w:before="100" w:beforeAutospacing="1" w:after="100" w:afterAutospacing="1"/>
    </w:pPr>
    <w:rPr>
      <w:rFonts w:ascii="宋体" w:hAnsi="宋体" w:cs="宋体"/>
      <w:sz w:val="24"/>
    </w:rPr>
  </w:style>
  <w:style w:type="paragraph" w:customStyle="1" w:styleId="25">
    <w:name w:val="普通(网站)1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customStyle="1" w:styleId="26">
    <w:name w:val="正文首行缩进1"/>
    <w:basedOn w:val="3"/>
    <w:next w:val="24"/>
    <w:qFormat/>
    <w:uiPriority w:val="0"/>
    <w:pPr>
      <w:ind w:firstLine="420" w:firstLineChars="100"/>
    </w:pPr>
    <w:rPr>
      <w:rFonts w:ascii="Times New Roman" w:hAnsi="Times New Roman" w:cs="Times New Roman"/>
    </w:rPr>
  </w:style>
  <w:style w:type="character" w:customStyle="1" w:styleId="27">
    <w:name w:val="HTML 定义1"/>
    <w:qFormat/>
    <w:uiPriority w:val="0"/>
    <w:rPr>
      <w:i/>
    </w:rPr>
  </w:style>
  <w:style w:type="character" w:customStyle="1" w:styleId="28">
    <w:name w:val="HTML 代码1"/>
    <w:qFormat/>
    <w:uiPriority w:val="0"/>
    <w:rPr>
      <w:rFonts w:ascii="Menlo" w:hAnsi="Menlo" w:eastAsia="Menlo" w:cs="Menlo"/>
      <w:color w:val="C7254E"/>
      <w:sz w:val="21"/>
      <w:szCs w:val="21"/>
      <w:shd w:val="clear" w:color="auto" w:fill="F9F2F4"/>
    </w:rPr>
  </w:style>
  <w:style w:type="character" w:customStyle="1" w:styleId="29">
    <w:name w:val="HTML 键盘1"/>
    <w:qFormat/>
    <w:uiPriority w:val="0"/>
    <w:rPr>
      <w:rFonts w:hint="default" w:ascii="Menlo" w:hAnsi="Menlo" w:eastAsia="Menlo" w:cs="Menlo"/>
      <w:color w:val="FFFFFF"/>
      <w:sz w:val="21"/>
      <w:szCs w:val="21"/>
      <w:shd w:val="clear" w:color="auto" w:fill="333333"/>
    </w:rPr>
  </w:style>
  <w:style w:type="character" w:customStyle="1" w:styleId="30">
    <w:name w:val="HTML 样本1"/>
    <w:qFormat/>
    <w:uiPriority w:val="0"/>
    <w:rPr>
      <w:rFonts w:hint="default" w:ascii="Menlo" w:hAnsi="Menlo" w:eastAsia="Menlo" w:cs="Menlo"/>
      <w:sz w:val="21"/>
      <w:szCs w:val="21"/>
    </w:rPr>
  </w:style>
  <w:style w:type="character" w:customStyle="1" w:styleId="31">
    <w:name w:val="glyphicon2"/>
    <w:basedOn w:val="14"/>
    <w:qFormat/>
    <w:uiPriority w:val="0"/>
  </w:style>
  <w:style w:type="character" w:customStyle="1" w:styleId="32">
    <w:name w:val="hour_pm"/>
    <w:basedOn w:val="14"/>
    <w:qFormat/>
    <w:uiPriority w:val="0"/>
  </w:style>
  <w:style w:type="character" w:customStyle="1" w:styleId="33">
    <w:name w:val="disabled"/>
    <w:qFormat/>
    <w:uiPriority w:val="0"/>
    <w:rPr>
      <w:color w:val="999999"/>
    </w:rPr>
  </w:style>
  <w:style w:type="character" w:customStyle="1" w:styleId="34">
    <w:name w:val="hover6"/>
    <w:qFormat/>
    <w:uiPriority w:val="0"/>
    <w:rPr>
      <w:shd w:val="clear" w:color="auto" w:fill="EEEEEE"/>
    </w:rPr>
  </w:style>
  <w:style w:type="character" w:customStyle="1" w:styleId="35">
    <w:name w:val="old"/>
    <w:qFormat/>
    <w:uiPriority w:val="0"/>
    <w:rPr>
      <w:color w:val="999999"/>
    </w:rPr>
  </w:style>
  <w:style w:type="character" w:customStyle="1" w:styleId="36">
    <w:name w:val="active3"/>
    <w:qFormat/>
    <w:uiPriority w:val="0"/>
    <w:rPr>
      <w:color w:val="FFFFFF"/>
      <w:shd w:val="clear" w:color="auto" w:fill="006DCC"/>
    </w:rPr>
  </w:style>
  <w:style w:type="character" w:customStyle="1" w:styleId="37">
    <w:name w:val="hour_am"/>
    <w:basedOn w:val="14"/>
    <w:qFormat/>
    <w:uiPriority w:val="0"/>
  </w:style>
  <w:style w:type="character" w:customStyle="1" w:styleId="38">
    <w:name w:val="font21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39">
    <w:name w:val="页眉 Char"/>
    <w:basedOn w:val="14"/>
    <w:link w:val="10"/>
    <w:qFormat/>
    <w:uiPriority w:val="0"/>
    <w:rPr>
      <w:rFonts w:ascii="Calibri" w:hAnsi="Calibri" w:cs="黑体"/>
      <w:kern w:val="2"/>
      <w:sz w:val="18"/>
      <w:szCs w:val="18"/>
    </w:rPr>
  </w:style>
  <w:style w:type="character" w:customStyle="1" w:styleId="40">
    <w:name w:val="批注框文本 Char1"/>
    <w:basedOn w:val="14"/>
    <w:link w:val="8"/>
    <w:qFormat/>
    <w:uiPriority w:val="0"/>
    <w:rPr>
      <w:rFonts w:ascii="Calibri" w:hAnsi="Calibri" w:cs="黑体"/>
      <w:kern w:val="2"/>
      <w:sz w:val="18"/>
      <w:szCs w:val="18"/>
    </w:rPr>
  </w:style>
  <w:style w:type="character" w:customStyle="1" w:styleId="41">
    <w:name w:val="NormalCharacter"/>
    <w:semiHidden/>
    <w:qFormat/>
    <w:uiPriority w:val="0"/>
    <w:rPr>
      <w:rFonts w:ascii="Calibri" w:hAnsi="Calibri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chart" Target="charts/chart2.xml"/><Relationship Id="rId5" Type="http://schemas.openxmlformats.org/officeDocument/2006/relationships/chart" Target="charts/chart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/data/&#24352;&#40527;&#36745;/&#32508;&#21512;&#31185;&#25991;&#20214;/&#32479;&#35745;&#36164;&#26009;/&#32479;&#35745;&#20844;&#25253;/2023&#24180;&#20844;&#25253;&#25152;&#38656;&#25991;&#20214;/2023&#24180;&#20844;&#25253;&#22270;.xls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/data/&#24352;&#40527;&#36745;/&#32508;&#21512;&#31185;&#25991;&#20214;/&#32479;&#35745;&#36164;&#26009;/&#32479;&#35745;&#20844;&#25253;/2023&#24180;&#20844;&#25253;&#25152;&#38656;&#25991;&#20214;/2023&#24180;&#20844;&#25253;&#22270;.xls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"粮食总产量"</c:f>
              <c:strCache>
                <c:ptCount val="1"/>
                <c:pt idx="0">
                  <c:v>粮食总产量</c:v>
                </c:pt>
              </c:strCache>
            </c:strRef>
          </c:tx>
          <c:spPr>
            <a:solidFill>
              <a:schemeClr val="accent1"/>
            </a:solidFill>
            <a:ln w="28575" cap="rnd">
              <a:noFill/>
              <a:round/>
              <a:headEnd type="oval"/>
              <a:tailEnd type="oval"/>
            </a:ln>
            <a:effectLst/>
          </c:spPr>
          <c:invertIfNegative val="0"/>
          <c:dLbls>
            <c:numFmt formatCode="General" sourceLinked="1"/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9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0"/>
                <c15:leaderLines/>
              </c:ext>
            </c:extLst>
          </c:dLbls>
          <c:cat>
            <c:strRef>
              <c:f>('[2023年公报图.xls]17-23指标'!$C$4,'[2023年公报图.xls]17-23指标'!$E$4,'[2023年公报图.xls]17-23指标'!$G$4,'[2023年公报图.xls]17-23指标'!$I$4,'[2023年公报图.xls]17-23指标'!$K$4,'[2023年公报图.xls]17-23指标'!$M$4,'[2023年公报图.xls]17-23指标'!$O$4)</c:f>
              <c:strCache>
                <c:ptCount val="7"/>
                <c:pt idx="0">
                  <c:v>2017年</c:v>
                </c:pt>
                <c:pt idx="1">
                  <c:v>2018年</c:v>
                </c:pt>
                <c:pt idx="2">
                  <c:v>2019年</c:v>
                </c:pt>
                <c:pt idx="3">
                  <c:v>2020年</c:v>
                </c:pt>
                <c:pt idx="4">
                  <c:v>2021年</c:v>
                </c:pt>
                <c:pt idx="5">
                  <c:v>2022年</c:v>
                </c:pt>
                <c:pt idx="6">
                  <c:v>2023年</c:v>
                </c:pt>
              </c:strCache>
            </c:strRef>
          </c:cat>
          <c:val>
            <c:numRef>
              <c:f>('[2023年公报图.xls]17-23指标'!$C$15,'[2023年公报图.xls]17-23指标'!$E$15,'[2023年公报图.xls]17-23指标'!$G$15,'[2023年公报图.xls]17-23指标'!$I$15,'[2023年公报图.xls]17-23指标'!$K$15,'[2023年公报图.xls]17-23指标'!$M$15,'[2023年公报图.xls]17-23指标'!$O$15)</c:f>
              <c:numCache>
                <c:formatCode>General</c:formatCode>
                <c:ptCount val="7"/>
                <c:pt idx="0">
                  <c:v>887.71</c:v>
                </c:pt>
                <c:pt idx="1" c:formatCode="0.00_ ">
                  <c:v>901.9</c:v>
                </c:pt>
                <c:pt idx="2" c:formatCode="0.00_ ">
                  <c:v>912.48</c:v>
                </c:pt>
                <c:pt idx="3" c:formatCode="0.00_ ">
                  <c:v>934.3</c:v>
                </c:pt>
                <c:pt idx="4">
                  <c:v>923.72</c:v>
                </c:pt>
                <c:pt idx="5">
                  <c:v>932.42</c:v>
                </c:pt>
                <c:pt idx="6" c:formatCode="0.00_ ">
                  <c:v>902.61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58"/>
        <c:overlap val="-1"/>
        <c:axId val="221351865"/>
        <c:axId val="596576826"/>
      </c:barChart>
      <c:catAx>
        <c:axId val="221351865"/>
        <c:scaling>
          <c:orientation val="minMax"/>
        </c:scaling>
        <c:delete val="0"/>
        <c:axPos val="b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prstDash val="solid"/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</a:p>
        </c:txPr>
        <c:crossAx val="596576826"/>
        <c:crosses val="autoZero"/>
        <c:auto val="1"/>
        <c:lblAlgn val="ctr"/>
        <c:lblOffset val="100"/>
        <c:noMultiLvlLbl val="0"/>
      </c:catAx>
      <c:valAx>
        <c:axId val="596576826"/>
        <c:scaling>
          <c:orientation val="minMax"/>
          <c:max val="1000"/>
          <c:min val="100"/>
        </c:scaling>
        <c:delete val="0"/>
        <c:axPos val="l"/>
        <c:numFmt formatCode="#,##0_);[Red]\(#,##0\)" sourceLinked="0"/>
        <c:majorTickMark val="none"/>
        <c:minorTickMark val="none"/>
        <c:tickLblPos val="nextTo"/>
        <c:spPr>
          <a:noFill/>
          <a:ln w="6350" cap="flat" cmpd="sng" algn="ctr">
            <a:noFill/>
            <a:prstDash val="solid"/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</a:p>
        </c:txPr>
        <c:crossAx val="221351865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noFill/>
    <a:ln w="6350" cap="flat" cmpd="sng" algn="ctr">
      <a:noFill/>
      <a:prstDash val="solid"/>
      <a:round/>
    </a:ln>
  </c:spPr>
  <c:txPr>
    <a:bodyPr wrap="square"/>
    <a:lstStyle/>
    <a:p>
      <a:pPr>
        <a:defRPr lang="zh-CN"/>
      </a:pPr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"居民可支配收入"</c:f>
              <c:strCache>
                <c:ptCount val="1"/>
                <c:pt idx="0">
                  <c:v>居民可支配收入</c:v>
                </c:pt>
              </c:strCache>
            </c:strRef>
          </c:tx>
          <c:spPr>
            <a:solidFill>
              <a:schemeClr val="accent1"/>
            </a:solidFill>
            <a:ln w="28575" cap="rnd">
              <a:noFill/>
              <a:round/>
              <a:headEnd type="oval"/>
              <a:tailEnd type="oval"/>
            </a:ln>
            <a:effectLst/>
          </c:spPr>
          <c:invertIfNegative val="0"/>
          <c:dLbls>
            <c:numFmt formatCode="General" sourceLinked="1"/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9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0"/>
                <c15:leaderLines/>
              </c:ext>
            </c:extLst>
          </c:dLbls>
          <c:cat>
            <c:strRef>
              <c:f>('[2023年公报图.xls]17-23指标'!$C$4,'[2023年公报图.xls]17-23指标'!$E$4,'[2023年公报图.xls]17-23指标'!$G$4,'[2023年公报图.xls]17-23指标'!$I$4,'[2023年公报图.xls]17-23指标'!$K$4,'[2023年公报图.xls]17-23指标'!$M$4,'[2023年公报图.xls]17-23指标'!$O$4)</c:f>
              <c:strCache>
                <c:ptCount val="7"/>
                <c:pt idx="0">
                  <c:v>2017年</c:v>
                </c:pt>
                <c:pt idx="1">
                  <c:v>2018年</c:v>
                </c:pt>
                <c:pt idx="2">
                  <c:v>2019年</c:v>
                </c:pt>
                <c:pt idx="3">
                  <c:v>2020年</c:v>
                </c:pt>
                <c:pt idx="4">
                  <c:v>2021年</c:v>
                </c:pt>
                <c:pt idx="5">
                  <c:v>2022年</c:v>
                </c:pt>
                <c:pt idx="6">
                  <c:v>2023年</c:v>
                </c:pt>
              </c:strCache>
            </c:strRef>
          </c:cat>
          <c:val>
            <c:numRef>
              <c:f>('[2023年公报图.xls]17-23指标'!$C$25,'[2023年公报图.xls]17-23指标'!$E$25,'[2023年公报图.xls]17-23指标'!$G$25,'[2023年公报图.xls]17-23指标'!$I$25,'[2023年公报图.xls]17-23指标'!$K$25,'[2023年公报图.xls]17-23指标'!$M$25,'[2023年公报图.xls]17-23指标'!$O$25)</c:f>
              <c:numCache>
                <c:formatCode>General</c:formatCode>
                <c:ptCount val="7"/>
                <c:pt idx="0">
                  <c:v>15226</c:v>
                </c:pt>
                <c:pt idx="1">
                  <c:v>16761</c:v>
                </c:pt>
                <c:pt idx="2">
                  <c:v>18321</c:v>
                </c:pt>
                <c:pt idx="3">
                  <c:v>19143</c:v>
                </c:pt>
                <c:pt idx="4">
                  <c:v>20773</c:v>
                </c:pt>
                <c:pt idx="5">
                  <c:v>21983</c:v>
                </c:pt>
                <c:pt idx="6">
                  <c:v>23102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58"/>
        <c:overlap val="-1"/>
        <c:axId val="725126304"/>
        <c:axId val="927090551"/>
      </c:barChart>
      <c:lineChart>
        <c:grouping val="standard"/>
        <c:varyColors val="0"/>
        <c:ser>
          <c:idx val="1"/>
          <c:order val="1"/>
          <c:tx>
            <c:strRef>
              <c:f>"增速"</c:f>
              <c:strCache>
                <c:ptCount val="1"/>
                <c:pt idx="0">
                  <c:v>增速</c:v>
                </c:pt>
              </c:strCache>
            </c:strRef>
          </c:tx>
          <c:spPr>
            <a:ln w="28575" cap="rnd" cmpd="sng" algn="ctr">
              <a:solidFill>
                <a:srgbClr val="FF0000"/>
              </a:solidFill>
              <a:prstDash val="solid"/>
              <a:round/>
              <a:headEnd type="oval"/>
              <a:tailEnd type="oval"/>
            </a:ln>
            <a:effectLst/>
          </c:spPr>
          <c:marker>
            <c:symbol val="none"/>
          </c:marker>
          <c:dLbls>
            <c:dLbl>
              <c:idx val="0"/>
              <c:layout/>
              <c:numFmt formatCode="General" sourceLinked="1"/>
              <c:spPr>
                <a:noFill/>
                <a:ln>
                  <a:noFill/>
                </a:ln>
                <a:effectLst/>
              </c:spPr>
              <c:txPr>
                <a:bodyPr rot="0" spcFirstLastPara="0" vertOverflow="ellipsis" vert="horz" wrap="square" lIns="38100" tIns="19050" rIns="38100" bIns="19050" anchor="ctr" anchorCtr="1"/>
                <a:lstStyle/>
                <a:p>
                  <a:pPr>
                    <a:defRPr lang="zh-CN" sz="900" b="0" i="0" u="none" strike="noStrike" kern="1200" baseline="0">
                      <a:ln w="12700" cmpd="sng">
                        <a:noFill/>
                        <a:prstDash val="solid"/>
                      </a:ln>
                      <a:solidFill>
                        <a:schemeClr val="bg1"/>
                      </a:solidFill>
                      <a:latin typeface="+mn-lt"/>
                      <a:ea typeface="+mn-ea"/>
                      <a:cs typeface="+mn-cs"/>
                    </a:defRPr>
                  </a:pPr>
                </a:p>
              </c:txPr>
              <c:dLblPos val="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1"/>
              <c:layout/>
              <c:numFmt formatCode="General" sourceLinked="1"/>
              <c:spPr>
                <a:noFill/>
                <a:ln>
                  <a:noFill/>
                </a:ln>
                <a:effectLst/>
              </c:spPr>
              <c:txPr>
                <a:bodyPr rot="0" spcFirstLastPara="0" vertOverflow="ellipsis" vert="horz" wrap="square" lIns="38100" tIns="19050" rIns="38100" bIns="19050" anchor="ctr" anchorCtr="1"/>
                <a:lstStyle/>
                <a:p>
                  <a:pPr>
                    <a:defRPr lang="zh-CN" sz="900" b="0" i="0" u="none" strike="noStrike" kern="1200" baseline="0">
                      <a:ln w="12700" cmpd="sng">
                        <a:noFill/>
                        <a:prstDash val="solid"/>
                      </a:ln>
                      <a:solidFill>
                        <a:schemeClr val="bg1"/>
                      </a:solidFill>
                      <a:latin typeface="+mn-lt"/>
                      <a:ea typeface="+mn-ea"/>
                      <a:cs typeface="+mn-cs"/>
                    </a:defRPr>
                  </a:pPr>
                </a:p>
              </c:txPr>
              <c:dLblPos val="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2"/>
              <c:layout/>
              <c:numFmt formatCode="General" sourceLinked="1"/>
              <c:spPr>
                <a:noFill/>
                <a:ln>
                  <a:noFill/>
                </a:ln>
                <a:effectLst/>
              </c:spPr>
              <c:txPr>
                <a:bodyPr rot="0" spcFirstLastPara="0" vertOverflow="ellipsis" vert="horz" wrap="square" lIns="38100" tIns="19050" rIns="38100" bIns="19050" anchor="ctr" anchorCtr="1"/>
                <a:lstStyle/>
                <a:p>
                  <a:pPr>
                    <a:defRPr lang="zh-CN" sz="900" b="0" i="0" u="none" strike="noStrike" kern="1200" baseline="0">
                      <a:ln w="12700" cmpd="sng">
                        <a:noFill/>
                        <a:prstDash val="solid"/>
                      </a:ln>
                      <a:solidFill>
                        <a:schemeClr val="bg1"/>
                      </a:solidFill>
                      <a:latin typeface="+mn-lt"/>
                      <a:ea typeface="+mn-ea"/>
                      <a:cs typeface="+mn-cs"/>
                    </a:defRPr>
                  </a:pPr>
                </a:p>
              </c:txPr>
              <c:dLblPos val="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4"/>
              <c:layout/>
              <c:numFmt formatCode="General" sourceLinked="1"/>
              <c:spPr>
                <a:noFill/>
                <a:ln>
                  <a:noFill/>
                </a:ln>
                <a:effectLst/>
              </c:spPr>
              <c:txPr>
                <a:bodyPr rot="0" spcFirstLastPara="0" vertOverflow="ellipsis" vert="horz" wrap="square" lIns="38100" tIns="19050" rIns="38100" bIns="19050" anchor="ctr" anchorCtr="1"/>
                <a:lstStyle/>
                <a:p>
                  <a:pPr>
                    <a:defRPr lang="zh-CN" sz="900" b="0" i="0" u="none" strike="noStrike" kern="1200" baseline="0">
                      <a:ln w="12700" cmpd="sng">
                        <a:noFill/>
                        <a:prstDash val="solid"/>
                      </a:ln>
                      <a:solidFill>
                        <a:schemeClr val="bg1"/>
                      </a:solidFill>
                      <a:latin typeface="+mn-lt"/>
                      <a:ea typeface="+mn-ea"/>
                      <a:cs typeface="+mn-cs"/>
                    </a:defRPr>
                  </a:pPr>
                </a:p>
              </c:txPr>
              <c:dLblPos val="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5"/>
              <c:layout/>
              <c:numFmt formatCode="General" sourceLinked="1"/>
              <c:spPr>
                <a:noFill/>
                <a:ln>
                  <a:noFill/>
                </a:ln>
                <a:effectLst/>
              </c:spPr>
              <c:txPr>
                <a:bodyPr rot="0" spcFirstLastPara="0" vertOverflow="ellipsis" vert="horz" wrap="square" lIns="38100" tIns="19050" rIns="38100" bIns="19050" anchor="ctr" anchorCtr="1"/>
                <a:lstStyle/>
                <a:p>
                  <a:pPr>
                    <a:defRPr lang="zh-CN" sz="900" b="0" i="0" u="none" strike="noStrike" kern="1200" baseline="0">
                      <a:ln w="12700" cmpd="sng">
                        <a:noFill/>
                        <a:prstDash val="solid"/>
                      </a:ln>
                      <a:solidFill>
                        <a:schemeClr val="bg1"/>
                      </a:solidFill>
                      <a:latin typeface="+mn-lt"/>
                      <a:ea typeface="+mn-ea"/>
                      <a:cs typeface="+mn-cs"/>
                    </a:defRPr>
                  </a:pPr>
                </a:p>
              </c:txPr>
              <c:dLblPos val="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6"/>
              <c:layout/>
              <c:numFmt formatCode="General" sourceLinked="1"/>
              <c:spPr>
                <a:noFill/>
                <a:ln>
                  <a:noFill/>
                </a:ln>
                <a:effectLst/>
              </c:spPr>
              <c:txPr>
                <a:bodyPr rot="0" spcFirstLastPara="0" vertOverflow="ellipsis" vert="horz" wrap="square" lIns="38100" tIns="19050" rIns="38100" bIns="19050" anchor="ctr" anchorCtr="1"/>
                <a:lstStyle/>
                <a:p>
                  <a:pPr>
                    <a:defRPr lang="zh-CN" sz="900" b="0" i="0" u="none" strike="noStrike" kern="1200" baseline="0">
                      <a:ln w="12700" cmpd="sng">
                        <a:noFill/>
                        <a:prstDash val="solid"/>
                      </a:ln>
                      <a:solidFill>
                        <a:schemeClr val="bg1"/>
                      </a:solidFill>
                      <a:latin typeface="+mn-lt"/>
                      <a:ea typeface="+mn-ea"/>
                      <a:cs typeface="+mn-cs"/>
                    </a:defRPr>
                  </a:pPr>
                </a:p>
              </c:txPr>
              <c:dLblPos val="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numFmt formatCode="General" sourceLinked="1"/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900" b="0" i="0" u="none" strike="noStrike" kern="1200" baseline="0">
                    <a:ln w="12700" cmpd="sng">
                      <a:noFill/>
                      <a:prstDash val="solid"/>
                    </a:ln>
                    <a:solidFill>
                      <a:schemeClr val="bg1"/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0"/>
                <c15:leaderLines/>
              </c:ext>
            </c:extLst>
          </c:dLbls>
          <c:cat>
            <c:strRef>
              <c:f>('[2023年公报图.xls]17-23指标'!$C$4,'[2023年公报图.xls]17-23指标'!$E$4,'[2023年公报图.xls]17-23指标'!$G$4,'[2023年公报图.xls]17-23指标'!$I$4,'[2023年公报图.xls]17-23指标'!$K$4,'[2023年公报图.xls]17-23指标'!$O$4)</c:f>
              <c:strCache>
                <c:ptCount val="6"/>
                <c:pt idx="0">
                  <c:v>2017年</c:v>
                </c:pt>
                <c:pt idx="1">
                  <c:v>2018年</c:v>
                </c:pt>
                <c:pt idx="2">
                  <c:v>2019年</c:v>
                </c:pt>
                <c:pt idx="3">
                  <c:v>2020年</c:v>
                </c:pt>
                <c:pt idx="4">
                  <c:v>2021年</c:v>
                </c:pt>
                <c:pt idx="5">
                  <c:v>2023年</c:v>
                </c:pt>
              </c:strCache>
            </c:strRef>
          </c:cat>
          <c:val>
            <c:numRef>
              <c:f>('[2023年公报图.xls]17-23指标'!$D$25,'[2023年公报图.xls]17-23指标'!$F$25,'[2023年公报图.xls]17-23指标'!$H$25,'[2023年公报图.xls]17-23指标'!$J$25,'[2023年公报图.xls]17-23指标'!$L$25,'[2023年公报图.xls]17-23指标'!$N$25,'[2023年公报图.xls]17-23指标'!$P$25)</c:f>
              <c:numCache>
                <c:formatCode>0.0_ </c:formatCode>
                <c:ptCount val="7"/>
                <c:pt idx="0">
                  <c:v>10.2</c:v>
                </c:pt>
                <c:pt idx="1">
                  <c:v>10.1</c:v>
                </c:pt>
                <c:pt idx="2">
                  <c:v>9.3</c:v>
                </c:pt>
                <c:pt idx="3">
                  <c:v>4.5</c:v>
                </c:pt>
                <c:pt idx="4">
                  <c:v>8.5</c:v>
                </c:pt>
                <c:pt idx="5">
                  <c:v>5.8</c:v>
                </c:pt>
                <c:pt idx="6">
                  <c:v>5.1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0"/>
        <c:smooth val="0"/>
        <c:axId val="149986159"/>
        <c:axId val="802133336"/>
      </c:lineChart>
      <c:catAx>
        <c:axId val="725126304"/>
        <c:scaling>
          <c:orientation val="minMax"/>
        </c:scaling>
        <c:delete val="0"/>
        <c:axPos val="b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prstDash val="solid"/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</a:p>
        </c:txPr>
        <c:crossAx val="927090551"/>
        <c:crosses val="autoZero"/>
        <c:auto val="1"/>
        <c:lblAlgn val="ctr"/>
        <c:lblOffset val="100"/>
        <c:noMultiLvlLbl val="0"/>
      </c:catAx>
      <c:valAx>
        <c:axId val="927090551"/>
        <c:scaling>
          <c:orientation val="minMax"/>
        </c:scaling>
        <c:delete val="0"/>
        <c:axPos val="l"/>
        <c:numFmt formatCode="#,##0_);[Red]\(#,##0\)" sourceLinked="0"/>
        <c:majorTickMark val="none"/>
        <c:minorTickMark val="none"/>
        <c:tickLblPos val="nextTo"/>
        <c:spPr>
          <a:noFill/>
          <a:ln w="6350" cap="flat" cmpd="sng" algn="ctr">
            <a:noFill/>
            <a:prstDash val="solid"/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</a:p>
        </c:txPr>
        <c:crossAx val="725126304"/>
        <c:crosses val="autoZero"/>
        <c:crossBetween val="between"/>
      </c:valAx>
      <c:catAx>
        <c:axId val="149986159"/>
        <c:scaling>
          <c:orientation val="minMax"/>
        </c:scaling>
        <c:delete val="1"/>
        <c:axPos val="b"/>
        <c:majorTickMark val="none"/>
        <c:minorTickMark val="none"/>
        <c:tickLblPos val="nextTo"/>
        <c:txPr>
          <a:bodyPr rot="-60000000" spcFirstLastPara="0" vertOverflow="ellipsis" vert="horz" wrap="square" anchor="ctr" anchorCtr="1"/>
          <a:lstStyle/>
          <a:p>
            <a:pPr>
              <a:defRPr lang="zh-CN" sz="1000" b="0" i="0" u="none" strike="noStrike" kern="1200" baseline="0">
                <a:solidFill>
                  <a:srgbClr val="595959">
                    <a:alpha val="100000"/>
                  </a:srgbClr>
                </a:solidFill>
                <a:latin typeface="+mn-lt"/>
                <a:ea typeface="+mn-ea"/>
                <a:cs typeface="+mn-cs"/>
              </a:defRPr>
            </a:pPr>
          </a:p>
        </c:txPr>
        <c:crossAx val="802133336"/>
        <c:crosses val="autoZero"/>
        <c:auto val="1"/>
        <c:lblAlgn val="ctr"/>
        <c:lblOffset val="100"/>
        <c:noMultiLvlLbl val="0"/>
      </c:catAx>
      <c:valAx>
        <c:axId val="802133336"/>
        <c:scaling>
          <c:orientation val="minMax"/>
          <c:max val="25"/>
          <c:min val="0"/>
        </c:scaling>
        <c:delete val="0"/>
        <c:axPos val="r"/>
        <c:numFmt formatCode="0.0_ " sourceLinked="1"/>
        <c:majorTickMark val="none"/>
        <c:minorTickMark val="none"/>
        <c:tickLblPos val="nextTo"/>
        <c:spPr>
          <a:noFill/>
          <a:ln w="6350" cap="flat" cmpd="sng" algn="ctr">
            <a:noFill/>
            <a:prstDash val="solid"/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</a:p>
        </c:txPr>
        <c:crossAx val="149986159"/>
        <c:crosses val="max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338446989597562"/>
          <c:y val="0.902286453839517"/>
          <c:w val="0.407061048649785"/>
          <c:h val="0.0718291630716135"/>
        </c:manualLayout>
      </c:layout>
      <c:overlay val="0"/>
      <c:spPr>
        <a:noFill/>
        <a:ln>
          <a:noFill/>
        </a:ln>
        <a:effectLst/>
      </c:spPr>
      <c:txPr>
        <a:bodyPr rot="0" spcFirstLastPara="0" vertOverflow="ellipsis" vert="horz" wrap="square" anchor="ctr" anchorCtr="1"/>
        <a:lstStyle/>
        <a:p>
          <a:pPr>
            <a:defRPr lang="zh-CN"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gap"/>
    <c:showDLblsOverMax val="0"/>
  </c:chart>
  <c:spPr>
    <a:noFill/>
    <a:ln w="6350" cap="flat" cmpd="sng" algn="ctr">
      <a:noFill/>
      <a:prstDash val="solid"/>
      <a:round/>
    </a:ln>
  </c:spPr>
  <c:txPr>
    <a:bodyPr wrap="square"/>
    <a:lstStyle/>
    <a:p>
      <a:pPr>
        <a:defRPr lang="zh-CN"/>
      </a:pPr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14</Pages>
  <Words>6453</Words>
  <Characters>8318</Characters>
  <Lines>55</Lines>
  <Paragraphs>15</Paragraphs>
  <TotalTime>22</TotalTime>
  <ScaleCrop>false</ScaleCrop>
  <LinksUpToDate>false</LinksUpToDate>
  <CharactersWithSpaces>8486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2022-04-22T18:43:00Z</dcterms:created>
  <dc:creator>Administrator</dc:creator>
  <cp:lastModifiedBy>统计局综合科张鹏辉</cp:lastModifiedBy>
  <cp:lastPrinted>2024-04-16T19:30:00Z</cp:lastPrinted>
  <dcterms:modified xsi:type="dcterms:W3CDTF">2024-04-29T18:17:43Z</dcterms:modified>
  <dc:title>A</dc:title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  <property fmtid="{D5CDD505-2E9C-101B-9397-08002B2CF9AE}" pid="3" name="ICV">
    <vt:lpwstr>F2744493D8FD44C389CD11EE095EB198</vt:lpwstr>
  </property>
</Properties>
</file>