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516327">
      <w:pPr>
        <w:rPr>
          <w:rFonts w:ascii="Times New Roman" w:hAnsi="Times New Roman" w:eastAsia="黑体"/>
          <w:color w:val="auto"/>
          <w:szCs w:val="32"/>
          <w:highlight w:val="none"/>
        </w:rPr>
      </w:pPr>
      <w:bookmarkStart w:id="0" w:name="_GoBack"/>
      <w:bookmarkEnd w:id="0"/>
      <w:r>
        <w:rPr>
          <w:rFonts w:ascii="Times New Roman" w:hAnsi="Times New Roman" w:eastAsia="黑体"/>
          <w:color w:val="auto"/>
          <w:szCs w:val="32"/>
          <w:highlight w:val="none"/>
        </w:rPr>
        <w:t>附件8</w:t>
      </w:r>
    </w:p>
    <w:p w14:paraId="31D63B2D">
      <w:pPr>
        <w:spacing w:line="600" w:lineRule="exact"/>
        <w:jc w:val="center"/>
        <w:outlineLvl w:val="0"/>
        <w:rPr>
          <w:rFonts w:ascii="Times New Roman" w:hAnsi="Times New Roman" w:eastAsia="文星标宋"/>
          <w:color w:val="auto"/>
          <w:sz w:val="44"/>
          <w:szCs w:val="44"/>
          <w:highlight w:val="none"/>
        </w:rPr>
      </w:pPr>
      <w:r>
        <w:rPr>
          <w:rFonts w:ascii="Times New Roman" w:hAnsi="Times New Roman" w:eastAsia="文星标宋"/>
          <w:color w:val="auto"/>
          <w:sz w:val="44"/>
          <w:szCs w:val="44"/>
          <w:highlight w:val="none"/>
        </w:rPr>
        <w:t>河南省民办职业培训学校办学评估细则</w:t>
      </w:r>
    </w:p>
    <w:p w14:paraId="727FB46D">
      <w:pPr>
        <w:widowControl/>
        <w:outlineLvl w:val="0"/>
        <w:rPr>
          <w:rFonts w:ascii="Times New Roman" w:hAnsi="Times New Roman" w:eastAsia="宋体"/>
          <w:color w:val="auto"/>
          <w:sz w:val="28"/>
          <w:szCs w:val="28"/>
          <w:highlight w:val="none"/>
        </w:rPr>
      </w:pPr>
      <w:r>
        <w:rPr>
          <w:rFonts w:ascii="Times New Roman" w:hAnsi="Times New Roman" w:eastAsia="宋体"/>
          <w:color w:val="auto"/>
          <w:sz w:val="28"/>
          <w:szCs w:val="28"/>
          <w:highlight w:val="none"/>
        </w:rPr>
        <w:t>学校名称：</w:t>
      </w:r>
      <w:r>
        <w:rPr>
          <w:rFonts w:ascii="Times New Roman" w:hAnsi="Times New Roman" w:eastAsia="宋体"/>
          <w:color w:val="auto"/>
          <w:sz w:val="28"/>
          <w:szCs w:val="28"/>
          <w:highlight w:val="none"/>
          <w:u w:val="single"/>
        </w:rPr>
        <w:t xml:space="preserve">                         </w:t>
      </w:r>
      <w:r>
        <w:rPr>
          <w:rFonts w:ascii="Times New Roman" w:hAnsi="Times New Roman" w:eastAsia="宋体"/>
          <w:color w:val="auto"/>
          <w:sz w:val="28"/>
          <w:szCs w:val="28"/>
          <w:highlight w:val="none"/>
        </w:rPr>
        <w:t>（盖章）                            年   月   日</w:t>
      </w:r>
    </w:p>
    <w:p w14:paraId="00423FA4">
      <w:pPr>
        <w:widowControl/>
        <w:jc w:val="left"/>
        <w:outlineLvl w:val="0"/>
        <w:rPr>
          <w:rFonts w:ascii="Times New Roman" w:hAnsi="Times New Roman" w:eastAsia="黑体"/>
          <w:bCs/>
          <w:color w:val="auto"/>
          <w:sz w:val="28"/>
          <w:szCs w:val="28"/>
          <w:highlight w:val="none"/>
        </w:rPr>
      </w:pPr>
      <w:r>
        <w:rPr>
          <w:rFonts w:ascii="Times New Roman" w:hAnsi="Times New Roman" w:eastAsia="黑体"/>
          <w:bCs/>
          <w:color w:val="auto"/>
          <w:sz w:val="28"/>
          <w:szCs w:val="28"/>
          <w:highlight w:val="none"/>
        </w:rPr>
        <w:t xml:space="preserve">一、办学必备条件指标 </w:t>
      </w:r>
    </w:p>
    <w:tbl>
      <w:tblPr>
        <w:tblStyle w:val="3"/>
        <w:tblW w:w="1498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754"/>
        <w:gridCol w:w="1382"/>
        <w:gridCol w:w="6491"/>
        <w:gridCol w:w="2469"/>
        <w:gridCol w:w="1682"/>
        <w:gridCol w:w="2210"/>
      </w:tblGrid>
      <w:tr w14:paraId="4F7979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482" w:hRule="atLeast"/>
          <w:tblHeader/>
          <w:jc w:val="center"/>
        </w:trPr>
        <w:tc>
          <w:tcPr>
            <w:tcW w:w="754" w:type="dxa"/>
            <w:noWrap w:val="0"/>
            <w:vAlign w:val="center"/>
          </w:tcPr>
          <w:p w14:paraId="4191E87E">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序号</w:t>
            </w:r>
          </w:p>
        </w:tc>
        <w:tc>
          <w:tcPr>
            <w:tcW w:w="1382" w:type="dxa"/>
            <w:noWrap w:val="0"/>
            <w:vAlign w:val="center"/>
          </w:tcPr>
          <w:p w14:paraId="1BF4BC11">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评估内容</w:t>
            </w:r>
          </w:p>
        </w:tc>
        <w:tc>
          <w:tcPr>
            <w:tcW w:w="6491" w:type="dxa"/>
            <w:noWrap w:val="0"/>
            <w:vAlign w:val="center"/>
          </w:tcPr>
          <w:p w14:paraId="6E18ACA9">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评估标准</w:t>
            </w:r>
          </w:p>
        </w:tc>
        <w:tc>
          <w:tcPr>
            <w:tcW w:w="2469" w:type="dxa"/>
            <w:noWrap w:val="0"/>
            <w:vAlign w:val="center"/>
          </w:tcPr>
          <w:p w14:paraId="56552979">
            <w:pPr>
              <w:widowControl/>
              <w:spacing w:line="400" w:lineRule="exact"/>
              <w:ind w:firstLine="480" w:firstLineChars="200"/>
              <w:jc w:val="left"/>
              <w:rPr>
                <w:rFonts w:ascii="Times New Roman" w:hAnsi="Times New Roman" w:eastAsia="黑体"/>
                <w:bCs/>
                <w:color w:val="auto"/>
                <w:sz w:val="24"/>
                <w:highlight w:val="none"/>
              </w:rPr>
            </w:pPr>
            <w:r>
              <w:rPr>
                <w:rFonts w:ascii="Times New Roman" w:hAnsi="黑体" w:eastAsia="黑体"/>
                <w:bCs/>
                <w:color w:val="auto"/>
                <w:sz w:val="24"/>
                <w:highlight w:val="none"/>
              </w:rPr>
              <w:t>评估要求</w:t>
            </w:r>
          </w:p>
        </w:tc>
        <w:tc>
          <w:tcPr>
            <w:tcW w:w="1682" w:type="dxa"/>
            <w:noWrap w:val="0"/>
            <w:vAlign w:val="center"/>
          </w:tcPr>
          <w:p w14:paraId="5D576532">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自评情况</w:t>
            </w:r>
          </w:p>
          <w:p w14:paraId="7600A78F">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（是否符合）</w:t>
            </w:r>
          </w:p>
        </w:tc>
        <w:tc>
          <w:tcPr>
            <w:tcW w:w="2210" w:type="dxa"/>
            <w:noWrap w:val="0"/>
            <w:vAlign w:val="center"/>
          </w:tcPr>
          <w:p w14:paraId="3C9EE769">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评估情况</w:t>
            </w:r>
          </w:p>
          <w:p w14:paraId="67CE935C">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（符合或不符合）</w:t>
            </w:r>
          </w:p>
        </w:tc>
      </w:tr>
      <w:tr w14:paraId="73E5FB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4094" w:hRule="atLeast"/>
          <w:jc w:val="center"/>
        </w:trPr>
        <w:tc>
          <w:tcPr>
            <w:tcW w:w="754" w:type="dxa"/>
            <w:noWrap w:val="0"/>
            <w:vAlign w:val="center"/>
          </w:tcPr>
          <w:p w14:paraId="5849AED2">
            <w:pPr>
              <w:widowControl/>
              <w:spacing w:line="400" w:lineRule="exact"/>
              <w:jc w:val="center"/>
              <w:rPr>
                <w:rFonts w:ascii="Times New Roman" w:hAnsi="Times New Roman" w:eastAsia="仿宋_GB2312"/>
                <w:bCs/>
                <w:color w:val="auto"/>
                <w:sz w:val="24"/>
                <w:highlight w:val="none"/>
              </w:rPr>
            </w:pPr>
            <w:r>
              <w:rPr>
                <w:rFonts w:ascii="Times New Roman" w:hAnsi="Times New Roman" w:eastAsia="仿宋_GB2312"/>
                <w:bCs/>
                <w:color w:val="auto"/>
                <w:sz w:val="24"/>
                <w:highlight w:val="none"/>
              </w:rPr>
              <w:t>1</w:t>
            </w:r>
          </w:p>
        </w:tc>
        <w:tc>
          <w:tcPr>
            <w:tcW w:w="1382" w:type="dxa"/>
            <w:noWrap w:val="0"/>
            <w:vAlign w:val="center"/>
          </w:tcPr>
          <w:p w14:paraId="6032901F">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依法办学</w:t>
            </w:r>
          </w:p>
        </w:tc>
        <w:tc>
          <w:tcPr>
            <w:tcW w:w="6491" w:type="dxa"/>
            <w:noWrap w:val="0"/>
            <w:vAlign w:val="center"/>
          </w:tcPr>
          <w:p w14:paraId="7B1D24C1">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1.办学许可证、法人登记证书等齐全有效。</w:t>
            </w:r>
          </w:p>
          <w:p w14:paraId="76327FC7">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2.设有理事会（董事会）等决策机构。</w:t>
            </w:r>
          </w:p>
          <w:p w14:paraId="1DB558F4">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3.申请分立、合并，变更学校名称、举办者、法定代表人、校长、办学地址、培训项目（职业、工种）和培训层次等级以及设立分校、增设校区的，经审批机关批准。</w:t>
            </w:r>
          </w:p>
          <w:p w14:paraId="5AAD9817">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4.学校增资，学校管理人员、师资、办学场所租赁期限、理事会（董事会）成员、章程等变动事项向审批机关备案。</w:t>
            </w:r>
          </w:p>
          <w:p w14:paraId="4842BC00">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5.严格按照许可的范围开展办学活动。</w:t>
            </w:r>
          </w:p>
          <w:p w14:paraId="340BCB2D">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6.无经查实的严重违法、违规投诉问题。</w:t>
            </w:r>
          </w:p>
        </w:tc>
        <w:tc>
          <w:tcPr>
            <w:tcW w:w="2469" w:type="dxa"/>
            <w:noWrap w:val="0"/>
            <w:vAlign w:val="center"/>
          </w:tcPr>
          <w:p w14:paraId="04DC5630">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现场查看各类证书证件、备案表原件、相关投诉登记处理材料及培训台账等材料。</w:t>
            </w:r>
          </w:p>
        </w:tc>
        <w:tc>
          <w:tcPr>
            <w:tcW w:w="1682" w:type="dxa"/>
            <w:noWrap w:val="0"/>
            <w:vAlign w:val="center"/>
          </w:tcPr>
          <w:p w14:paraId="570E4123">
            <w:pPr>
              <w:widowControl/>
              <w:spacing w:line="400" w:lineRule="exact"/>
              <w:jc w:val="center"/>
              <w:rPr>
                <w:rFonts w:ascii="Times New Roman" w:hAnsi="Times New Roman" w:eastAsia="仿宋_GB2312"/>
                <w:b/>
                <w:bCs/>
                <w:color w:val="auto"/>
                <w:sz w:val="24"/>
                <w:highlight w:val="none"/>
              </w:rPr>
            </w:pPr>
          </w:p>
        </w:tc>
        <w:tc>
          <w:tcPr>
            <w:tcW w:w="2210" w:type="dxa"/>
            <w:noWrap w:val="0"/>
            <w:vAlign w:val="center"/>
          </w:tcPr>
          <w:p w14:paraId="5FB38EC5">
            <w:pPr>
              <w:widowControl/>
              <w:spacing w:line="400" w:lineRule="exact"/>
              <w:jc w:val="center"/>
              <w:rPr>
                <w:rFonts w:ascii="Times New Roman" w:hAnsi="Times New Roman" w:eastAsia="仿宋_GB2312"/>
                <w:b/>
                <w:bCs/>
                <w:color w:val="auto"/>
                <w:sz w:val="24"/>
                <w:highlight w:val="none"/>
              </w:rPr>
            </w:pPr>
          </w:p>
        </w:tc>
      </w:tr>
      <w:tr w14:paraId="240870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5966" w:hRule="atLeast"/>
          <w:jc w:val="center"/>
        </w:trPr>
        <w:tc>
          <w:tcPr>
            <w:tcW w:w="754" w:type="dxa"/>
            <w:noWrap w:val="0"/>
            <w:vAlign w:val="center"/>
          </w:tcPr>
          <w:p w14:paraId="1630C5DB">
            <w:pPr>
              <w:widowControl/>
              <w:spacing w:line="400" w:lineRule="exact"/>
              <w:jc w:val="center"/>
              <w:rPr>
                <w:rFonts w:ascii="Times New Roman" w:hAnsi="Times New Roman" w:eastAsia="仿宋_GB2312"/>
                <w:bCs/>
                <w:color w:val="auto"/>
                <w:sz w:val="24"/>
                <w:highlight w:val="none"/>
              </w:rPr>
            </w:pPr>
            <w:r>
              <w:rPr>
                <w:rFonts w:ascii="Times New Roman" w:hAnsi="Times New Roman" w:eastAsia="仿宋_GB2312"/>
                <w:bCs/>
                <w:color w:val="auto"/>
                <w:sz w:val="24"/>
                <w:highlight w:val="none"/>
              </w:rPr>
              <w:t>2</w:t>
            </w:r>
          </w:p>
        </w:tc>
        <w:tc>
          <w:tcPr>
            <w:tcW w:w="1382" w:type="dxa"/>
            <w:noWrap w:val="0"/>
            <w:vAlign w:val="center"/>
          </w:tcPr>
          <w:p w14:paraId="617FFC70">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人员条件</w:t>
            </w:r>
          </w:p>
        </w:tc>
        <w:tc>
          <w:tcPr>
            <w:tcW w:w="6491" w:type="dxa"/>
            <w:noWrap w:val="0"/>
            <w:vAlign w:val="center"/>
          </w:tcPr>
          <w:p w14:paraId="34ED136D">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1.专职教师</w:t>
            </w:r>
            <w:r>
              <w:rPr>
                <w:rFonts w:hint="eastAsia" w:ascii="Times New Roman" w:hAnsi="Times New Roman" w:eastAsia="仿宋_GB2312"/>
                <w:color w:val="auto"/>
                <w:sz w:val="24"/>
                <w:highlight w:val="none"/>
                <w:lang w:eastAsia="zh-CN"/>
              </w:rPr>
              <w:t>原则上</w:t>
            </w:r>
            <w:r>
              <w:rPr>
                <w:rFonts w:ascii="Times New Roman" w:hAnsi="Times New Roman" w:eastAsia="仿宋_GB2312"/>
                <w:color w:val="auto"/>
                <w:sz w:val="24"/>
                <w:highlight w:val="none"/>
              </w:rPr>
              <w:t>不少于3人，单个教学场所（含校区）的专职教师不少于2人，每个培训职业（工种）至少配备1名文化技术理论课教师和1名生产实习指导教师，其中专职教师数不得少于教师总数的1/3，教师年龄不超过70周岁</w:t>
            </w:r>
            <w:r>
              <w:rPr>
                <w:rFonts w:ascii="Times New Roman" w:hAnsi="Times New Roman" w:eastAsia="仿宋_GB2312"/>
                <w:color w:val="auto"/>
                <w:sz w:val="24"/>
                <w:highlight w:val="none"/>
                <w:lang w:val="zh-CN"/>
              </w:rPr>
              <w:t>（消防类学校教师总数不少于10名，其中专职教师不少于教师总数的1/2）</w:t>
            </w:r>
            <w:r>
              <w:rPr>
                <w:rFonts w:ascii="Times New Roman" w:hAnsi="Times New Roman" w:eastAsia="仿宋_GB2312"/>
                <w:color w:val="auto"/>
                <w:sz w:val="24"/>
                <w:highlight w:val="none"/>
              </w:rPr>
              <w:t>。</w:t>
            </w:r>
          </w:p>
          <w:p w14:paraId="050C32C6">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2.专兼职教师具备相应的教师资格或者其他相应的专业资格、资质。</w:t>
            </w:r>
          </w:p>
          <w:p w14:paraId="785EEE25">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3.配备符合条件的专职教学管理人员。</w:t>
            </w:r>
          </w:p>
          <w:p w14:paraId="0096C4C9">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4.配备专职校长且具备具有大学专科及以上学历或者技工院校高级工班及以上毕业，中级及以上专业技术职务或者高级（三级）及以上国家职业资格/技能等级（其中高级民办职业培训学校须达到技师</w:t>
            </w:r>
            <w:r>
              <w:rPr>
                <w:rFonts w:hint="eastAsia" w:ascii="Times New Roman" w:hAnsi="Times New Roman" w:eastAsia="宋体"/>
                <w:color w:val="auto"/>
                <w:sz w:val="24"/>
                <w:highlight w:val="none"/>
                <w:lang w:eastAsia="zh-CN"/>
              </w:rPr>
              <w:t>（</w:t>
            </w:r>
            <w:r>
              <w:rPr>
                <w:rFonts w:ascii="Times New Roman" w:hAnsi="Times New Roman" w:eastAsia="仿宋_GB2312"/>
                <w:color w:val="auto"/>
                <w:sz w:val="24"/>
                <w:highlight w:val="none"/>
              </w:rPr>
              <w:t>二级</w:t>
            </w:r>
            <w:r>
              <w:rPr>
                <w:rFonts w:hint="eastAsia" w:ascii="Times New Roman" w:hAnsi="Times New Roman" w:eastAsia="宋体"/>
                <w:color w:val="auto"/>
                <w:sz w:val="24"/>
                <w:highlight w:val="none"/>
                <w:lang w:eastAsia="zh-CN"/>
              </w:rPr>
              <w:t>）</w:t>
            </w:r>
            <w:r>
              <w:rPr>
                <w:rFonts w:ascii="Times New Roman" w:hAnsi="Times New Roman" w:eastAsia="仿宋_GB2312"/>
                <w:color w:val="auto"/>
                <w:sz w:val="24"/>
                <w:highlight w:val="none"/>
              </w:rPr>
              <w:t>及以上国家职业资格/技能等级），有</w:t>
            </w:r>
            <w:r>
              <w:rPr>
                <w:rFonts w:hint="eastAsia" w:ascii="Times New Roman" w:hAnsi="Times New Roman" w:eastAsia="仿宋_GB2312"/>
                <w:color w:val="auto"/>
                <w:sz w:val="24"/>
                <w:highlight w:val="none"/>
                <w:lang w:val="en-US" w:eastAsia="zh-CN"/>
              </w:rPr>
              <w:t>3</w:t>
            </w:r>
            <w:r>
              <w:rPr>
                <w:rFonts w:ascii="Times New Roman" w:hAnsi="Times New Roman" w:eastAsia="仿宋_GB2312"/>
                <w:color w:val="auto"/>
                <w:sz w:val="24"/>
                <w:highlight w:val="none"/>
              </w:rPr>
              <w:t>年及以上职业技能教育培训管理工作经验。</w:t>
            </w:r>
          </w:p>
        </w:tc>
        <w:tc>
          <w:tcPr>
            <w:tcW w:w="2469" w:type="dxa"/>
            <w:noWrap w:val="0"/>
            <w:vAlign w:val="center"/>
          </w:tcPr>
          <w:p w14:paraId="2AD409E6">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查阅学校聘任协议、学历证书、毕业证书、职称证书、职业资格证书、职业技能等级证书或培训合格证书等材料。</w:t>
            </w:r>
          </w:p>
          <w:p w14:paraId="4C5B0972">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行业主管部门对办学有特殊要求的，从其规定。</w:t>
            </w:r>
          </w:p>
        </w:tc>
        <w:tc>
          <w:tcPr>
            <w:tcW w:w="1682" w:type="dxa"/>
            <w:noWrap w:val="0"/>
            <w:vAlign w:val="center"/>
          </w:tcPr>
          <w:p w14:paraId="4B3F7A5C">
            <w:pPr>
              <w:widowControl/>
              <w:spacing w:line="400" w:lineRule="exact"/>
              <w:jc w:val="center"/>
              <w:rPr>
                <w:rFonts w:ascii="Times New Roman" w:hAnsi="Times New Roman" w:eastAsia="仿宋_GB2312"/>
                <w:b/>
                <w:bCs/>
                <w:color w:val="auto"/>
                <w:sz w:val="24"/>
                <w:highlight w:val="none"/>
              </w:rPr>
            </w:pPr>
          </w:p>
        </w:tc>
        <w:tc>
          <w:tcPr>
            <w:tcW w:w="2210" w:type="dxa"/>
            <w:noWrap w:val="0"/>
            <w:vAlign w:val="center"/>
          </w:tcPr>
          <w:p w14:paraId="16F8B924">
            <w:pPr>
              <w:widowControl/>
              <w:spacing w:line="400" w:lineRule="exact"/>
              <w:jc w:val="center"/>
              <w:rPr>
                <w:rFonts w:ascii="Times New Roman" w:hAnsi="Times New Roman" w:eastAsia="仿宋_GB2312"/>
                <w:b/>
                <w:bCs/>
                <w:color w:val="auto"/>
                <w:sz w:val="24"/>
                <w:highlight w:val="none"/>
              </w:rPr>
            </w:pPr>
          </w:p>
        </w:tc>
      </w:tr>
      <w:tr w14:paraId="1D3CF26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330" w:hRule="atLeast"/>
          <w:jc w:val="center"/>
        </w:trPr>
        <w:tc>
          <w:tcPr>
            <w:tcW w:w="754" w:type="dxa"/>
            <w:noWrap w:val="0"/>
            <w:vAlign w:val="center"/>
          </w:tcPr>
          <w:p w14:paraId="7F904CD1">
            <w:pPr>
              <w:widowControl/>
              <w:spacing w:line="400" w:lineRule="exact"/>
              <w:jc w:val="center"/>
              <w:rPr>
                <w:rFonts w:ascii="Times New Roman" w:hAnsi="Times New Roman" w:eastAsia="仿宋_GB2312"/>
                <w:bCs/>
                <w:color w:val="auto"/>
                <w:sz w:val="24"/>
                <w:highlight w:val="none"/>
              </w:rPr>
            </w:pPr>
            <w:r>
              <w:rPr>
                <w:rFonts w:ascii="Times New Roman" w:hAnsi="Times New Roman" w:eastAsia="仿宋_GB2312"/>
                <w:bCs/>
                <w:color w:val="auto"/>
                <w:sz w:val="24"/>
                <w:highlight w:val="none"/>
              </w:rPr>
              <w:t>3</w:t>
            </w:r>
          </w:p>
        </w:tc>
        <w:tc>
          <w:tcPr>
            <w:tcW w:w="1382" w:type="dxa"/>
            <w:noWrap w:val="0"/>
            <w:vAlign w:val="center"/>
          </w:tcPr>
          <w:p w14:paraId="1D3C27B7">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办学资产</w:t>
            </w:r>
          </w:p>
        </w:tc>
        <w:tc>
          <w:tcPr>
            <w:tcW w:w="6491" w:type="dxa"/>
            <w:noWrap w:val="0"/>
            <w:vAlign w:val="center"/>
          </w:tcPr>
          <w:p w14:paraId="091D2FF2">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1.举办初级民办职业培训学校的固定资产应当达到10万元以上，注册资金</w:t>
            </w:r>
            <w:r>
              <w:rPr>
                <w:rFonts w:hint="eastAsia" w:ascii="Times New Roman" w:hAnsi="Times New Roman" w:eastAsia="仿宋_GB2312"/>
                <w:color w:val="auto"/>
                <w:sz w:val="24"/>
                <w:highlight w:val="none"/>
                <w:lang w:val="en-US" w:eastAsia="zh-CN"/>
              </w:rPr>
              <w:t>10</w:t>
            </w:r>
            <w:r>
              <w:rPr>
                <w:rFonts w:ascii="Times New Roman" w:hAnsi="Times New Roman" w:eastAsia="仿宋_GB2312"/>
                <w:color w:val="auto"/>
                <w:sz w:val="24"/>
                <w:highlight w:val="none"/>
              </w:rPr>
              <w:t>万元以上；举办中级民办职业培训学校的固定资产应当达到20万元以上，注册资金</w:t>
            </w:r>
            <w:r>
              <w:rPr>
                <w:rFonts w:hint="eastAsia" w:ascii="Times New Roman" w:hAnsi="Times New Roman" w:eastAsia="仿宋_GB2312"/>
                <w:color w:val="auto"/>
                <w:sz w:val="24"/>
                <w:highlight w:val="none"/>
                <w:lang w:val="en-US" w:eastAsia="zh-CN"/>
              </w:rPr>
              <w:t>20</w:t>
            </w:r>
            <w:r>
              <w:rPr>
                <w:rFonts w:ascii="Times New Roman" w:hAnsi="Times New Roman" w:eastAsia="仿宋_GB2312"/>
                <w:color w:val="auto"/>
                <w:sz w:val="24"/>
                <w:highlight w:val="none"/>
              </w:rPr>
              <w:t>万元以上；举办高级民办职业培训学校的固定资产应当达到50万元以上，注册资金50万元以上。</w:t>
            </w:r>
          </w:p>
          <w:p w14:paraId="47ABF579">
            <w:pPr>
              <w:widowControl/>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2.实训设施设备不低于2-6人/一台套。</w:t>
            </w:r>
          </w:p>
        </w:tc>
        <w:tc>
          <w:tcPr>
            <w:tcW w:w="2469" w:type="dxa"/>
            <w:noWrap w:val="0"/>
            <w:vAlign w:val="center"/>
          </w:tcPr>
          <w:p w14:paraId="3F993B94">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查看会计师事务所出具的审计报告，并现场查看相应固定资产实物。</w:t>
            </w:r>
          </w:p>
        </w:tc>
        <w:tc>
          <w:tcPr>
            <w:tcW w:w="1682" w:type="dxa"/>
            <w:noWrap w:val="0"/>
            <w:vAlign w:val="center"/>
          </w:tcPr>
          <w:p w14:paraId="69FA1B5E">
            <w:pPr>
              <w:widowControl/>
              <w:spacing w:line="400" w:lineRule="exact"/>
              <w:jc w:val="center"/>
              <w:rPr>
                <w:rFonts w:ascii="Times New Roman" w:hAnsi="Times New Roman" w:eastAsia="仿宋_GB2312"/>
                <w:b/>
                <w:bCs/>
                <w:color w:val="auto"/>
                <w:sz w:val="24"/>
                <w:highlight w:val="none"/>
              </w:rPr>
            </w:pPr>
          </w:p>
        </w:tc>
        <w:tc>
          <w:tcPr>
            <w:tcW w:w="2210" w:type="dxa"/>
            <w:noWrap w:val="0"/>
            <w:vAlign w:val="center"/>
          </w:tcPr>
          <w:p w14:paraId="60C89BF2">
            <w:pPr>
              <w:widowControl/>
              <w:spacing w:line="400" w:lineRule="exact"/>
              <w:jc w:val="center"/>
              <w:rPr>
                <w:rFonts w:ascii="Times New Roman" w:hAnsi="Times New Roman" w:eastAsia="仿宋_GB2312"/>
                <w:b/>
                <w:bCs/>
                <w:color w:val="auto"/>
                <w:sz w:val="24"/>
                <w:highlight w:val="none"/>
              </w:rPr>
            </w:pPr>
          </w:p>
        </w:tc>
      </w:tr>
      <w:tr w14:paraId="3FEFDE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3455" w:hRule="atLeast"/>
          <w:jc w:val="center"/>
        </w:trPr>
        <w:tc>
          <w:tcPr>
            <w:tcW w:w="754" w:type="dxa"/>
            <w:noWrap w:val="0"/>
            <w:vAlign w:val="center"/>
          </w:tcPr>
          <w:p w14:paraId="0ADBEAB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bCs/>
                <w:color w:val="auto"/>
                <w:sz w:val="24"/>
                <w:highlight w:val="none"/>
              </w:rPr>
              <w:t>4</w:t>
            </w:r>
          </w:p>
        </w:tc>
        <w:tc>
          <w:tcPr>
            <w:tcW w:w="1382" w:type="dxa"/>
            <w:noWrap w:val="0"/>
            <w:vAlign w:val="center"/>
          </w:tcPr>
          <w:p w14:paraId="39D32280">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办学场所</w:t>
            </w:r>
          </w:p>
        </w:tc>
        <w:tc>
          <w:tcPr>
            <w:tcW w:w="6491" w:type="dxa"/>
            <w:noWrap w:val="0"/>
            <w:vAlign w:val="center"/>
          </w:tcPr>
          <w:p w14:paraId="19107733">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有独立且固定的办公、办学用房，无危房。</w:t>
            </w:r>
          </w:p>
          <w:p w14:paraId="1ABC2123">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1.举办初级民办职业培训学校依法设立的校区实际使用的办学场所面积不少于200平方米。其中，实训场地面积不少于办学场所面积的1/3</w:t>
            </w:r>
          </w:p>
          <w:p w14:paraId="4736EF2D">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2.举办中级民办职业培训学校法人依法设立的校区实际使用的办学场所面积不少于300平方米。其中，实训场地面积不少于办学场所面积的1/3</w:t>
            </w:r>
          </w:p>
          <w:p w14:paraId="3835814B">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3.举办高级民办职业培训学校依法设立的校区实际使用的办学场所面积不少于400平方米。其中，实训场地面积不少于办学场所面积的1/3。</w:t>
            </w:r>
          </w:p>
        </w:tc>
        <w:tc>
          <w:tcPr>
            <w:tcW w:w="2469" w:type="dxa"/>
            <w:noWrap w:val="0"/>
            <w:vAlign w:val="center"/>
          </w:tcPr>
          <w:p w14:paraId="271EC6E5">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现场查看、查阅场地所有权证明、租赁合同等材料。</w:t>
            </w:r>
          </w:p>
        </w:tc>
        <w:tc>
          <w:tcPr>
            <w:tcW w:w="1682" w:type="dxa"/>
            <w:noWrap w:val="0"/>
            <w:vAlign w:val="center"/>
          </w:tcPr>
          <w:p w14:paraId="16D11200">
            <w:pPr>
              <w:widowControl/>
              <w:spacing w:line="400" w:lineRule="exact"/>
              <w:jc w:val="center"/>
              <w:rPr>
                <w:rFonts w:ascii="Times New Roman" w:hAnsi="Times New Roman" w:eastAsia="仿宋_GB2312"/>
                <w:color w:val="auto"/>
                <w:sz w:val="24"/>
                <w:highlight w:val="none"/>
              </w:rPr>
            </w:pPr>
          </w:p>
        </w:tc>
        <w:tc>
          <w:tcPr>
            <w:tcW w:w="2210" w:type="dxa"/>
            <w:noWrap w:val="0"/>
            <w:vAlign w:val="center"/>
          </w:tcPr>
          <w:p w14:paraId="3457D7B7">
            <w:pPr>
              <w:widowControl/>
              <w:spacing w:line="400" w:lineRule="exact"/>
              <w:jc w:val="center"/>
              <w:rPr>
                <w:rFonts w:ascii="Times New Roman" w:hAnsi="Times New Roman" w:eastAsia="仿宋_GB2312"/>
                <w:color w:val="auto"/>
                <w:sz w:val="24"/>
                <w:highlight w:val="none"/>
              </w:rPr>
            </w:pPr>
          </w:p>
        </w:tc>
      </w:tr>
      <w:tr w14:paraId="7D9555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325" w:hRule="atLeast"/>
          <w:jc w:val="center"/>
        </w:trPr>
        <w:tc>
          <w:tcPr>
            <w:tcW w:w="754" w:type="dxa"/>
            <w:noWrap w:val="0"/>
            <w:vAlign w:val="center"/>
          </w:tcPr>
          <w:p w14:paraId="569D4F7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5</w:t>
            </w:r>
          </w:p>
        </w:tc>
        <w:tc>
          <w:tcPr>
            <w:tcW w:w="1382" w:type="dxa"/>
            <w:noWrap w:val="0"/>
            <w:vAlign w:val="center"/>
          </w:tcPr>
          <w:p w14:paraId="68C39DAC">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诚信情况</w:t>
            </w:r>
          </w:p>
        </w:tc>
        <w:tc>
          <w:tcPr>
            <w:tcW w:w="6491" w:type="dxa"/>
            <w:noWrap w:val="0"/>
            <w:vAlign w:val="center"/>
          </w:tcPr>
          <w:p w14:paraId="667DA7B8">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不存在超审批范围经营、虚假宣传、冒领骗取培训补贴等违法违规行为；自评和承诺与实际情况相符。</w:t>
            </w:r>
          </w:p>
        </w:tc>
        <w:tc>
          <w:tcPr>
            <w:tcW w:w="2469" w:type="dxa"/>
            <w:noWrap w:val="0"/>
            <w:vAlign w:val="center"/>
          </w:tcPr>
          <w:p w14:paraId="13A02621">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查阅台账，咨询有关监督管理部门意见，现场查看自评情况及有关承诺是否真实一致。</w:t>
            </w:r>
          </w:p>
        </w:tc>
        <w:tc>
          <w:tcPr>
            <w:tcW w:w="1682" w:type="dxa"/>
            <w:noWrap w:val="0"/>
            <w:vAlign w:val="center"/>
          </w:tcPr>
          <w:p w14:paraId="28380465">
            <w:pPr>
              <w:widowControl/>
              <w:spacing w:line="400" w:lineRule="exact"/>
              <w:jc w:val="center"/>
              <w:rPr>
                <w:rFonts w:ascii="Times New Roman" w:hAnsi="Times New Roman" w:eastAsia="仿宋_GB2312"/>
                <w:color w:val="auto"/>
                <w:sz w:val="24"/>
                <w:highlight w:val="none"/>
              </w:rPr>
            </w:pPr>
          </w:p>
        </w:tc>
        <w:tc>
          <w:tcPr>
            <w:tcW w:w="2210" w:type="dxa"/>
            <w:noWrap w:val="0"/>
            <w:vAlign w:val="center"/>
          </w:tcPr>
          <w:p w14:paraId="6E10DB17">
            <w:pPr>
              <w:widowControl/>
              <w:spacing w:line="400" w:lineRule="exact"/>
              <w:jc w:val="center"/>
              <w:rPr>
                <w:rFonts w:ascii="Times New Roman" w:hAnsi="Times New Roman" w:eastAsia="仿宋_GB2312"/>
                <w:color w:val="auto"/>
                <w:sz w:val="24"/>
                <w:highlight w:val="none"/>
              </w:rPr>
            </w:pPr>
          </w:p>
        </w:tc>
      </w:tr>
    </w:tbl>
    <w:p w14:paraId="543C9384">
      <w:pPr>
        <w:widowControl/>
        <w:jc w:val="left"/>
        <w:outlineLvl w:val="0"/>
        <w:rPr>
          <w:rFonts w:ascii="Times New Roman" w:hAnsi="Times New Roman" w:eastAsia="黑体"/>
          <w:bCs/>
          <w:color w:val="auto"/>
          <w:sz w:val="24"/>
          <w:highlight w:val="none"/>
        </w:rPr>
      </w:pPr>
      <w:r>
        <w:rPr>
          <w:rFonts w:ascii="Times New Roman" w:hAnsi="Times New Roman" w:eastAsia="黑体"/>
          <w:bCs/>
          <w:color w:val="auto"/>
          <w:sz w:val="24"/>
          <w:highlight w:val="none"/>
        </w:rPr>
        <w:t>二、培训规范性和质量性指标</w:t>
      </w: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1455"/>
        <w:gridCol w:w="1465"/>
        <w:gridCol w:w="992"/>
        <w:gridCol w:w="4983"/>
        <w:gridCol w:w="3859"/>
        <w:gridCol w:w="1104"/>
        <w:gridCol w:w="1418"/>
      </w:tblGrid>
      <w:tr w14:paraId="2A3055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581" w:hRule="atLeast"/>
          <w:tblHeader/>
          <w:jc w:val="center"/>
        </w:trPr>
        <w:tc>
          <w:tcPr>
            <w:tcW w:w="1455" w:type="dxa"/>
            <w:noWrap w:val="0"/>
            <w:vAlign w:val="center"/>
          </w:tcPr>
          <w:p w14:paraId="02ACF292">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评估项目</w:t>
            </w:r>
          </w:p>
        </w:tc>
        <w:tc>
          <w:tcPr>
            <w:tcW w:w="1465" w:type="dxa"/>
            <w:noWrap w:val="0"/>
            <w:vAlign w:val="center"/>
          </w:tcPr>
          <w:p w14:paraId="5F3D6846">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评估内容</w:t>
            </w:r>
          </w:p>
        </w:tc>
        <w:tc>
          <w:tcPr>
            <w:tcW w:w="992" w:type="dxa"/>
            <w:noWrap w:val="0"/>
            <w:vAlign w:val="center"/>
          </w:tcPr>
          <w:p w14:paraId="664352D5">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标准分</w:t>
            </w:r>
          </w:p>
        </w:tc>
        <w:tc>
          <w:tcPr>
            <w:tcW w:w="4983" w:type="dxa"/>
            <w:noWrap w:val="0"/>
            <w:vAlign w:val="center"/>
          </w:tcPr>
          <w:p w14:paraId="064054BB">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评估标准</w:t>
            </w:r>
          </w:p>
        </w:tc>
        <w:tc>
          <w:tcPr>
            <w:tcW w:w="3859" w:type="dxa"/>
            <w:noWrap w:val="0"/>
            <w:vAlign w:val="center"/>
          </w:tcPr>
          <w:p w14:paraId="02E2E9F9">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评估要求及相应分值</w:t>
            </w:r>
          </w:p>
        </w:tc>
        <w:tc>
          <w:tcPr>
            <w:tcW w:w="1104" w:type="dxa"/>
            <w:noWrap w:val="0"/>
            <w:vAlign w:val="center"/>
          </w:tcPr>
          <w:p w14:paraId="3A40264F">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自评分</w:t>
            </w:r>
          </w:p>
        </w:tc>
        <w:tc>
          <w:tcPr>
            <w:tcW w:w="1418" w:type="dxa"/>
            <w:noWrap w:val="0"/>
            <w:vAlign w:val="center"/>
          </w:tcPr>
          <w:p w14:paraId="3B56EA84">
            <w:pPr>
              <w:widowControl/>
              <w:spacing w:line="400" w:lineRule="exact"/>
              <w:jc w:val="center"/>
              <w:rPr>
                <w:rFonts w:ascii="Times New Roman" w:hAnsi="Times New Roman" w:eastAsia="黑体"/>
                <w:bCs/>
                <w:color w:val="auto"/>
                <w:sz w:val="24"/>
                <w:highlight w:val="none"/>
              </w:rPr>
            </w:pPr>
            <w:r>
              <w:rPr>
                <w:rFonts w:ascii="Times New Roman" w:hAnsi="黑体" w:eastAsia="黑体"/>
                <w:bCs/>
                <w:color w:val="auto"/>
                <w:sz w:val="24"/>
                <w:highlight w:val="none"/>
              </w:rPr>
              <w:t>评估得分</w:t>
            </w:r>
          </w:p>
        </w:tc>
      </w:tr>
      <w:tr w14:paraId="6BEBB0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044" w:hRule="atLeast"/>
          <w:jc w:val="center"/>
        </w:trPr>
        <w:tc>
          <w:tcPr>
            <w:tcW w:w="1455" w:type="dxa"/>
            <w:vMerge w:val="restart"/>
            <w:noWrap w:val="0"/>
            <w:vAlign w:val="center"/>
          </w:tcPr>
          <w:p w14:paraId="0EF7945D">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机构建设</w:t>
            </w:r>
          </w:p>
          <w:p w14:paraId="5DEDF4D7">
            <w:pPr>
              <w:widowControl/>
              <w:spacing w:line="400" w:lineRule="exact"/>
              <w:jc w:val="center"/>
              <w:rPr>
                <w:rFonts w:ascii="Times New Roman" w:hAnsi="Times New Roman" w:eastAsia="仿宋_GB2312"/>
                <w:b/>
                <w:bCs/>
                <w:color w:val="auto"/>
                <w:sz w:val="24"/>
                <w:highlight w:val="none"/>
              </w:rPr>
            </w:pPr>
            <w:r>
              <w:rPr>
                <w:rFonts w:ascii="Times New Roman" w:hAnsi="Times New Roman" w:eastAsia="仿宋_GB2312"/>
                <w:color w:val="auto"/>
                <w:sz w:val="24"/>
                <w:highlight w:val="none"/>
              </w:rPr>
              <w:t>（5分）</w:t>
            </w:r>
          </w:p>
        </w:tc>
        <w:tc>
          <w:tcPr>
            <w:tcW w:w="1465" w:type="dxa"/>
            <w:noWrap w:val="0"/>
            <w:vAlign w:val="center"/>
          </w:tcPr>
          <w:p w14:paraId="4594349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组织机构</w:t>
            </w:r>
          </w:p>
        </w:tc>
        <w:tc>
          <w:tcPr>
            <w:tcW w:w="992" w:type="dxa"/>
            <w:noWrap w:val="0"/>
            <w:vAlign w:val="center"/>
          </w:tcPr>
          <w:p w14:paraId="24678E7F">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3分</w:t>
            </w:r>
          </w:p>
        </w:tc>
        <w:tc>
          <w:tcPr>
            <w:tcW w:w="4983" w:type="dxa"/>
            <w:noWrap w:val="0"/>
            <w:vAlign w:val="center"/>
          </w:tcPr>
          <w:p w14:paraId="00B70D75">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学校组织机构健全；按照党章规定成立党组织；建立相应的监督机构；发展规划、教学或学生管理等重大事项经学校董（理）事会、校务会或校长办公会讨论。</w:t>
            </w:r>
          </w:p>
        </w:tc>
        <w:tc>
          <w:tcPr>
            <w:tcW w:w="3859" w:type="dxa"/>
            <w:noWrap w:val="0"/>
            <w:vAlign w:val="center"/>
          </w:tcPr>
          <w:p w14:paraId="2EBD4895">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组织机构健全得2分；有</w:t>
            </w:r>
          </w:p>
          <w:p w14:paraId="41C743F5">
            <w:pPr>
              <w:widowControl/>
              <w:spacing w:line="400" w:lineRule="exact"/>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相应文件和会议记录得1分。</w:t>
            </w:r>
          </w:p>
        </w:tc>
        <w:tc>
          <w:tcPr>
            <w:tcW w:w="1104" w:type="dxa"/>
            <w:noWrap w:val="0"/>
            <w:vAlign w:val="center"/>
          </w:tcPr>
          <w:p w14:paraId="317B9A50">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469E83F8">
            <w:pPr>
              <w:widowControl/>
              <w:spacing w:line="400" w:lineRule="exact"/>
              <w:jc w:val="center"/>
              <w:rPr>
                <w:rFonts w:ascii="Times New Roman" w:hAnsi="Times New Roman" w:eastAsia="仿宋_GB2312"/>
                <w:color w:val="auto"/>
                <w:sz w:val="24"/>
                <w:highlight w:val="none"/>
              </w:rPr>
            </w:pPr>
          </w:p>
        </w:tc>
      </w:tr>
      <w:tr w14:paraId="749BD5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372" w:hRule="atLeast"/>
          <w:jc w:val="center"/>
        </w:trPr>
        <w:tc>
          <w:tcPr>
            <w:tcW w:w="1455" w:type="dxa"/>
            <w:vMerge w:val="continue"/>
            <w:noWrap w:val="0"/>
            <w:vAlign w:val="center"/>
          </w:tcPr>
          <w:p w14:paraId="2B023EE2">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6DED97E8">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领导班子</w:t>
            </w:r>
          </w:p>
        </w:tc>
        <w:tc>
          <w:tcPr>
            <w:tcW w:w="992" w:type="dxa"/>
            <w:noWrap w:val="0"/>
            <w:vAlign w:val="center"/>
          </w:tcPr>
          <w:p w14:paraId="208131C5">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2分</w:t>
            </w:r>
          </w:p>
        </w:tc>
        <w:tc>
          <w:tcPr>
            <w:tcW w:w="4983" w:type="dxa"/>
            <w:noWrap w:val="0"/>
            <w:vAlign w:val="center"/>
          </w:tcPr>
          <w:p w14:paraId="51A045B2">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校长、副校长和分管教学、学生和行政后勤等方面的主管主任符合相关要求。</w:t>
            </w:r>
          </w:p>
        </w:tc>
        <w:tc>
          <w:tcPr>
            <w:tcW w:w="3859" w:type="dxa"/>
            <w:noWrap w:val="0"/>
            <w:vAlign w:val="center"/>
          </w:tcPr>
          <w:p w14:paraId="34365D0D">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有符合规定要求的校长、副校长和分管教学、学生和行政后勤等方面的主管主任得2分。</w:t>
            </w:r>
          </w:p>
        </w:tc>
        <w:tc>
          <w:tcPr>
            <w:tcW w:w="1104" w:type="dxa"/>
            <w:noWrap w:val="0"/>
            <w:vAlign w:val="center"/>
          </w:tcPr>
          <w:p w14:paraId="43974484">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65552FB7">
            <w:pPr>
              <w:widowControl/>
              <w:spacing w:line="400" w:lineRule="exact"/>
              <w:jc w:val="center"/>
              <w:rPr>
                <w:rFonts w:ascii="Times New Roman" w:hAnsi="Times New Roman" w:eastAsia="仿宋_GB2312"/>
                <w:color w:val="auto"/>
                <w:sz w:val="24"/>
                <w:highlight w:val="none"/>
              </w:rPr>
            </w:pPr>
          </w:p>
        </w:tc>
      </w:tr>
      <w:tr w14:paraId="60BD0A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3034" w:hRule="atLeast"/>
          <w:jc w:val="center"/>
        </w:trPr>
        <w:tc>
          <w:tcPr>
            <w:tcW w:w="1455" w:type="dxa"/>
            <w:noWrap w:val="0"/>
            <w:vAlign w:val="center"/>
          </w:tcPr>
          <w:p w14:paraId="07E8EB6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培训规范</w:t>
            </w:r>
          </w:p>
          <w:p w14:paraId="26D565D0">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（20分）</w:t>
            </w:r>
          </w:p>
        </w:tc>
        <w:tc>
          <w:tcPr>
            <w:tcW w:w="1465" w:type="dxa"/>
            <w:noWrap w:val="0"/>
            <w:vAlign w:val="center"/>
          </w:tcPr>
          <w:p w14:paraId="363FCC4B">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行政管理</w:t>
            </w:r>
          </w:p>
        </w:tc>
        <w:tc>
          <w:tcPr>
            <w:tcW w:w="992" w:type="dxa"/>
            <w:noWrap w:val="0"/>
            <w:vAlign w:val="center"/>
          </w:tcPr>
          <w:p w14:paraId="46F4DB84">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3分</w:t>
            </w:r>
          </w:p>
        </w:tc>
        <w:tc>
          <w:tcPr>
            <w:tcW w:w="4983" w:type="dxa"/>
            <w:noWrap w:val="0"/>
            <w:vAlign w:val="center"/>
          </w:tcPr>
          <w:p w14:paraId="379E9563">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1.按要求接受检查评估，及时准确向审批机关报送统计报表、年度总结、评估报告等相关资料。</w:t>
            </w:r>
          </w:p>
          <w:p w14:paraId="1DECC426">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2.学籍和教学管理制度健全并报备。出资人取得合理回报的决定、向社会公布的与其办学水平和教育质量有关的资料、财务状况报审批机关备案。</w:t>
            </w:r>
          </w:p>
        </w:tc>
        <w:tc>
          <w:tcPr>
            <w:tcW w:w="3859" w:type="dxa"/>
            <w:noWrap w:val="0"/>
            <w:vAlign w:val="center"/>
          </w:tcPr>
          <w:p w14:paraId="7CA80DB6">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1.按时接受检查并报送相关材料的得1分。</w:t>
            </w:r>
          </w:p>
          <w:p w14:paraId="49F32F0B">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2.按规定及时将学籍和教学管理制度，出资人取得合理回报的决定、向社会公布的与其办学水平和教育质量有关的材料、财务状况报审批机关备案的，得2分。</w:t>
            </w:r>
          </w:p>
        </w:tc>
        <w:tc>
          <w:tcPr>
            <w:tcW w:w="1104" w:type="dxa"/>
            <w:noWrap w:val="0"/>
            <w:vAlign w:val="center"/>
          </w:tcPr>
          <w:p w14:paraId="32048768">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1DA95A18">
            <w:pPr>
              <w:widowControl/>
              <w:spacing w:line="400" w:lineRule="exact"/>
              <w:jc w:val="center"/>
              <w:rPr>
                <w:rFonts w:ascii="Times New Roman" w:hAnsi="Times New Roman" w:eastAsia="仿宋_GB2312"/>
                <w:color w:val="auto"/>
                <w:sz w:val="24"/>
                <w:highlight w:val="none"/>
              </w:rPr>
            </w:pPr>
          </w:p>
        </w:tc>
      </w:tr>
      <w:tr w14:paraId="273644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3327" w:hRule="atLeast"/>
          <w:jc w:val="center"/>
        </w:trPr>
        <w:tc>
          <w:tcPr>
            <w:tcW w:w="1455" w:type="dxa"/>
            <w:vMerge w:val="restart"/>
            <w:noWrap w:val="0"/>
            <w:vAlign w:val="center"/>
          </w:tcPr>
          <w:p w14:paraId="25DCCB5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培训规范</w:t>
            </w:r>
          </w:p>
          <w:p w14:paraId="4560A299">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（20分）</w:t>
            </w:r>
          </w:p>
        </w:tc>
        <w:tc>
          <w:tcPr>
            <w:tcW w:w="1465" w:type="dxa"/>
            <w:noWrap w:val="0"/>
            <w:vAlign w:val="center"/>
          </w:tcPr>
          <w:p w14:paraId="636AD12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招生广告、</w:t>
            </w:r>
          </w:p>
          <w:p w14:paraId="224EC86F">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简章</w:t>
            </w:r>
          </w:p>
        </w:tc>
        <w:tc>
          <w:tcPr>
            <w:tcW w:w="992" w:type="dxa"/>
            <w:noWrap w:val="0"/>
            <w:vAlign w:val="center"/>
          </w:tcPr>
          <w:p w14:paraId="42806D4A">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8分</w:t>
            </w:r>
          </w:p>
        </w:tc>
        <w:tc>
          <w:tcPr>
            <w:tcW w:w="4983" w:type="dxa"/>
            <w:noWrap w:val="0"/>
            <w:vAlign w:val="center"/>
          </w:tcPr>
          <w:p w14:paraId="18647A50">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lang w:val="zh-CN"/>
              </w:rPr>
              <w:t>发布招生广告和简章报人力资源社会保障行政部门备案，</w:t>
            </w:r>
            <w:r>
              <w:rPr>
                <w:rFonts w:ascii="Times New Roman" w:hAnsi="Times New Roman" w:eastAsia="仿宋_GB2312"/>
                <w:color w:val="auto"/>
                <w:sz w:val="24"/>
                <w:highlight w:val="none"/>
              </w:rPr>
              <w:t>发布招生广告和简章时使用审批机关批准的规范校名，内容与报人力资源社会保障行政部门备案的内容一致且真实。</w:t>
            </w:r>
          </w:p>
          <w:p w14:paraId="46C38C6A">
            <w:pPr>
              <w:widowControl/>
              <w:spacing w:line="400" w:lineRule="exact"/>
              <w:jc w:val="left"/>
              <w:rPr>
                <w:rFonts w:ascii="Times New Roman" w:hAnsi="Times New Roman" w:eastAsia="仿宋_GB2312"/>
                <w:color w:val="auto"/>
                <w:sz w:val="24"/>
                <w:highlight w:val="none"/>
              </w:rPr>
            </w:pPr>
          </w:p>
        </w:tc>
        <w:tc>
          <w:tcPr>
            <w:tcW w:w="3859" w:type="dxa"/>
            <w:noWrap w:val="0"/>
            <w:vAlign w:val="center"/>
          </w:tcPr>
          <w:p w14:paraId="27B972D4">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1.发布招生广告和简章时使用审批机构批准的规范校名的得2分。</w:t>
            </w:r>
          </w:p>
          <w:p w14:paraId="499141F7">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2.发布内容与备案内容一致的得2分；不一致的不得分。</w:t>
            </w:r>
          </w:p>
          <w:p w14:paraId="1896A420">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3.真实程度：发布内容与执行情况一致的得2分，不一致的不得分。</w:t>
            </w:r>
          </w:p>
          <w:p w14:paraId="1226610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4、</w:t>
            </w:r>
            <w:r>
              <w:rPr>
                <w:rFonts w:ascii="Times New Roman" w:hAnsi="Times New Roman" w:eastAsia="仿宋_GB2312"/>
                <w:color w:val="auto"/>
                <w:sz w:val="24"/>
                <w:highlight w:val="none"/>
                <w:lang w:val="zh-CN"/>
              </w:rPr>
              <w:t>发布招生广告和简章报人力资源社会保障行政部门备案</w:t>
            </w:r>
            <w:r>
              <w:rPr>
                <w:rFonts w:ascii="Times New Roman" w:hAnsi="Times New Roman" w:eastAsia="仿宋_GB2312"/>
                <w:color w:val="auto"/>
                <w:sz w:val="24"/>
                <w:highlight w:val="none"/>
              </w:rPr>
              <w:t>得2分。</w:t>
            </w:r>
          </w:p>
        </w:tc>
        <w:tc>
          <w:tcPr>
            <w:tcW w:w="1104" w:type="dxa"/>
            <w:noWrap w:val="0"/>
            <w:vAlign w:val="center"/>
          </w:tcPr>
          <w:p w14:paraId="2F576C1A">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65350BE3">
            <w:pPr>
              <w:widowControl/>
              <w:spacing w:line="400" w:lineRule="exact"/>
              <w:jc w:val="center"/>
              <w:rPr>
                <w:rFonts w:ascii="Times New Roman" w:hAnsi="Times New Roman" w:eastAsia="仿宋_GB2312"/>
                <w:color w:val="auto"/>
                <w:sz w:val="24"/>
                <w:highlight w:val="none"/>
              </w:rPr>
            </w:pPr>
          </w:p>
        </w:tc>
      </w:tr>
      <w:tr w14:paraId="040E0A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795" w:hRule="atLeast"/>
          <w:jc w:val="center"/>
        </w:trPr>
        <w:tc>
          <w:tcPr>
            <w:tcW w:w="1455" w:type="dxa"/>
            <w:vMerge w:val="continue"/>
            <w:noWrap w:val="0"/>
            <w:vAlign w:val="center"/>
          </w:tcPr>
          <w:p w14:paraId="74C99653">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74EC8401">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收费执行</w:t>
            </w:r>
          </w:p>
          <w:p w14:paraId="71E40FCC">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情况</w:t>
            </w:r>
          </w:p>
        </w:tc>
        <w:tc>
          <w:tcPr>
            <w:tcW w:w="992" w:type="dxa"/>
            <w:noWrap w:val="0"/>
            <w:vAlign w:val="center"/>
          </w:tcPr>
          <w:p w14:paraId="3510D34D">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6分</w:t>
            </w:r>
          </w:p>
        </w:tc>
        <w:tc>
          <w:tcPr>
            <w:tcW w:w="4983" w:type="dxa"/>
            <w:noWrap w:val="0"/>
            <w:vAlign w:val="center"/>
          </w:tcPr>
          <w:p w14:paraId="2A304473">
            <w:pPr>
              <w:widowControl/>
              <w:spacing w:line="400" w:lineRule="exact"/>
              <w:ind w:firstLine="480" w:firstLineChars="200"/>
              <w:jc w:val="left"/>
              <w:rPr>
                <w:rFonts w:ascii="Times New Roman" w:hAnsi="Times New Roman" w:eastAsia="仿宋_GB2312"/>
                <w:color w:val="auto"/>
                <w:sz w:val="24"/>
                <w:highlight w:val="none"/>
                <w:u w:val="single"/>
              </w:rPr>
            </w:pPr>
            <w:r>
              <w:rPr>
                <w:rFonts w:ascii="Times New Roman" w:hAnsi="Times New Roman" w:eastAsia="仿宋_GB2312"/>
                <w:color w:val="auto"/>
                <w:sz w:val="24"/>
                <w:highlight w:val="none"/>
              </w:rPr>
              <w:t>收费项目、收费标准和退费办法公示。</w:t>
            </w:r>
          </w:p>
        </w:tc>
        <w:tc>
          <w:tcPr>
            <w:tcW w:w="3859" w:type="dxa"/>
            <w:noWrap w:val="0"/>
            <w:vAlign w:val="center"/>
          </w:tcPr>
          <w:p w14:paraId="02EE5C7B">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1.收费项目、收费标准及退费办法公示的得3分；有一项未公示的即不得分。</w:t>
            </w:r>
          </w:p>
          <w:p w14:paraId="70B2F4A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2.收费规范程度：收费规范的得3分；基本规范的得1分；不规范的不得分。</w:t>
            </w:r>
          </w:p>
        </w:tc>
        <w:tc>
          <w:tcPr>
            <w:tcW w:w="1104" w:type="dxa"/>
            <w:noWrap w:val="0"/>
            <w:vAlign w:val="center"/>
          </w:tcPr>
          <w:p w14:paraId="2A3E2816">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14BCF81E">
            <w:pPr>
              <w:widowControl/>
              <w:spacing w:line="400" w:lineRule="exact"/>
              <w:jc w:val="center"/>
              <w:rPr>
                <w:rFonts w:ascii="Times New Roman" w:hAnsi="Times New Roman" w:eastAsia="仿宋_GB2312"/>
                <w:color w:val="auto"/>
                <w:sz w:val="24"/>
                <w:highlight w:val="none"/>
              </w:rPr>
            </w:pPr>
          </w:p>
        </w:tc>
      </w:tr>
      <w:tr w14:paraId="69A841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119" w:hRule="atLeast"/>
          <w:jc w:val="center"/>
        </w:trPr>
        <w:tc>
          <w:tcPr>
            <w:tcW w:w="1455" w:type="dxa"/>
            <w:vMerge w:val="continue"/>
            <w:noWrap w:val="0"/>
            <w:vAlign w:val="center"/>
          </w:tcPr>
          <w:p w14:paraId="75417D49">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17E698F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校牌、证件悬挂情况</w:t>
            </w:r>
          </w:p>
        </w:tc>
        <w:tc>
          <w:tcPr>
            <w:tcW w:w="992" w:type="dxa"/>
            <w:noWrap w:val="0"/>
            <w:vAlign w:val="center"/>
          </w:tcPr>
          <w:p w14:paraId="5E9B024A">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3分</w:t>
            </w:r>
          </w:p>
        </w:tc>
        <w:tc>
          <w:tcPr>
            <w:tcW w:w="4983" w:type="dxa"/>
            <w:noWrap w:val="0"/>
            <w:vAlign w:val="center"/>
          </w:tcPr>
          <w:p w14:paraId="0BF79193">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按要求悬挂规范的校牌、办学许可证和相关证件。</w:t>
            </w:r>
          </w:p>
        </w:tc>
        <w:tc>
          <w:tcPr>
            <w:tcW w:w="3859" w:type="dxa"/>
            <w:noWrap w:val="0"/>
            <w:vAlign w:val="center"/>
          </w:tcPr>
          <w:p w14:paraId="1C837898">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w:t>
            </w:r>
            <w:r>
              <w:rPr>
                <w:rFonts w:hint="eastAsia" w:ascii="Times New Roman" w:hAnsi="Times New Roman" w:eastAsia="仿宋_GB2312"/>
                <w:color w:val="auto"/>
                <w:sz w:val="24"/>
                <w:highlight w:val="none"/>
                <w:lang w:val="en-US" w:eastAsia="zh-CN"/>
              </w:rPr>
              <w:t>3</w:t>
            </w:r>
            <w:r>
              <w:rPr>
                <w:rFonts w:ascii="Times New Roman" w:hAnsi="Times New Roman" w:eastAsia="仿宋_GB2312"/>
                <w:color w:val="auto"/>
                <w:sz w:val="24"/>
                <w:highlight w:val="none"/>
              </w:rPr>
              <w:t>分，任何一项达不到要求的扣1分直至扣完。</w:t>
            </w:r>
          </w:p>
        </w:tc>
        <w:tc>
          <w:tcPr>
            <w:tcW w:w="1104" w:type="dxa"/>
            <w:noWrap w:val="0"/>
            <w:vAlign w:val="center"/>
          </w:tcPr>
          <w:p w14:paraId="2F7DAF3A">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13A2C4E9">
            <w:pPr>
              <w:widowControl/>
              <w:spacing w:line="400" w:lineRule="exact"/>
              <w:jc w:val="center"/>
              <w:rPr>
                <w:rFonts w:ascii="Times New Roman" w:hAnsi="Times New Roman" w:eastAsia="仿宋_GB2312"/>
                <w:color w:val="auto"/>
                <w:sz w:val="24"/>
                <w:highlight w:val="none"/>
              </w:rPr>
            </w:pPr>
          </w:p>
        </w:tc>
      </w:tr>
      <w:tr w14:paraId="439928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605" w:hRule="atLeast"/>
          <w:jc w:val="center"/>
        </w:trPr>
        <w:tc>
          <w:tcPr>
            <w:tcW w:w="1455" w:type="dxa"/>
            <w:vMerge w:val="restart"/>
            <w:noWrap w:val="0"/>
            <w:vAlign w:val="center"/>
          </w:tcPr>
          <w:p w14:paraId="28AAC634">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固定资产</w:t>
            </w:r>
          </w:p>
          <w:p w14:paraId="6EE91E5D">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和设备</w:t>
            </w:r>
          </w:p>
          <w:p w14:paraId="0893001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（10分）</w:t>
            </w:r>
          </w:p>
        </w:tc>
        <w:tc>
          <w:tcPr>
            <w:tcW w:w="1465" w:type="dxa"/>
            <w:noWrap w:val="0"/>
            <w:vAlign w:val="center"/>
          </w:tcPr>
          <w:p w14:paraId="44EB2C41">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价值</w:t>
            </w:r>
          </w:p>
        </w:tc>
        <w:tc>
          <w:tcPr>
            <w:tcW w:w="992" w:type="dxa"/>
            <w:noWrap w:val="0"/>
            <w:vAlign w:val="center"/>
          </w:tcPr>
          <w:p w14:paraId="4E670E52">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3分</w:t>
            </w:r>
          </w:p>
        </w:tc>
        <w:tc>
          <w:tcPr>
            <w:tcW w:w="4983" w:type="dxa"/>
            <w:noWrap w:val="0"/>
            <w:vAlign w:val="center"/>
          </w:tcPr>
          <w:p w14:paraId="6C48DA66">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举办初级民办职业培训学校的固定资产应当达到10万元以上；举办中级民办职业培训学校的固定资产应当达到20万元以上；举办高级民办职业培训学校的固定资产应当达到50万元以上。</w:t>
            </w:r>
          </w:p>
        </w:tc>
        <w:tc>
          <w:tcPr>
            <w:tcW w:w="3859" w:type="dxa"/>
            <w:noWrap w:val="0"/>
            <w:vAlign w:val="center"/>
          </w:tcPr>
          <w:p w14:paraId="0D057CFE">
            <w:pPr>
              <w:widowControl/>
              <w:spacing w:line="4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标准以上的得3分，达不到的不得分。固定资产超过100万元的，可以加1分。</w:t>
            </w:r>
          </w:p>
        </w:tc>
        <w:tc>
          <w:tcPr>
            <w:tcW w:w="1104" w:type="dxa"/>
            <w:noWrap w:val="0"/>
            <w:vAlign w:val="center"/>
          </w:tcPr>
          <w:p w14:paraId="66A740F5">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5A20B9B0">
            <w:pPr>
              <w:widowControl/>
              <w:spacing w:line="400" w:lineRule="exact"/>
              <w:jc w:val="center"/>
              <w:rPr>
                <w:rFonts w:ascii="Times New Roman" w:hAnsi="Times New Roman" w:eastAsia="仿宋_GB2312"/>
                <w:color w:val="auto"/>
                <w:sz w:val="24"/>
                <w:highlight w:val="none"/>
              </w:rPr>
            </w:pPr>
          </w:p>
        </w:tc>
      </w:tr>
      <w:tr w14:paraId="3385AE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995" w:hRule="atLeast"/>
          <w:jc w:val="center"/>
        </w:trPr>
        <w:tc>
          <w:tcPr>
            <w:tcW w:w="1455" w:type="dxa"/>
            <w:vMerge w:val="continue"/>
            <w:noWrap w:val="0"/>
            <w:vAlign w:val="center"/>
          </w:tcPr>
          <w:p w14:paraId="1B8E5EA9">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5368FD1E">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数量和</w:t>
            </w:r>
          </w:p>
          <w:p w14:paraId="1ECA19AE">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完好率</w:t>
            </w:r>
          </w:p>
        </w:tc>
        <w:tc>
          <w:tcPr>
            <w:tcW w:w="992" w:type="dxa"/>
            <w:noWrap w:val="0"/>
            <w:vAlign w:val="center"/>
          </w:tcPr>
          <w:p w14:paraId="167C977C">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7分</w:t>
            </w:r>
          </w:p>
        </w:tc>
        <w:tc>
          <w:tcPr>
            <w:tcW w:w="4983" w:type="dxa"/>
            <w:noWrap w:val="0"/>
            <w:vAlign w:val="center"/>
          </w:tcPr>
          <w:p w14:paraId="68E52966">
            <w:pPr>
              <w:widowControl/>
              <w:spacing w:line="4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1.有满足技能训练需要的设备和充足的实训工位。</w:t>
            </w:r>
          </w:p>
          <w:p w14:paraId="3B50782A">
            <w:pPr>
              <w:widowControl/>
              <w:spacing w:line="4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2.培训设备完好率达95%以上。</w:t>
            </w:r>
          </w:p>
        </w:tc>
        <w:tc>
          <w:tcPr>
            <w:tcW w:w="3859" w:type="dxa"/>
            <w:noWrap w:val="0"/>
            <w:vAlign w:val="center"/>
          </w:tcPr>
          <w:p w14:paraId="4005AF32">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现场查看。</w:t>
            </w:r>
          </w:p>
          <w:p w14:paraId="075A1D65">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1.各培训职业（工种）的实训设备能保证2-6人一台套的得满分3分，不足的酌情扣分。</w:t>
            </w:r>
          </w:p>
          <w:p w14:paraId="7FF310B8">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2.培训设备完好率达95%以上的得4分；80%-95%间的得2分；低于80%的不得分。</w:t>
            </w:r>
          </w:p>
        </w:tc>
        <w:tc>
          <w:tcPr>
            <w:tcW w:w="1104" w:type="dxa"/>
            <w:noWrap w:val="0"/>
            <w:vAlign w:val="center"/>
          </w:tcPr>
          <w:p w14:paraId="24F5928E">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50ABE1F8">
            <w:pPr>
              <w:widowControl/>
              <w:spacing w:line="400" w:lineRule="exact"/>
              <w:jc w:val="center"/>
              <w:rPr>
                <w:rFonts w:ascii="Times New Roman" w:hAnsi="Times New Roman" w:eastAsia="仿宋_GB2312"/>
                <w:color w:val="auto"/>
                <w:sz w:val="24"/>
                <w:highlight w:val="none"/>
              </w:rPr>
            </w:pPr>
          </w:p>
        </w:tc>
      </w:tr>
      <w:tr w14:paraId="1AD75ED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3290" w:hRule="atLeast"/>
          <w:jc w:val="center"/>
        </w:trPr>
        <w:tc>
          <w:tcPr>
            <w:tcW w:w="1455" w:type="dxa"/>
            <w:noWrap w:val="0"/>
            <w:vAlign w:val="center"/>
          </w:tcPr>
          <w:p w14:paraId="3A16B571">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培训师资</w:t>
            </w:r>
          </w:p>
          <w:p w14:paraId="4540D1B7">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（10分）</w:t>
            </w:r>
          </w:p>
        </w:tc>
        <w:tc>
          <w:tcPr>
            <w:tcW w:w="1465" w:type="dxa"/>
            <w:noWrap w:val="0"/>
            <w:vAlign w:val="center"/>
          </w:tcPr>
          <w:p w14:paraId="7EC323F7">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师资配备</w:t>
            </w:r>
          </w:p>
        </w:tc>
        <w:tc>
          <w:tcPr>
            <w:tcW w:w="992" w:type="dxa"/>
            <w:noWrap w:val="0"/>
            <w:vAlign w:val="center"/>
          </w:tcPr>
          <w:p w14:paraId="190D4D33">
            <w:pPr>
              <w:widowControl/>
              <w:spacing w:line="4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10分</w:t>
            </w:r>
          </w:p>
        </w:tc>
        <w:tc>
          <w:tcPr>
            <w:tcW w:w="4983" w:type="dxa"/>
            <w:noWrap w:val="0"/>
            <w:vAlign w:val="center"/>
          </w:tcPr>
          <w:p w14:paraId="2809429F">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1.文化技术理论课教师具有符合培训项目相关要求的学历、专业技术职务或职业资格（技能等级）。</w:t>
            </w:r>
          </w:p>
          <w:p w14:paraId="7E49B959">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2.生产实习指导教师具有符合培训项目相关要求的学历、专业技术职务或职业资格（技能等级）。</w:t>
            </w:r>
          </w:p>
          <w:p w14:paraId="4A0677C4">
            <w:pPr>
              <w:widowControl/>
              <w:spacing w:line="32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3.建立了教师培训和能力提升制度，按规定组织教师参加培训；教师按规定参加民办职业培训学校教师培训工作。</w:t>
            </w:r>
          </w:p>
          <w:p w14:paraId="126F22B5">
            <w:pPr>
              <w:widowControl/>
              <w:spacing w:line="38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4.线下培训每班次师生比不低于1:40。</w:t>
            </w:r>
          </w:p>
        </w:tc>
        <w:tc>
          <w:tcPr>
            <w:tcW w:w="3859" w:type="dxa"/>
            <w:noWrap w:val="0"/>
            <w:vAlign w:val="center"/>
          </w:tcPr>
          <w:p w14:paraId="1D19F57B">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1.未建立教师培训和能力提升制度的一次性扣5分；每位教师未按规定参加培训的扣1分；每位教师的学历要求、技能要求任一指标不符合扣1分；直至扣完10分。</w:t>
            </w:r>
          </w:p>
          <w:p w14:paraId="5E89CD2D">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2.线下培训每班次师生比不低于1:40的可以加1分。</w:t>
            </w:r>
          </w:p>
          <w:p w14:paraId="5D842E00">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3.有教师获得技工院校教师一体化资格的可以加1分。</w:t>
            </w:r>
          </w:p>
        </w:tc>
        <w:tc>
          <w:tcPr>
            <w:tcW w:w="1104" w:type="dxa"/>
            <w:noWrap w:val="0"/>
            <w:vAlign w:val="center"/>
          </w:tcPr>
          <w:p w14:paraId="58915A16">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418CED98">
            <w:pPr>
              <w:widowControl/>
              <w:spacing w:line="400" w:lineRule="exact"/>
              <w:jc w:val="center"/>
              <w:rPr>
                <w:rFonts w:ascii="Times New Roman" w:hAnsi="Times New Roman" w:eastAsia="仿宋_GB2312"/>
                <w:color w:val="auto"/>
                <w:sz w:val="24"/>
                <w:highlight w:val="none"/>
              </w:rPr>
            </w:pPr>
          </w:p>
        </w:tc>
      </w:tr>
      <w:tr w14:paraId="3DC557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4396" w:hRule="atLeast"/>
          <w:jc w:val="center"/>
        </w:trPr>
        <w:tc>
          <w:tcPr>
            <w:tcW w:w="1455" w:type="dxa"/>
            <w:vMerge w:val="restart"/>
            <w:noWrap w:val="0"/>
            <w:vAlign w:val="center"/>
          </w:tcPr>
          <w:p w14:paraId="25EEBF0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培训场所  （10分）</w:t>
            </w:r>
          </w:p>
        </w:tc>
        <w:tc>
          <w:tcPr>
            <w:tcW w:w="1465" w:type="dxa"/>
            <w:noWrap w:val="0"/>
            <w:vAlign w:val="center"/>
          </w:tcPr>
          <w:p w14:paraId="617E9B2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面积（</w:t>
            </w:r>
            <w:r>
              <w:rPr>
                <w:rFonts w:ascii="Times New Roman" w:hAnsi="Times New Roman" w:eastAsia="宋体"/>
                <w:color w:val="auto"/>
                <w:sz w:val="24"/>
                <w:highlight w:val="none"/>
              </w:rPr>
              <w:t>㎡</w:t>
            </w:r>
            <w:r>
              <w:rPr>
                <w:rFonts w:ascii="Times New Roman" w:hAnsi="Times New Roman" w:eastAsia="仿宋_GB2312"/>
                <w:color w:val="auto"/>
                <w:sz w:val="24"/>
                <w:highlight w:val="none"/>
              </w:rPr>
              <w:t>）</w:t>
            </w:r>
          </w:p>
        </w:tc>
        <w:tc>
          <w:tcPr>
            <w:tcW w:w="992" w:type="dxa"/>
            <w:noWrap w:val="0"/>
            <w:vAlign w:val="center"/>
          </w:tcPr>
          <w:p w14:paraId="1DC46A04">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4分</w:t>
            </w:r>
          </w:p>
        </w:tc>
        <w:tc>
          <w:tcPr>
            <w:tcW w:w="4983" w:type="dxa"/>
            <w:noWrap w:val="0"/>
            <w:vAlign w:val="center"/>
          </w:tcPr>
          <w:p w14:paraId="724016AA">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1.举办初级民办职业培训学校依法设立的校区实际使用的办学场所面积不少于200平方米。其中，实训场地面积不少于办学场所面积的1/3</w:t>
            </w:r>
          </w:p>
          <w:p w14:paraId="08FFE435">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2.举办中级民办职业培训学校依法设立的校区实际使用的办学场所面积不少于300平方米。其中，实训场地面积不少于办学场所面积的1/3</w:t>
            </w:r>
          </w:p>
          <w:p w14:paraId="3A61FE44">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3.举办高级民办职业培训学校依法设立的校区实际使用的办学场所面积不少于400平方米。其中，实训场地面积不少于办学场所面积的1/3</w:t>
            </w:r>
          </w:p>
        </w:tc>
        <w:tc>
          <w:tcPr>
            <w:tcW w:w="3859" w:type="dxa"/>
            <w:noWrap w:val="0"/>
            <w:vAlign w:val="center"/>
          </w:tcPr>
          <w:p w14:paraId="760CF472">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标准以上的得3分，达不到的不得分。</w:t>
            </w:r>
          </w:p>
        </w:tc>
        <w:tc>
          <w:tcPr>
            <w:tcW w:w="1104" w:type="dxa"/>
            <w:noWrap w:val="0"/>
            <w:vAlign w:val="center"/>
          </w:tcPr>
          <w:p w14:paraId="55A65706">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141EBF13">
            <w:pPr>
              <w:widowControl/>
              <w:spacing w:line="400" w:lineRule="exact"/>
              <w:jc w:val="center"/>
              <w:rPr>
                <w:rFonts w:ascii="Times New Roman" w:hAnsi="Times New Roman" w:eastAsia="仿宋_GB2312"/>
                <w:color w:val="auto"/>
                <w:sz w:val="24"/>
                <w:highlight w:val="none"/>
              </w:rPr>
            </w:pPr>
          </w:p>
        </w:tc>
      </w:tr>
      <w:tr w14:paraId="0D7B4C2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90" w:hRule="atLeast"/>
          <w:jc w:val="center"/>
        </w:trPr>
        <w:tc>
          <w:tcPr>
            <w:tcW w:w="1455" w:type="dxa"/>
            <w:vMerge w:val="continue"/>
            <w:noWrap w:val="0"/>
            <w:vAlign w:val="center"/>
          </w:tcPr>
          <w:p w14:paraId="667ED1B5">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0AC2DAA4">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配套设施</w:t>
            </w:r>
          </w:p>
        </w:tc>
        <w:tc>
          <w:tcPr>
            <w:tcW w:w="992" w:type="dxa"/>
            <w:noWrap w:val="0"/>
            <w:vAlign w:val="center"/>
          </w:tcPr>
          <w:p w14:paraId="3C0A4A7B">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2分</w:t>
            </w:r>
          </w:p>
        </w:tc>
        <w:tc>
          <w:tcPr>
            <w:tcW w:w="4983" w:type="dxa"/>
            <w:noWrap w:val="0"/>
            <w:vAlign w:val="center"/>
          </w:tcPr>
          <w:p w14:paraId="3230DF87">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1.无安全隐患，有良好的照明，通风好。</w:t>
            </w:r>
          </w:p>
          <w:p w14:paraId="561DABA2">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2.配备桌椅、黑板、多媒体、电脑等教学设备。</w:t>
            </w:r>
          </w:p>
        </w:tc>
        <w:tc>
          <w:tcPr>
            <w:tcW w:w="3859" w:type="dxa"/>
            <w:noWrap w:val="0"/>
            <w:vAlign w:val="center"/>
          </w:tcPr>
          <w:p w14:paraId="0E95FF68">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1.安全、照明、通风符合要求的得1分。</w:t>
            </w:r>
          </w:p>
          <w:p w14:paraId="564434BC">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2.按规定配备桌椅、黑板、多媒体、电脑等设备的得1分，不足或有损坏的酌情扣分。</w:t>
            </w:r>
          </w:p>
        </w:tc>
        <w:tc>
          <w:tcPr>
            <w:tcW w:w="1104" w:type="dxa"/>
            <w:noWrap w:val="0"/>
            <w:vAlign w:val="center"/>
          </w:tcPr>
          <w:p w14:paraId="1F0550FE">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798129BF">
            <w:pPr>
              <w:widowControl/>
              <w:spacing w:line="400" w:lineRule="exact"/>
              <w:jc w:val="center"/>
              <w:rPr>
                <w:rFonts w:ascii="Times New Roman" w:hAnsi="Times New Roman" w:eastAsia="仿宋_GB2312"/>
                <w:color w:val="auto"/>
                <w:sz w:val="24"/>
                <w:highlight w:val="none"/>
              </w:rPr>
            </w:pPr>
          </w:p>
        </w:tc>
      </w:tr>
      <w:tr w14:paraId="7F8519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174" w:hRule="atLeast"/>
          <w:jc w:val="center"/>
        </w:trPr>
        <w:tc>
          <w:tcPr>
            <w:tcW w:w="1455" w:type="dxa"/>
            <w:vMerge w:val="continue"/>
            <w:noWrap w:val="0"/>
            <w:vAlign w:val="center"/>
          </w:tcPr>
          <w:p w14:paraId="53FC3ACF">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7CA5CF5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使用期限</w:t>
            </w:r>
          </w:p>
        </w:tc>
        <w:tc>
          <w:tcPr>
            <w:tcW w:w="992" w:type="dxa"/>
            <w:noWrap w:val="0"/>
            <w:vAlign w:val="center"/>
          </w:tcPr>
          <w:p w14:paraId="5F45AA29">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4分</w:t>
            </w:r>
          </w:p>
        </w:tc>
        <w:tc>
          <w:tcPr>
            <w:tcW w:w="4983" w:type="dxa"/>
            <w:noWrap w:val="0"/>
            <w:vAlign w:val="center"/>
          </w:tcPr>
          <w:p w14:paraId="3AD7FA43">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租赁期不少于3年。</w:t>
            </w:r>
          </w:p>
        </w:tc>
        <w:tc>
          <w:tcPr>
            <w:tcW w:w="3859" w:type="dxa"/>
            <w:noWrap w:val="0"/>
            <w:vAlign w:val="center"/>
          </w:tcPr>
          <w:p w14:paraId="377E0319">
            <w:pPr>
              <w:widowControl/>
              <w:spacing w:line="36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租用场所租赁期3年以上的得4分，少于3年的不得分。</w:t>
            </w:r>
          </w:p>
        </w:tc>
        <w:tc>
          <w:tcPr>
            <w:tcW w:w="1104" w:type="dxa"/>
            <w:noWrap w:val="0"/>
            <w:vAlign w:val="center"/>
          </w:tcPr>
          <w:p w14:paraId="3BFC584F">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5FF0F469">
            <w:pPr>
              <w:widowControl/>
              <w:spacing w:line="400" w:lineRule="exact"/>
              <w:jc w:val="center"/>
              <w:rPr>
                <w:rFonts w:ascii="Times New Roman" w:hAnsi="Times New Roman" w:eastAsia="仿宋_GB2312"/>
                <w:color w:val="auto"/>
                <w:sz w:val="24"/>
                <w:highlight w:val="none"/>
              </w:rPr>
            </w:pPr>
          </w:p>
        </w:tc>
      </w:tr>
      <w:tr w14:paraId="76340A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759" w:hRule="atLeast"/>
          <w:jc w:val="center"/>
        </w:trPr>
        <w:tc>
          <w:tcPr>
            <w:tcW w:w="1455" w:type="dxa"/>
            <w:vMerge w:val="restart"/>
            <w:noWrap w:val="0"/>
            <w:vAlign w:val="center"/>
          </w:tcPr>
          <w:p w14:paraId="6BB69FCB">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培训规模、层次和质量（15分）</w:t>
            </w:r>
          </w:p>
        </w:tc>
        <w:tc>
          <w:tcPr>
            <w:tcW w:w="1465" w:type="dxa"/>
            <w:noWrap w:val="0"/>
            <w:vAlign w:val="center"/>
          </w:tcPr>
          <w:p w14:paraId="75A01D67">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年培训数量</w:t>
            </w:r>
          </w:p>
          <w:p w14:paraId="610BC529">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（人次）和满意度</w:t>
            </w:r>
          </w:p>
        </w:tc>
        <w:tc>
          <w:tcPr>
            <w:tcW w:w="992" w:type="dxa"/>
            <w:noWrap w:val="0"/>
            <w:vAlign w:val="center"/>
          </w:tcPr>
          <w:p w14:paraId="6A4E8A2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10分</w:t>
            </w:r>
          </w:p>
        </w:tc>
        <w:tc>
          <w:tcPr>
            <w:tcW w:w="4983" w:type="dxa"/>
            <w:noWrap w:val="0"/>
            <w:vAlign w:val="center"/>
          </w:tcPr>
          <w:p w14:paraId="24009A0D">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1.办学许可证办学类型载明的职业（工种）在2个以内的，年培训人数不低于200人；2个以上的，每增加1个职业（工种），年培训人数应相应增加100人。</w:t>
            </w:r>
          </w:p>
          <w:p w14:paraId="2947E15E">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2.开展参训学员满意度调查，学员参训满意度应当达到80%以上。</w:t>
            </w:r>
          </w:p>
        </w:tc>
        <w:tc>
          <w:tcPr>
            <w:tcW w:w="3859" w:type="dxa"/>
            <w:noWrap w:val="0"/>
            <w:vAlign w:val="center"/>
          </w:tcPr>
          <w:p w14:paraId="6EA24C44">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1.年培训量少于200人次的不得分； 400-500人次的得2分；600-700人次的得4分；800-900人次的得6分；1000人次以上的得8分。年培训量超过1500人次的可以加2分。</w:t>
            </w:r>
          </w:p>
          <w:p w14:paraId="7EEF78D4">
            <w:pPr>
              <w:widowControl/>
              <w:spacing w:line="340" w:lineRule="exact"/>
              <w:ind w:firstLine="456" w:firstLineChars="200"/>
              <w:jc w:val="left"/>
              <w:rPr>
                <w:rFonts w:ascii="Times New Roman" w:hAnsi="Times New Roman" w:eastAsia="仿宋_GB2312"/>
                <w:color w:val="auto"/>
                <w:sz w:val="24"/>
                <w:highlight w:val="none"/>
              </w:rPr>
            </w:pPr>
            <w:r>
              <w:rPr>
                <w:rFonts w:ascii="Times New Roman" w:hAnsi="Times New Roman" w:eastAsia="仿宋_GB2312"/>
                <w:color w:val="auto"/>
                <w:spacing w:val="-6"/>
                <w:sz w:val="24"/>
                <w:highlight w:val="none"/>
              </w:rPr>
              <w:t>2.对80%以上的参训学员开展满意度调查的得1分，学员参训满意度达到80%以上的得1分。</w:t>
            </w:r>
          </w:p>
        </w:tc>
        <w:tc>
          <w:tcPr>
            <w:tcW w:w="1104" w:type="dxa"/>
            <w:noWrap w:val="0"/>
            <w:vAlign w:val="center"/>
          </w:tcPr>
          <w:p w14:paraId="12460EE3">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0A3919F0">
            <w:pPr>
              <w:widowControl/>
              <w:spacing w:line="400" w:lineRule="exact"/>
              <w:jc w:val="center"/>
              <w:rPr>
                <w:rFonts w:ascii="Times New Roman" w:hAnsi="Times New Roman" w:eastAsia="仿宋_GB2312"/>
                <w:color w:val="auto"/>
                <w:sz w:val="24"/>
                <w:highlight w:val="none"/>
              </w:rPr>
            </w:pPr>
          </w:p>
        </w:tc>
      </w:tr>
      <w:tr w14:paraId="591F5A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4224" w:hRule="atLeast"/>
          <w:jc w:val="center"/>
        </w:trPr>
        <w:tc>
          <w:tcPr>
            <w:tcW w:w="1455" w:type="dxa"/>
            <w:vMerge w:val="continue"/>
            <w:noWrap w:val="0"/>
            <w:vAlign w:val="center"/>
          </w:tcPr>
          <w:p w14:paraId="35906D92">
            <w:pPr>
              <w:widowControl/>
              <w:spacing w:line="400" w:lineRule="exact"/>
              <w:jc w:val="center"/>
              <w:rPr>
                <w:rFonts w:ascii="Times New Roman" w:hAnsi="Times New Roman" w:eastAsia="仿宋_GB2312"/>
                <w:color w:val="auto"/>
                <w:sz w:val="24"/>
                <w:highlight w:val="none"/>
              </w:rPr>
            </w:pPr>
          </w:p>
        </w:tc>
        <w:tc>
          <w:tcPr>
            <w:tcW w:w="1465" w:type="dxa"/>
            <w:noWrap w:val="0"/>
            <w:vAlign w:val="center"/>
          </w:tcPr>
          <w:p w14:paraId="7E32C157">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培训层次、形式和考核取证情况</w:t>
            </w:r>
          </w:p>
        </w:tc>
        <w:tc>
          <w:tcPr>
            <w:tcW w:w="992" w:type="dxa"/>
            <w:noWrap w:val="0"/>
            <w:vAlign w:val="center"/>
          </w:tcPr>
          <w:p w14:paraId="7935D785">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5分</w:t>
            </w:r>
          </w:p>
        </w:tc>
        <w:tc>
          <w:tcPr>
            <w:tcW w:w="4983" w:type="dxa"/>
            <w:noWrap w:val="0"/>
            <w:vAlign w:val="center"/>
          </w:tcPr>
          <w:p w14:paraId="1FCCD7E0">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1.组织培训结业学员参加技能人才评价，取得相应职业资格证书、职业技能等级证书、专项职业能力证书。</w:t>
            </w:r>
          </w:p>
          <w:p w14:paraId="6FADC018">
            <w:pPr>
              <w:widowControl/>
              <w:spacing w:line="340" w:lineRule="exact"/>
              <w:ind w:firstLine="480" w:firstLineChars="200"/>
              <w:jc w:val="left"/>
              <w:rPr>
                <w:rFonts w:ascii="Times New Roman" w:hAnsi="Times New Roman" w:eastAsia="仿宋_GB2312"/>
                <w:color w:val="auto"/>
                <w:spacing w:val="-4"/>
                <w:sz w:val="24"/>
                <w:highlight w:val="none"/>
              </w:rPr>
            </w:pPr>
            <w:r>
              <w:rPr>
                <w:rFonts w:ascii="Times New Roman" w:hAnsi="Times New Roman" w:eastAsia="仿宋_GB2312"/>
                <w:color w:val="auto"/>
                <w:sz w:val="24"/>
                <w:highlight w:val="none"/>
              </w:rPr>
              <w:t>2.还没有职业技能等级证书的，可以组织学</w:t>
            </w:r>
            <w:r>
              <w:rPr>
                <w:rFonts w:ascii="Times New Roman" w:hAnsi="Times New Roman" w:eastAsia="仿宋_GB2312"/>
                <w:color w:val="auto"/>
                <w:spacing w:val="-4"/>
                <w:sz w:val="24"/>
                <w:highlight w:val="none"/>
              </w:rPr>
              <w:t>员考取其他部门颁发的上岗证等技能类证书；经当地人力资源社会保障部门备案，还可组织考试发放培训合格证书。</w:t>
            </w:r>
          </w:p>
          <w:p w14:paraId="5F212C99">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3.参加就业技能培训的学员参训后就业率达到80%以上。</w:t>
            </w:r>
          </w:p>
          <w:p w14:paraId="63D2CD2E">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4.加强企业职工培训工作，参与和帮助企业开发针对性强的培训课程、教学计划并组织实施。</w:t>
            </w:r>
          </w:p>
        </w:tc>
        <w:tc>
          <w:tcPr>
            <w:tcW w:w="3859" w:type="dxa"/>
            <w:noWrap w:val="0"/>
            <w:vAlign w:val="center"/>
          </w:tcPr>
          <w:p w14:paraId="095A5AF2">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1.培训结业学员80%以上取得上岗、技能等级证书的得3分；80%-40%的得2分；40%-20%的得1分；20%以下的不得分。</w:t>
            </w:r>
          </w:p>
          <w:p w14:paraId="6FA013F9">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2.取得三级及以上国家职业资格证书或职业技能等级证书达10%及以上的得2分；10%以下的不得分。</w:t>
            </w:r>
          </w:p>
          <w:p w14:paraId="5BFC70AD">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3.学员培训后半年内实现就业的比率达到80%以上的可以加1分。</w:t>
            </w:r>
          </w:p>
          <w:p w14:paraId="1973EDA8">
            <w:pPr>
              <w:widowControl/>
              <w:spacing w:line="34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4.</w:t>
            </w:r>
            <w:r>
              <w:rPr>
                <w:rFonts w:ascii="Times New Roman" w:hAnsi="Times New Roman" w:eastAsia="仿宋_GB2312"/>
                <w:color w:val="auto"/>
                <w:spacing w:val="-4"/>
                <w:sz w:val="24"/>
                <w:highlight w:val="none"/>
              </w:rPr>
              <w:t>达到要求4的可以加1分。</w:t>
            </w:r>
          </w:p>
        </w:tc>
        <w:tc>
          <w:tcPr>
            <w:tcW w:w="1104" w:type="dxa"/>
            <w:noWrap w:val="0"/>
            <w:vAlign w:val="center"/>
          </w:tcPr>
          <w:p w14:paraId="2C489C6F">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7C4F5ADE">
            <w:pPr>
              <w:widowControl/>
              <w:spacing w:line="400" w:lineRule="exact"/>
              <w:jc w:val="center"/>
              <w:rPr>
                <w:rFonts w:ascii="Times New Roman" w:hAnsi="Times New Roman" w:eastAsia="仿宋_GB2312"/>
                <w:color w:val="auto"/>
                <w:sz w:val="24"/>
                <w:highlight w:val="none"/>
              </w:rPr>
            </w:pPr>
          </w:p>
        </w:tc>
      </w:tr>
      <w:tr w14:paraId="68C961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90" w:hRule="atLeast"/>
          <w:jc w:val="center"/>
        </w:trPr>
        <w:tc>
          <w:tcPr>
            <w:tcW w:w="1455" w:type="dxa"/>
            <w:vMerge w:val="restart"/>
            <w:noWrap w:val="0"/>
            <w:vAlign w:val="center"/>
          </w:tcPr>
          <w:p w14:paraId="3C81DDA2">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内部管理 </w:t>
            </w:r>
          </w:p>
          <w:p w14:paraId="70BC6A7B">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（30分）</w:t>
            </w:r>
          </w:p>
        </w:tc>
        <w:tc>
          <w:tcPr>
            <w:tcW w:w="1465" w:type="dxa"/>
            <w:noWrap w:val="0"/>
            <w:vAlign w:val="center"/>
          </w:tcPr>
          <w:p w14:paraId="69DAC3F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制度建设</w:t>
            </w:r>
          </w:p>
        </w:tc>
        <w:tc>
          <w:tcPr>
            <w:tcW w:w="992" w:type="dxa"/>
            <w:noWrap w:val="0"/>
            <w:vAlign w:val="center"/>
          </w:tcPr>
          <w:p w14:paraId="35F40092">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6分</w:t>
            </w:r>
          </w:p>
        </w:tc>
        <w:tc>
          <w:tcPr>
            <w:tcW w:w="4983" w:type="dxa"/>
            <w:noWrap w:val="0"/>
            <w:vAlign w:val="center"/>
          </w:tcPr>
          <w:p w14:paraId="65485DB3">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行政管理、教学管理、安全管理、员工管理、学员管理、档案管理、资产和财务管理、收费和退费管理、设施设备管理、教师培训及考核等制度健全。制定了突发事件应急预案。</w:t>
            </w:r>
          </w:p>
        </w:tc>
        <w:tc>
          <w:tcPr>
            <w:tcW w:w="3859" w:type="dxa"/>
            <w:noWrap w:val="0"/>
            <w:vAlign w:val="center"/>
          </w:tcPr>
          <w:p w14:paraId="0BCAD1C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1.制度健全的得2分；不完善的酌情扣分。</w:t>
            </w:r>
          </w:p>
          <w:p w14:paraId="1C64B5E7">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2.有检查、有落实的得2分；没有的不得分。</w:t>
            </w:r>
          </w:p>
          <w:p w14:paraId="314FCF4D">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3.制定突发事件应急预案的得2分，未制定的不得分</w:t>
            </w:r>
          </w:p>
        </w:tc>
        <w:tc>
          <w:tcPr>
            <w:tcW w:w="1104" w:type="dxa"/>
            <w:noWrap w:val="0"/>
            <w:vAlign w:val="center"/>
          </w:tcPr>
          <w:p w14:paraId="0942B343">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05718655">
            <w:pPr>
              <w:widowControl/>
              <w:spacing w:line="400" w:lineRule="exact"/>
              <w:jc w:val="center"/>
              <w:rPr>
                <w:rFonts w:ascii="Times New Roman" w:hAnsi="Times New Roman" w:eastAsia="仿宋_GB2312"/>
                <w:color w:val="auto"/>
                <w:sz w:val="24"/>
                <w:highlight w:val="none"/>
              </w:rPr>
            </w:pPr>
          </w:p>
        </w:tc>
      </w:tr>
      <w:tr w14:paraId="2C827F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059" w:hRule="atLeast"/>
          <w:jc w:val="center"/>
        </w:trPr>
        <w:tc>
          <w:tcPr>
            <w:tcW w:w="1455" w:type="dxa"/>
            <w:vMerge w:val="continue"/>
            <w:noWrap w:val="0"/>
            <w:vAlign w:val="center"/>
          </w:tcPr>
          <w:p w14:paraId="1F510130">
            <w:pPr>
              <w:widowControl/>
              <w:spacing w:line="400" w:lineRule="exact"/>
              <w:jc w:val="center"/>
              <w:rPr>
                <w:rFonts w:ascii="Times New Roman" w:hAnsi="Times New Roman" w:eastAsia="仿宋_GB2312"/>
                <w:color w:val="auto"/>
                <w:sz w:val="24"/>
                <w:highlight w:val="none"/>
              </w:rPr>
            </w:pPr>
          </w:p>
        </w:tc>
        <w:tc>
          <w:tcPr>
            <w:tcW w:w="1465" w:type="dxa"/>
            <w:vMerge w:val="restart"/>
            <w:noWrap w:val="0"/>
            <w:vAlign w:val="center"/>
          </w:tcPr>
          <w:p w14:paraId="36C2C03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教学管理</w:t>
            </w:r>
          </w:p>
        </w:tc>
        <w:tc>
          <w:tcPr>
            <w:tcW w:w="992" w:type="dxa"/>
            <w:noWrap w:val="0"/>
            <w:vAlign w:val="center"/>
          </w:tcPr>
          <w:p w14:paraId="38E63414">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7CD26DEA">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学员入学参加培训及时注册登记；与学生签订的相关培训协议合法规范。</w:t>
            </w:r>
          </w:p>
        </w:tc>
        <w:tc>
          <w:tcPr>
            <w:tcW w:w="3859" w:type="dxa"/>
            <w:noWrap w:val="0"/>
            <w:vAlign w:val="center"/>
          </w:tcPr>
          <w:p w14:paraId="34C38B45">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达到要求的得1分，有一项达不到要求的扣1分。</w:t>
            </w:r>
          </w:p>
        </w:tc>
        <w:tc>
          <w:tcPr>
            <w:tcW w:w="1104" w:type="dxa"/>
            <w:noWrap w:val="0"/>
            <w:vAlign w:val="center"/>
          </w:tcPr>
          <w:p w14:paraId="49CCA840">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19A0E7C7">
            <w:pPr>
              <w:widowControl/>
              <w:spacing w:line="400" w:lineRule="exact"/>
              <w:jc w:val="center"/>
              <w:rPr>
                <w:rFonts w:ascii="Times New Roman" w:hAnsi="Times New Roman" w:eastAsia="仿宋_GB2312"/>
                <w:color w:val="auto"/>
                <w:sz w:val="24"/>
                <w:highlight w:val="none"/>
              </w:rPr>
            </w:pPr>
          </w:p>
        </w:tc>
      </w:tr>
      <w:tr w14:paraId="39D6ED5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766" w:hRule="atLeast"/>
          <w:jc w:val="center"/>
        </w:trPr>
        <w:tc>
          <w:tcPr>
            <w:tcW w:w="1455" w:type="dxa"/>
            <w:vMerge w:val="continue"/>
            <w:noWrap w:val="0"/>
            <w:vAlign w:val="center"/>
          </w:tcPr>
          <w:p w14:paraId="61438B2A">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071C007E">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46EAD77E">
            <w:pPr>
              <w:widowControl/>
              <w:spacing w:line="400" w:lineRule="exact"/>
              <w:jc w:val="center"/>
              <w:rPr>
                <w:rFonts w:ascii="Times New Roman" w:hAnsi="Times New Roman" w:eastAsia="仿宋_GB2312"/>
                <w:color w:val="auto"/>
                <w:sz w:val="24"/>
                <w:highlight w:val="none"/>
                <w:vertAlign w:val="superscript"/>
              </w:rPr>
            </w:pPr>
            <w:r>
              <w:rPr>
                <w:rFonts w:ascii="Times New Roman" w:hAnsi="Times New Roman" w:eastAsia="仿宋_GB2312"/>
                <w:color w:val="auto"/>
                <w:sz w:val="24"/>
                <w:highlight w:val="none"/>
              </w:rPr>
              <w:t>6分</w:t>
            </w:r>
          </w:p>
        </w:tc>
        <w:tc>
          <w:tcPr>
            <w:tcW w:w="4983" w:type="dxa"/>
            <w:noWrap w:val="0"/>
            <w:vAlign w:val="center"/>
          </w:tcPr>
          <w:p w14:paraId="65DDBAD7">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严格执行教学管理制度；定期对教师的师德师风和教学效果 进行检查和评价；并有完整的检查及奖惩记录。</w:t>
            </w:r>
          </w:p>
          <w:p w14:paraId="7196B45B">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教学秩序规范，教学效果达标；教师能讲善导；学员积极认真学练。采取现场听课或看当年度课堂教学视频实录的方法进行评价（一个职业（工种）至少一节课）  </w:t>
            </w:r>
          </w:p>
        </w:tc>
        <w:tc>
          <w:tcPr>
            <w:tcW w:w="3859" w:type="dxa"/>
            <w:noWrap w:val="0"/>
            <w:vAlign w:val="center"/>
          </w:tcPr>
          <w:p w14:paraId="1FC6829E">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达到要求的得6分，有一项达不到要求的扣1分直至扣完。</w:t>
            </w:r>
          </w:p>
        </w:tc>
        <w:tc>
          <w:tcPr>
            <w:tcW w:w="1104" w:type="dxa"/>
            <w:noWrap w:val="0"/>
            <w:vAlign w:val="center"/>
          </w:tcPr>
          <w:p w14:paraId="5881DF34">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5FBA5474">
            <w:pPr>
              <w:widowControl/>
              <w:spacing w:line="400" w:lineRule="exact"/>
              <w:jc w:val="center"/>
              <w:rPr>
                <w:rFonts w:ascii="Times New Roman" w:hAnsi="Times New Roman" w:eastAsia="仿宋_GB2312"/>
                <w:color w:val="auto"/>
                <w:sz w:val="24"/>
                <w:highlight w:val="none"/>
              </w:rPr>
            </w:pPr>
          </w:p>
        </w:tc>
      </w:tr>
      <w:tr w14:paraId="258B29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90" w:hRule="atLeast"/>
          <w:jc w:val="center"/>
        </w:trPr>
        <w:tc>
          <w:tcPr>
            <w:tcW w:w="1455" w:type="dxa"/>
            <w:vMerge w:val="continue"/>
            <w:noWrap w:val="0"/>
            <w:vAlign w:val="center"/>
          </w:tcPr>
          <w:p w14:paraId="1BB3D021">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3A7A3511">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7BE06FDC">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2分</w:t>
            </w:r>
          </w:p>
        </w:tc>
        <w:tc>
          <w:tcPr>
            <w:tcW w:w="4983" w:type="dxa"/>
            <w:noWrap w:val="0"/>
            <w:vAlign w:val="center"/>
          </w:tcPr>
          <w:p w14:paraId="3456E31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保证学员理论教学课时、实习操作训练课时达到教学（培训）大纲的规定要求，不随意减少课程计划。</w:t>
            </w:r>
          </w:p>
        </w:tc>
        <w:tc>
          <w:tcPr>
            <w:tcW w:w="3859" w:type="dxa"/>
            <w:noWrap w:val="0"/>
            <w:vAlign w:val="center"/>
          </w:tcPr>
          <w:p w14:paraId="394C1F43">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达到要求的得2分，有一项达不到要求的扣1分直至扣完。</w:t>
            </w:r>
          </w:p>
        </w:tc>
        <w:tc>
          <w:tcPr>
            <w:tcW w:w="1104" w:type="dxa"/>
            <w:noWrap w:val="0"/>
            <w:vAlign w:val="center"/>
          </w:tcPr>
          <w:p w14:paraId="127174CC">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617474DA">
            <w:pPr>
              <w:widowControl/>
              <w:spacing w:line="400" w:lineRule="exact"/>
              <w:jc w:val="center"/>
              <w:rPr>
                <w:rFonts w:ascii="Times New Roman" w:hAnsi="Times New Roman" w:eastAsia="仿宋_GB2312"/>
                <w:color w:val="auto"/>
                <w:sz w:val="24"/>
                <w:highlight w:val="none"/>
              </w:rPr>
            </w:pPr>
          </w:p>
        </w:tc>
      </w:tr>
      <w:tr w14:paraId="14B5BAC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851" w:hRule="atLeast"/>
          <w:jc w:val="center"/>
        </w:trPr>
        <w:tc>
          <w:tcPr>
            <w:tcW w:w="1455" w:type="dxa"/>
            <w:vMerge w:val="continue"/>
            <w:noWrap w:val="0"/>
            <w:vAlign w:val="center"/>
          </w:tcPr>
          <w:p w14:paraId="0A47080C">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226DB509">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59DD52A6">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4AF2C3F5">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学员参加结业考试和技能人才评价组织规范。</w:t>
            </w:r>
          </w:p>
        </w:tc>
        <w:tc>
          <w:tcPr>
            <w:tcW w:w="3859" w:type="dxa"/>
            <w:noWrap w:val="0"/>
            <w:vAlign w:val="center"/>
          </w:tcPr>
          <w:p w14:paraId="71C55DC6">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达到要求的得1分，有一项达不到要求的不得分。</w:t>
            </w:r>
          </w:p>
        </w:tc>
        <w:tc>
          <w:tcPr>
            <w:tcW w:w="1104" w:type="dxa"/>
            <w:noWrap w:val="0"/>
            <w:vAlign w:val="center"/>
          </w:tcPr>
          <w:p w14:paraId="29CA752E">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2292BA0C">
            <w:pPr>
              <w:widowControl/>
              <w:spacing w:line="400" w:lineRule="exact"/>
              <w:jc w:val="center"/>
              <w:rPr>
                <w:rFonts w:ascii="Times New Roman" w:hAnsi="Times New Roman" w:eastAsia="仿宋_GB2312"/>
                <w:color w:val="auto"/>
                <w:sz w:val="24"/>
                <w:highlight w:val="none"/>
              </w:rPr>
            </w:pPr>
          </w:p>
        </w:tc>
      </w:tr>
      <w:tr w14:paraId="68F591D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243" w:hRule="atLeast"/>
          <w:jc w:val="center"/>
        </w:trPr>
        <w:tc>
          <w:tcPr>
            <w:tcW w:w="1455" w:type="dxa"/>
            <w:vMerge w:val="restart"/>
            <w:noWrap w:val="0"/>
            <w:vAlign w:val="center"/>
          </w:tcPr>
          <w:p w14:paraId="145F92A0">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内部管理 </w:t>
            </w:r>
          </w:p>
          <w:p w14:paraId="7921FBE8">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（30分）</w:t>
            </w:r>
          </w:p>
        </w:tc>
        <w:tc>
          <w:tcPr>
            <w:tcW w:w="1465" w:type="dxa"/>
            <w:vMerge w:val="restart"/>
            <w:noWrap w:val="0"/>
            <w:vAlign w:val="center"/>
          </w:tcPr>
          <w:p w14:paraId="4C434B9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档案管理</w:t>
            </w:r>
          </w:p>
        </w:tc>
        <w:tc>
          <w:tcPr>
            <w:tcW w:w="992" w:type="dxa"/>
            <w:noWrap w:val="0"/>
            <w:vAlign w:val="center"/>
          </w:tcPr>
          <w:p w14:paraId="48F86245">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1E9A4D0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教师花名册、教师登记表、聘用协议、劳动合同、身份证复印件、学历和资格证书复印件、职业教育培训工作经历证明等六项材料齐全。</w:t>
            </w:r>
          </w:p>
        </w:tc>
        <w:tc>
          <w:tcPr>
            <w:tcW w:w="3859" w:type="dxa"/>
            <w:noWrap w:val="0"/>
            <w:vAlign w:val="center"/>
          </w:tcPr>
          <w:p w14:paraId="28939CB6">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达到要求的得2分，有一项达不到要求的扣0.5分直至扣完。</w:t>
            </w:r>
          </w:p>
        </w:tc>
        <w:tc>
          <w:tcPr>
            <w:tcW w:w="1104" w:type="dxa"/>
            <w:noWrap w:val="0"/>
            <w:vAlign w:val="center"/>
          </w:tcPr>
          <w:p w14:paraId="21B8769B">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21058FA1">
            <w:pPr>
              <w:widowControl/>
              <w:spacing w:line="400" w:lineRule="exact"/>
              <w:jc w:val="center"/>
              <w:rPr>
                <w:rFonts w:ascii="Times New Roman" w:hAnsi="Times New Roman" w:eastAsia="仿宋_GB2312"/>
                <w:color w:val="auto"/>
                <w:sz w:val="24"/>
                <w:highlight w:val="none"/>
              </w:rPr>
            </w:pPr>
          </w:p>
        </w:tc>
      </w:tr>
      <w:tr w14:paraId="2D5F79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608" w:hRule="atLeast"/>
          <w:jc w:val="center"/>
        </w:trPr>
        <w:tc>
          <w:tcPr>
            <w:tcW w:w="1455" w:type="dxa"/>
            <w:vMerge w:val="continue"/>
            <w:noWrap w:val="0"/>
            <w:vAlign w:val="center"/>
          </w:tcPr>
          <w:p w14:paraId="67C34C2C">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58EA6F32">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5932112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75C7E567">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教学计划、大纲、教材齐全且符合规定。</w:t>
            </w:r>
          </w:p>
        </w:tc>
        <w:tc>
          <w:tcPr>
            <w:tcW w:w="3859" w:type="dxa"/>
            <w:noWrap w:val="0"/>
            <w:vAlign w:val="center"/>
          </w:tcPr>
          <w:p w14:paraId="5E28ED5A">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达到要求的得1分，有一项达不到要求的不得分。</w:t>
            </w:r>
          </w:p>
        </w:tc>
        <w:tc>
          <w:tcPr>
            <w:tcW w:w="1104" w:type="dxa"/>
            <w:noWrap w:val="0"/>
            <w:vAlign w:val="center"/>
          </w:tcPr>
          <w:p w14:paraId="3B442CBE">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642864D5">
            <w:pPr>
              <w:widowControl/>
              <w:spacing w:line="400" w:lineRule="exact"/>
              <w:jc w:val="center"/>
              <w:rPr>
                <w:rFonts w:ascii="Times New Roman" w:hAnsi="Times New Roman" w:eastAsia="仿宋_GB2312"/>
                <w:color w:val="auto"/>
                <w:sz w:val="24"/>
                <w:highlight w:val="none"/>
              </w:rPr>
            </w:pPr>
          </w:p>
        </w:tc>
      </w:tr>
      <w:tr w14:paraId="223D12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035" w:hRule="atLeast"/>
          <w:jc w:val="center"/>
        </w:trPr>
        <w:tc>
          <w:tcPr>
            <w:tcW w:w="1455" w:type="dxa"/>
            <w:vMerge w:val="continue"/>
            <w:noWrap w:val="0"/>
            <w:vAlign w:val="center"/>
          </w:tcPr>
          <w:p w14:paraId="4001BDDE">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49A7E34A">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7BC05BAF">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43323BAB">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年度培训情况汇总表、办班通知、学员名册、考勤表、课程表、教师讲义、教师评估表、考试成绩表、培训班总结等9项材料齐全。</w:t>
            </w:r>
          </w:p>
        </w:tc>
        <w:tc>
          <w:tcPr>
            <w:tcW w:w="3859" w:type="dxa"/>
            <w:noWrap w:val="0"/>
            <w:vAlign w:val="center"/>
          </w:tcPr>
          <w:p w14:paraId="3826D768">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达到要求的得2分，不完善的酌情扣分。</w:t>
            </w:r>
          </w:p>
        </w:tc>
        <w:tc>
          <w:tcPr>
            <w:tcW w:w="1104" w:type="dxa"/>
            <w:noWrap w:val="0"/>
            <w:vAlign w:val="center"/>
          </w:tcPr>
          <w:p w14:paraId="579AAA3E">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343E3F17">
            <w:pPr>
              <w:widowControl/>
              <w:spacing w:line="400" w:lineRule="exact"/>
              <w:jc w:val="center"/>
              <w:rPr>
                <w:rFonts w:ascii="Times New Roman" w:hAnsi="Times New Roman" w:eastAsia="仿宋_GB2312"/>
                <w:color w:val="auto"/>
                <w:sz w:val="24"/>
                <w:highlight w:val="none"/>
              </w:rPr>
            </w:pPr>
          </w:p>
        </w:tc>
      </w:tr>
      <w:tr w14:paraId="1CEAA5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2140" w:hRule="atLeast"/>
          <w:jc w:val="center"/>
        </w:trPr>
        <w:tc>
          <w:tcPr>
            <w:tcW w:w="1455" w:type="dxa"/>
            <w:vMerge w:val="continue"/>
            <w:noWrap w:val="0"/>
            <w:vAlign w:val="center"/>
          </w:tcPr>
          <w:p w14:paraId="3989D20E">
            <w:pPr>
              <w:widowControl/>
              <w:spacing w:line="400" w:lineRule="exact"/>
              <w:jc w:val="center"/>
              <w:rPr>
                <w:rFonts w:ascii="Times New Roman" w:hAnsi="Times New Roman" w:eastAsia="仿宋_GB2312"/>
                <w:color w:val="auto"/>
                <w:sz w:val="24"/>
                <w:highlight w:val="none"/>
              </w:rPr>
            </w:pPr>
          </w:p>
        </w:tc>
        <w:tc>
          <w:tcPr>
            <w:tcW w:w="1465" w:type="dxa"/>
            <w:vMerge w:val="continue"/>
            <w:noWrap w:val="0"/>
            <w:vAlign w:val="center"/>
          </w:tcPr>
          <w:p w14:paraId="14F9CE1B">
            <w:pPr>
              <w:widowControl/>
              <w:spacing w:line="400" w:lineRule="exact"/>
              <w:jc w:val="center"/>
              <w:rPr>
                <w:rFonts w:ascii="Times New Roman" w:hAnsi="Times New Roman" w:eastAsia="仿宋_GB2312"/>
                <w:color w:val="auto"/>
                <w:sz w:val="24"/>
                <w:highlight w:val="none"/>
              </w:rPr>
            </w:pPr>
          </w:p>
        </w:tc>
        <w:tc>
          <w:tcPr>
            <w:tcW w:w="992" w:type="dxa"/>
            <w:noWrap w:val="0"/>
            <w:vAlign w:val="center"/>
          </w:tcPr>
          <w:p w14:paraId="2E63F23E">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1分</w:t>
            </w:r>
          </w:p>
        </w:tc>
        <w:tc>
          <w:tcPr>
            <w:tcW w:w="4983" w:type="dxa"/>
            <w:noWrap w:val="0"/>
            <w:vAlign w:val="center"/>
          </w:tcPr>
          <w:p w14:paraId="6101DA33">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1.学员登记表、身份证复印件、学历证书复印件、学校自考试卷、实操能力考核表、补考记录、就业协议、就业去向的相关登记等8项材料齐全。</w:t>
            </w:r>
          </w:p>
          <w:p w14:paraId="0E56475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2.使用</w:t>
            </w:r>
            <w:r>
              <w:rPr>
                <w:rFonts w:hint="eastAsia" w:ascii="Times New Roman" w:hAnsi="Times New Roman" w:eastAsia="仿宋_GB2312"/>
                <w:color w:val="auto"/>
                <w:sz w:val="24"/>
                <w:highlight w:val="none"/>
                <w:lang w:eastAsia="zh-CN"/>
              </w:rPr>
              <w:t>技能人才管理服务</w:t>
            </w:r>
            <w:r>
              <w:rPr>
                <w:rFonts w:hint="eastAsia" w:ascii="Times New Roman" w:hAnsi="Times New Roman" w:eastAsia="仿宋_GB2312"/>
                <w:color w:val="auto"/>
                <w:sz w:val="24"/>
                <w:highlight w:val="none"/>
              </w:rPr>
              <w:t>系统</w:t>
            </w:r>
            <w:r>
              <w:rPr>
                <w:rFonts w:ascii="Times New Roman" w:hAnsi="Times New Roman" w:eastAsia="仿宋_GB2312"/>
                <w:color w:val="auto"/>
                <w:sz w:val="24"/>
                <w:highlight w:val="none"/>
              </w:rPr>
              <w:t>，如实准确报送培训信息，建立健全培训台账。</w:t>
            </w:r>
          </w:p>
        </w:tc>
        <w:tc>
          <w:tcPr>
            <w:tcW w:w="3859" w:type="dxa"/>
            <w:noWrap w:val="0"/>
            <w:vAlign w:val="center"/>
          </w:tcPr>
          <w:p w14:paraId="10DF57FD">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达到要求1的得2分，不完善的酌情扣分。达到要求2的可以</w:t>
            </w:r>
            <w:r>
              <w:rPr>
                <w:rFonts w:hint="eastAsia" w:ascii="Times New Roman" w:hAnsi="Times New Roman" w:eastAsia="仿宋_GB2312"/>
                <w:color w:val="auto"/>
                <w:sz w:val="24"/>
                <w:highlight w:val="none"/>
                <w:lang w:eastAsia="zh-CN"/>
              </w:rPr>
              <w:t>加</w:t>
            </w:r>
            <w:r>
              <w:rPr>
                <w:rFonts w:ascii="Times New Roman" w:hAnsi="Times New Roman" w:eastAsia="仿宋_GB2312"/>
                <w:color w:val="auto"/>
                <w:sz w:val="24"/>
                <w:highlight w:val="none"/>
              </w:rPr>
              <w:t>1分。</w:t>
            </w:r>
          </w:p>
        </w:tc>
        <w:tc>
          <w:tcPr>
            <w:tcW w:w="1104" w:type="dxa"/>
            <w:noWrap w:val="0"/>
            <w:vAlign w:val="center"/>
          </w:tcPr>
          <w:p w14:paraId="5045E4E2">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0F5EF534">
            <w:pPr>
              <w:widowControl/>
              <w:spacing w:line="400" w:lineRule="exact"/>
              <w:jc w:val="center"/>
              <w:rPr>
                <w:rFonts w:ascii="Times New Roman" w:hAnsi="Times New Roman" w:eastAsia="仿宋_GB2312"/>
                <w:color w:val="auto"/>
                <w:sz w:val="24"/>
                <w:highlight w:val="none"/>
              </w:rPr>
            </w:pPr>
          </w:p>
        </w:tc>
      </w:tr>
      <w:tr w14:paraId="5EBFB5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1293" w:hRule="atLeast"/>
          <w:jc w:val="center"/>
        </w:trPr>
        <w:tc>
          <w:tcPr>
            <w:tcW w:w="1455" w:type="dxa"/>
            <w:noWrap w:val="0"/>
            <w:vAlign w:val="center"/>
          </w:tcPr>
          <w:p w14:paraId="317ECCB3">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内部管理 </w:t>
            </w:r>
          </w:p>
          <w:p w14:paraId="235C2601">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（30分）</w:t>
            </w:r>
          </w:p>
        </w:tc>
        <w:tc>
          <w:tcPr>
            <w:tcW w:w="1465" w:type="dxa"/>
            <w:noWrap w:val="0"/>
            <w:vAlign w:val="center"/>
          </w:tcPr>
          <w:p w14:paraId="6AAFD317">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财务管理</w:t>
            </w:r>
          </w:p>
        </w:tc>
        <w:tc>
          <w:tcPr>
            <w:tcW w:w="992" w:type="dxa"/>
            <w:noWrap w:val="0"/>
            <w:vAlign w:val="center"/>
          </w:tcPr>
          <w:p w14:paraId="5FA818AA">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10分</w:t>
            </w:r>
          </w:p>
        </w:tc>
        <w:tc>
          <w:tcPr>
            <w:tcW w:w="4983" w:type="dxa"/>
            <w:noWrap w:val="0"/>
            <w:vAlign w:val="center"/>
          </w:tcPr>
          <w:p w14:paraId="05F45719">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严格执行财务、会计制度和财产管理制度，并按照有关规定设置会计账簿。年末制作会计报告，及时报请审计。</w:t>
            </w:r>
          </w:p>
        </w:tc>
        <w:tc>
          <w:tcPr>
            <w:tcW w:w="3859" w:type="dxa"/>
            <w:noWrap w:val="0"/>
            <w:vAlign w:val="center"/>
          </w:tcPr>
          <w:p w14:paraId="2CD3C234">
            <w:pPr>
              <w:widowControl/>
              <w:spacing w:line="400" w:lineRule="exact"/>
              <w:ind w:firstLine="480" w:firstLineChars="200"/>
              <w:jc w:val="left"/>
              <w:rPr>
                <w:rFonts w:ascii="Times New Roman" w:hAnsi="Times New Roman" w:eastAsia="仿宋_GB2312"/>
                <w:color w:val="auto"/>
                <w:sz w:val="24"/>
                <w:highlight w:val="none"/>
              </w:rPr>
            </w:pPr>
            <w:r>
              <w:rPr>
                <w:rFonts w:ascii="Times New Roman" w:hAnsi="Times New Roman" w:eastAsia="仿宋_GB2312"/>
                <w:color w:val="auto"/>
                <w:sz w:val="24"/>
                <w:highlight w:val="none"/>
              </w:rPr>
              <w:t>达到要求的得10分，不完善的酌情扣分。</w:t>
            </w:r>
          </w:p>
        </w:tc>
        <w:tc>
          <w:tcPr>
            <w:tcW w:w="1104" w:type="dxa"/>
            <w:noWrap w:val="0"/>
            <w:vAlign w:val="center"/>
          </w:tcPr>
          <w:p w14:paraId="4B49969F">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35DA96D5">
            <w:pPr>
              <w:widowControl/>
              <w:spacing w:line="400" w:lineRule="exact"/>
              <w:jc w:val="center"/>
              <w:rPr>
                <w:rFonts w:ascii="Times New Roman" w:hAnsi="Times New Roman" w:eastAsia="仿宋_GB2312"/>
                <w:color w:val="auto"/>
                <w:sz w:val="24"/>
                <w:highlight w:val="none"/>
              </w:rPr>
            </w:pPr>
          </w:p>
        </w:tc>
      </w:tr>
      <w:tr w14:paraId="59088F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 w:type="dxa"/>
            <w:bottom w:w="0" w:type="dxa"/>
            <w:right w:w="10" w:type="dxa"/>
          </w:tblCellMar>
        </w:tblPrEx>
        <w:trPr>
          <w:trHeight w:val="637" w:hRule="atLeast"/>
          <w:jc w:val="center"/>
        </w:trPr>
        <w:tc>
          <w:tcPr>
            <w:tcW w:w="1455" w:type="dxa"/>
            <w:noWrap w:val="0"/>
            <w:vAlign w:val="center"/>
          </w:tcPr>
          <w:p w14:paraId="00595FCD">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合计</w:t>
            </w:r>
          </w:p>
        </w:tc>
        <w:tc>
          <w:tcPr>
            <w:tcW w:w="1465" w:type="dxa"/>
            <w:noWrap w:val="0"/>
            <w:vAlign w:val="center"/>
          </w:tcPr>
          <w:p w14:paraId="2A724869">
            <w:pPr>
              <w:widowControl/>
              <w:spacing w:line="40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100分</w:t>
            </w:r>
          </w:p>
        </w:tc>
        <w:tc>
          <w:tcPr>
            <w:tcW w:w="992" w:type="dxa"/>
            <w:noWrap w:val="0"/>
            <w:vAlign w:val="center"/>
          </w:tcPr>
          <w:p w14:paraId="49243B60">
            <w:pPr>
              <w:widowControl/>
              <w:spacing w:line="400" w:lineRule="exact"/>
              <w:jc w:val="center"/>
              <w:rPr>
                <w:rFonts w:ascii="Times New Roman" w:hAnsi="Times New Roman" w:eastAsia="仿宋_GB2312"/>
                <w:color w:val="auto"/>
                <w:sz w:val="24"/>
                <w:highlight w:val="none"/>
              </w:rPr>
            </w:pPr>
          </w:p>
        </w:tc>
        <w:tc>
          <w:tcPr>
            <w:tcW w:w="4983" w:type="dxa"/>
            <w:noWrap w:val="0"/>
            <w:vAlign w:val="center"/>
          </w:tcPr>
          <w:p w14:paraId="61A0F1A3">
            <w:pPr>
              <w:widowControl/>
              <w:spacing w:line="400" w:lineRule="exact"/>
              <w:ind w:firstLine="480" w:firstLineChars="200"/>
              <w:jc w:val="left"/>
              <w:rPr>
                <w:rFonts w:ascii="Times New Roman" w:hAnsi="Times New Roman" w:eastAsia="仿宋_GB2312"/>
                <w:color w:val="auto"/>
                <w:sz w:val="24"/>
                <w:highlight w:val="none"/>
              </w:rPr>
            </w:pPr>
          </w:p>
        </w:tc>
        <w:tc>
          <w:tcPr>
            <w:tcW w:w="3859" w:type="dxa"/>
            <w:noWrap w:val="0"/>
            <w:vAlign w:val="center"/>
          </w:tcPr>
          <w:p w14:paraId="64E18E24">
            <w:pPr>
              <w:widowControl/>
              <w:spacing w:line="400" w:lineRule="exact"/>
              <w:ind w:firstLine="480" w:firstLineChars="200"/>
              <w:jc w:val="left"/>
              <w:rPr>
                <w:rFonts w:ascii="Times New Roman" w:hAnsi="Times New Roman" w:eastAsia="仿宋_GB2312"/>
                <w:color w:val="auto"/>
                <w:sz w:val="24"/>
                <w:highlight w:val="none"/>
              </w:rPr>
            </w:pPr>
          </w:p>
        </w:tc>
        <w:tc>
          <w:tcPr>
            <w:tcW w:w="1104" w:type="dxa"/>
            <w:noWrap w:val="0"/>
            <w:vAlign w:val="center"/>
          </w:tcPr>
          <w:p w14:paraId="78033AE4">
            <w:pPr>
              <w:widowControl/>
              <w:spacing w:line="400" w:lineRule="exact"/>
              <w:jc w:val="center"/>
              <w:rPr>
                <w:rFonts w:ascii="Times New Roman" w:hAnsi="Times New Roman" w:eastAsia="仿宋_GB2312"/>
                <w:color w:val="auto"/>
                <w:sz w:val="24"/>
                <w:highlight w:val="none"/>
              </w:rPr>
            </w:pPr>
          </w:p>
        </w:tc>
        <w:tc>
          <w:tcPr>
            <w:tcW w:w="1418" w:type="dxa"/>
            <w:noWrap w:val="0"/>
            <w:vAlign w:val="center"/>
          </w:tcPr>
          <w:p w14:paraId="3F6B3162">
            <w:pPr>
              <w:widowControl/>
              <w:spacing w:line="400" w:lineRule="exact"/>
              <w:jc w:val="center"/>
              <w:rPr>
                <w:rFonts w:ascii="Times New Roman" w:hAnsi="Times New Roman" w:eastAsia="仿宋_GB2312"/>
                <w:color w:val="auto"/>
                <w:sz w:val="24"/>
                <w:highlight w:val="none"/>
              </w:rPr>
            </w:pPr>
          </w:p>
        </w:tc>
      </w:tr>
    </w:tbl>
    <w:p w14:paraId="31F2C01C">
      <w:pPr>
        <w:widowControl/>
        <w:spacing w:line="400" w:lineRule="exact"/>
        <w:jc w:val="left"/>
        <w:rPr>
          <w:rFonts w:ascii="Times New Roman" w:hAnsi="Times New Roman" w:eastAsia="宋体"/>
          <w:color w:val="auto"/>
          <w:sz w:val="24"/>
          <w:highlight w:val="none"/>
        </w:rPr>
      </w:pPr>
      <w:r>
        <w:rPr>
          <w:rFonts w:ascii="Times New Roman" w:hAnsi="Times New Roman" w:eastAsia="宋体"/>
          <w:color w:val="auto"/>
          <w:sz w:val="24"/>
          <w:highlight w:val="none"/>
        </w:rPr>
        <w:t xml:space="preserve">注：1.对表中所列的办学必备条件指标均实行“一票否决”制，即所有办学必备条件指标必须符合，否则视为评估不合格。  </w:t>
      </w:r>
    </w:p>
    <w:p w14:paraId="2FFB22BA">
      <w:pPr>
        <w:widowControl/>
        <w:spacing w:line="400" w:lineRule="exact"/>
        <w:ind w:left="480" w:leftChars="150"/>
        <w:jc w:val="left"/>
        <w:rPr>
          <w:rFonts w:ascii="Times New Roman" w:hAnsi="Times New Roman" w:eastAsia="宋体"/>
          <w:color w:val="auto"/>
          <w:sz w:val="24"/>
          <w:highlight w:val="none"/>
        </w:rPr>
      </w:pPr>
      <w:r>
        <w:rPr>
          <w:rFonts w:ascii="Times New Roman" w:hAnsi="Times New Roman" w:eastAsia="宋体"/>
          <w:color w:val="auto"/>
          <w:sz w:val="24"/>
          <w:highlight w:val="none"/>
        </w:rPr>
        <w:t xml:space="preserve">2.培训规范性和质量性指标满分设置为100分，对不能完全满足某项指标要求的可适当扣分，直至将该项指标分值扣完为止。 </w:t>
      </w:r>
    </w:p>
    <w:p w14:paraId="39A49714">
      <w:pPr>
        <w:widowControl/>
        <w:spacing w:line="400" w:lineRule="exact"/>
        <w:ind w:left="480" w:leftChars="150"/>
        <w:jc w:val="left"/>
        <w:rPr>
          <w:rFonts w:ascii="Times New Roman" w:hAnsi="Times New Roman" w:eastAsia="宋体"/>
          <w:color w:val="auto"/>
          <w:sz w:val="24"/>
          <w:highlight w:val="none"/>
        </w:rPr>
      </w:pPr>
      <w:r>
        <w:rPr>
          <w:rFonts w:ascii="Times New Roman" w:hAnsi="Times New Roman" w:eastAsia="宋体"/>
          <w:color w:val="auto"/>
          <w:sz w:val="24"/>
          <w:highlight w:val="none"/>
        </w:rPr>
        <w:t>3.为鼓励学校提升办学质量，在培训规范性和质量性指标中设有10分加分项，故评估最高可得到110分。</w:t>
      </w:r>
    </w:p>
    <w:p w14:paraId="6EFD5393">
      <w:pPr>
        <w:widowControl/>
        <w:spacing w:line="400" w:lineRule="exact"/>
        <w:ind w:left="480" w:leftChars="150"/>
        <w:jc w:val="left"/>
        <w:rPr>
          <w:rFonts w:ascii="Times New Roman" w:hAnsi="Times New Roman" w:eastAsia="宋体"/>
          <w:color w:val="auto"/>
          <w:sz w:val="24"/>
          <w:highlight w:val="none"/>
        </w:rPr>
      </w:pPr>
      <w:r>
        <w:rPr>
          <w:rFonts w:ascii="Times New Roman" w:hAnsi="Times New Roman" w:eastAsia="宋体"/>
          <w:color w:val="auto"/>
          <w:sz w:val="24"/>
          <w:highlight w:val="none"/>
        </w:rPr>
        <w:t>4.经评估，办学必要条件指标均符合，且培训规范性和质量性指标评分总分≥60分的为办学能力和诚信评估合格学校，总分≥80分的为办学能力和诚信评估</w:t>
      </w:r>
      <w:r>
        <w:rPr>
          <w:rFonts w:hint="eastAsia" w:ascii="Times New Roman" w:hAnsi="Times New Roman" w:eastAsia="宋体"/>
          <w:color w:val="auto"/>
          <w:sz w:val="24"/>
          <w:highlight w:val="none"/>
          <w:lang w:eastAsia="zh-CN"/>
        </w:rPr>
        <w:t>良好</w:t>
      </w:r>
      <w:r>
        <w:rPr>
          <w:rFonts w:ascii="Times New Roman" w:hAnsi="Times New Roman" w:eastAsia="宋体"/>
          <w:color w:val="auto"/>
          <w:sz w:val="24"/>
          <w:highlight w:val="none"/>
        </w:rPr>
        <w:t>学校，总分≥90分的为办学能力和诚信评估优秀学校。</w:t>
      </w:r>
    </w:p>
    <w:p w14:paraId="2AFA705B"/>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文星标宋">
    <w:altName w:val="微软雅黑"/>
    <w:panose1 w:val="020106090000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6E9E499F"/>
    <w:rsid w:val="40923D81"/>
    <w:rsid w:val="6E9E49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方正仿宋_GBK" w:cs="Times New Roman"/>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4576</Words>
  <Characters>4791</Characters>
  <Lines>0</Lines>
  <Paragraphs>0</Paragraphs>
  <TotalTime>0</TotalTime>
  <ScaleCrop>false</ScaleCrop>
  <LinksUpToDate>false</LinksUpToDate>
  <CharactersWithSpaces>4867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2024-07-19T01:40:00Z</dcterms:created>
  <dc:creator>四驱小蜗牛</dc:creator>
  <cp:lastModifiedBy>小不点</cp:lastModifiedBy>
  <dcterms:modified xsi:type="dcterms:W3CDTF">2025-12-24T02:52:47Z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19754EB9795744F9945CF8BCCA21A438_13</vt:lpwstr>
  </property>
</Properties>
</file>