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C2D15E">
      <w:pPr>
        <w:spacing w:line="490" w:lineRule="exact"/>
        <w:jc w:val="left"/>
        <w:rPr>
          <w:rFonts w:hint="eastAsia" w:ascii="黑体" w:hAnsi="黑体" w:eastAsia="黑体" w:cs="黑体"/>
          <w:bCs/>
          <w:color w:val="000000"/>
          <w:spacing w:val="4"/>
          <w:w w:val="97"/>
          <w:sz w:val="32"/>
          <w:szCs w:val="32"/>
        </w:rPr>
      </w:pPr>
      <w:bookmarkStart w:id="0" w:name="_GoBack"/>
      <w:bookmarkEnd w:id="0"/>
      <w:r>
        <w:rPr>
          <w:rFonts w:hint="eastAsia" w:ascii="黑体" w:hAnsi="黑体" w:eastAsia="黑体" w:cs="黑体"/>
          <w:bCs/>
          <w:color w:val="000000"/>
          <w:spacing w:val="4"/>
          <w:w w:val="97"/>
          <w:sz w:val="32"/>
          <w:szCs w:val="32"/>
        </w:rPr>
        <w:t>附件8</w:t>
      </w:r>
    </w:p>
    <w:p w14:paraId="3303FC8A">
      <w:pPr>
        <w:spacing w:before="157" w:beforeLines="50" w:after="315" w:afterLines="100" w:line="590" w:lineRule="exact"/>
        <w:jc w:val="center"/>
        <w:rPr>
          <w:rFonts w:hint="eastAsia"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河南省工伤保险辅助器具配置协议服务机构综合考核表</w:t>
      </w:r>
    </w:p>
    <w:p w14:paraId="3FBF17FC">
      <w:pPr>
        <w:pStyle w:val="5"/>
        <w:ind w:firstLine="0" w:firstLineChars="0"/>
        <w:rPr>
          <w:rFonts w:hint="eastAsia"/>
        </w:rPr>
      </w:pPr>
      <w:r>
        <w:rPr>
          <w:rFonts w:hint="eastAsia" w:ascii="宋体" w:hAnsi="宋体" w:cs="宋体"/>
          <w:color w:val="000000"/>
          <w:kern w:val="0"/>
          <w:szCs w:val="21"/>
          <w:lang w:bidi="ar"/>
        </w:rPr>
        <w:t>辅助器具配置机构名称: （盖章）                                                              编号：</w:t>
      </w:r>
    </w:p>
    <w:tbl>
      <w:tblPr>
        <w:tblStyle w:val="7"/>
        <w:tblW w:w="5142" w:type="pct"/>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1421"/>
        <w:gridCol w:w="590"/>
        <w:gridCol w:w="5635"/>
        <w:gridCol w:w="5082"/>
        <w:gridCol w:w="1312"/>
      </w:tblGrid>
      <w:tr w14:paraId="386BBED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04" w:hRule="atLeast"/>
          <w:tblHeader/>
          <w:jc w:val="center"/>
        </w:trPr>
        <w:tc>
          <w:tcPr>
            <w:tcW w:w="506" w:type="pct"/>
            <w:noWrap w:val="0"/>
            <w:vAlign w:val="center"/>
          </w:tcPr>
          <w:p w14:paraId="42E912FF">
            <w:pPr>
              <w:widowControl/>
              <w:ind w:left="-63" w:leftChars="-30" w:right="-63" w:rightChars="-30"/>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考核项目</w:t>
            </w:r>
          </w:p>
        </w:tc>
        <w:tc>
          <w:tcPr>
            <w:tcW w:w="210" w:type="pct"/>
            <w:noWrap w:val="0"/>
            <w:vAlign w:val="center"/>
          </w:tcPr>
          <w:p w14:paraId="0DBE1CF5">
            <w:pPr>
              <w:widowControl/>
              <w:ind w:left="-63" w:leftChars="-30" w:right="-63" w:rightChars="-30"/>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序号</w:t>
            </w:r>
          </w:p>
        </w:tc>
        <w:tc>
          <w:tcPr>
            <w:tcW w:w="2006" w:type="pct"/>
            <w:noWrap w:val="0"/>
            <w:vAlign w:val="center"/>
          </w:tcPr>
          <w:p w14:paraId="2E36E9C7">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考核内容</w:t>
            </w:r>
          </w:p>
        </w:tc>
        <w:tc>
          <w:tcPr>
            <w:tcW w:w="1809" w:type="pct"/>
            <w:noWrap w:val="0"/>
            <w:vAlign w:val="center"/>
          </w:tcPr>
          <w:p w14:paraId="7EB6313C">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评分标准</w:t>
            </w:r>
          </w:p>
        </w:tc>
        <w:tc>
          <w:tcPr>
            <w:tcW w:w="467" w:type="pct"/>
            <w:noWrap w:val="0"/>
            <w:vAlign w:val="center"/>
          </w:tcPr>
          <w:p w14:paraId="12FF2189">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得分</w:t>
            </w:r>
          </w:p>
        </w:tc>
      </w:tr>
      <w:tr w14:paraId="7556F7B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52" w:hRule="atLeast"/>
          <w:jc w:val="center"/>
        </w:trPr>
        <w:tc>
          <w:tcPr>
            <w:tcW w:w="506" w:type="pct"/>
            <w:vMerge w:val="restart"/>
            <w:noWrap w:val="0"/>
            <w:vAlign w:val="center"/>
          </w:tcPr>
          <w:p w14:paraId="4E0EA53F">
            <w:pPr>
              <w:widowControl/>
              <w:spacing w:line="240" w:lineRule="exact"/>
              <w:textAlignment w:val="center"/>
              <w:rPr>
                <w:rFonts w:hint="eastAsia" w:ascii="宋体" w:hAnsi="宋体" w:cs="宋体"/>
                <w:color w:val="000000"/>
                <w:szCs w:val="21"/>
              </w:rPr>
            </w:pPr>
            <w:r>
              <w:rPr>
                <w:rFonts w:hint="eastAsia" w:ascii="宋体" w:hAnsi="宋体" w:cs="宋体"/>
                <w:color w:val="000000"/>
                <w:kern w:val="0"/>
                <w:szCs w:val="21"/>
                <w:lang w:bidi="ar"/>
              </w:rPr>
              <w:t>一、综合管理（20分）</w:t>
            </w:r>
          </w:p>
        </w:tc>
        <w:tc>
          <w:tcPr>
            <w:tcW w:w="210" w:type="pct"/>
            <w:noWrap w:val="0"/>
            <w:vAlign w:val="center"/>
          </w:tcPr>
          <w:p w14:paraId="4FD4ECA5">
            <w:pPr>
              <w:widowControl/>
              <w:spacing w:line="24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2006" w:type="pct"/>
            <w:noWrap w:val="0"/>
            <w:vAlign w:val="center"/>
          </w:tcPr>
          <w:p w14:paraId="76B8B384">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配备专职或兼职工伤医疗管理人员。（2分）</w:t>
            </w:r>
          </w:p>
        </w:tc>
        <w:tc>
          <w:tcPr>
            <w:tcW w:w="1809" w:type="pct"/>
            <w:noWrap w:val="0"/>
            <w:vAlign w:val="center"/>
          </w:tcPr>
          <w:p w14:paraId="2BEEB3B2">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有专职的，得2分；有兼职的，得1分</w:t>
            </w:r>
          </w:p>
        </w:tc>
        <w:tc>
          <w:tcPr>
            <w:tcW w:w="467" w:type="pct"/>
            <w:noWrap w:val="0"/>
            <w:vAlign w:val="center"/>
          </w:tcPr>
          <w:p w14:paraId="20377EEB">
            <w:pPr>
              <w:widowControl/>
              <w:spacing w:line="240" w:lineRule="exact"/>
              <w:jc w:val="center"/>
              <w:rPr>
                <w:rFonts w:hint="eastAsia" w:ascii="宋体" w:hAnsi="宋体" w:cs="宋体"/>
                <w:color w:val="000000"/>
                <w:szCs w:val="21"/>
              </w:rPr>
            </w:pPr>
          </w:p>
        </w:tc>
      </w:tr>
      <w:tr w14:paraId="48B0A7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36" w:hRule="atLeast"/>
          <w:jc w:val="center"/>
        </w:trPr>
        <w:tc>
          <w:tcPr>
            <w:tcW w:w="506" w:type="pct"/>
            <w:vMerge w:val="continue"/>
            <w:noWrap w:val="0"/>
            <w:vAlign w:val="center"/>
          </w:tcPr>
          <w:p w14:paraId="21DECD7C">
            <w:pPr>
              <w:widowControl/>
              <w:spacing w:line="240" w:lineRule="exact"/>
              <w:rPr>
                <w:rFonts w:hint="eastAsia" w:ascii="宋体" w:hAnsi="宋体" w:cs="宋体"/>
                <w:color w:val="000000"/>
                <w:szCs w:val="21"/>
              </w:rPr>
            </w:pPr>
          </w:p>
        </w:tc>
        <w:tc>
          <w:tcPr>
            <w:tcW w:w="210" w:type="pct"/>
            <w:noWrap w:val="0"/>
            <w:vAlign w:val="center"/>
          </w:tcPr>
          <w:p w14:paraId="65E9960A">
            <w:pPr>
              <w:widowControl/>
              <w:spacing w:line="24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2006" w:type="pct"/>
            <w:noWrap w:val="0"/>
            <w:vAlign w:val="center"/>
          </w:tcPr>
          <w:p w14:paraId="76AB2740">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为工伤职工提供服务的辅助器具配置及康复训练专业技术人员应具备相应专业资格证书、注册证书及上岗证等证件。（3分）</w:t>
            </w:r>
          </w:p>
        </w:tc>
        <w:tc>
          <w:tcPr>
            <w:tcW w:w="1809" w:type="pct"/>
            <w:noWrap w:val="0"/>
            <w:vAlign w:val="center"/>
          </w:tcPr>
          <w:p w14:paraId="21685B54">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随机抽查，证书齐全的得3分；抽查缺失一项的，扣1分</w:t>
            </w:r>
          </w:p>
        </w:tc>
        <w:tc>
          <w:tcPr>
            <w:tcW w:w="467" w:type="pct"/>
            <w:noWrap w:val="0"/>
            <w:vAlign w:val="center"/>
          </w:tcPr>
          <w:p w14:paraId="6C7298AB">
            <w:pPr>
              <w:widowControl/>
              <w:spacing w:line="240" w:lineRule="exact"/>
              <w:jc w:val="center"/>
              <w:rPr>
                <w:rFonts w:hint="eastAsia" w:ascii="宋体" w:hAnsi="宋体" w:cs="宋体"/>
                <w:color w:val="000000"/>
                <w:szCs w:val="21"/>
              </w:rPr>
            </w:pPr>
          </w:p>
        </w:tc>
      </w:tr>
      <w:tr w14:paraId="0635BE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81" w:hRule="atLeast"/>
          <w:jc w:val="center"/>
        </w:trPr>
        <w:tc>
          <w:tcPr>
            <w:tcW w:w="506" w:type="pct"/>
            <w:vMerge w:val="continue"/>
            <w:noWrap w:val="0"/>
            <w:vAlign w:val="center"/>
          </w:tcPr>
          <w:p w14:paraId="4E277179">
            <w:pPr>
              <w:widowControl/>
              <w:spacing w:line="240" w:lineRule="exact"/>
              <w:rPr>
                <w:rFonts w:hint="eastAsia" w:ascii="宋体" w:hAnsi="宋体" w:cs="宋体"/>
                <w:color w:val="000000"/>
                <w:szCs w:val="21"/>
              </w:rPr>
            </w:pPr>
          </w:p>
        </w:tc>
        <w:tc>
          <w:tcPr>
            <w:tcW w:w="210" w:type="pct"/>
            <w:noWrap w:val="0"/>
            <w:vAlign w:val="center"/>
          </w:tcPr>
          <w:p w14:paraId="2DB11BE2">
            <w:pPr>
              <w:widowControl/>
              <w:spacing w:line="24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006" w:type="pct"/>
            <w:noWrap w:val="0"/>
            <w:vAlign w:val="center"/>
          </w:tcPr>
          <w:p w14:paraId="1967C0F5">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悬挂辅助器具配置流程图或指南。（2分）</w:t>
            </w:r>
          </w:p>
        </w:tc>
        <w:tc>
          <w:tcPr>
            <w:tcW w:w="1809" w:type="pct"/>
            <w:noWrap w:val="0"/>
            <w:vAlign w:val="center"/>
          </w:tcPr>
          <w:p w14:paraId="5A25076C">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悬挂位置明显的，得2分；悬挂位置不明显的，得1分；未悬挂不得分</w:t>
            </w:r>
          </w:p>
        </w:tc>
        <w:tc>
          <w:tcPr>
            <w:tcW w:w="467" w:type="pct"/>
            <w:noWrap w:val="0"/>
            <w:vAlign w:val="center"/>
          </w:tcPr>
          <w:p w14:paraId="3BD62ABE">
            <w:pPr>
              <w:widowControl/>
              <w:spacing w:line="240" w:lineRule="exact"/>
              <w:jc w:val="center"/>
              <w:rPr>
                <w:rFonts w:hint="eastAsia" w:ascii="宋体" w:hAnsi="宋体" w:cs="宋体"/>
                <w:color w:val="000000"/>
                <w:szCs w:val="21"/>
              </w:rPr>
            </w:pPr>
          </w:p>
        </w:tc>
      </w:tr>
      <w:tr w14:paraId="4B9B4B2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506" w:type="pct"/>
            <w:vMerge w:val="continue"/>
            <w:noWrap w:val="0"/>
            <w:vAlign w:val="center"/>
          </w:tcPr>
          <w:p w14:paraId="48B7D9AE">
            <w:pPr>
              <w:widowControl/>
              <w:spacing w:line="240" w:lineRule="exact"/>
              <w:rPr>
                <w:rFonts w:hint="eastAsia" w:ascii="宋体" w:hAnsi="宋体" w:cs="宋体"/>
                <w:color w:val="000000"/>
                <w:szCs w:val="21"/>
              </w:rPr>
            </w:pPr>
          </w:p>
        </w:tc>
        <w:tc>
          <w:tcPr>
            <w:tcW w:w="210" w:type="pct"/>
            <w:noWrap w:val="0"/>
            <w:vAlign w:val="center"/>
          </w:tcPr>
          <w:p w14:paraId="3FF2EB11">
            <w:pPr>
              <w:widowControl/>
              <w:spacing w:line="24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2006" w:type="pct"/>
            <w:noWrap w:val="0"/>
            <w:vAlign w:val="center"/>
          </w:tcPr>
          <w:p w14:paraId="368315DB">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公布辅助器具配置项目及最高限价等相关信息。（2分）</w:t>
            </w:r>
          </w:p>
        </w:tc>
        <w:tc>
          <w:tcPr>
            <w:tcW w:w="1809" w:type="pct"/>
            <w:noWrap w:val="0"/>
            <w:vAlign w:val="center"/>
          </w:tcPr>
          <w:p w14:paraId="49E679E0">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公布得1分；未公布不得分</w:t>
            </w:r>
          </w:p>
        </w:tc>
        <w:tc>
          <w:tcPr>
            <w:tcW w:w="467" w:type="pct"/>
            <w:noWrap w:val="0"/>
            <w:vAlign w:val="center"/>
          </w:tcPr>
          <w:p w14:paraId="718EE91A">
            <w:pPr>
              <w:widowControl/>
              <w:spacing w:line="240" w:lineRule="exact"/>
              <w:jc w:val="center"/>
              <w:rPr>
                <w:rFonts w:hint="eastAsia" w:ascii="宋体" w:hAnsi="宋体" w:cs="宋体"/>
                <w:color w:val="000000"/>
                <w:szCs w:val="21"/>
              </w:rPr>
            </w:pPr>
          </w:p>
        </w:tc>
      </w:tr>
      <w:tr w14:paraId="23F695A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506" w:type="pct"/>
            <w:vMerge w:val="continue"/>
            <w:noWrap w:val="0"/>
            <w:vAlign w:val="center"/>
          </w:tcPr>
          <w:p w14:paraId="654F12C4">
            <w:pPr>
              <w:widowControl/>
              <w:spacing w:line="240" w:lineRule="exact"/>
              <w:rPr>
                <w:rFonts w:hint="eastAsia" w:ascii="宋体" w:hAnsi="宋体" w:cs="宋体"/>
                <w:color w:val="000000"/>
                <w:szCs w:val="21"/>
              </w:rPr>
            </w:pPr>
          </w:p>
        </w:tc>
        <w:tc>
          <w:tcPr>
            <w:tcW w:w="210" w:type="pct"/>
            <w:noWrap w:val="0"/>
            <w:vAlign w:val="center"/>
          </w:tcPr>
          <w:p w14:paraId="7A1D5155">
            <w:pPr>
              <w:widowControl/>
              <w:spacing w:line="24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006" w:type="pct"/>
            <w:noWrap w:val="0"/>
            <w:vAlign w:val="center"/>
          </w:tcPr>
          <w:p w14:paraId="529D1433">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制定产品、材料出入库管理制度。（2分）</w:t>
            </w:r>
          </w:p>
        </w:tc>
        <w:tc>
          <w:tcPr>
            <w:tcW w:w="1809" w:type="pct"/>
            <w:noWrap w:val="0"/>
            <w:vAlign w:val="center"/>
          </w:tcPr>
          <w:p w14:paraId="78EB5F9D">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查看制度建设情况。制度缺失的，不得分</w:t>
            </w:r>
          </w:p>
        </w:tc>
        <w:tc>
          <w:tcPr>
            <w:tcW w:w="467" w:type="pct"/>
            <w:noWrap w:val="0"/>
            <w:vAlign w:val="center"/>
          </w:tcPr>
          <w:p w14:paraId="2F0C7047">
            <w:pPr>
              <w:widowControl/>
              <w:spacing w:line="240" w:lineRule="exact"/>
              <w:jc w:val="center"/>
              <w:rPr>
                <w:rFonts w:hint="eastAsia" w:ascii="宋体" w:hAnsi="宋体" w:cs="宋体"/>
                <w:color w:val="000000"/>
                <w:szCs w:val="21"/>
              </w:rPr>
            </w:pPr>
          </w:p>
        </w:tc>
      </w:tr>
      <w:tr w14:paraId="5BECA0D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89" w:hRule="atLeast"/>
          <w:jc w:val="center"/>
        </w:trPr>
        <w:tc>
          <w:tcPr>
            <w:tcW w:w="506" w:type="pct"/>
            <w:vMerge w:val="continue"/>
            <w:noWrap w:val="0"/>
            <w:vAlign w:val="center"/>
          </w:tcPr>
          <w:p w14:paraId="0C0120A8">
            <w:pPr>
              <w:widowControl/>
              <w:spacing w:line="240" w:lineRule="exact"/>
              <w:rPr>
                <w:rFonts w:hint="eastAsia" w:ascii="宋体" w:hAnsi="宋体" w:cs="宋体"/>
                <w:color w:val="000000"/>
                <w:szCs w:val="21"/>
              </w:rPr>
            </w:pPr>
          </w:p>
        </w:tc>
        <w:tc>
          <w:tcPr>
            <w:tcW w:w="210" w:type="pct"/>
            <w:noWrap w:val="0"/>
            <w:vAlign w:val="center"/>
          </w:tcPr>
          <w:p w14:paraId="1AFF0B7A">
            <w:pPr>
              <w:widowControl/>
              <w:spacing w:line="24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6</w:t>
            </w:r>
          </w:p>
        </w:tc>
        <w:tc>
          <w:tcPr>
            <w:tcW w:w="2006" w:type="pct"/>
            <w:noWrap w:val="0"/>
            <w:vAlign w:val="center"/>
          </w:tcPr>
          <w:p w14:paraId="2A0604CA">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制定有工伤职工配置辅助器具时有关交通、食宿费发放的财务制度。（2分）</w:t>
            </w:r>
          </w:p>
        </w:tc>
        <w:tc>
          <w:tcPr>
            <w:tcW w:w="1809" w:type="pct"/>
            <w:noWrap w:val="0"/>
            <w:vAlign w:val="center"/>
          </w:tcPr>
          <w:p w14:paraId="3A24BCC1">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查看制度建设情况。制度缺失的，不得分</w:t>
            </w:r>
          </w:p>
        </w:tc>
        <w:tc>
          <w:tcPr>
            <w:tcW w:w="467" w:type="pct"/>
            <w:noWrap w:val="0"/>
            <w:vAlign w:val="center"/>
          </w:tcPr>
          <w:p w14:paraId="6DDC200F">
            <w:pPr>
              <w:widowControl/>
              <w:spacing w:line="240" w:lineRule="exact"/>
              <w:jc w:val="center"/>
              <w:rPr>
                <w:rFonts w:hint="eastAsia" w:ascii="宋体" w:hAnsi="宋体" w:cs="宋体"/>
                <w:color w:val="000000"/>
                <w:szCs w:val="21"/>
              </w:rPr>
            </w:pPr>
          </w:p>
        </w:tc>
      </w:tr>
      <w:tr w14:paraId="48F8EAB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96" w:hRule="atLeast"/>
          <w:jc w:val="center"/>
        </w:trPr>
        <w:tc>
          <w:tcPr>
            <w:tcW w:w="506" w:type="pct"/>
            <w:vMerge w:val="continue"/>
            <w:noWrap w:val="0"/>
            <w:vAlign w:val="center"/>
          </w:tcPr>
          <w:p w14:paraId="168BDD3D">
            <w:pPr>
              <w:widowControl/>
              <w:spacing w:line="240" w:lineRule="exact"/>
              <w:rPr>
                <w:rFonts w:hint="eastAsia" w:ascii="宋体" w:hAnsi="宋体" w:cs="宋体"/>
                <w:color w:val="000000"/>
                <w:szCs w:val="21"/>
              </w:rPr>
            </w:pPr>
          </w:p>
        </w:tc>
        <w:tc>
          <w:tcPr>
            <w:tcW w:w="210" w:type="pct"/>
            <w:noWrap w:val="0"/>
            <w:vAlign w:val="center"/>
          </w:tcPr>
          <w:p w14:paraId="1F1C196C">
            <w:pPr>
              <w:widowControl/>
              <w:spacing w:line="24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7</w:t>
            </w:r>
          </w:p>
        </w:tc>
        <w:tc>
          <w:tcPr>
            <w:tcW w:w="2006" w:type="pct"/>
            <w:noWrap w:val="0"/>
            <w:vAlign w:val="center"/>
          </w:tcPr>
          <w:p w14:paraId="3BA7DDCD">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公布辅助器具配置业务流程、个人须知、投诉电话。（2分）</w:t>
            </w:r>
          </w:p>
        </w:tc>
        <w:tc>
          <w:tcPr>
            <w:tcW w:w="1809" w:type="pct"/>
            <w:noWrap w:val="0"/>
            <w:vAlign w:val="center"/>
          </w:tcPr>
          <w:p w14:paraId="44D56A18">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查看相关材料及记录，发现一项问题，扣1分</w:t>
            </w:r>
          </w:p>
        </w:tc>
        <w:tc>
          <w:tcPr>
            <w:tcW w:w="467" w:type="pct"/>
            <w:noWrap w:val="0"/>
            <w:vAlign w:val="center"/>
          </w:tcPr>
          <w:p w14:paraId="016D9A5E">
            <w:pPr>
              <w:widowControl/>
              <w:spacing w:line="240" w:lineRule="exact"/>
              <w:jc w:val="center"/>
              <w:rPr>
                <w:rFonts w:hint="eastAsia" w:ascii="宋体" w:hAnsi="宋体" w:cs="宋体"/>
                <w:color w:val="000000"/>
                <w:szCs w:val="21"/>
              </w:rPr>
            </w:pPr>
          </w:p>
        </w:tc>
      </w:tr>
      <w:tr w14:paraId="099A39F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23" w:hRule="atLeast"/>
          <w:jc w:val="center"/>
        </w:trPr>
        <w:tc>
          <w:tcPr>
            <w:tcW w:w="506" w:type="pct"/>
            <w:vMerge w:val="continue"/>
            <w:noWrap w:val="0"/>
            <w:vAlign w:val="center"/>
          </w:tcPr>
          <w:p w14:paraId="54AF9847">
            <w:pPr>
              <w:widowControl/>
              <w:spacing w:line="240" w:lineRule="exact"/>
              <w:rPr>
                <w:rFonts w:hint="eastAsia" w:ascii="宋体" w:hAnsi="宋体" w:cs="宋体"/>
                <w:color w:val="000000"/>
                <w:szCs w:val="21"/>
              </w:rPr>
            </w:pPr>
          </w:p>
        </w:tc>
        <w:tc>
          <w:tcPr>
            <w:tcW w:w="210" w:type="pct"/>
            <w:noWrap w:val="0"/>
            <w:vAlign w:val="center"/>
          </w:tcPr>
          <w:p w14:paraId="05251CBD">
            <w:pPr>
              <w:widowControl/>
              <w:spacing w:line="24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8</w:t>
            </w:r>
          </w:p>
        </w:tc>
        <w:tc>
          <w:tcPr>
            <w:tcW w:w="2006" w:type="pct"/>
            <w:noWrap w:val="0"/>
            <w:vAlign w:val="center"/>
          </w:tcPr>
          <w:p w14:paraId="1A1CF769">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积极参加工伤经办机构组织开展的培训，定期开展工伤保险相关政策培训，组织形式多样的工伤保险法律法规政策宣传。（2分）</w:t>
            </w:r>
          </w:p>
        </w:tc>
        <w:tc>
          <w:tcPr>
            <w:tcW w:w="1809" w:type="pct"/>
            <w:noWrap w:val="0"/>
            <w:vAlign w:val="center"/>
          </w:tcPr>
          <w:p w14:paraId="6B592AD4">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查看培训记录及宣传材料。未开展培训的，扣1分；现场抽查了解政策情况，每发现一项问题，扣1分</w:t>
            </w:r>
          </w:p>
        </w:tc>
        <w:tc>
          <w:tcPr>
            <w:tcW w:w="467" w:type="pct"/>
            <w:noWrap w:val="0"/>
            <w:vAlign w:val="center"/>
          </w:tcPr>
          <w:p w14:paraId="4A2249A0">
            <w:pPr>
              <w:widowControl/>
              <w:spacing w:line="240" w:lineRule="exact"/>
              <w:jc w:val="center"/>
              <w:rPr>
                <w:rFonts w:hint="eastAsia" w:ascii="宋体" w:hAnsi="宋体" w:cs="宋体"/>
                <w:color w:val="000000"/>
                <w:szCs w:val="21"/>
              </w:rPr>
            </w:pPr>
          </w:p>
        </w:tc>
      </w:tr>
      <w:tr w14:paraId="0C5DA25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44" w:hRule="atLeast"/>
          <w:jc w:val="center"/>
        </w:trPr>
        <w:tc>
          <w:tcPr>
            <w:tcW w:w="506" w:type="pct"/>
            <w:vMerge w:val="continue"/>
            <w:noWrap w:val="0"/>
            <w:vAlign w:val="center"/>
          </w:tcPr>
          <w:p w14:paraId="497131BD">
            <w:pPr>
              <w:widowControl/>
              <w:spacing w:line="240" w:lineRule="exact"/>
              <w:rPr>
                <w:rFonts w:hint="eastAsia" w:ascii="宋体" w:hAnsi="宋体" w:cs="宋体"/>
                <w:color w:val="000000"/>
                <w:szCs w:val="21"/>
              </w:rPr>
            </w:pPr>
          </w:p>
        </w:tc>
        <w:tc>
          <w:tcPr>
            <w:tcW w:w="210" w:type="pct"/>
            <w:noWrap w:val="0"/>
            <w:vAlign w:val="center"/>
          </w:tcPr>
          <w:p w14:paraId="67AA8AFE">
            <w:pPr>
              <w:widowControl/>
              <w:spacing w:line="240" w:lineRule="exact"/>
              <w:jc w:val="center"/>
              <w:textAlignment w:val="center"/>
              <w:rPr>
                <w:rFonts w:hint="eastAsia" w:ascii="宋体" w:hAnsi="宋体" w:cs="宋体"/>
                <w:color w:val="000000"/>
                <w:szCs w:val="21"/>
              </w:rPr>
            </w:pPr>
            <w:r>
              <w:rPr>
                <w:rFonts w:hint="eastAsia" w:ascii="宋体" w:hAnsi="宋体" w:cs="宋体"/>
                <w:color w:val="000000"/>
                <w:kern w:val="0"/>
                <w:szCs w:val="21"/>
                <w:lang w:bidi="ar"/>
              </w:rPr>
              <w:t>9</w:t>
            </w:r>
          </w:p>
        </w:tc>
        <w:tc>
          <w:tcPr>
            <w:tcW w:w="2006" w:type="pct"/>
            <w:noWrap w:val="0"/>
            <w:vAlign w:val="center"/>
          </w:tcPr>
          <w:p w14:paraId="4C58D7DA">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产品及材料仓库具有防尘、防虫、防潮、防鼠、无霉变、无污染等措施。(3分）</w:t>
            </w:r>
          </w:p>
        </w:tc>
        <w:tc>
          <w:tcPr>
            <w:tcW w:w="1809" w:type="pct"/>
            <w:noWrap w:val="0"/>
            <w:vAlign w:val="center"/>
          </w:tcPr>
          <w:p w14:paraId="50B3F29B">
            <w:pPr>
              <w:widowControl/>
              <w:spacing w:line="240" w:lineRule="exact"/>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查看辅助器具及存料仓库。干净整洁的，得3分；每发现一项问题，扣1分</w:t>
            </w:r>
          </w:p>
        </w:tc>
        <w:tc>
          <w:tcPr>
            <w:tcW w:w="467" w:type="pct"/>
            <w:noWrap w:val="0"/>
            <w:vAlign w:val="center"/>
          </w:tcPr>
          <w:p w14:paraId="329184D3">
            <w:pPr>
              <w:widowControl/>
              <w:spacing w:line="240" w:lineRule="exact"/>
              <w:jc w:val="center"/>
              <w:rPr>
                <w:rFonts w:hint="eastAsia" w:ascii="宋体" w:hAnsi="宋体" w:cs="宋体"/>
                <w:color w:val="000000"/>
                <w:szCs w:val="21"/>
              </w:rPr>
            </w:pPr>
          </w:p>
        </w:tc>
      </w:tr>
      <w:tr w14:paraId="7A2DF4F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49" w:hRule="atLeast"/>
          <w:jc w:val="center"/>
        </w:trPr>
        <w:tc>
          <w:tcPr>
            <w:tcW w:w="506" w:type="pct"/>
            <w:vMerge w:val="restart"/>
            <w:noWrap w:val="0"/>
            <w:vAlign w:val="center"/>
          </w:tcPr>
          <w:p w14:paraId="06EB7EDB">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二、配置（更换）管理（30分）</w:t>
            </w:r>
          </w:p>
        </w:tc>
        <w:tc>
          <w:tcPr>
            <w:tcW w:w="210" w:type="pct"/>
            <w:noWrap w:val="0"/>
            <w:vAlign w:val="center"/>
          </w:tcPr>
          <w:p w14:paraId="5B81CDF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w:t>
            </w:r>
          </w:p>
        </w:tc>
        <w:tc>
          <w:tcPr>
            <w:tcW w:w="2006" w:type="pct"/>
            <w:noWrap w:val="0"/>
            <w:vAlign w:val="center"/>
          </w:tcPr>
          <w:p w14:paraId="5E748BF9">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认真核验工伤职工社会保障卡，做到人证相符。（2分）</w:t>
            </w:r>
          </w:p>
        </w:tc>
        <w:tc>
          <w:tcPr>
            <w:tcW w:w="1809" w:type="pct"/>
            <w:noWrap w:val="0"/>
            <w:vAlign w:val="center"/>
          </w:tcPr>
          <w:p w14:paraId="0988B3A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查验配置器具的工伤职工身份核对记录，发现一处手续不全的，扣1分</w:t>
            </w:r>
          </w:p>
        </w:tc>
        <w:tc>
          <w:tcPr>
            <w:tcW w:w="467" w:type="pct"/>
            <w:noWrap w:val="0"/>
            <w:vAlign w:val="center"/>
          </w:tcPr>
          <w:p w14:paraId="7B41CF2D">
            <w:pPr>
              <w:jc w:val="center"/>
              <w:rPr>
                <w:rFonts w:hint="eastAsia" w:ascii="宋体" w:hAnsi="宋体" w:cs="宋体"/>
                <w:b/>
                <w:bCs/>
                <w:color w:val="000000"/>
                <w:szCs w:val="21"/>
              </w:rPr>
            </w:pPr>
          </w:p>
        </w:tc>
      </w:tr>
      <w:tr w14:paraId="0FB178D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10" w:hRule="atLeast"/>
          <w:jc w:val="center"/>
        </w:trPr>
        <w:tc>
          <w:tcPr>
            <w:tcW w:w="506" w:type="pct"/>
            <w:vMerge w:val="continue"/>
            <w:noWrap w:val="0"/>
            <w:vAlign w:val="center"/>
          </w:tcPr>
          <w:p w14:paraId="25EE37C7">
            <w:pPr>
              <w:rPr>
                <w:rFonts w:hint="eastAsia" w:ascii="宋体" w:hAnsi="宋体" w:cs="宋体"/>
                <w:color w:val="000000"/>
                <w:szCs w:val="21"/>
              </w:rPr>
            </w:pPr>
          </w:p>
        </w:tc>
        <w:tc>
          <w:tcPr>
            <w:tcW w:w="210" w:type="pct"/>
            <w:noWrap w:val="0"/>
            <w:vAlign w:val="center"/>
          </w:tcPr>
          <w:p w14:paraId="620559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w:t>
            </w:r>
          </w:p>
        </w:tc>
        <w:tc>
          <w:tcPr>
            <w:tcW w:w="2006" w:type="pct"/>
            <w:noWrap w:val="0"/>
            <w:vAlign w:val="center"/>
          </w:tcPr>
          <w:p w14:paraId="08D8EE6A">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严格按照审批项目配置或更换；不得增加、串换项目。（3分）</w:t>
            </w:r>
          </w:p>
        </w:tc>
        <w:tc>
          <w:tcPr>
            <w:tcW w:w="1809" w:type="pct"/>
            <w:noWrap w:val="0"/>
            <w:vAlign w:val="center"/>
          </w:tcPr>
          <w:p w14:paraId="3A3263BC">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查验审批手续和配置档案，每发现一处问题，扣1分</w:t>
            </w:r>
          </w:p>
        </w:tc>
        <w:tc>
          <w:tcPr>
            <w:tcW w:w="467" w:type="pct"/>
            <w:noWrap w:val="0"/>
            <w:vAlign w:val="center"/>
          </w:tcPr>
          <w:p w14:paraId="6C2A9B78">
            <w:pPr>
              <w:jc w:val="center"/>
              <w:rPr>
                <w:rFonts w:hint="eastAsia" w:ascii="宋体" w:hAnsi="宋体" w:cs="宋体"/>
                <w:color w:val="000000"/>
                <w:szCs w:val="21"/>
              </w:rPr>
            </w:pPr>
          </w:p>
        </w:tc>
      </w:tr>
      <w:tr w14:paraId="3A5206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55" w:hRule="atLeast"/>
          <w:jc w:val="center"/>
        </w:trPr>
        <w:tc>
          <w:tcPr>
            <w:tcW w:w="506" w:type="pct"/>
            <w:vMerge w:val="continue"/>
            <w:noWrap w:val="0"/>
            <w:vAlign w:val="center"/>
          </w:tcPr>
          <w:p w14:paraId="2FDAD4AA">
            <w:pPr>
              <w:rPr>
                <w:rFonts w:hint="eastAsia" w:ascii="宋体" w:hAnsi="宋体" w:cs="宋体"/>
                <w:color w:val="000000"/>
                <w:szCs w:val="21"/>
              </w:rPr>
            </w:pPr>
          </w:p>
        </w:tc>
        <w:tc>
          <w:tcPr>
            <w:tcW w:w="210" w:type="pct"/>
            <w:noWrap w:val="0"/>
            <w:vAlign w:val="center"/>
          </w:tcPr>
          <w:p w14:paraId="46DEF52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w:t>
            </w:r>
          </w:p>
        </w:tc>
        <w:tc>
          <w:tcPr>
            <w:tcW w:w="2006" w:type="pct"/>
            <w:noWrap w:val="0"/>
            <w:vAlign w:val="center"/>
          </w:tcPr>
          <w:p w14:paraId="503AA5D6">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营业场所服务环境良好、有一定面积的训练场地，布局合理。（3分）</w:t>
            </w:r>
          </w:p>
        </w:tc>
        <w:tc>
          <w:tcPr>
            <w:tcW w:w="1809" w:type="pct"/>
            <w:noWrap w:val="0"/>
            <w:vAlign w:val="center"/>
          </w:tcPr>
          <w:p w14:paraId="00791A60">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查看现场。能满足工伤职工训练要求的，得3分；基本满足的，得2分；不能满足的，不得分</w:t>
            </w:r>
          </w:p>
        </w:tc>
        <w:tc>
          <w:tcPr>
            <w:tcW w:w="467" w:type="pct"/>
            <w:noWrap w:val="0"/>
            <w:vAlign w:val="center"/>
          </w:tcPr>
          <w:p w14:paraId="26C5E973">
            <w:pPr>
              <w:jc w:val="center"/>
              <w:rPr>
                <w:rFonts w:hint="eastAsia" w:ascii="宋体" w:hAnsi="宋体" w:cs="宋体"/>
                <w:color w:val="000000"/>
                <w:szCs w:val="21"/>
              </w:rPr>
            </w:pPr>
          </w:p>
        </w:tc>
      </w:tr>
      <w:tr w14:paraId="7F0CB5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70" w:hRule="atLeast"/>
          <w:jc w:val="center"/>
        </w:trPr>
        <w:tc>
          <w:tcPr>
            <w:tcW w:w="506" w:type="pct"/>
            <w:vMerge w:val="continue"/>
            <w:noWrap w:val="0"/>
            <w:vAlign w:val="center"/>
          </w:tcPr>
          <w:p w14:paraId="50D38C5A">
            <w:pPr>
              <w:rPr>
                <w:rFonts w:hint="eastAsia" w:ascii="宋体" w:hAnsi="宋体" w:cs="宋体"/>
                <w:color w:val="000000"/>
                <w:szCs w:val="21"/>
              </w:rPr>
            </w:pPr>
          </w:p>
        </w:tc>
        <w:tc>
          <w:tcPr>
            <w:tcW w:w="210" w:type="pct"/>
            <w:noWrap w:val="0"/>
            <w:vAlign w:val="center"/>
          </w:tcPr>
          <w:p w14:paraId="73D714F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w:t>
            </w:r>
          </w:p>
        </w:tc>
        <w:tc>
          <w:tcPr>
            <w:tcW w:w="2006" w:type="pct"/>
            <w:noWrap w:val="0"/>
            <w:vAlign w:val="center"/>
          </w:tcPr>
          <w:p w14:paraId="38EC22FB">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按要求对产品、原材料进、销、存、修运用计算机信息系统管理，电子台账账册清楚、账物相符。（2分）</w:t>
            </w:r>
          </w:p>
        </w:tc>
        <w:tc>
          <w:tcPr>
            <w:tcW w:w="1809" w:type="pct"/>
            <w:noWrap w:val="0"/>
            <w:vAlign w:val="center"/>
          </w:tcPr>
          <w:p w14:paraId="23F5016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随机抽查，每查处一项问题，扣1分</w:t>
            </w:r>
          </w:p>
        </w:tc>
        <w:tc>
          <w:tcPr>
            <w:tcW w:w="467" w:type="pct"/>
            <w:noWrap w:val="0"/>
            <w:vAlign w:val="center"/>
          </w:tcPr>
          <w:p w14:paraId="271F5CDC">
            <w:pPr>
              <w:jc w:val="center"/>
              <w:rPr>
                <w:rFonts w:hint="eastAsia" w:ascii="宋体" w:hAnsi="宋体" w:cs="宋体"/>
                <w:color w:val="000000"/>
                <w:szCs w:val="21"/>
              </w:rPr>
            </w:pPr>
          </w:p>
        </w:tc>
      </w:tr>
      <w:tr w14:paraId="40D65DC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115" w:hRule="atLeast"/>
          <w:jc w:val="center"/>
        </w:trPr>
        <w:tc>
          <w:tcPr>
            <w:tcW w:w="506" w:type="pct"/>
            <w:vMerge w:val="continue"/>
            <w:noWrap w:val="0"/>
            <w:vAlign w:val="center"/>
          </w:tcPr>
          <w:p w14:paraId="3892DD43">
            <w:pPr>
              <w:rPr>
                <w:rFonts w:hint="eastAsia" w:ascii="宋体" w:hAnsi="宋体" w:cs="宋体"/>
                <w:color w:val="000000"/>
                <w:szCs w:val="21"/>
              </w:rPr>
            </w:pPr>
          </w:p>
        </w:tc>
        <w:tc>
          <w:tcPr>
            <w:tcW w:w="210" w:type="pct"/>
            <w:noWrap w:val="0"/>
            <w:vAlign w:val="center"/>
          </w:tcPr>
          <w:p w14:paraId="202319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w:t>
            </w:r>
          </w:p>
        </w:tc>
        <w:tc>
          <w:tcPr>
            <w:tcW w:w="2006" w:type="pct"/>
            <w:noWrap w:val="0"/>
            <w:vAlign w:val="center"/>
          </w:tcPr>
          <w:p w14:paraId="513E3A82">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应将制作的假肢、支具、矫形器等产品的名称、关键性技术参数以及与使用质量安全密切相关的必要信息记入档案。（5分）</w:t>
            </w:r>
          </w:p>
        </w:tc>
        <w:tc>
          <w:tcPr>
            <w:tcW w:w="1809" w:type="pct"/>
            <w:noWrap w:val="0"/>
            <w:vAlign w:val="center"/>
          </w:tcPr>
          <w:p w14:paraId="7E40E82B">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现场抽查档案资料。资料齐全、记录规范的，得5分；资料不齐、记载信息缺失的，每查处一项，扣1分</w:t>
            </w:r>
          </w:p>
        </w:tc>
        <w:tc>
          <w:tcPr>
            <w:tcW w:w="467" w:type="pct"/>
            <w:noWrap w:val="0"/>
            <w:vAlign w:val="center"/>
          </w:tcPr>
          <w:p w14:paraId="100EBBA9">
            <w:pPr>
              <w:jc w:val="center"/>
              <w:rPr>
                <w:rFonts w:hint="eastAsia" w:ascii="宋体" w:hAnsi="宋体" w:cs="宋体"/>
                <w:color w:val="000000"/>
                <w:szCs w:val="21"/>
              </w:rPr>
            </w:pPr>
          </w:p>
        </w:tc>
      </w:tr>
      <w:tr w14:paraId="2B047DD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65" w:hRule="atLeast"/>
          <w:jc w:val="center"/>
        </w:trPr>
        <w:tc>
          <w:tcPr>
            <w:tcW w:w="506" w:type="pct"/>
            <w:vMerge w:val="continue"/>
            <w:noWrap w:val="0"/>
            <w:vAlign w:val="center"/>
          </w:tcPr>
          <w:p w14:paraId="6C93BE10">
            <w:pPr>
              <w:rPr>
                <w:rFonts w:hint="eastAsia" w:ascii="宋体" w:hAnsi="宋体" w:cs="宋体"/>
                <w:color w:val="000000"/>
                <w:szCs w:val="21"/>
              </w:rPr>
            </w:pPr>
          </w:p>
        </w:tc>
        <w:tc>
          <w:tcPr>
            <w:tcW w:w="210" w:type="pct"/>
            <w:noWrap w:val="0"/>
            <w:vAlign w:val="center"/>
          </w:tcPr>
          <w:p w14:paraId="1139951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w:t>
            </w:r>
          </w:p>
        </w:tc>
        <w:tc>
          <w:tcPr>
            <w:tcW w:w="2006" w:type="pct"/>
            <w:noWrap w:val="0"/>
            <w:vAlign w:val="center"/>
          </w:tcPr>
          <w:p w14:paraId="06137A27">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制作的产品性能和质量应当符合国家或行业相关标准、要求，性能稳定、安全有效、质量可靠。  （5分）</w:t>
            </w:r>
          </w:p>
        </w:tc>
        <w:tc>
          <w:tcPr>
            <w:tcW w:w="1809" w:type="pct"/>
            <w:noWrap w:val="0"/>
            <w:vAlign w:val="center"/>
          </w:tcPr>
          <w:p w14:paraId="24B104D2">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现场抽查相关产品的合格证书，每发现一处问题，扣1分</w:t>
            </w:r>
          </w:p>
        </w:tc>
        <w:tc>
          <w:tcPr>
            <w:tcW w:w="467" w:type="pct"/>
            <w:noWrap w:val="0"/>
            <w:vAlign w:val="center"/>
          </w:tcPr>
          <w:p w14:paraId="4609BD2B">
            <w:pPr>
              <w:jc w:val="center"/>
              <w:rPr>
                <w:rFonts w:hint="eastAsia" w:ascii="宋体" w:hAnsi="宋体" w:cs="宋体"/>
                <w:color w:val="000000"/>
                <w:szCs w:val="21"/>
              </w:rPr>
            </w:pPr>
          </w:p>
        </w:tc>
      </w:tr>
      <w:tr w14:paraId="78F349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11" w:hRule="atLeast"/>
          <w:jc w:val="center"/>
        </w:trPr>
        <w:tc>
          <w:tcPr>
            <w:tcW w:w="506" w:type="pct"/>
            <w:vMerge w:val="continue"/>
            <w:noWrap w:val="0"/>
            <w:vAlign w:val="center"/>
          </w:tcPr>
          <w:p w14:paraId="1B4774DA">
            <w:pPr>
              <w:rPr>
                <w:rFonts w:hint="eastAsia" w:ascii="宋体" w:hAnsi="宋体" w:cs="宋体"/>
                <w:color w:val="000000"/>
                <w:szCs w:val="21"/>
              </w:rPr>
            </w:pPr>
          </w:p>
        </w:tc>
        <w:tc>
          <w:tcPr>
            <w:tcW w:w="210" w:type="pct"/>
            <w:noWrap w:val="0"/>
            <w:vAlign w:val="center"/>
          </w:tcPr>
          <w:p w14:paraId="356F8FB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w:t>
            </w:r>
          </w:p>
        </w:tc>
        <w:tc>
          <w:tcPr>
            <w:tcW w:w="2006" w:type="pct"/>
            <w:noWrap w:val="0"/>
            <w:vAlign w:val="center"/>
          </w:tcPr>
          <w:p w14:paraId="630F9C45">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如实记录工伤人员信息、配置器具产品信息、最高支付限额、最低使用年限以及实际配置费用等配置服务事项。（5分）</w:t>
            </w:r>
          </w:p>
        </w:tc>
        <w:tc>
          <w:tcPr>
            <w:tcW w:w="1809" w:type="pct"/>
            <w:noWrap w:val="0"/>
            <w:vAlign w:val="center"/>
          </w:tcPr>
          <w:p w14:paraId="1D784ED9">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查看配置档案。信息记录齐全的，得5分；每发现一处问题，扣1分</w:t>
            </w:r>
          </w:p>
        </w:tc>
        <w:tc>
          <w:tcPr>
            <w:tcW w:w="467" w:type="pct"/>
            <w:noWrap w:val="0"/>
            <w:vAlign w:val="center"/>
          </w:tcPr>
          <w:p w14:paraId="5B8E293D">
            <w:pPr>
              <w:jc w:val="center"/>
              <w:rPr>
                <w:rFonts w:hint="eastAsia" w:ascii="宋体" w:hAnsi="宋体" w:cs="宋体"/>
                <w:color w:val="000000"/>
                <w:szCs w:val="21"/>
              </w:rPr>
            </w:pPr>
          </w:p>
        </w:tc>
      </w:tr>
      <w:tr w14:paraId="369FE3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220" w:hRule="atLeast"/>
          <w:jc w:val="center"/>
        </w:trPr>
        <w:tc>
          <w:tcPr>
            <w:tcW w:w="506" w:type="pct"/>
            <w:vMerge w:val="continue"/>
            <w:noWrap w:val="0"/>
            <w:vAlign w:val="center"/>
          </w:tcPr>
          <w:p w14:paraId="307FC28C">
            <w:pPr>
              <w:rPr>
                <w:rFonts w:hint="eastAsia" w:ascii="宋体" w:hAnsi="宋体" w:cs="宋体"/>
                <w:color w:val="000000"/>
                <w:szCs w:val="21"/>
              </w:rPr>
            </w:pPr>
          </w:p>
        </w:tc>
        <w:tc>
          <w:tcPr>
            <w:tcW w:w="210" w:type="pct"/>
            <w:noWrap w:val="0"/>
            <w:vAlign w:val="center"/>
          </w:tcPr>
          <w:p w14:paraId="18A0EA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w:t>
            </w:r>
          </w:p>
        </w:tc>
        <w:tc>
          <w:tcPr>
            <w:tcW w:w="2006" w:type="pct"/>
            <w:noWrap w:val="0"/>
            <w:vAlign w:val="center"/>
          </w:tcPr>
          <w:p w14:paraId="093E7902">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严格执行“三包”管理规定，告知工伤人员维修和保养有关说明。（5分）</w:t>
            </w:r>
          </w:p>
        </w:tc>
        <w:tc>
          <w:tcPr>
            <w:tcW w:w="1809" w:type="pct"/>
            <w:noWrap w:val="0"/>
            <w:vAlign w:val="center"/>
          </w:tcPr>
          <w:p w14:paraId="315BB06D">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现场抽查“三包”执行情况。执行情况到位的，得5分；基本到位的，得3分；发现超过3项问题的，不得分</w:t>
            </w:r>
          </w:p>
        </w:tc>
        <w:tc>
          <w:tcPr>
            <w:tcW w:w="467" w:type="pct"/>
            <w:noWrap w:val="0"/>
            <w:vAlign w:val="center"/>
          </w:tcPr>
          <w:p w14:paraId="1288A220">
            <w:pPr>
              <w:jc w:val="center"/>
              <w:rPr>
                <w:rFonts w:hint="eastAsia" w:ascii="宋体" w:hAnsi="宋体" w:cs="宋体"/>
                <w:color w:val="000000"/>
                <w:szCs w:val="21"/>
              </w:rPr>
            </w:pPr>
          </w:p>
        </w:tc>
      </w:tr>
      <w:tr w14:paraId="252A17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21" w:hRule="atLeast"/>
          <w:jc w:val="center"/>
        </w:trPr>
        <w:tc>
          <w:tcPr>
            <w:tcW w:w="506" w:type="pct"/>
            <w:vMerge w:val="restart"/>
            <w:noWrap w:val="0"/>
            <w:vAlign w:val="center"/>
          </w:tcPr>
          <w:p w14:paraId="302749CF">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三、协议执行情况（35分）</w:t>
            </w:r>
          </w:p>
        </w:tc>
        <w:tc>
          <w:tcPr>
            <w:tcW w:w="210" w:type="pct"/>
            <w:noWrap w:val="0"/>
            <w:vAlign w:val="center"/>
          </w:tcPr>
          <w:p w14:paraId="1D8F82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w:t>
            </w:r>
          </w:p>
        </w:tc>
        <w:tc>
          <w:tcPr>
            <w:tcW w:w="2006" w:type="pct"/>
            <w:noWrap w:val="0"/>
            <w:vAlign w:val="center"/>
          </w:tcPr>
          <w:p w14:paraId="7F58DC8E">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年度联网结算额度应有一定规模。（5分）</w:t>
            </w:r>
          </w:p>
        </w:tc>
        <w:tc>
          <w:tcPr>
            <w:tcW w:w="1809" w:type="pct"/>
            <w:noWrap w:val="0"/>
            <w:vAlign w:val="center"/>
          </w:tcPr>
          <w:p w14:paraId="6B4C3377">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结算额度大于2万元的，得5分；1万元至2万元的，得3分；低于1万元的不得分</w:t>
            </w:r>
          </w:p>
        </w:tc>
        <w:tc>
          <w:tcPr>
            <w:tcW w:w="467" w:type="pct"/>
            <w:noWrap w:val="0"/>
            <w:vAlign w:val="center"/>
          </w:tcPr>
          <w:p w14:paraId="26A81CCC">
            <w:pPr>
              <w:jc w:val="center"/>
              <w:rPr>
                <w:rFonts w:hint="eastAsia" w:ascii="宋体" w:hAnsi="宋体" w:cs="宋体"/>
                <w:color w:val="000000"/>
                <w:szCs w:val="21"/>
              </w:rPr>
            </w:pPr>
          </w:p>
        </w:tc>
      </w:tr>
      <w:tr w14:paraId="198A8A3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795" w:hRule="atLeast"/>
          <w:jc w:val="center"/>
        </w:trPr>
        <w:tc>
          <w:tcPr>
            <w:tcW w:w="506" w:type="pct"/>
            <w:vMerge w:val="continue"/>
            <w:noWrap w:val="0"/>
            <w:vAlign w:val="center"/>
          </w:tcPr>
          <w:p w14:paraId="0EDFFF48">
            <w:pPr>
              <w:rPr>
                <w:rFonts w:hint="eastAsia" w:ascii="宋体" w:hAnsi="宋体" w:cs="宋体"/>
                <w:color w:val="000000"/>
                <w:szCs w:val="21"/>
              </w:rPr>
            </w:pPr>
          </w:p>
        </w:tc>
        <w:tc>
          <w:tcPr>
            <w:tcW w:w="210" w:type="pct"/>
            <w:noWrap w:val="0"/>
            <w:vAlign w:val="center"/>
          </w:tcPr>
          <w:p w14:paraId="53E6DD6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w:t>
            </w:r>
          </w:p>
        </w:tc>
        <w:tc>
          <w:tcPr>
            <w:tcW w:w="2006" w:type="pct"/>
            <w:noWrap w:val="0"/>
            <w:vAlign w:val="center"/>
          </w:tcPr>
          <w:p w14:paraId="25CEFCF3">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医疗机构名称、法定代表人、主要负责人、执业地址、诊疗科目、级别、床位数、经营性质、机构类别和银行结算账户等重大信息变更。自有关部门批准之日起5个工作日内按要求向工伤保险经办部门提出变更申请，其他一般信息变更及时书面告知。（5分）</w:t>
            </w:r>
          </w:p>
        </w:tc>
        <w:tc>
          <w:tcPr>
            <w:tcW w:w="1809" w:type="pct"/>
            <w:noWrap w:val="0"/>
            <w:vAlign w:val="center"/>
          </w:tcPr>
          <w:p w14:paraId="2E90C984">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无变化和有变化及时申报的，得5分；有变化申报不及时的，得3分；有变化未申报的，不得分</w:t>
            </w:r>
          </w:p>
        </w:tc>
        <w:tc>
          <w:tcPr>
            <w:tcW w:w="467" w:type="pct"/>
            <w:noWrap w:val="0"/>
            <w:vAlign w:val="center"/>
          </w:tcPr>
          <w:p w14:paraId="7F17C4BD">
            <w:pPr>
              <w:jc w:val="center"/>
              <w:rPr>
                <w:rFonts w:hint="eastAsia" w:ascii="宋体" w:hAnsi="宋体" w:cs="宋体"/>
                <w:color w:val="000000"/>
                <w:szCs w:val="21"/>
              </w:rPr>
            </w:pPr>
          </w:p>
        </w:tc>
      </w:tr>
      <w:tr w14:paraId="6FEB55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235" w:hRule="atLeast"/>
          <w:jc w:val="center"/>
        </w:trPr>
        <w:tc>
          <w:tcPr>
            <w:tcW w:w="506" w:type="pct"/>
            <w:vMerge w:val="continue"/>
            <w:noWrap w:val="0"/>
            <w:vAlign w:val="center"/>
          </w:tcPr>
          <w:p w14:paraId="1C33EFC9">
            <w:pPr>
              <w:widowControl/>
              <w:textAlignment w:val="center"/>
              <w:rPr>
                <w:rFonts w:hint="eastAsia" w:ascii="宋体" w:hAnsi="宋体" w:cs="宋体"/>
                <w:color w:val="000000"/>
                <w:szCs w:val="21"/>
              </w:rPr>
            </w:pPr>
          </w:p>
        </w:tc>
        <w:tc>
          <w:tcPr>
            <w:tcW w:w="210" w:type="pct"/>
            <w:noWrap w:val="0"/>
            <w:vAlign w:val="center"/>
          </w:tcPr>
          <w:p w14:paraId="2BFC460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w:t>
            </w:r>
          </w:p>
        </w:tc>
        <w:tc>
          <w:tcPr>
            <w:tcW w:w="2006" w:type="pct"/>
            <w:noWrap w:val="0"/>
            <w:vAlign w:val="center"/>
          </w:tcPr>
          <w:p w14:paraId="5D6AEC44">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严格执行工伤保险辅助器具配置（更换）费用申报和审核流程，及时上传相关资料及结算信息，及时上报月结算表。（5分）</w:t>
            </w:r>
          </w:p>
        </w:tc>
        <w:tc>
          <w:tcPr>
            <w:tcW w:w="1809" w:type="pct"/>
            <w:noWrap w:val="0"/>
            <w:vAlign w:val="center"/>
          </w:tcPr>
          <w:p w14:paraId="04735224">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查看信息上传情况，每滞后报送一项业务，扣1分</w:t>
            </w:r>
          </w:p>
        </w:tc>
        <w:tc>
          <w:tcPr>
            <w:tcW w:w="467" w:type="pct"/>
            <w:noWrap w:val="0"/>
            <w:vAlign w:val="center"/>
          </w:tcPr>
          <w:p w14:paraId="1D3DBBDE">
            <w:pPr>
              <w:jc w:val="center"/>
              <w:rPr>
                <w:rFonts w:hint="eastAsia" w:ascii="宋体" w:hAnsi="宋体" w:cs="宋体"/>
                <w:color w:val="000000"/>
                <w:szCs w:val="21"/>
              </w:rPr>
            </w:pPr>
          </w:p>
        </w:tc>
      </w:tr>
      <w:tr w14:paraId="68266F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66" w:hRule="atLeast"/>
          <w:jc w:val="center"/>
        </w:trPr>
        <w:tc>
          <w:tcPr>
            <w:tcW w:w="506" w:type="pct"/>
            <w:vMerge w:val="continue"/>
            <w:noWrap w:val="0"/>
            <w:vAlign w:val="center"/>
          </w:tcPr>
          <w:p w14:paraId="263DD31A">
            <w:pPr>
              <w:rPr>
                <w:rFonts w:hint="eastAsia" w:ascii="宋体" w:hAnsi="宋体" w:cs="宋体"/>
                <w:color w:val="000000"/>
                <w:szCs w:val="21"/>
              </w:rPr>
            </w:pPr>
          </w:p>
        </w:tc>
        <w:tc>
          <w:tcPr>
            <w:tcW w:w="210" w:type="pct"/>
            <w:noWrap w:val="0"/>
            <w:vAlign w:val="center"/>
          </w:tcPr>
          <w:p w14:paraId="201932B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w:t>
            </w:r>
          </w:p>
        </w:tc>
        <w:tc>
          <w:tcPr>
            <w:tcW w:w="2006" w:type="pct"/>
            <w:noWrap w:val="0"/>
            <w:vAlign w:val="center"/>
          </w:tcPr>
          <w:p w14:paraId="17B4F020">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配置机构先行垫付的异地就医交通食宿费等资料是否按要求及时报送。（5分）</w:t>
            </w:r>
          </w:p>
        </w:tc>
        <w:tc>
          <w:tcPr>
            <w:tcW w:w="1809" w:type="pct"/>
            <w:noWrap w:val="0"/>
            <w:vAlign w:val="center"/>
          </w:tcPr>
          <w:p w14:paraId="2C7681D0">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核对报送情况，每滞后报送一项业务，扣1分</w:t>
            </w:r>
          </w:p>
        </w:tc>
        <w:tc>
          <w:tcPr>
            <w:tcW w:w="467" w:type="pct"/>
            <w:noWrap w:val="0"/>
            <w:vAlign w:val="center"/>
          </w:tcPr>
          <w:p w14:paraId="3F898F56">
            <w:pPr>
              <w:jc w:val="center"/>
              <w:rPr>
                <w:rFonts w:hint="eastAsia" w:ascii="宋体" w:hAnsi="宋体" w:cs="宋体"/>
                <w:color w:val="000000"/>
                <w:szCs w:val="21"/>
              </w:rPr>
            </w:pPr>
          </w:p>
        </w:tc>
      </w:tr>
      <w:tr w14:paraId="5C393FE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35" w:hRule="atLeast"/>
          <w:jc w:val="center"/>
        </w:trPr>
        <w:tc>
          <w:tcPr>
            <w:tcW w:w="506" w:type="pct"/>
            <w:vMerge w:val="continue"/>
            <w:noWrap w:val="0"/>
            <w:vAlign w:val="center"/>
          </w:tcPr>
          <w:p w14:paraId="36533BBD">
            <w:pPr>
              <w:rPr>
                <w:rFonts w:hint="eastAsia" w:ascii="宋体" w:hAnsi="宋体" w:cs="宋体"/>
                <w:color w:val="000000"/>
                <w:szCs w:val="21"/>
              </w:rPr>
            </w:pPr>
          </w:p>
        </w:tc>
        <w:tc>
          <w:tcPr>
            <w:tcW w:w="210" w:type="pct"/>
            <w:noWrap w:val="0"/>
            <w:vAlign w:val="center"/>
          </w:tcPr>
          <w:p w14:paraId="57DE134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w:t>
            </w:r>
          </w:p>
        </w:tc>
        <w:tc>
          <w:tcPr>
            <w:tcW w:w="2006" w:type="pct"/>
            <w:noWrap w:val="0"/>
            <w:vAlign w:val="center"/>
          </w:tcPr>
          <w:p w14:paraId="4D02CA7D">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配置档案记录管理规范，建档保存、配置记录应当真实、完整、清晰，出具有产品质量报告单。（5分）</w:t>
            </w:r>
          </w:p>
        </w:tc>
        <w:tc>
          <w:tcPr>
            <w:tcW w:w="1809" w:type="pct"/>
            <w:noWrap w:val="0"/>
            <w:vAlign w:val="center"/>
          </w:tcPr>
          <w:p w14:paraId="2CE4FC1A">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抽查档案资料，每发现存在一处问题的，扣1分</w:t>
            </w:r>
          </w:p>
        </w:tc>
        <w:tc>
          <w:tcPr>
            <w:tcW w:w="467" w:type="pct"/>
            <w:noWrap w:val="0"/>
            <w:vAlign w:val="center"/>
          </w:tcPr>
          <w:p w14:paraId="10D06A72">
            <w:pPr>
              <w:jc w:val="center"/>
              <w:rPr>
                <w:rFonts w:hint="eastAsia" w:ascii="宋体" w:hAnsi="宋体" w:cs="宋体"/>
                <w:color w:val="000000"/>
                <w:szCs w:val="21"/>
              </w:rPr>
            </w:pPr>
          </w:p>
        </w:tc>
      </w:tr>
      <w:tr w14:paraId="140B55B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70" w:hRule="atLeast"/>
          <w:jc w:val="center"/>
        </w:trPr>
        <w:tc>
          <w:tcPr>
            <w:tcW w:w="506" w:type="pct"/>
            <w:vMerge w:val="continue"/>
            <w:noWrap w:val="0"/>
            <w:vAlign w:val="center"/>
          </w:tcPr>
          <w:p w14:paraId="30BA4032">
            <w:pPr>
              <w:rPr>
                <w:rFonts w:hint="eastAsia" w:ascii="宋体" w:hAnsi="宋体" w:cs="宋体"/>
                <w:color w:val="000000"/>
                <w:szCs w:val="21"/>
              </w:rPr>
            </w:pPr>
          </w:p>
        </w:tc>
        <w:tc>
          <w:tcPr>
            <w:tcW w:w="210" w:type="pct"/>
            <w:noWrap w:val="0"/>
            <w:vAlign w:val="center"/>
          </w:tcPr>
          <w:p w14:paraId="4C8641CF">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w:t>
            </w:r>
          </w:p>
        </w:tc>
        <w:tc>
          <w:tcPr>
            <w:tcW w:w="2006" w:type="pct"/>
            <w:noWrap w:val="0"/>
            <w:vAlign w:val="center"/>
          </w:tcPr>
          <w:p w14:paraId="00797EE0">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工伤保险辅助器具配置目录及时更新维护，与社保经办机构对照准确，按国家及省内有关规定执行。（5分）</w:t>
            </w:r>
          </w:p>
        </w:tc>
        <w:tc>
          <w:tcPr>
            <w:tcW w:w="1809" w:type="pct"/>
            <w:noWrap w:val="0"/>
            <w:vAlign w:val="center"/>
          </w:tcPr>
          <w:p w14:paraId="6B9A4CAF">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目录维护有差错的，扣1分；产品目录与与社保经办机构对照不准的，每发现一项问题，扣1分</w:t>
            </w:r>
          </w:p>
        </w:tc>
        <w:tc>
          <w:tcPr>
            <w:tcW w:w="467" w:type="pct"/>
            <w:noWrap w:val="0"/>
            <w:vAlign w:val="center"/>
          </w:tcPr>
          <w:p w14:paraId="58F16559">
            <w:pPr>
              <w:jc w:val="center"/>
              <w:rPr>
                <w:rFonts w:hint="eastAsia" w:ascii="宋体" w:hAnsi="宋体" w:cs="宋体"/>
                <w:color w:val="000000"/>
                <w:szCs w:val="21"/>
              </w:rPr>
            </w:pPr>
          </w:p>
        </w:tc>
      </w:tr>
      <w:tr w14:paraId="449ACD9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24" w:hRule="atLeast"/>
          <w:jc w:val="center"/>
        </w:trPr>
        <w:tc>
          <w:tcPr>
            <w:tcW w:w="506" w:type="pct"/>
            <w:vMerge w:val="continue"/>
            <w:noWrap w:val="0"/>
            <w:vAlign w:val="center"/>
          </w:tcPr>
          <w:p w14:paraId="706052A5">
            <w:pPr>
              <w:rPr>
                <w:rFonts w:hint="eastAsia" w:ascii="宋体" w:hAnsi="宋体" w:cs="宋体"/>
                <w:color w:val="000000"/>
                <w:szCs w:val="21"/>
              </w:rPr>
            </w:pPr>
          </w:p>
        </w:tc>
        <w:tc>
          <w:tcPr>
            <w:tcW w:w="210" w:type="pct"/>
            <w:noWrap w:val="0"/>
            <w:vAlign w:val="center"/>
          </w:tcPr>
          <w:p w14:paraId="798D7B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w:t>
            </w:r>
          </w:p>
        </w:tc>
        <w:tc>
          <w:tcPr>
            <w:tcW w:w="2006" w:type="pct"/>
            <w:noWrap w:val="0"/>
            <w:vAlign w:val="center"/>
          </w:tcPr>
          <w:p w14:paraId="5440CFEF">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协议机构专项检查中对发现问题及时整改到位。（5分）</w:t>
            </w:r>
          </w:p>
        </w:tc>
        <w:tc>
          <w:tcPr>
            <w:tcW w:w="1809" w:type="pct"/>
            <w:noWrap w:val="0"/>
            <w:vAlign w:val="center"/>
          </w:tcPr>
          <w:p w14:paraId="61FB21DF">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检查中对于发现的问题未整改到位的，扣5分</w:t>
            </w:r>
          </w:p>
        </w:tc>
        <w:tc>
          <w:tcPr>
            <w:tcW w:w="467" w:type="pct"/>
            <w:noWrap w:val="0"/>
            <w:vAlign w:val="center"/>
          </w:tcPr>
          <w:p w14:paraId="0B933A0D">
            <w:pPr>
              <w:jc w:val="center"/>
              <w:rPr>
                <w:rFonts w:hint="eastAsia" w:ascii="宋体" w:hAnsi="宋体" w:cs="宋体"/>
                <w:color w:val="000000"/>
                <w:szCs w:val="21"/>
              </w:rPr>
            </w:pPr>
          </w:p>
        </w:tc>
      </w:tr>
      <w:tr w14:paraId="4942008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05" w:hRule="atLeast"/>
          <w:jc w:val="center"/>
        </w:trPr>
        <w:tc>
          <w:tcPr>
            <w:tcW w:w="506" w:type="pct"/>
            <w:vMerge w:val="restart"/>
            <w:noWrap w:val="0"/>
            <w:vAlign w:val="center"/>
          </w:tcPr>
          <w:p w14:paraId="73BFD0E1">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四、信息管理（15分）</w:t>
            </w:r>
          </w:p>
        </w:tc>
        <w:tc>
          <w:tcPr>
            <w:tcW w:w="210" w:type="pct"/>
            <w:noWrap w:val="0"/>
            <w:vAlign w:val="center"/>
          </w:tcPr>
          <w:p w14:paraId="7C658B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25</w:t>
            </w:r>
          </w:p>
        </w:tc>
        <w:tc>
          <w:tcPr>
            <w:tcW w:w="2006" w:type="pct"/>
            <w:noWrap w:val="0"/>
            <w:vAlign w:val="center"/>
          </w:tcPr>
          <w:p w14:paraId="686FC6D8">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协议机构信息系统畅通。（4分）</w:t>
            </w:r>
          </w:p>
        </w:tc>
        <w:tc>
          <w:tcPr>
            <w:tcW w:w="1809" w:type="pct"/>
            <w:noWrap w:val="0"/>
            <w:vAlign w:val="center"/>
          </w:tcPr>
          <w:p w14:paraId="6837810A">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查看系统稳定性。发现一处问题，扣2分</w:t>
            </w:r>
          </w:p>
        </w:tc>
        <w:tc>
          <w:tcPr>
            <w:tcW w:w="467" w:type="pct"/>
            <w:noWrap w:val="0"/>
            <w:vAlign w:val="center"/>
          </w:tcPr>
          <w:p w14:paraId="59462208">
            <w:pPr>
              <w:jc w:val="center"/>
              <w:rPr>
                <w:rFonts w:hint="eastAsia" w:ascii="宋体" w:hAnsi="宋体" w:cs="宋体"/>
                <w:color w:val="000000"/>
                <w:szCs w:val="21"/>
              </w:rPr>
            </w:pPr>
          </w:p>
        </w:tc>
      </w:tr>
      <w:tr w14:paraId="71FDFD7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64" w:hRule="atLeast"/>
          <w:jc w:val="center"/>
        </w:trPr>
        <w:tc>
          <w:tcPr>
            <w:tcW w:w="506" w:type="pct"/>
            <w:vMerge w:val="continue"/>
            <w:noWrap w:val="0"/>
            <w:vAlign w:val="center"/>
          </w:tcPr>
          <w:p w14:paraId="21C3D5D9">
            <w:pPr>
              <w:rPr>
                <w:rFonts w:hint="eastAsia" w:ascii="宋体" w:hAnsi="宋体" w:cs="宋体"/>
                <w:color w:val="000000"/>
                <w:szCs w:val="21"/>
              </w:rPr>
            </w:pPr>
          </w:p>
        </w:tc>
        <w:tc>
          <w:tcPr>
            <w:tcW w:w="210" w:type="pct"/>
            <w:noWrap w:val="0"/>
            <w:vAlign w:val="center"/>
          </w:tcPr>
          <w:p w14:paraId="736C69D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26</w:t>
            </w:r>
          </w:p>
        </w:tc>
        <w:tc>
          <w:tcPr>
            <w:tcW w:w="2006" w:type="pct"/>
            <w:noWrap w:val="0"/>
            <w:vAlign w:val="center"/>
          </w:tcPr>
          <w:p w14:paraId="1B57ECBF">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辅助器具配置完成后，及时上传费用结算及其他相关信息，确保真实准确。（4分）</w:t>
            </w:r>
          </w:p>
        </w:tc>
        <w:tc>
          <w:tcPr>
            <w:tcW w:w="1809" w:type="pct"/>
            <w:noWrap w:val="0"/>
            <w:vAlign w:val="center"/>
          </w:tcPr>
          <w:p w14:paraId="4AE9D784">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抽查上传的及时性准确性，发现1处问题，扣1分</w:t>
            </w:r>
          </w:p>
        </w:tc>
        <w:tc>
          <w:tcPr>
            <w:tcW w:w="467" w:type="pct"/>
            <w:noWrap w:val="0"/>
            <w:vAlign w:val="center"/>
          </w:tcPr>
          <w:p w14:paraId="4201B581">
            <w:pPr>
              <w:jc w:val="center"/>
              <w:rPr>
                <w:rFonts w:hint="eastAsia" w:ascii="宋体" w:hAnsi="宋体" w:cs="宋体"/>
                <w:color w:val="000000"/>
                <w:szCs w:val="21"/>
              </w:rPr>
            </w:pPr>
          </w:p>
        </w:tc>
      </w:tr>
      <w:tr w14:paraId="44AABCB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85" w:hRule="atLeast"/>
          <w:jc w:val="center"/>
        </w:trPr>
        <w:tc>
          <w:tcPr>
            <w:tcW w:w="506" w:type="pct"/>
            <w:vMerge w:val="continue"/>
            <w:noWrap w:val="0"/>
            <w:vAlign w:val="center"/>
          </w:tcPr>
          <w:p w14:paraId="437145C7">
            <w:pPr>
              <w:rPr>
                <w:rFonts w:hint="eastAsia" w:ascii="宋体" w:hAnsi="宋体" w:cs="宋体"/>
                <w:color w:val="000000"/>
                <w:szCs w:val="21"/>
              </w:rPr>
            </w:pPr>
          </w:p>
        </w:tc>
        <w:tc>
          <w:tcPr>
            <w:tcW w:w="210" w:type="pct"/>
            <w:noWrap w:val="0"/>
            <w:vAlign w:val="center"/>
          </w:tcPr>
          <w:p w14:paraId="34357F7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27</w:t>
            </w:r>
          </w:p>
        </w:tc>
        <w:tc>
          <w:tcPr>
            <w:tcW w:w="2006" w:type="pct"/>
            <w:noWrap w:val="0"/>
            <w:vAlign w:val="center"/>
          </w:tcPr>
          <w:p w14:paraId="1EA126AB">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辅助器具配置机构信息系统做到准确对应，做好编码对接和维护工作。（3分）</w:t>
            </w:r>
          </w:p>
        </w:tc>
        <w:tc>
          <w:tcPr>
            <w:tcW w:w="1809" w:type="pct"/>
            <w:noWrap w:val="0"/>
            <w:vAlign w:val="center"/>
          </w:tcPr>
          <w:p w14:paraId="5372997C">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查看比对情况，每发现一处不符合要求的，扣1分</w:t>
            </w:r>
          </w:p>
        </w:tc>
        <w:tc>
          <w:tcPr>
            <w:tcW w:w="467" w:type="pct"/>
            <w:noWrap w:val="0"/>
            <w:vAlign w:val="center"/>
          </w:tcPr>
          <w:p w14:paraId="72E83103">
            <w:pPr>
              <w:jc w:val="center"/>
              <w:rPr>
                <w:rFonts w:hint="eastAsia" w:ascii="宋体" w:hAnsi="宋体" w:cs="宋体"/>
                <w:color w:val="000000"/>
                <w:szCs w:val="21"/>
              </w:rPr>
            </w:pPr>
          </w:p>
        </w:tc>
      </w:tr>
      <w:tr w14:paraId="586386C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24" w:hRule="atLeast"/>
          <w:jc w:val="center"/>
        </w:trPr>
        <w:tc>
          <w:tcPr>
            <w:tcW w:w="506" w:type="pct"/>
            <w:vMerge w:val="continue"/>
            <w:noWrap w:val="0"/>
            <w:vAlign w:val="center"/>
          </w:tcPr>
          <w:p w14:paraId="0345837D">
            <w:pPr>
              <w:rPr>
                <w:rFonts w:hint="eastAsia" w:ascii="宋体" w:hAnsi="宋体" w:cs="宋体"/>
                <w:color w:val="000000"/>
                <w:szCs w:val="21"/>
              </w:rPr>
            </w:pPr>
          </w:p>
        </w:tc>
        <w:tc>
          <w:tcPr>
            <w:tcW w:w="210" w:type="pct"/>
            <w:noWrap w:val="0"/>
            <w:vAlign w:val="center"/>
          </w:tcPr>
          <w:p w14:paraId="7C5FB77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28</w:t>
            </w:r>
          </w:p>
        </w:tc>
        <w:tc>
          <w:tcPr>
            <w:tcW w:w="2006" w:type="pct"/>
            <w:noWrap w:val="0"/>
            <w:vAlign w:val="center"/>
          </w:tcPr>
          <w:p w14:paraId="1EBC924F">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按照规定建立信息安全体系，采取有效措施保护参保人信息。（2分）</w:t>
            </w:r>
          </w:p>
        </w:tc>
        <w:tc>
          <w:tcPr>
            <w:tcW w:w="1809" w:type="pct"/>
            <w:noWrap w:val="0"/>
            <w:vAlign w:val="center"/>
          </w:tcPr>
          <w:p w14:paraId="10ADB21D">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查看有关制度和工作记录，每发现一处不符合要求的，扣1分</w:t>
            </w:r>
          </w:p>
        </w:tc>
        <w:tc>
          <w:tcPr>
            <w:tcW w:w="467" w:type="pct"/>
            <w:noWrap w:val="0"/>
            <w:vAlign w:val="center"/>
          </w:tcPr>
          <w:p w14:paraId="4D05864F">
            <w:pPr>
              <w:jc w:val="center"/>
              <w:rPr>
                <w:rFonts w:hint="eastAsia" w:ascii="宋体" w:hAnsi="宋体" w:cs="宋体"/>
                <w:color w:val="000000"/>
                <w:szCs w:val="21"/>
              </w:rPr>
            </w:pPr>
          </w:p>
        </w:tc>
      </w:tr>
      <w:tr w14:paraId="2D4E1D1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96" w:hRule="atLeast"/>
          <w:jc w:val="center"/>
        </w:trPr>
        <w:tc>
          <w:tcPr>
            <w:tcW w:w="506" w:type="pct"/>
            <w:vMerge w:val="continue"/>
            <w:noWrap w:val="0"/>
            <w:vAlign w:val="center"/>
          </w:tcPr>
          <w:p w14:paraId="60C7174B">
            <w:pPr>
              <w:rPr>
                <w:rFonts w:hint="eastAsia" w:ascii="宋体" w:hAnsi="宋体" w:cs="宋体"/>
                <w:color w:val="000000"/>
                <w:szCs w:val="21"/>
              </w:rPr>
            </w:pPr>
          </w:p>
        </w:tc>
        <w:tc>
          <w:tcPr>
            <w:tcW w:w="210" w:type="pct"/>
            <w:noWrap w:val="0"/>
            <w:vAlign w:val="center"/>
          </w:tcPr>
          <w:p w14:paraId="6A6F57E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29</w:t>
            </w:r>
          </w:p>
        </w:tc>
        <w:tc>
          <w:tcPr>
            <w:tcW w:w="2006" w:type="pct"/>
            <w:noWrap w:val="0"/>
            <w:vAlign w:val="center"/>
          </w:tcPr>
          <w:p w14:paraId="58731945">
            <w:pPr>
              <w:widowControl/>
              <w:textAlignment w:val="center"/>
              <w:rPr>
                <w:rFonts w:hint="eastAsia" w:ascii="宋体" w:hAnsi="宋体" w:cs="宋体"/>
                <w:color w:val="000000"/>
                <w:szCs w:val="21"/>
              </w:rPr>
            </w:pPr>
            <w:r>
              <w:rPr>
                <w:rFonts w:hint="eastAsia" w:ascii="宋体" w:hAnsi="宋体" w:cs="宋体"/>
                <w:color w:val="000000"/>
                <w:kern w:val="0"/>
                <w:szCs w:val="21"/>
                <w:lang w:bidi="ar"/>
              </w:rPr>
              <w:t>制定紧急预案措施，因信息系统故障暂时不能结算的，应及时做好解释工作。（2分）</w:t>
            </w:r>
          </w:p>
        </w:tc>
        <w:tc>
          <w:tcPr>
            <w:tcW w:w="1809" w:type="pct"/>
            <w:noWrap w:val="0"/>
            <w:vAlign w:val="center"/>
          </w:tcPr>
          <w:p w14:paraId="0272B521">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查看文件和工作记录，没有预案的不得分，有预案未落实到位的，扣1分</w:t>
            </w:r>
          </w:p>
        </w:tc>
        <w:tc>
          <w:tcPr>
            <w:tcW w:w="467" w:type="pct"/>
            <w:noWrap w:val="0"/>
            <w:vAlign w:val="center"/>
          </w:tcPr>
          <w:p w14:paraId="105206B0">
            <w:pPr>
              <w:jc w:val="center"/>
              <w:rPr>
                <w:rFonts w:hint="eastAsia" w:ascii="宋体" w:hAnsi="宋体" w:cs="宋体"/>
                <w:color w:val="000000"/>
                <w:szCs w:val="21"/>
              </w:rPr>
            </w:pPr>
          </w:p>
        </w:tc>
      </w:tr>
      <w:tr w14:paraId="3E01C1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9" w:hRule="atLeast"/>
          <w:jc w:val="center"/>
        </w:trPr>
        <w:tc>
          <w:tcPr>
            <w:tcW w:w="2722" w:type="pct"/>
            <w:gridSpan w:val="3"/>
            <w:noWrap w:val="0"/>
            <w:vAlign w:val="center"/>
          </w:tcPr>
          <w:p w14:paraId="493C890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总分合计：</w:t>
            </w:r>
          </w:p>
        </w:tc>
        <w:tc>
          <w:tcPr>
            <w:tcW w:w="1809" w:type="pct"/>
            <w:noWrap w:val="0"/>
            <w:vAlign w:val="center"/>
          </w:tcPr>
          <w:p w14:paraId="4826C53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100分</w:t>
            </w:r>
          </w:p>
        </w:tc>
        <w:tc>
          <w:tcPr>
            <w:tcW w:w="467" w:type="pct"/>
            <w:noWrap w:val="0"/>
            <w:vAlign w:val="center"/>
          </w:tcPr>
          <w:p w14:paraId="2219BD7A">
            <w:pPr>
              <w:rPr>
                <w:rFonts w:hint="eastAsia" w:ascii="宋体" w:hAnsi="宋体" w:cs="宋体"/>
                <w:color w:val="000000"/>
                <w:szCs w:val="21"/>
              </w:rPr>
            </w:pPr>
          </w:p>
        </w:tc>
      </w:tr>
    </w:tbl>
    <w:p w14:paraId="4DE6F4EC">
      <w:pPr>
        <w:spacing w:line="590" w:lineRule="exact"/>
        <w:ind w:firstLine="10500" w:firstLineChars="5000"/>
        <w:jc w:val="left"/>
        <w:rPr>
          <w:rFonts w:hint="eastAsia" w:ascii="黑体" w:hAnsi="黑体" w:eastAsia="黑体" w:cs="黑体"/>
          <w:bCs/>
          <w:color w:val="000000"/>
          <w:spacing w:val="4"/>
          <w:w w:val="97"/>
          <w:sz w:val="32"/>
          <w:szCs w:val="32"/>
        </w:rPr>
      </w:pPr>
      <w:r>
        <w:rPr>
          <w:rFonts w:hint="eastAsia" w:ascii="宋体" w:hAnsi="宋体" w:cs="宋体"/>
          <w:color w:val="000000"/>
          <w:kern w:val="0"/>
          <w:szCs w:val="21"/>
          <w:lang w:bidi="ar"/>
        </w:rPr>
        <w:t xml:space="preserve"> 年    月    日 </w:t>
      </w:r>
    </w:p>
    <w:p w14:paraId="1381C8A4">
      <w:pPr>
        <w:spacing w:line="590" w:lineRule="exact"/>
        <w:jc w:val="left"/>
        <w:rPr>
          <w:rFonts w:hint="eastAsia" w:ascii="黑体" w:hAnsi="黑体" w:eastAsia="黑体" w:cs="黑体"/>
          <w:bCs/>
          <w:color w:val="000000"/>
          <w:spacing w:val="4"/>
          <w:w w:val="97"/>
          <w:sz w:val="32"/>
          <w:szCs w:val="32"/>
        </w:rPr>
      </w:pPr>
    </w:p>
    <w:p w14:paraId="1B8271AD">
      <w:pPr>
        <w:spacing w:line="590" w:lineRule="exact"/>
        <w:jc w:val="left"/>
        <w:rPr>
          <w:rFonts w:hint="eastAsia" w:ascii="黑体" w:hAnsi="黑体" w:eastAsia="黑体" w:cs="黑体"/>
          <w:bCs/>
          <w:color w:val="000000"/>
          <w:spacing w:val="4"/>
          <w:w w:val="97"/>
          <w:sz w:val="32"/>
          <w:szCs w:val="32"/>
        </w:rPr>
        <w:sectPr>
          <w:footerReference r:id="rId3" w:type="default"/>
          <w:footerReference r:id="rId4" w:type="even"/>
          <w:pgSz w:w="16838" w:h="11906" w:orient="landscape"/>
          <w:pgMar w:top="1531" w:right="1701" w:bottom="1531" w:left="1701" w:header="851" w:footer="1304" w:gutter="0"/>
          <w:cols w:space="720" w:num="1"/>
          <w:docGrid w:type="lines" w:linePitch="315" w:charSpace="0"/>
        </w:sectPr>
      </w:pPr>
    </w:p>
    <w:p w14:paraId="374FF43B"/>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简体">
    <w:altName w:val="微软雅黑"/>
    <w:panose1 w:val="02010601030101010101"/>
    <w:charset w:val="86"/>
    <w:family w:val="auto"/>
    <w:pitch w:val="default"/>
    <w:sig w:usb0="00000000" w:usb1="00000000" w:usb2="00000000" w:usb3="00000000" w:csb0="00040000" w:csb1="00000000"/>
  </w:font>
  <w:font w:name="方正小标宋简体">
    <w:altName w:val="仿宋_GB2312"/>
    <w:panose1 w:val="03000509000000000000"/>
    <w:charset w:val="86"/>
    <w:family w:val="script"/>
    <w:pitch w:val="default"/>
    <w:sig w:usb0="00000000" w:usb1="00000000" w:usb2="0000001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70DE8">
    <w:pPr>
      <w:pStyle w:val="4"/>
      <w:ind w:right="420" w:rightChars="200"/>
      <w:jc w:val="center"/>
    </w:pPr>
    <w:r>
      <w:rPr>
        <w:sz w:val="28"/>
        <w:szCs w:val="28"/>
      </w:rPr>
      <w:t xml:space="preserve">— </w:t>
    </w:r>
    <w:r>
      <w:rPr>
        <w:sz w:val="28"/>
        <w:szCs w:val="28"/>
      </w:rPr>
      <w:fldChar w:fldCharType="begin"/>
    </w:r>
    <w:r>
      <w:rPr>
        <w:rStyle w:val="9"/>
        <w:sz w:val="28"/>
        <w:szCs w:val="28"/>
      </w:rPr>
      <w:instrText xml:space="preserve"> PAGE </w:instrText>
    </w:r>
    <w:r>
      <w:rPr>
        <w:sz w:val="28"/>
        <w:szCs w:val="28"/>
      </w:rPr>
      <w:fldChar w:fldCharType="separate"/>
    </w:r>
    <w:r>
      <w:rPr>
        <w:rStyle w:val="9"/>
        <w:sz w:val="28"/>
        <w:szCs w:val="28"/>
      </w:rPr>
      <w:t>37</w:t>
    </w:r>
    <w:r>
      <w:rPr>
        <w:sz w:val="28"/>
        <w:szCs w:val="28"/>
      </w:rPr>
      <w:fldChar w:fldCharType="end"/>
    </w:r>
    <w:r>
      <w:rPr>
        <w:rStyle w:val="9"/>
        <w:sz w:val="28"/>
        <w:szCs w:val="28"/>
      </w:rPr>
      <w:t xml:space="preserve"> </w:t>
    </w:r>
    <w:r>
      <w:rPr>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DE185">
    <w:pPr>
      <w:pStyle w:val="4"/>
      <w:ind w:left="420" w:leftChars="200"/>
      <w:jc w:val="center"/>
    </w:pPr>
    <w:r>
      <w:rPr>
        <w:sz w:val="28"/>
        <w:szCs w:val="28"/>
      </w:rPr>
      <w:t xml:space="preserve">— </w:t>
    </w:r>
    <w:r>
      <w:rPr>
        <w:sz w:val="28"/>
        <w:szCs w:val="28"/>
      </w:rPr>
      <w:fldChar w:fldCharType="begin"/>
    </w:r>
    <w:r>
      <w:rPr>
        <w:rStyle w:val="9"/>
        <w:sz w:val="28"/>
        <w:szCs w:val="28"/>
      </w:rPr>
      <w:instrText xml:space="preserve"> PAGE </w:instrText>
    </w:r>
    <w:r>
      <w:rPr>
        <w:sz w:val="28"/>
        <w:szCs w:val="28"/>
      </w:rPr>
      <w:fldChar w:fldCharType="separate"/>
    </w:r>
    <w:r>
      <w:rPr>
        <w:rStyle w:val="9"/>
        <w:sz w:val="28"/>
        <w:szCs w:val="28"/>
      </w:rPr>
      <w:t>36</w:t>
    </w:r>
    <w:r>
      <w:rPr>
        <w:sz w:val="28"/>
        <w:szCs w:val="28"/>
      </w:rPr>
      <w:fldChar w:fldCharType="end"/>
    </w:r>
    <w:r>
      <w:rPr>
        <w:rStyle w:val="9"/>
        <w:sz w:val="28"/>
        <w:szCs w:val="28"/>
      </w:rPr>
      <w:t xml:space="preserve"> </w:t>
    </w:r>
    <w:r>
      <w:rPr>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A266FC"/>
    <w:rsid w:val="23C405E0"/>
    <w:rsid w:val="59A266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pPr>
      <w:widowControl w:val="0"/>
      <w:spacing w:after="120"/>
      <w:jc w:val="both"/>
    </w:pPr>
    <w:rPr>
      <w:rFonts w:ascii="Calibri" w:hAnsi="Calibri" w:eastAsia="宋体" w:cs="Times New Roman"/>
      <w:kern w:val="2"/>
      <w:sz w:val="21"/>
      <w:szCs w:val="24"/>
      <w:lang w:val="en-US" w:eastAsia="zh-CN" w:bidi="ar-SA"/>
    </w:rPr>
  </w:style>
  <w:style w:type="paragraph" w:styleId="3">
    <w:name w:val="Body Text Indent"/>
    <w:basedOn w:val="1"/>
    <w:unhideWhenUsed/>
    <w:qFormat/>
    <w:uiPriority w:val="99"/>
    <w:pPr>
      <w:ind w:firstLine="630"/>
    </w:pPr>
    <w:rPr>
      <w:rFonts w:ascii="Times New Roman" w:hAnsi="Times New Roman" w:eastAsia="方正仿宋简体"/>
      <w:szCs w:val="24"/>
    </w:r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Body Text First Indent"/>
    <w:basedOn w:val="2"/>
    <w:next w:val="6"/>
    <w:qFormat/>
    <w:uiPriority w:val="0"/>
    <w:pPr>
      <w:ind w:firstLine="420" w:firstLineChars="100"/>
    </w:pPr>
    <w:rPr>
      <w:szCs w:val="24"/>
    </w:rPr>
  </w:style>
  <w:style w:type="paragraph" w:styleId="6">
    <w:name w:val="Body Text First Indent 2"/>
    <w:basedOn w:val="3"/>
    <w:qFormat/>
    <w:uiPriority w:val="0"/>
    <w:pPr>
      <w:ind w:firstLine="420" w:firstLineChars="200"/>
    </w:pPr>
  </w:style>
  <w:style w:type="character" w:customStyle="1" w:styleId="9">
    <w:name w:val="page number"/>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2057</Words>
  <Characters>2084</Characters>
  <Lines>0</Lines>
  <Paragraphs>0</Paragraphs>
  <TotalTime>0</TotalTime>
  <ScaleCrop>false</ScaleCrop>
  <LinksUpToDate>false</LinksUpToDate>
  <CharactersWithSpaces>2159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2025-07-24T08:46:00Z</dcterms:created>
  <dc:creator>四驱小蜗牛</dc:creator>
  <cp:lastModifiedBy>小不点</cp:lastModifiedBy>
  <dcterms:modified xsi:type="dcterms:W3CDTF">2025-12-24T02:18:18Z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7AC3E1DB76C44574A342A4A3C68BEF37_13</vt:lpwstr>
  </property>
  <property fmtid="{D5CDD505-2E9C-101B-9397-08002B2CF9AE}" pid="4" name="KSOTemplateDocerSaveRecord">
    <vt:lpwstr>eyJoZGlkIjoiNDI4NDk3NmJjYWM1N2JlMDY1YTEyZjRkYjdiMzAzNWEiLCJ1c2VySWQiOiIyNjQyNjY1MDEifQ==</vt:lpwstr>
  </property>
</Properties>
</file>