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114C45">
      <w:pPr>
        <w:spacing w:line="590" w:lineRule="exact"/>
        <w:jc w:val="left"/>
        <w:rPr>
          <w:rFonts w:ascii="黑体" w:hAnsi="黑体" w:eastAsia="黑体" w:cs="黑体"/>
          <w:bCs/>
          <w:color w:val="000000"/>
          <w:spacing w:val="4"/>
          <w:w w:val="97"/>
          <w:sz w:val="32"/>
          <w:szCs w:val="32"/>
        </w:rPr>
      </w:pPr>
      <w:bookmarkStart w:id="0" w:name="_GoBack"/>
      <w:bookmarkEnd w:id="0"/>
      <w:r>
        <w:rPr>
          <w:rFonts w:hint="eastAsia" w:ascii="黑体" w:hAnsi="黑体" w:eastAsia="黑体" w:cs="黑体"/>
          <w:bCs/>
          <w:color w:val="000000"/>
          <w:spacing w:val="4"/>
          <w:w w:val="97"/>
          <w:sz w:val="32"/>
          <w:szCs w:val="32"/>
        </w:rPr>
        <w:t>附件2</w:t>
      </w:r>
    </w:p>
    <w:p w14:paraId="2F44D8CC">
      <w:pPr>
        <w:adjustRightInd w:val="0"/>
        <w:snapToGrid w:val="0"/>
        <w:spacing w:after="252" w:afterLines="80" w:line="70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河南省工伤保险医疗协议服务机构评估表</w:t>
      </w:r>
    </w:p>
    <w:p w14:paraId="76552690">
      <w:pPr>
        <w:pStyle w:val="5"/>
        <w:ind w:firstLine="0" w:firstLineChars="0"/>
        <w:jc w:val="left"/>
        <w:rPr>
          <w:rFonts w:hint="eastAsia"/>
        </w:rPr>
      </w:pPr>
      <w:r>
        <w:rPr>
          <w:rFonts w:hint="eastAsia" w:ascii="宋体" w:hAnsi="宋体" w:cs="宋体"/>
          <w:color w:val="000000"/>
          <w:kern w:val="0"/>
          <w:szCs w:val="21"/>
          <w:lang w:bidi="ar"/>
        </w:rPr>
        <w:t>机构名称：                                                                                             时间：    年    月    日</w:t>
      </w:r>
    </w:p>
    <w:tbl>
      <w:tblPr>
        <w:tblStyle w:val="7"/>
        <w:tblW w:w="5000" w:type="pct"/>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autofit"/>
        <w:tblCellMar>
          <w:top w:w="0" w:type="dxa"/>
          <w:left w:w="108" w:type="dxa"/>
          <w:bottom w:w="0" w:type="dxa"/>
          <w:right w:w="108" w:type="dxa"/>
        </w:tblCellMar>
      </w:tblPr>
      <w:tblGrid>
        <w:gridCol w:w="728"/>
        <w:gridCol w:w="11965"/>
        <w:gridCol w:w="729"/>
        <w:gridCol w:w="752"/>
      </w:tblGrid>
      <w:tr w14:paraId="0470F2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tblHeader/>
          <w:jc w:val="center"/>
        </w:trPr>
        <w:tc>
          <w:tcPr>
            <w:tcW w:w="257" w:type="pct"/>
            <w:noWrap/>
            <w:vAlign w:val="center"/>
          </w:tcPr>
          <w:p w14:paraId="06EC3EA1">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序号</w:t>
            </w:r>
          </w:p>
        </w:tc>
        <w:tc>
          <w:tcPr>
            <w:tcW w:w="4219" w:type="pct"/>
            <w:noWrap/>
            <w:vAlign w:val="center"/>
          </w:tcPr>
          <w:p w14:paraId="7DED8BC0">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评估内容</w:t>
            </w:r>
          </w:p>
        </w:tc>
        <w:tc>
          <w:tcPr>
            <w:tcW w:w="257" w:type="pct"/>
            <w:noWrap/>
            <w:vAlign w:val="center"/>
          </w:tcPr>
          <w:p w14:paraId="26A94949">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分值</w:t>
            </w:r>
          </w:p>
        </w:tc>
        <w:tc>
          <w:tcPr>
            <w:tcW w:w="265" w:type="pct"/>
            <w:noWrap/>
            <w:vAlign w:val="center"/>
          </w:tcPr>
          <w:p w14:paraId="2B15D833">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得分</w:t>
            </w:r>
          </w:p>
        </w:tc>
      </w:tr>
      <w:tr w14:paraId="1F1BD81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33E348B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w:t>
            </w:r>
          </w:p>
        </w:tc>
        <w:tc>
          <w:tcPr>
            <w:tcW w:w="4219" w:type="pct"/>
            <w:noWrap w:val="0"/>
            <w:vAlign w:val="center"/>
          </w:tcPr>
          <w:p w14:paraId="2F9CA091">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提供相关的资质、证书要真实、齐全、有效</w:t>
            </w:r>
          </w:p>
        </w:tc>
        <w:tc>
          <w:tcPr>
            <w:tcW w:w="257" w:type="pct"/>
            <w:noWrap/>
            <w:vAlign w:val="center"/>
          </w:tcPr>
          <w:p w14:paraId="48CAAD9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6F865584">
            <w:pPr>
              <w:rPr>
                <w:rFonts w:hint="eastAsia" w:ascii="宋体" w:hAnsi="宋体" w:cs="宋体"/>
                <w:color w:val="000000"/>
                <w:szCs w:val="21"/>
              </w:rPr>
            </w:pPr>
          </w:p>
        </w:tc>
      </w:tr>
      <w:tr w14:paraId="5FCB3BB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3E21058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w:t>
            </w:r>
          </w:p>
        </w:tc>
        <w:tc>
          <w:tcPr>
            <w:tcW w:w="4219" w:type="pct"/>
            <w:noWrap w:val="0"/>
            <w:vAlign w:val="center"/>
          </w:tcPr>
          <w:p w14:paraId="49BB438A">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具备为工伤职工提供良好医疗服务的条件，在工伤救治、康复和职业病防治方面有专业技术优势</w:t>
            </w:r>
          </w:p>
        </w:tc>
        <w:tc>
          <w:tcPr>
            <w:tcW w:w="257" w:type="pct"/>
            <w:noWrap/>
            <w:vAlign w:val="center"/>
          </w:tcPr>
          <w:p w14:paraId="2C8ED92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40F68FAB">
            <w:pPr>
              <w:rPr>
                <w:rFonts w:hint="eastAsia" w:ascii="宋体" w:hAnsi="宋体" w:cs="宋体"/>
                <w:color w:val="000000"/>
                <w:szCs w:val="21"/>
              </w:rPr>
            </w:pPr>
          </w:p>
        </w:tc>
      </w:tr>
      <w:tr w14:paraId="402DE88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1E078CA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4219" w:type="pct"/>
            <w:noWrap w:val="0"/>
            <w:vAlign w:val="center"/>
          </w:tcPr>
          <w:p w14:paraId="3718C458">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具备完善的医院信息系统,可与工伤保险信息系统对接</w:t>
            </w:r>
          </w:p>
        </w:tc>
        <w:tc>
          <w:tcPr>
            <w:tcW w:w="257" w:type="pct"/>
            <w:noWrap/>
            <w:vAlign w:val="center"/>
          </w:tcPr>
          <w:p w14:paraId="03297F0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131E0F76">
            <w:pPr>
              <w:rPr>
                <w:rFonts w:hint="eastAsia" w:ascii="宋体" w:hAnsi="宋体" w:cs="宋体"/>
                <w:color w:val="000000"/>
                <w:szCs w:val="21"/>
              </w:rPr>
            </w:pPr>
          </w:p>
        </w:tc>
      </w:tr>
      <w:tr w14:paraId="2F1D0D1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7820D859">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4</w:t>
            </w:r>
          </w:p>
        </w:tc>
        <w:tc>
          <w:tcPr>
            <w:tcW w:w="4219" w:type="pct"/>
            <w:noWrap/>
            <w:vAlign w:val="center"/>
          </w:tcPr>
          <w:p w14:paraId="6D8D52AA">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执业医师、执业护士、药师均持有相关资格证书</w:t>
            </w:r>
          </w:p>
        </w:tc>
        <w:tc>
          <w:tcPr>
            <w:tcW w:w="257" w:type="pct"/>
            <w:noWrap/>
            <w:vAlign w:val="center"/>
          </w:tcPr>
          <w:p w14:paraId="5A632DF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341EF427">
            <w:pPr>
              <w:rPr>
                <w:rFonts w:hint="eastAsia" w:ascii="宋体" w:hAnsi="宋体" w:cs="宋体"/>
                <w:color w:val="000000"/>
                <w:szCs w:val="21"/>
              </w:rPr>
            </w:pPr>
          </w:p>
        </w:tc>
      </w:tr>
      <w:tr w14:paraId="380C032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68374F9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4219" w:type="pct"/>
            <w:noWrap/>
            <w:vAlign w:val="center"/>
          </w:tcPr>
          <w:p w14:paraId="5E0EE9E4">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药品、医用材料有进货正规发票</w:t>
            </w:r>
          </w:p>
        </w:tc>
        <w:tc>
          <w:tcPr>
            <w:tcW w:w="257" w:type="pct"/>
            <w:noWrap/>
            <w:vAlign w:val="center"/>
          </w:tcPr>
          <w:p w14:paraId="1E4E83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762C9E23">
            <w:pPr>
              <w:rPr>
                <w:rFonts w:hint="eastAsia" w:ascii="宋体" w:hAnsi="宋体" w:cs="宋体"/>
                <w:color w:val="000000"/>
                <w:szCs w:val="21"/>
              </w:rPr>
            </w:pPr>
          </w:p>
        </w:tc>
      </w:tr>
      <w:tr w14:paraId="3FD5A9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322FC00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6</w:t>
            </w:r>
          </w:p>
        </w:tc>
        <w:tc>
          <w:tcPr>
            <w:tcW w:w="4219" w:type="pct"/>
            <w:noWrap/>
            <w:vAlign w:val="center"/>
          </w:tcPr>
          <w:p w14:paraId="125138DB">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药品及医用耗材进、销、存运用计算机信息系统管理，电子台账账册清楚，账物相符</w:t>
            </w:r>
          </w:p>
        </w:tc>
        <w:tc>
          <w:tcPr>
            <w:tcW w:w="257" w:type="pct"/>
            <w:noWrap/>
            <w:vAlign w:val="center"/>
          </w:tcPr>
          <w:p w14:paraId="0D2E60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433CCAEC">
            <w:pPr>
              <w:rPr>
                <w:rFonts w:hint="eastAsia" w:ascii="宋体" w:hAnsi="宋体" w:cs="宋体"/>
                <w:color w:val="000000"/>
                <w:szCs w:val="21"/>
              </w:rPr>
            </w:pPr>
          </w:p>
        </w:tc>
      </w:tr>
      <w:tr w14:paraId="6EA131C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54268B4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7</w:t>
            </w:r>
          </w:p>
        </w:tc>
        <w:tc>
          <w:tcPr>
            <w:tcW w:w="4219" w:type="pct"/>
            <w:noWrap w:val="0"/>
            <w:vAlign w:val="center"/>
          </w:tcPr>
          <w:p w14:paraId="076A5CF1">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核定及开放床位数均不得低于50张</w:t>
            </w:r>
          </w:p>
        </w:tc>
        <w:tc>
          <w:tcPr>
            <w:tcW w:w="257" w:type="pct"/>
            <w:noWrap/>
            <w:vAlign w:val="center"/>
          </w:tcPr>
          <w:p w14:paraId="743F307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0C0D3D33">
            <w:pPr>
              <w:rPr>
                <w:rFonts w:hint="eastAsia" w:ascii="宋体" w:hAnsi="宋体" w:cs="宋体"/>
                <w:color w:val="000000"/>
                <w:szCs w:val="21"/>
              </w:rPr>
            </w:pPr>
          </w:p>
        </w:tc>
      </w:tr>
      <w:tr w14:paraId="63D9F7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7CFD663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8</w:t>
            </w:r>
          </w:p>
        </w:tc>
        <w:tc>
          <w:tcPr>
            <w:tcW w:w="4219" w:type="pct"/>
            <w:noWrap w:val="0"/>
            <w:vAlign w:val="center"/>
          </w:tcPr>
          <w:p w14:paraId="5D154E05">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面积：综合性医院1000㎡以上，专科医院500㎡以上，社区卫生服务站500㎡以上</w:t>
            </w:r>
          </w:p>
        </w:tc>
        <w:tc>
          <w:tcPr>
            <w:tcW w:w="257" w:type="pct"/>
            <w:noWrap/>
            <w:vAlign w:val="center"/>
          </w:tcPr>
          <w:p w14:paraId="79D2607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65" w:type="pct"/>
            <w:noWrap/>
            <w:vAlign w:val="center"/>
          </w:tcPr>
          <w:p w14:paraId="7A789828">
            <w:pPr>
              <w:rPr>
                <w:rFonts w:hint="eastAsia" w:ascii="宋体" w:hAnsi="宋体" w:cs="宋体"/>
                <w:color w:val="000000"/>
                <w:szCs w:val="21"/>
              </w:rPr>
            </w:pPr>
          </w:p>
        </w:tc>
      </w:tr>
      <w:tr w14:paraId="09265CF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62AA5E6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9</w:t>
            </w:r>
          </w:p>
        </w:tc>
        <w:tc>
          <w:tcPr>
            <w:tcW w:w="4219" w:type="pct"/>
            <w:noWrap/>
            <w:vAlign w:val="center"/>
          </w:tcPr>
          <w:p w14:paraId="422A16A5">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配备专职工伤保险管理人员，且熟悉工伤保险政策规定</w:t>
            </w:r>
          </w:p>
        </w:tc>
        <w:tc>
          <w:tcPr>
            <w:tcW w:w="257" w:type="pct"/>
            <w:noWrap/>
            <w:vAlign w:val="center"/>
          </w:tcPr>
          <w:p w14:paraId="30454BA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0B103B8B">
            <w:pPr>
              <w:rPr>
                <w:rFonts w:hint="eastAsia" w:ascii="宋体" w:hAnsi="宋体" w:cs="宋体"/>
                <w:color w:val="000000"/>
                <w:szCs w:val="21"/>
              </w:rPr>
            </w:pPr>
          </w:p>
        </w:tc>
      </w:tr>
      <w:tr w14:paraId="0E67E03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4338AC6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w:t>
            </w:r>
          </w:p>
        </w:tc>
        <w:tc>
          <w:tcPr>
            <w:tcW w:w="4219" w:type="pct"/>
            <w:noWrap/>
            <w:vAlign w:val="center"/>
          </w:tcPr>
          <w:p w14:paraId="33ED6974">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工伤保险管理制度和医疗服务管理制度健全</w:t>
            </w:r>
          </w:p>
        </w:tc>
        <w:tc>
          <w:tcPr>
            <w:tcW w:w="257" w:type="pct"/>
            <w:noWrap/>
            <w:vAlign w:val="center"/>
          </w:tcPr>
          <w:p w14:paraId="7EFB7EAC">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65" w:type="pct"/>
            <w:noWrap/>
            <w:vAlign w:val="center"/>
          </w:tcPr>
          <w:p w14:paraId="448873CE">
            <w:pPr>
              <w:rPr>
                <w:rFonts w:hint="eastAsia" w:ascii="宋体" w:hAnsi="宋体" w:cs="宋体"/>
                <w:color w:val="000000"/>
                <w:szCs w:val="21"/>
              </w:rPr>
            </w:pPr>
          </w:p>
        </w:tc>
      </w:tr>
      <w:tr w14:paraId="04E169F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62FD804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11</w:t>
            </w:r>
          </w:p>
        </w:tc>
        <w:tc>
          <w:tcPr>
            <w:tcW w:w="4219" w:type="pct"/>
            <w:noWrap/>
            <w:vAlign w:val="center"/>
          </w:tcPr>
          <w:p w14:paraId="04E3DB12">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营业场所服务环境良好，宽敞明亮、卫生整洁，有消杀设备，布局合理，无卫生死角</w:t>
            </w:r>
          </w:p>
        </w:tc>
        <w:tc>
          <w:tcPr>
            <w:tcW w:w="257" w:type="pct"/>
            <w:noWrap/>
            <w:vAlign w:val="center"/>
          </w:tcPr>
          <w:p w14:paraId="66974B0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1D59CC97">
            <w:pPr>
              <w:rPr>
                <w:rFonts w:hint="eastAsia" w:ascii="宋体" w:hAnsi="宋体" w:cs="宋体"/>
                <w:color w:val="000000"/>
                <w:szCs w:val="21"/>
              </w:rPr>
            </w:pPr>
          </w:p>
        </w:tc>
      </w:tr>
      <w:tr w14:paraId="5CF5288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312F0B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12</w:t>
            </w:r>
          </w:p>
        </w:tc>
        <w:tc>
          <w:tcPr>
            <w:tcW w:w="4219" w:type="pct"/>
            <w:noWrap w:val="0"/>
            <w:vAlign w:val="center"/>
          </w:tcPr>
          <w:p w14:paraId="664A2B4E">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医用物品归类摆放，有专门的医疗废物处理流程，在显著位置公布医疗服务项目及药品价格相关信息</w:t>
            </w:r>
          </w:p>
        </w:tc>
        <w:tc>
          <w:tcPr>
            <w:tcW w:w="257" w:type="pct"/>
            <w:noWrap/>
            <w:vAlign w:val="center"/>
          </w:tcPr>
          <w:p w14:paraId="7B558A4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65" w:type="pct"/>
            <w:noWrap/>
            <w:vAlign w:val="center"/>
          </w:tcPr>
          <w:p w14:paraId="7DE28775">
            <w:pPr>
              <w:rPr>
                <w:rFonts w:hint="eastAsia" w:ascii="宋体" w:hAnsi="宋体" w:cs="宋体"/>
                <w:color w:val="000000"/>
                <w:szCs w:val="21"/>
              </w:rPr>
            </w:pPr>
          </w:p>
        </w:tc>
      </w:tr>
      <w:tr w14:paraId="5E1ECA3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22A8985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13</w:t>
            </w:r>
          </w:p>
        </w:tc>
        <w:tc>
          <w:tcPr>
            <w:tcW w:w="4219" w:type="pct"/>
            <w:noWrap w:val="0"/>
            <w:vAlign w:val="center"/>
          </w:tcPr>
          <w:p w14:paraId="0F71B8AF">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药房有药品防尘、防潮、冷藏、无污染、防虫、防鼠、无霉变等措施；毒麻精放类等特殊药品符合相关管理规定。</w:t>
            </w:r>
          </w:p>
        </w:tc>
        <w:tc>
          <w:tcPr>
            <w:tcW w:w="257" w:type="pct"/>
            <w:noWrap/>
            <w:vAlign w:val="center"/>
          </w:tcPr>
          <w:p w14:paraId="179BBB3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65" w:type="pct"/>
            <w:noWrap/>
            <w:vAlign w:val="center"/>
          </w:tcPr>
          <w:p w14:paraId="3C1A690D">
            <w:pPr>
              <w:rPr>
                <w:rFonts w:hint="eastAsia" w:ascii="宋体" w:hAnsi="宋体" w:cs="宋体"/>
                <w:color w:val="000000"/>
                <w:szCs w:val="21"/>
              </w:rPr>
            </w:pPr>
          </w:p>
        </w:tc>
      </w:tr>
      <w:tr w14:paraId="2AAA0BF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51078AA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14</w:t>
            </w:r>
          </w:p>
        </w:tc>
        <w:tc>
          <w:tcPr>
            <w:tcW w:w="4219" w:type="pct"/>
            <w:noWrap w:val="0"/>
            <w:vAlign w:val="center"/>
          </w:tcPr>
          <w:p w14:paraId="6F642E1F">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有24小时为参保人员提供服务的标志，在营业场所显著位置公布投诉、举报电话。提供相关咨询服务，接受参保人和社会监督。</w:t>
            </w:r>
          </w:p>
        </w:tc>
        <w:tc>
          <w:tcPr>
            <w:tcW w:w="257" w:type="pct"/>
            <w:noWrap/>
            <w:vAlign w:val="center"/>
          </w:tcPr>
          <w:p w14:paraId="24C645D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0211BA33">
            <w:pPr>
              <w:rPr>
                <w:rFonts w:hint="eastAsia" w:ascii="宋体" w:hAnsi="宋体" w:cs="宋体"/>
                <w:color w:val="000000"/>
                <w:szCs w:val="21"/>
              </w:rPr>
            </w:pPr>
          </w:p>
        </w:tc>
      </w:tr>
      <w:tr w14:paraId="71B80C1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37755C4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15</w:t>
            </w:r>
          </w:p>
        </w:tc>
        <w:tc>
          <w:tcPr>
            <w:tcW w:w="4219" w:type="pct"/>
            <w:noWrap/>
            <w:vAlign w:val="center"/>
          </w:tcPr>
          <w:p w14:paraId="47E2E5A6">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营业区域、收银柜台等位置配备监控设施。</w:t>
            </w:r>
          </w:p>
        </w:tc>
        <w:tc>
          <w:tcPr>
            <w:tcW w:w="257" w:type="pct"/>
            <w:noWrap/>
            <w:vAlign w:val="center"/>
          </w:tcPr>
          <w:p w14:paraId="303A521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7C8C453E">
            <w:pPr>
              <w:rPr>
                <w:rFonts w:hint="eastAsia" w:ascii="宋体" w:hAnsi="宋体" w:cs="宋体"/>
                <w:color w:val="000000"/>
                <w:szCs w:val="21"/>
              </w:rPr>
            </w:pPr>
          </w:p>
        </w:tc>
      </w:tr>
      <w:tr w14:paraId="4885667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995" w:hRule="atLeast"/>
          <w:jc w:val="center"/>
        </w:trPr>
        <w:tc>
          <w:tcPr>
            <w:tcW w:w="257" w:type="pct"/>
            <w:noWrap/>
            <w:vAlign w:val="center"/>
          </w:tcPr>
          <w:p w14:paraId="738FE69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16</w:t>
            </w:r>
          </w:p>
        </w:tc>
        <w:tc>
          <w:tcPr>
            <w:tcW w:w="4219" w:type="pct"/>
            <w:noWrap w:val="0"/>
            <w:vAlign w:val="center"/>
          </w:tcPr>
          <w:p w14:paraId="0A24EF16">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一级（含未定级）医疗机构至少具有给氧装置、心电图机、洗胃器、电动吸引器、呼吸球囊、气管插管、万能手术床、必要的手术器械、显微镜离心机、X光机药品柜、紫外线灯、恒温培养箱、高压灭菌设备等基础设备；</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二级医疗机构在一级医疗机构基础上至少增加有呼吸机、自动洗胃机、电动吸引器、心电图机、心脏除颤器、麻醉机、胃镜、B超，有与开展的诊疗科目相应的其他设备；</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三级医疗机构在二级医疗机构基础上至少增加有高频电刀、移动式X光机、多普勒成像仪、动态心电图机、脑电图机、脑血流图机、血液透析器、肺功能仪、支气管镜、消化内镜、直肠镜、腹腔镜、膀胱镜、宫腔镜等基本设备，有与开展的诊疗科目相应的其他设备。</w:t>
            </w:r>
          </w:p>
        </w:tc>
        <w:tc>
          <w:tcPr>
            <w:tcW w:w="257" w:type="pct"/>
            <w:noWrap/>
            <w:vAlign w:val="center"/>
          </w:tcPr>
          <w:p w14:paraId="13BCCDB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0FA95185">
            <w:pPr>
              <w:rPr>
                <w:rFonts w:hint="eastAsia" w:ascii="宋体" w:hAnsi="宋体" w:cs="宋体"/>
                <w:color w:val="000000"/>
                <w:szCs w:val="21"/>
              </w:rPr>
            </w:pPr>
          </w:p>
        </w:tc>
      </w:tr>
      <w:tr w14:paraId="69CAC49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710" w:hRule="atLeast"/>
          <w:jc w:val="center"/>
        </w:trPr>
        <w:tc>
          <w:tcPr>
            <w:tcW w:w="257" w:type="pct"/>
            <w:noWrap/>
            <w:vAlign w:val="center"/>
          </w:tcPr>
          <w:p w14:paraId="2278F90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17</w:t>
            </w:r>
          </w:p>
        </w:tc>
        <w:tc>
          <w:tcPr>
            <w:tcW w:w="4219" w:type="pct"/>
            <w:noWrap w:val="0"/>
            <w:vAlign w:val="center"/>
          </w:tcPr>
          <w:p w14:paraId="662BA04C">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一级（含未定级）医疗机构具有50张以上住院床位，至少有1名高级职称的医师，1名中级以上职称的护师；临床科室至少配备一名具有中级以上职称医师，医师和护士配置数量与科室床位数相适应；</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二级医疗机构具有100张以上住院床位，至少有3名高级职称的医师；各专业科室至少有1名具有主治医师以上职称的医师，医师和护士配置数量与科室床位数相适应；</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三级医疗机构具有500张以上住院床位，各专业科室的主任应具有高级职称；临床科室独立设置，医师和护士配置数量与科室床位数相适应。</w:t>
            </w:r>
          </w:p>
        </w:tc>
        <w:tc>
          <w:tcPr>
            <w:tcW w:w="257" w:type="pct"/>
            <w:noWrap/>
            <w:vAlign w:val="center"/>
          </w:tcPr>
          <w:p w14:paraId="2D7CE9ED">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012193CB">
            <w:pPr>
              <w:rPr>
                <w:rFonts w:hint="eastAsia" w:ascii="宋体" w:hAnsi="宋体" w:cs="宋体"/>
                <w:color w:val="000000"/>
                <w:szCs w:val="21"/>
              </w:rPr>
            </w:pPr>
          </w:p>
        </w:tc>
      </w:tr>
      <w:tr w14:paraId="4E9121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710" w:hRule="atLeast"/>
          <w:jc w:val="center"/>
        </w:trPr>
        <w:tc>
          <w:tcPr>
            <w:tcW w:w="257" w:type="pct"/>
            <w:noWrap/>
            <w:vAlign w:val="center"/>
          </w:tcPr>
          <w:p w14:paraId="58E2D6F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18</w:t>
            </w:r>
          </w:p>
        </w:tc>
        <w:tc>
          <w:tcPr>
            <w:tcW w:w="4219" w:type="pct"/>
            <w:noWrap w:val="0"/>
            <w:vAlign w:val="center"/>
          </w:tcPr>
          <w:p w14:paraId="1C88B6FE">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一级（含未定级）医疗机构至少设急诊室、抢救室、内科、外科、妇（产）科、预防保健科等临床科室，至少设有药房、化验室、X光室、病案室等医技科室；</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二级医疗机构在一级医疗机构基础上需增加相应临床科室，医技科室至少增设有药剂科、检验科、放射科、手术室、病理科、理疗科等医技科室；</w:t>
            </w:r>
            <w:r>
              <w:rPr>
                <w:rFonts w:hint="eastAsia" w:ascii="宋体" w:hAnsi="宋体" w:cs="宋体"/>
                <w:color w:val="000000"/>
                <w:kern w:val="0"/>
                <w:szCs w:val="21"/>
                <w:lang w:bidi="ar"/>
              </w:rPr>
              <w:br w:type="textWrapping"/>
            </w:r>
            <w:r>
              <w:rPr>
                <w:rFonts w:hint="eastAsia" w:ascii="宋体" w:hAnsi="宋体" w:cs="宋体"/>
                <w:color w:val="000000"/>
                <w:kern w:val="0"/>
                <w:szCs w:val="21"/>
                <w:lang w:bidi="ar"/>
              </w:rPr>
              <w:t>三级医疗机构在二级医疗机构基础上需增加相应临床科室，输血科、感染科、重症医学科、血液净化室、消毒供应中心等医技科室。</w:t>
            </w:r>
          </w:p>
        </w:tc>
        <w:tc>
          <w:tcPr>
            <w:tcW w:w="257" w:type="pct"/>
            <w:noWrap/>
            <w:vAlign w:val="center"/>
          </w:tcPr>
          <w:p w14:paraId="7FE73C8B">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5</w:t>
            </w:r>
          </w:p>
        </w:tc>
        <w:tc>
          <w:tcPr>
            <w:tcW w:w="265" w:type="pct"/>
            <w:noWrap/>
            <w:vAlign w:val="center"/>
          </w:tcPr>
          <w:p w14:paraId="309E04E4">
            <w:pPr>
              <w:rPr>
                <w:rFonts w:hint="eastAsia" w:ascii="宋体" w:hAnsi="宋体" w:cs="宋体"/>
                <w:color w:val="000000"/>
                <w:szCs w:val="21"/>
              </w:rPr>
            </w:pPr>
          </w:p>
        </w:tc>
      </w:tr>
      <w:tr w14:paraId="7226D5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855" w:hRule="atLeast"/>
          <w:jc w:val="center"/>
        </w:trPr>
        <w:tc>
          <w:tcPr>
            <w:tcW w:w="257" w:type="pct"/>
            <w:noWrap/>
            <w:vAlign w:val="center"/>
          </w:tcPr>
          <w:p w14:paraId="072BDD13">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19</w:t>
            </w:r>
          </w:p>
        </w:tc>
        <w:tc>
          <w:tcPr>
            <w:tcW w:w="4219" w:type="pct"/>
            <w:noWrap w:val="0"/>
            <w:vAlign w:val="center"/>
          </w:tcPr>
          <w:p w14:paraId="68658FC0">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病历书写符合《病历书写基本规范》要求（住院病历记录应清晰、真实、准确、完整，并妥善保存；化验检查、用药和治疗应在病程记录中说明，并有结果分析；具有住院资格的医疗机构应做到住院医嘱、病程记录、检查结果、治疗单记录和票据、费用清单“六吻合”）。</w:t>
            </w:r>
          </w:p>
        </w:tc>
        <w:tc>
          <w:tcPr>
            <w:tcW w:w="257" w:type="pct"/>
            <w:noWrap/>
            <w:vAlign w:val="center"/>
          </w:tcPr>
          <w:p w14:paraId="0AF6E8E6">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65" w:type="pct"/>
            <w:noWrap/>
            <w:vAlign w:val="center"/>
          </w:tcPr>
          <w:p w14:paraId="6B384A63">
            <w:pPr>
              <w:rPr>
                <w:rFonts w:hint="eastAsia" w:ascii="宋体" w:hAnsi="宋体" w:cs="宋体"/>
                <w:color w:val="000000"/>
                <w:szCs w:val="21"/>
              </w:rPr>
            </w:pPr>
          </w:p>
        </w:tc>
      </w:tr>
      <w:tr w14:paraId="455B0C2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367667A4">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20</w:t>
            </w:r>
          </w:p>
        </w:tc>
        <w:tc>
          <w:tcPr>
            <w:tcW w:w="4219" w:type="pct"/>
            <w:noWrap w:val="0"/>
            <w:vAlign w:val="center"/>
          </w:tcPr>
          <w:p w14:paraId="3EB7F341">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具有住院资格医疗机构的执业医师开具的西药处方须符合西医疾病诊治原则，开具中成药、中药饮片处方，应遵循中医辨证施治原则合理发放药品。</w:t>
            </w:r>
          </w:p>
        </w:tc>
        <w:tc>
          <w:tcPr>
            <w:tcW w:w="257" w:type="pct"/>
            <w:noWrap/>
            <w:vAlign w:val="center"/>
          </w:tcPr>
          <w:p w14:paraId="283467D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65" w:type="pct"/>
            <w:noWrap/>
            <w:vAlign w:val="center"/>
          </w:tcPr>
          <w:p w14:paraId="135AF7DB">
            <w:pPr>
              <w:rPr>
                <w:rFonts w:hint="eastAsia" w:ascii="宋体" w:hAnsi="宋体" w:cs="宋体"/>
                <w:color w:val="000000"/>
                <w:szCs w:val="21"/>
              </w:rPr>
            </w:pPr>
          </w:p>
        </w:tc>
      </w:tr>
      <w:tr w14:paraId="4206744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10A02487">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21</w:t>
            </w:r>
          </w:p>
        </w:tc>
        <w:tc>
          <w:tcPr>
            <w:tcW w:w="4219" w:type="pct"/>
            <w:noWrap/>
            <w:vAlign w:val="center"/>
          </w:tcPr>
          <w:p w14:paraId="0E40B9E8">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法定代表人、主要负责人或实际控制人未被列入失信人名单</w:t>
            </w:r>
          </w:p>
        </w:tc>
        <w:tc>
          <w:tcPr>
            <w:tcW w:w="257" w:type="pct"/>
            <w:noWrap/>
            <w:vAlign w:val="center"/>
          </w:tcPr>
          <w:p w14:paraId="54FAEEF5">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65" w:type="pct"/>
            <w:noWrap/>
            <w:vAlign w:val="center"/>
          </w:tcPr>
          <w:p w14:paraId="6F4F8006">
            <w:pPr>
              <w:rPr>
                <w:rFonts w:hint="eastAsia" w:ascii="宋体" w:hAnsi="宋体" w:cs="宋体"/>
                <w:color w:val="000000"/>
                <w:szCs w:val="21"/>
              </w:rPr>
            </w:pPr>
          </w:p>
        </w:tc>
      </w:tr>
      <w:tr w14:paraId="7641184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6E75D8DA">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22</w:t>
            </w:r>
          </w:p>
        </w:tc>
        <w:tc>
          <w:tcPr>
            <w:tcW w:w="4219" w:type="pct"/>
            <w:noWrap/>
            <w:vAlign w:val="center"/>
          </w:tcPr>
          <w:p w14:paraId="5408B5B5">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全员签订劳动合同且在合同期内</w:t>
            </w:r>
          </w:p>
        </w:tc>
        <w:tc>
          <w:tcPr>
            <w:tcW w:w="257" w:type="pct"/>
            <w:noWrap/>
            <w:vAlign w:val="center"/>
          </w:tcPr>
          <w:p w14:paraId="3349E6A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65" w:type="pct"/>
            <w:noWrap/>
            <w:vAlign w:val="center"/>
          </w:tcPr>
          <w:p w14:paraId="4F71FDF5">
            <w:pPr>
              <w:rPr>
                <w:rFonts w:hint="eastAsia" w:ascii="宋体" w:hAnsi="宋体" w:cs="宋体"/>
                <w:color w:val="000000"/>
                <w:szCs w:val="21"/>
              </w:rPr>
            </w:pPr>
          </w:p>
        </w:tc>
      </w:tr>
      <w:tr w14:paraId="320E4D0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4390B120">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23</w:t>
            </w:r>
          </w:p>
        </w:tc>
        <w:tc>
          <w:tcPr>
            <w:tcW w:w="4219" w:type="pct"/>
            <w:noWrap/>
            <w:vAlign w:val="center"/>
          </w:tcPr>
          <w:p w14:paraId="30F4E616">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全员按时足额缴纳社会保险费</w:t>
            </w:r>
          </w:p>
        </w:tc>
        <w:tc>
          <w:tcPr>
            <w:tcW w:w="257" w:type="pct"/>
            <w:noWrap/>
            <w:vAlign w:val="center"/>
          </w:tcPr>
          <w:p w14:paraId="570AD08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65" w:type="pct"/>
            <w:noWrap/>
            <w:vAlign w:val="center"/>
          </w:tcPr>
          <w:p w14:paraId="5FB22DD4">
            <w:pPr>
              <w:rPr>
                <w:rFonts w:hint="eastAsia" w:ascii="宋体" w:hAnsi="宋体" w:cs="宋体"/>
                <w:color w:val="000000"/>
                <w:szCs w:val="21"/>
              </w:rPr>
            </w:pPr>
          </w:p>
        </w:tc>
      </w:tr>
      <w:tr w14:paraId="57635A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257" w:type="pct"/>
            <w:noWrap/>
            <w:vAlign w:val="center"/>
          </w:tcPr>
          <w:p w14:paraId="274E66D1">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24</w:t>
            </w:r>
          </w:p>
        </w:tc>
        <w:tc>
          <w:tcPr>
            <w:tcW w:w="4219" w:type="pct"/>
            <w:noWrap/>
            <w:vAlign w:val="center"/>
          </w:tcPr>
          <w:p w14:paraId="46CA46E2">
            <w:pPr>
              <w:widowControl/>
              <w:jc w:val="left"/>
              <w:textAlignment w:val="center"/>
              <w:rPr>
                <w:rFonts w:hint="eastAsia" w:ascii="宋体" w:hAnsi="宋体" w:cs="宋体"/>
                <w:color w:val="000000"/>
                <w:szCs w:val="21"/>
              </w:rPr>
            </w:pPr>
            <w:r>
              <w:rPr>
                <w:rFonts w:hint="eastAsia" w:ascii="宋体" w:hAnsi="宋体" w:cs="宋体"/>
                <w:color w:val="000000"/>
                <w:kern w:val="0"/>
                <w:szCs w:val="21"/>
                <w:lang w:bidi="ar"/>
              </w:rPr>
              <w:t>三年内未发生重大医疗及质量安全事件</w:t>
            </w:r>
          </w:p>
        </w:tc>
        <w:tc>
          <w:tcPr>
            <w:tcW w:w="257" w:type="pct"/>
            <w:noWrap/>
            <w:vAlign w:val="center"/>
          </w:tcPr>
          <w:p w14:paraId="6E5A2EE2">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3</w:t>
            </w:r>
          </w:p>
        </w:tc>
        <w:tc>
          <w:tcPr>
            <w:tcW w:w="265" w:type="pct"/>
            <w:noWrap/>
            <w:vAlign w:val="center"/>
          </w:tcPr>
          <w:p w14:paraId="050BD5A8">
            <w:pPr>
              <w:rPr>
                <w:rFonts w:hint="eastAsia" w:ascii="宋体" w:hAnsi="宋体" w:cs="宋体"/>
                <w:color w:val="000000"/>
                <w:szCs w:val="21"/>
              </w:rPr>
            </w:pPr>
          </w:p>
        </w:tc>
      </w:tr>
      <w:tr w14:paraId="5B4CA4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4476" w:type="pct"/>
            <w:gridSpan w:val="2"/>
            <w:noWrap/>
            <w:vAlign w:val="center"/>
          </w:tcPr>
          <w:p w14:paraId="4010B50B">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lang w:bidi="ar"/>
              </w:rPr>
              <w:t>总分值</w:t>
            </w:r>
          </w:p>
        </w:tc>
        <w:tc>
          <w:tcPr>
            <w:tcW w:w="257" w:type="pct"/>
            <w:noWrap/>
            <w:vAlign w:val="center"/>
          </w:tcPr>
          <w:p w14:paraId="51FA5FFE">
            <w:pPr>
              <w:widowControl/>
              <w:jc w:val="center"/>
              <w:textAlignment w:val="center"/>
              <w:rPr>
                <w:rFonts w:hint="eastAsia" w:ascii="宋体" w:hAnsi="宋体" w:cs="宋体"/>
                <w:color w:val="000000"/>
                <w:szCs w:val="21"/>
              </w:rPr>
            </w:pPr>
            <w:r>
              <w:rPr>
                <w:rFonts w:hint="eastAsia" w:ascii="宋体" w:hAnsi="宋体" w:cs="宋体"/>
                <w:color w:val="000000"/>
                <w:kern w:val="0"/>
                <w:szCs w:val="21"/>
                <w:lang w:bidi="ar"/>
              </w:rPr>
              <w:t>100</w:t>
            </w:r>
          </w:p>
        </w:tc>
        <w:tc>
          <w:tcPr>
            <w:tcW w:w="265" w:type="pct"/>
            <w:noWrap/>
            <w:vAlign w:val="center"/>
          </w:tcPr>
          <w:p w14:paraId="6A74A3BB">
            <w:pPr>
              <w:rPr>
                <w:rFonts w:hint="eastAsia" w:ascii="宋体" w:hAnsi="宋体" w:cs="宋体"/>
                <w:color w:val="000000"/>
                <w:szCs w:val="21"/>
              </w:rPr>
            </w:pPr>
          </w:p>
        </w:tc>
      </w:tr>
    </w:tbl>
    <w:p w14:paraId="7AC9CD56">
      <w:pPr>
        <w:spacing w:line="590" w:lineRule="exact"/>
        <w:jc w:val="left"/>
        <w:rPr>
          <w:rFonts w:hint="eastAsia" w:ascii="黑体" w:hAnsi="黑体" w:eastAsia="黑体" w:cs="黑体"/>
          <w:bCs/>
          <w:color w:val="000000"/>
          <w:spacing w:val="4"/>
          <w:w w:val="97"/>
          <w:sz w:val="32"/>
          <w:szCs w:val="32"/>
        </w:rPr>
      </w:pPr>
    </w:p>
    <w:p w14:paraId="0FBB28A7">
      <w:pPr>
        <w:spacing w:line="590" w:lineRule="exact"/>
        <w:jc w:val="left"/>
        <w:rPr>
          <w:rFonts w:hint="eastAsia" w:ascii="黑体" w:hAnsi="黑体" w:eastAsia="黑体" w:cs="黑体"/>
          <w:bCs/>
          <w:color w:val="000000"/>
          <w:spacing w:val="4"/>
          <w:w w:val="97"/>
          <w:sz w:val="32"/>
          <w:szCs w:val="32"/>
        </w:rPr>
      </w:pPr>
    </w:p>
    <w:p w14:paraId="09596976">
      <w:pPr>
        <w:pStyle w:val="5"/>
        <w:ind w:firstLine="318"/>
        <w:rPr>
          <w:rFonts w:hint="eastAsia" w:ascii="黑体" w:hAnsi="黑体" w:eastAsia="黑体" w:cs="黑体"/>
          <w:bCs/>
          <w:color w:val="000000"/>
          <w:spacing w:val="4"/>
          <w:w w:val="97"/>
          <w:sz w:val="32"/>
          <w:szCs w:val="32"/>
        </w:rPr>
      </w:pPr>
    </w:p>
    <w:p w14:paraId="6008E75D"/>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简体">
    <w:altName w:val="微软雅黑"/>
    <w:panose1 w:val="02010601030101010101"/>
    <w:charset w:val="86"/>
    <w:family w:val="auto"/>
    <w:pitch w:val="default"/>
    <w:sig w:usb0="00000000" w:usb1="00000000" w:usb2="00000000" w:usb3="00000000" w:csb0="00040000" w:csb1="00000000"/>
  </w:font>
  <w:font w:name="方正小标宋简体">
    <w:altName w:val="仿宋_GB2312"/>
    <w:panose1 w:val="03000509000000000000"/>
    <w:charset w:val="86"/>
    <w:family w:val="script"/>
    <w:pitch w:val="default"/>
    <w:sig w:usb0="00000000" w:usb1="00000000" w:usb2="0000001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017F9A"/>
    <w:rsid w:val="2A017F9A"/>
    <w:rsid w:val="3A7526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widowControl w:val="0"/>
      <w:spacing w:after="120"/>
      <w:jc w:val="both"/>
    </w:pPr>
    <w:rPr>
      <w:rFonts w:ascii="Calibri" w:hAnsi="Calibri" w:eastAsia="宋体" w:cs="Times New Roman"/>
      <w:kern w:val="2"/>
      <w:sz w:val="21"/>
      <w:szCs w:val="24"/>
      <w:lang w:val="en-US" w:eastAsia="zh-CN" w:bidi="ar-SA"/>
    </w:rPr>
  </w:style>
  <w:style w:type="paragraph" w:styleId="3">
    <w:name w:val="Body Text Indent"/>
    <w:basedOn w:val="1"/>
    <w:unhideWhenUsed/>
    <w:qFormat/>
    <w:uiPriority w:val="99"/>
    <w:pPr>
      <w:ind w:firstLine="630"/>
    </w:pPr>
    <w:rPr>
      <w:rFonts w:ascii="Times New Roman" w:hAnsi="Times New Roman" w:eastAsia="方正仿宋简体"/>
      <w:szCs w:val="24"/>
    </w:rPr>
  </w:style>
  <w:style w:type="paragraph" w:styleId="4">
    <w:name w:val="footer"/>
    <w:basedOn w:val="1"/>
    <w:uiPriority w:val="99"/>
    <w:pPr>
      <w:tabs>
        <w:tab w:val="center" w:pos="4153"/>
        <w:tab w:val="right" w:pos="8306"/>
      </w:tabs>
      <w:snapToGrid w:val="0"/>
      <w:jc w:val="left"/>
    </w:pPr>
    <w:rPr>
      <w:sz w:val="18"/>
      <w:szCs w:val="18"/>
    </w:rPr>
  </w:style>
  <w:style w:type="paragraph" w:styleId="5">
    <w:name w:val="Body Text First Indent"/>
    <w:basedOn w:val="2"/>
    <w:next w:val="6"/>
    <w:qFormat/>
    <w:uiPriority w:val="0"/>
    <w:pPr>
      <w:ind w:firstLine="420" w:firstLineChars="100"/>
    </w:pPr>
    <w:rPr>
      <w:szCs w:val="24"/>
    </w:rPr>
  </w:style>
  <w:style w:type="paragraph" w:styleId="6">
    <w:name w:val="Body Text First Indent 2"/>
    <w:basedOn w:val="3"/>
    <w:qFormat/>
    <w:uiPriority w:val="0"/>
    <w:pPr>
      <w:ind w:firstLine="420" w:firstLineChars="200"/>
    </w:pPr>
  </w:style>
  <w:style w:type="character" w:customStyle="1" w:styleId="9">
    <w:name w:val="page number"/>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1506</Words>
  <Characters>1537</Characters>
  <Lines>0</Lines>
  <Paragraphs>0</Paragraphs>
  <TotalTime>0</TotalTime>
  <ScaleCrop>false</ScaleCrop>
  <LinksUpToDate>false</LinksUpToDate>
  <CharactersWithSpaces>1642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2025-07-24T08:44:00Z</dcterms:created>
  <dc:creator>四驱小蜗牛</dc:creator>
  <cp:lastModifiedBy>小不点</cp:lastModifiedBy>
  <dcterms:modified xsi:type="dcterms:W3CDTF">2025-12-24T02:14:53Z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C4B0697C19DB494DABE69392A8300E73_13</vt:lpwstr>
  </property>
  <property fmtid="{D5CDD505-2E9C-101B-9397-08002B2CF9AE}" pid="4" name="KSOTemplateDocerSaveRecord">
    <vt:lpwstr>eyJoZGlkIjoiNDI4NDk3NmJjYWM1N2JlMDY1YTEyZjRkYjdiMzAzNWEiLCJ1c2VySWQiOiIyNjQyNjY1MDEifQ==</vt:lpwstr>
  </property>
</Properties>
</file>