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83EE1C">
      <w:pPr>
        <w:rPr>
          <w:rFonts w:hint="default" w:asciiTheme="minorEastAsia" w:hAnsiTheme="minorEastAsia" w:eastAsiaTheme="minorEastAsia" w:cstheme="minorEastAsia"/>
          <w:b/>
          <w:bCs/>
          <w:sz w:val="32"/>
          <w:szCs w:val="32"/>
        </w:rPr>
      </w:pPr>
      <w:bookmarkStart w:id="0" w:name="_GoBack"/>
      <w:bookmarkEnd w:id="0"/>
      <w:r>
        <w:rPr>
          <w:rFonts w:hint="default" w:asciiTheme="minorEastAsia" w:hAnsiTheme="minorEastAsia" w:eastAsiaTheme="minorEastAsia" w:cstheme="minorEastAsia"/>
          <w:b/>
          <w:bCs/>
          <w:sz w:val="32"/>
          <w:szCs w:val="32"/>
        </w:rPr>
        <w:t>附件2</w:t>
      </w:r>
    </w:p>
    <w:p w14:paraId="413575E6">
      <w:pPr>
        <w:rPr>
          <w:rFonts w:hint="default" w:asciiTheme="minorEastAsia" w:hAnsiTheme="minorEastAsia" w:eastAsiaTheme="minorEastAsia" w:cstheme="minorEastAsia"/>
          <w:b/>
          <w:bCs/>
          <w:sz w:val="28"/>
          <w:szCs w:val="28"/>
        </w:rPr>
      </w:pPr>
    </w:p>
    <w:p w14:paraId="3CC0EDF9">
      <w:pPr>
        <w:keepNext w:val="0"/>
        <w:keepLines w:val="0"/>
        <w:pageBreakBefore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人力资源服务许可</w:t>
      </w:r>
      <w:r>
        <w:rPr>
          <w:rFonts w:hint="default" w:ascii="方正小标宋简体" w:hAnsi="方正小标宋简体" w:eastAsia="方正小标宋简体" w:cs="方正小标宋简体"/>
          <w:color w:val="000000"/>
          <w:sz w:val="44"/>
          <w:szCs w:val="44"/>
        </w:rPr>
        <w:t>一次性</w:t>
      </w:r>
      <w:r>
        <w:rPr>
          <w:rFonts w:hint="eastAsia" w:ascii="方正小标宋简体" w:hAnsi="方正小标宋简体" w:eastAsia="方正小标宋简体" w:cs="方正小标宋简体"/>
          <w:color w:val="000000"/>
          <w:sz w:val="44"/>
          <w:szCs w:val="44"/>
        </w:rPr>
        <w:t>告知书</w:t>
      </w:r>
    </w:p>
    <w:p w14:paraId="0CCB2670">
      <w:pPr>
        <w:adjustRightInd w:val="0"/>
        <w:snapToGrid w:val="0"/>
        <w:spacing w:line="600" w:lineRule="exact"/>
        <w:jc w:val="center"/>
        <w:rPr>
          <w:rFonts w:hint="eastAsia" w:ascii="黑体" w:hAnsi="黑体" w:eastAsia="黑体"/>
          <w:color w:val="000000"/>
          <w:sz w:val="32"/>
          <w:szCs w:val="32"/>
        </w:rPr>
      </w:pPr>
    </w:p>
    <w:p w14:paraId="533DF483">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黑体" w:hAnsi="黑体" w:eastAsia="黑体" w:cs="黑体"/>
          <w:sz w:val="32"/>
          <w:szCs w:val="32"/>
        </w:rPr>
      </w:pPr>
      <w:r>
        <w:rPr>
          <w:rFonts w:ascii="Times New Roman" w:hAnsi="Times New Roman" w:eastAsia="仿宋_GB2312"/>
          <w:color w:val="auto"/>
          <w:sz w:val="32"/>
          <w:szCs w:val="32"/>
        </w:rPr>
        <w:t>按照实</w:t>
      </w:r>
      <w:r>
        <w:rPr>
          <w:rFonts w:hint="eastAsia" w:ascii="Times New Roman" w:hAnsi="Times New Roman" w:eastAsia="仿宋_GB2312"/>
          <w:color w:val="auto"/>
          <w:sz w:val="32"/>
          <w:szCs w:val="32"/>
          <w:lang w:eastAsia="zh-CN"/>
        </w:rPr>
        <w:t>施</w:t>
      </w:r>
      <w:r>
        <w:rPr>
          <w:rFonts w:hint="eastAsia" w:ascii="Times New Roman" w:hAnsi="Times New Roman" w:eastAsia="仿宋_GB2312"/>
          <w:color w:val="auto"/>
          <w:sz w:val="32"/>
          <w:szCs w:val="32"/>
        </w:rPr>
        <w:t>人力资源服务许可</w:t>
      </w:r>
      <w:r>
        <w:rPr>
          <w:rFonts w:ascii="Times New Roman" w:hAnsi="Times New Roman" w:eastAsia="仿宋_GB2312"/>
          <w:color w:val="auto"/>
          <w:sz w:val="32"/>
          <w:szCs w:val="32"/>
        </w:rPr>
        <w:t>告知承诺制的要求，现就有关事项告知如下：</w:t>
      </w:r>
    </w:p>
    <w:p w14:paraId="24FD9092">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一、适用范围</w:t>
      </w:r>
    </w:p>
    <w:p w14:paraId="1744AF03">
      <w:pPr>
        <w:keepNext w:val="0"/>
        <w:keepLines w:val="0"/>
        <w:pageBreakBefore w:val="0"/>
        <w:widowControl w:val="0"/>
        <w:kinsoku/>
        <w:wordWrap/>
        <w:overflowPunct/>
        <w:topLinePunct w:val="0"/>
        <w:autoSpaceDE/>
        <w:autoSpaceDN/>
        <w:bidi w:val="0"/>
        <w:spacing w:line="240" w:lineRule="auto"/>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本告知书适用于通过告知承诺制方式办理人力资源服务许可事项。申请人可自主选择是否采用告知承诺制方式办理行政许可，未选择告知承诺制的仍按照一般程序办理。申请人有较严重不良信用记录或</w:t>
      </w:r>
      <w:r>
        <w:rPr>
          <w:rFonts w:hint="eastAsia" w:ascii="仿宋_GB2312" w:hAnsi="仿宋_GB2312" w:eastAsia="仿宋_GB2312" w:cs="仿宋_GB2312"/>
          <w:sz w:val="32"/>
          <w:szCs w:val="32"/>
          <w:lang w:eastAsia="zh-CN"/>
        </w:rPr>
        <w:t>者</w:t>
      </w:r>
      <w:r>
        <w:rPr>
          <w:rFonts w:hint="eastAsia" w:ascii="仿宋_GB2312" w:hAnsi="仿宋_GB2312" w:eastAsia="仿宋_GB2312" w:cs="仿宋_GB2312"/>
          <w:sz w:val="32"/>
          <w:szCs w:val="32"/>
        </w:rPr>
        <w:t>曾有虚假承诺等情形的，在信用修复前不适用告知承诺制。</w:t>
      </w:r>
    </w:p>
    <w:p w14:paraId="29178712">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二、审批依据</w:t>
      </w:r>
    </w:p>
    <w:p w14:paraId="1AFCA8A4">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rPr>
        <w:t>（一）《中华人民共和国就业促进法》第四十条</w:t>
      </w:r>
      <w:r>
        <w:rPr>
          <w:rFonts w:hint="default" w:ascii="仿宋_GB2312" w:hAnsi="仿宋_GB2312" w:eastAsia="仿宋_GB2312" w:cs="仿宋_GB2312"/>
          <w:sz w:val="32"/>
          <w:szCs w:val="32"/>
        </w:rPr>
        <w:t>；</w:t>
      </w:r>
    </w:p>
    <w:p w14:paraId="625E1AA0">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（二）《人力资源市场暂行条例》第十八条</w:t>
      </w:r>
      <w:r>
        <w:rPr>
          <w:rFonts w:hint="default" w:ascii="仿宋_GB2312" w:hAnsi="仿宋_GB2312" w:eastAsia="仿宋_GB2312" w:cs="仿宋_GB2312"/>
          <w:sz w:val="32"/>
          <w:szCs w:val="32"/>
        </w:rPr>
        <w:t>；</w:t>
      </w:r>
    </w:p>
    <w:p w14:paraId="29B39DA0">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）《河南省人力资源市场条例》第</w:t>
      </w:r>
      <w:r>
        <w:rPr>
          <w:rFonts w:hint="default" w:ascii="仿宋_GB2312" w:hAnsi="仿宋_GB2312" w:eastAsia="仿宋_GB2312" w:cs="仿宋_GB2312"/>
          <w:sz w:val="32"/>
          <w:szCs w:val="32"/>
        </w:rPr>
        <w:t>二</w:t>
      </w:r>
      <w:r>
        <w:rPr>
          <w:rFonts w:hint="eastAsia" w:ascii="仿宋_GB2312" w:hAnsi="仿宋_GB2312" w:eastAsia="仿宋_GB2312" w:cs="仿宋_GB2312"/>
          <w:sz w:val="32"/>
          <w:szCs w:val="32"/>
        </w:rPr>
        <w:t>十一条</w:t>
      </w:r>
      <w:r>
        <w:rPr>
          <w:rFonts w:hint="default" w:ascii="仿宋_GB2312" w:hAnsi="仿宋_GB2312" w:eastAsia="仿宋_GB2312" w:cs="仿宋_GB2312"/>
          <w:sz w:val="32"/>
          <w:szCs w:val="32"/>
        </w:rPr>
        <w:t>；</w:t>
      </w:r>
    </w:p>
    <w:p w14:paraId="0840E667">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rPr>
        <w:t>）《就业服务与就业管理规定》第四十七条</w:t>
      </w:r>
      <w:r>
        <w:rPr>
          <w:rFonts w:hint="default" w:ascii="仿宋_GB2312" w:hAnsi="仿宋_GB2312" w:eastAsia="仿宋_GB2312" w:cs="仿宋_GB2312"/>
          <w:sz w:val="32"/>
          <w:szCs w:val="32"/>
        </w:rPr>
        <w:t>；</w:t>
      </w:r>
    </w:p>
    <w:p w14:paraId="0BDEAD27">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五</w:t>
      </w:r>
      <w:r>
        <w:rPr>
          <w:rFonts w:hint="eastAsia" w:ascii="仿宋_GB2312" w:hAnsi="仿宋_GB2312" w:eastAsia="仿宋_GB2312" w:cs="仿宋_GB2312"/>
          <w:sz w:val="32"/>
          <w:szCs w:val="32"/>
        </w:rPr>
        <w:t>）《人才市场管理规定》第七条</w:t>
      </w:r>
      <w:r>
        <w:rPr>
          <w:rFonts w:hint="default" w:ascii="仿宋_GB2312" w:hAnsi="仿宋_GB2312" w:eastAsia="仿宋_GB2312" w:cs="仿宋_GB2312"/>
          <w:sz w:val="32"/>
          <w:szCs w:val="32"/>
        </w:rPr>
        <w:t>；</w:t>
      </w:r>
    </w:p>
    <w:p w14:paraId="50BF1793">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六</w:t>
      </w:r>
      <w:r>
        <w:rPr>
          <w:rFonts w:hint="eastAsia" w:ascii="仿宋_GB2312" w:hAnsi="仿宋_GB2312" w:eastAsia="仿宋_GB2312" w:cs="仿宋_GB2312"/>
          <w:sz w:val="32"/>
          <w:szCs w:val="32"/>
        </w:rPr>
        <w:t>）《网络招聘服务管理规定》第九条</w:t>
      </w:r>
      <w:r>
        <w:rPr>
          <w:rFonts w:hint="default" w:ascii="仿宋_GB2312" w:hAnsi="仿宋_GB2312" w:eastAsia="仿宋_GB2312" w:cs="仿宋_GB2312"/>
          <w:sz w:val="32"/>
          <w:szCs w:val="32"/>
        </w:rPr>
        <w:t>；</w:t>
      </w:r>
    </w:p>
    <w:p w14:paraId="68F21FB7">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（七）《国务院关于深化“证照分离”改革进一步激发市场主体发展活力的通知》（国发〔2021〕7号）</w:t>
      </w:r>
      <w:r>
        <w:rPr>
          <w:rFonts w:hint="default" w:ascii="仿宋_GB2312" w:hAnsi="仿宋_GB2312" w:eastAsia="仿宋_GB2312" w:cs="仿宋_GB2312"/>
          <w:sz w:val="32"/>
          <w:szCs w:val="32"/>
        </w:rPr>
        <w:t>；</w:t>
      </w:r>
    </w:p>
    <w:p w14:paraId="0DFE5E91">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Times New Roman" w:hAnsi="Times New Roman" w:eastAsia="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八</w:t>
      </w:r>
      <w:r>
        <w:rPr>
          <w:rFonts w:hint="eastAsia" w:ascii="仿宋_GB2312" w:hAnsi="仿宋_GB2312" w:eastAsia="仿宋_GB2312" w:cs="仿宋_GB2312"/>
          <w:sz w:val="32"/>
          <w:szCs w:val="32"/>
        </w:rPr>
        <w:t>）《人力资源社会保障部关于印发</w:t>
      </w:r>
      <w:r>
        <w:rPr>
          <w:rFonts w:hint="eastAsia" w:ascii="仿宋_GB2312" w:hAnsi="仿宋_GB2312" w:eastAsia="仿宋_GB2312" w:cs="仿宋_GB2312"/>
          <w:sz w:val="32"/>
          <w:szCs w:val="32"/>
          <w:lang w:val="en-US" w:eastAsia="zh-CN"/>
        </w:rPr>
        <w:t>&lt;</w:t>
      </w:r>
      <w:r>
        <w:rPr>
          <w:rFonts w:hint="eastAsia" w:ascii="仿宋_GB2312" w:hAnsi="仿宋_GB2312" w:eastAsia="仿宋_GB2312" w:cs="仿宋_GB2312"/>
          <w:sz w:val="32"/>
          <w:szCs w:val="32"/>
        </w:rPr>
        <w:t>人力资源社会保障部在全国范围内推行“证照分离”改革全覆盖实施方案</w:t>
      </w:r>
      <w:r>
        <w:rPr>
          <w:rFonts w:hint="eastAsia" w:ascii="仿宋_GB2312" w:hAnsi="仿宋_GB2312" w:eastAsia="仿宋_GB2312" w:cs="仿宋_GB2312"/>
          <w:sz w:val="32"/>
          <w:szCs w:val="32"/>
          <w:lang w:val="en-US" w:eastAsia="zh-CN"/>
        </w:rPr>
        <w:t>&gt;&lt;</w:t>
      </w:r>
      <w:r>
        <w:rPr>
          <w:rFonts w:hint="eastAsia" w:ascii="仿宋_GB2312" w:hAnsi="仿宋_GB2312" w:eastAsia="仿宋_GB2312" w:cs="仿宋_GB2312"/>
          <w:sz w:val="32"/>
          <w:szCs w:val="32"/>
        </w:rPr>
        <w:t>人力资源社会保障部在自由贸易试验区进一步加大“证照分离”改革力度试点实施方案</w:t>
      </w:r>
      <w:r>
        <w:rPr>
          <w:rFonts w:hint="eastAsia" w:ascii="仿宋_GB2312" w:hAnsi="仿宋_GB2312" w:eastAsia="仿宋_GB2312" w:cs="仿宋_GB2312"/>
          <w:sz w:val="32"/>
          <w:szCs w:val="32"/>
          <w:lang w:val="en-US" w:eastAsia="zh-CN"/>
        </w:rPr>
        <w:t>&gt;</w:t>
      </w:r>
      <w:r>
        <w:rPr>
          <w:rFonts w:hint="eastAsia" w:ascii="仿宋_GB2312" w:hAnsi="仿宋_GB2312" w:eastAsia="仿宋_GB2312" w:cs="仿宋_GB2312"/>
          <w:sz w:val="32"/>
          <w:szCs w:val="32"/>
        </w:rPr>
        <w:t>的通知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（人社部发〔2021〕43号）</w:t>
      </w:r>
      <w:r>
        <w:rPr>
          <w:rFonts w:hint="default" w:ascii="仿宋_GB2312" w:hAnsi="仿宋_GB2312" w:eastAsia="仿宋_GB2312" w:cs="仿宋_GB2312"/>
          <w:sz w:val="32"/>
          <w:szCs w:val="32"/>
        </w:rPr>
        <w:t>；</w:t>
      </w:r>
    </w:p>
    <w:p w14:paraId="60F012B7">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仿宋" w:hAnsi="仿宋" w:eastAsia="仿宋" w:cs="仿宋"/>
          <w:sz w:val="32"/>
          <w:szCs w:val="32"/>
        </w:rPr>
      </w:pPr>
      <w:r>
        <w:rPr>
          <w:rFonts w:hint="eastAsia" w:ascii="Times New Roman" w:hAnsi="Times New Roman" w:eastAsia="仿宋_GB2312"/>
          <w:sz w:val="32"/>
          <w:szCs w:val="32"/>
        </w:rPr>
        <w:t>（</w:t>
      </w:r>
      <w:r>
        <w:rPr>
          <w:rFonts w:hint="eastAsia" w:ascii="Times New Roman" w:hAnsi="Times New Roman" w:eastAsia="仿宋_GB2312"/>
          <w:sz w:val="32"/>
          <w:szCs w:val="32"/>
          <w:lang w:eastAsia="zh-CN"/>
        </w:rPr>
        <w:t>九</w:t>
      </w:r>
      <w:r>
        <w:rPr>
          <w:rFonts w:hint="eastAsia" w:ascii="Times New Roman" w:hAnsi="Times New Roman" w:eastAsia="仿宋_GB2312"/>
          <w:sz w:val="32"/>
          <w:szCs w:val="32"/>
        </w:rPr>
        <w:t>）</w:t>
      </w:r>
      <w:r>
        <w:rPr>
          <w:rFonts w:hint="eastAsia" w:ascii="仿宋" w:hAnsi="仿宋" w:eastAsia="仿宋" w:cs="仿宋"/>
          <w:sz w:val="32"/>
          <w:szCs w:val="32"/>
        </w:rPr>
        <w:t>《河南省人民政府办公厅关于印发</w:t>
      </w:r>
      <w:r>
        <w:rPr>
          <w:rFonts w:hint="eastAsia" w:ascii="仿宋" w:hAnsi="仿宋" w:eastAsia="仿宋" w:cs="仿宋"/>
          <w:sz w:val="32"/>
          <w:szCs w:val="32"/>
          <w:lang w:val="en-US" w:eastAsia="zh-CN"/>
        </w:rPr>
        <w:t>&lt;</w:t>
      </w:r>
      <w:r>
        <w:rPr>
          <w:rFonts w:hint="eastAsia" w:ascii="仿宋" w:hAnsi="仿宋" w:eastAsia="仿宋" w:cs="仿宋"/>
          <w:sz w:val="32"/>
          <w:szCs w:val="32"/>
        </w:rPr>
        <w:t>河南省“证照分离”改革全覆盖实施方案</w:t>
      </w:r>
      <w:r>
        <w:rPr>
          <w:rFonts w:hint="eastAsia" w:ascii="仿宋" w:hAnsi="仿宋" w:eastAsia="仿宋" w:cs="仿宋"/>
          <w:sz w:val="32"/>
          <w:szCs w:val="32"/>
          <w:lang w:val="en-US" w:eastAsia="zh-CN"/>
        </w:rPr>
        <w:t>&gt;</w:t>
      </w:r>
      <w:r>
        <w:rPr>
          <w:rFonts w:hint="eastAsia" w:ascii="仿宋" w:hAnsi="仿宋" w:eastAsia="仿宋" w:cs="仿宋"/>
          <w:sz w:val="32"/>
          <w:szCs w:val="32"/>
        </w:rPr>
        <w:t>的通知》（豫政办〔2021〕30号）</w:t>
      </w:r>
      <w:r>
        <w:rPr>
          <w:rFonts w:hint="default" w:ascii="仿宋_GB2312" w:hAnsi="仿宋_GB2312" w:eastAsia="仿宋_GB2312" w:cs="仿宋_GB2312"/>
          <w:sz w:val="32"/>
          <w:szCs w:val="32"/>
        </w:rPr>
        <w:t>；</w:t>
      </w:r>
    </w:p>
    <w:p w14:paraId="1485EA0E">
      <w:pPr>
        <w:adjustRightInd w:val="0"/>
        <w:snapToGrid w:val="0"/>
        <w:spacing w:line="600" w:lineRule="exact"/>
        <w:ind w:firstLine="640" w:firstLineChars="200"/>
        <w:rPr>
          <w:rFonts w:hint="eastAsia" w:ascii="仿宋_GB2312" w:hAnsi="仿宋" w:eastAsia="仿宋_GB2312" w:cs="仿宋"/>
          <w:color w:val="000000"/>
          <w:sz w:val="32"/>
          <w:szCs w:val="32"/>
          <w:lang w:val="en-US" w:eastAsia="zh-CN"/>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十</w:t>
      </w:r>
      <w:r>
        <w:rPr>
          <w:rFonts w:hint="eastAsia" w:ascii="仿宋_GB2312" w:hAnsi="仿宋_GB2312" w:eastAsia="仿宋_GB2312" w:cs="仿宋_GB2312"/>
          <w:sz w:val="32"/>
          <w:szCs w:val="32"/>
        </w:rPr>
        <w:t>）</w:t>
      </w:r>
      <w:r>
        <w:rPr>
          <w:rFonts w:hint="default" w:ascii="仿宋_GB2312" w:hAnsi="仿宋" w:eastAsia="仿宋_GB2312" w:cs="仿宋"/>
          <w:color w:val="000000"/>
          <w:sz w:val="32"/>
          <w:szCs w:val="32"/>
          <w:lang w:eastAsia="zh-CN"/>
        </w:rPr>
        <w:t>《</w:t>
      </w:r>
      <w:r>
        <w:rPr>
          <w:rFonts w:hint="eastAsia" w:ascii="仿宋_GB2312" w:hAnsi="仿宋" w:eastAsia="仿宋_GB2312" w:cs="仿宋"/>
          <w:color w:val="000000"/>
          <w:sz w:val="32"/>
          <w:szCs w:val="32"/>
          <w:lang w:val="en-US" w:eastAsia="zh-CN"/>
        </w:rPr>
        <w:t>河南省人力资源和社会保障厅关于做好人力资源服务行政许可及备案有关工作的通知</w:t>
      </w:r>
      <w:r>
        <w:rPr>
          <w:rFonts w:hint="default" w:ascii="仿宋_GB2312" w:hAnsi="仿宋" w:eastAsia="仿宋_GB2312" w:cs="仿宋"/>
          <w:color w:val="000000"/>
          <w:sz w:val="32"/>
          <w:szCs w:val="32"/>
          <w:lang w:val="en-US" w:eastAsia="zh-CN"/>
        </w:rPr>
        <w:t>》</w:t>
      </w:r>
      <w:r>
        <w:rPr>
          <w:rFonts w:hint="eastAsia" w:ascii="仿宋_GB2312" w:hAnsi="仿宋_GB2312" w:eastAsia="仿宋_GB2312" w:cs="仿宋_GB2312"/>
          <w:sz w:val="32"/>
          <w:szCs w:val="32"/>
        </w:rPr>
        <w:t>（豫人社</w:t>
      </w:r>
      <w:r>
        <w:rPr>
          <w:rFonts w:hint="default" w:ascii="仿宋_GB2312" w:hAnsi="仿宋_GB2312" w:eastAsia="仿宋_GB2312" w:cs="仿宋_GB2312"/>
          <w:sz w:val="32"/>
          <w:szCs w:val="32"/>
        </w:rPr>
        <w:t>规</w:t>
      </w:r>
      <w:r>
        <w:rPr>
          <w:rFonts w:hint="eastAsia" w:ascii="仿宋_GB2312" w:hAnsi="仿宋_GB2312" w:eastAsia="仿宋_GB2312" w:cs="仿宋_GB2312"/>
          <w:sz w:val="32"/>
          <w:szCs w:val="32"/>
        </w:rPr>
        <w:t>〔20</w:t>
      </w:r>
      <w:r>
        <w:rPr>
          <w:rFonts w:hint="default" w:ascii="仿宋_GB2312" w:hAnsi="仿宋_GB2312" w:eastAsia="仿宋_GB2312" w:cs="仿宋_GB2312"/>
          <w:sz w:val="32"/>
          <w:szCs w:val="32"/>
        </w:rPr>
        <w:t>19</w:t>
      </w:r>
      <w:r>
        <w:rPr>
          <w:rFonts w:hint="eastAsia" w:ascii="仿宋_GB2312" w:hAnsi="仿宋_GB2312" w:eastAsia="仿宋_GB2312" w:cs="仿宋_GB2312"/>
          <w:sz w:val="32"/>
          <w:szCs w:val="32"/>
        </w:rPr>
        <w:t>〕</w:t>
      </w:r>
      <w:r>
        <w:rPr>
          <w:rFonts w:hint="default" w:ascii="仿宋_GB2312" w:hAnsi="仿宋_GB2312" w:eastAsia="仿宋_GB2312" w:cs="仿宋_GB2312"/>
          <w:sz w:val="32"/>
          <w:szCs w:val="32"/>
        </w:rPr>
        <w:t>1</w:t>
      </w:r>
      <w:r>
        <w:rPr>
          <w:rFonts w:hint="eastAsia" w:ascii="仿宋_GB2312" w:hAnsi="仿宋_GB2312" w:eastAsia="仿宋_GB2312" w:cs="仿宋_GB2312"/>
          <w:sz w:val="32"/>
          <w:szCs w:val="32"/>
        </w:rPr>
        <w:t>号）《河南省人力资源和社会保障厅关于调整人力资源服务行政许可权限的通知》（豫人社办〔2023〕5号）</w:t>
      </w:r>
      <w:r>
        <w:rPr>
          <w:rFonts w:hint="default" w:ascii="仿宋_GB2312" w:hAnsi="仿宋_GB2312" w:eastAsia="仿宋_GB2312" w:cs="仿宋_GB2312"/>
          <w:sz w:val="32"/>
          <w:szCs w:val="32"/>
        </w:rPr>
        <w:t>；</w:t>
      </w:r>
    </w:p>
    <w:p w14:paraId="1662A89F">
      <w:pPr>
        <w:ind w:firstLine="640" w:firstLineChars="200"/>
        <w:rPr>
          <w:rFonts w:hint="eastAsia" w:ascii="仿宋_GB2312" w:hAnsi="仿宋" w:eastAsia="仿宋_GB2312" w:cs="仿宋"/>
          <w:color w:val="000000"/>
          <w:sz w:val="32"/>
          <w:szCs w:val="32"/>
        </w:rPr>
      </w:pPr>
      <w:r>
        <w:rPr>
          <w:rFonts w:hint="default" w:ascii="仿宋_GB2312" w:hAnsi="仿宋" w:eastAsia="仿宋_GB2312" w:cs="仿宋"/>
          <w:color w:val="000000"/>
          <w:sz w:val="32"/>
          <w:szCs w:val="32"/>
        </w:rPr>
        <w:t>（十一）</w:t>
      </w:r>
      <w:r>
        <w:rPr>
          <w:rFonts w:hint="default" w:ascii="仿宋_GB2312" w:hAnsi="仿宋" w:eastAsia="仿宋_GB2312" w:cs="仿宋"/>
          <w:b/>
          <w:bCs/>
          <w:color w:val="000000"/>
          <w:sz w:val="32"/>
          <w:szCs w:val="32"/>
          <w:u w:val="single"/>
        </w:rPr>
        <w:t xml:space="preserve">               </w:t>
      </w:r>
      <w:r>
        <w:rPr>
          <w:rFonts w:hint="eastAsia" w:ascii="仿宋_GB2312" w:hAnsi="仿宋" w:eastAsia="仿宋_GB2312" w:cs="仿宋"/>
          <w:b w:val="0"/>
          <w:bCs w:val="0"/>
          <w:color w:val="000000"/>
          <w:sz w:val="32"/>
          <w:szCs w:val="32"/>
          <w:lang w:eastAsia="zh-CN"/>
        </w:rPr>
        <w:t>（</w:t>
      </w:r>
      <w:r>
        <w:rPr>
          <w:rFonts w:hint="eastAsia" w:ascii="仿宋_GB2312" w:hAnsi="仿宋" w:eastAsia="仿宋_GB2312" w:cs="仿宋"/>
          <w:b w:val="0"/>
          <w:bCs w:val="0"/>
          <w:color w:val="000000"/>
          <w:sz w:val="32"/>
          <w:szCs w:val="32"/>
        </w:rPr>
        <w:t>地方</w:t>
      </w:r>
      <w:r>
        <w:rPr>
          <w:rFonts w:hint="eastAsia" w:ascii="仿宋_GB2312" w:hAnsi="仿宋" w:eastAsia="仿宋_GB2312" w:cs="仿宋"/>
          <w:b w:val="0"/>
          <w:bCs w:val="0"/>
          <w:color w:val="000000"/>
          <w:sz w:val="32"/>
          <w:szCs w:val="32"/>
          <w:lang w:eastAsia="zh-CN"/>
        </w:rPr>
        <w:t>有关</w:t>
      </w:r>
      <w:r>
        <w:rPr>
          <w:rFonts w:hint="eastAsia" w:ascii="仿宋_GB2312" w:hAnsi="仿宋" w:eastAsia="仿宋_GB2312" w:cs="仿宋"/>
          <w:b w:val="0"/>
          <w:bCs w:val="0"/>
          <w:color w:val="000000"/>
          <w:sz w:val="32"/>
          <w:szCs w:val="32"/>
        </w:rPr>
        <w:t>法规</w:t>
      </w:r>
      <w:r>
        <w:rPr>
          <w:rFonts w:hint="default" w:ascii="仿宋_GB2312" w:hAnsi="仿宋" w:eastAsia="仿宋_GB2312" w:cs="仿宋"/>
          <w:b w:val="0"/>
          <w:bCs w:val="0"/>
          <w:color w:val="000000"/>
          <w:sz w:val="32"/>
          <w:szCs w:val="32"/>
        </w:rPr>
        <w:t>，</w:t>
      </w:r>
      <w:r>
        <w:rPr>
          <w:rFonts w:hint="eastAsia" w:ascii="仿宋_GB2312" w:hAnsi="仿宋" w:eastAsia="仿宋_GB2312" w:cs="仿宋"/>
          <w:b w:val="0"/>
          <w:bCs w:val="0"/>
          <w:color w:val="000000"/>
          <w:sz w:val="32"/>
          <w:szCs w:val="32"/>
          <w:lang w:eastAsia="zh-CN"/>
        </w:rPr>
        <w:t>各</w:t>
      </w:r>
      <w:r>
        <w:rPr>
          <w:rFonts w:hint="default" w:ascii="仿宋_GB2312" w:hAnsi="仿宋" w:eastAsia="仿宋_GB2312" w:cs="仿宋"/>
          <w:b w:val="0"/>
          <w:bCs w:val="0"/>
          <w:color w:val="000000"/>
          <w:sz w:val="32"/>
          <w:szCs w:val="32"/>
          <w:lang w:eastAsia="zh-CN"/>
        </w:rPr>
        <w:t>地</w:t>
      </w:r>
      <w:r>
        <w:rPr>
          <w:rFonts w:hint="eastAsia" w:ascii="仿宋_GB2312" w:hAnsi="仿宋" w:eastAsia="仿宋_GB2312" w:cs="仿宋"/>
          <w:b w:val="0"/>
          <w:bCs w:val="0"/>
          <w:color w:val="000000"/>
          <w:sz w:val="32"/>
          <w:szCs w:val="32"/>
          <w:lang w:eastAsia="zh-CN"/>
        </w:rPr>
        <w:t>可根据具体情况确定）</w:t>
      </w:r>
      <w:r>
        <w:rPr>
          <w:rFonts w:hint="eastAsia" w:ascii="仿宋_GB2312" w:hAnsi="仿宋" w:eastAsia="仿宋_GB2312" w:cs="仿宋"/>
          <w:color w:val="000000"/>
          <w:sz w:val="32"/>
          <w:szCs w:val="32"/>
        </w:rPr>
        <w:t>。</w:t>
      </w:r>
    </w:p>
    <w:p w14:paraId="4DAD4C91">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三、许可条件</w:t>
      </w:r>
    </w:p>
    <w:p w14:paraId="0326E726">
      <w:pPr>
        <w:pStyle w:val="2"/>
        <w:widowControl/>
        <w:adjustRightInd w:val="0"/>
        <w:snapToGrid w:val="0"/>
        <w:spacing w:before="0" w:beforeAutospacing="0" w:after="0" w:afterAutospacing="0" w:line="600" w:lineRule="exact"/>
        <w:ind w:firstLine="640" w:firstLineChars="200"/>
        <w:jc w:val="both"/>
        <w:rPr>
          <w:rFonts w:hint="default" w:ascii="仿宋_GB2312" w:hAnsi="仿宋" w:eastAsia="仿宋_GB2312" w:cs="仿宋"/>
          <w:color w:val="000000"/>
          <w:kern w:val="2"/>
          <w:sz w:val="32"/>
          <w:szCs w:val="32"/>
          <w:lang w:eastAsia="zh-CN"/>
        </w:rPr>
      </w:pPr>
      <w:r>
        <w:rPr>
          <w:rFonts w:hint="eastAsia" w:ascii="仿宋_GB2312" w:hAnsi="仿宋" w:eastAsia="仿宋_GB2312" w:cs="仿宋"/>
          <w:color w:val="000000"/>
          <w:kern w:val="2"/>
          <w:sz w:val="32"/>
          <w:szCs w:val="32"/>
          <w:lang w:eastAsia="zh-CN"/>
        </w:rPr>
        <w:t>（一）</w:t>
      </w:r>
      <w:r>
        <w:rPr>
          <w:rFonts w:hint="default" w:ascii="仿宋_GB2312" w:hAnsi="仿宋" w:eastAsia="仿宋_GB2312" w:cs="仿宋"/>
          <w:color w:val="000000"/>
          <w:kern w:val="2"/>
          <w:sz w:val="32"/>
          <w:szCs w:val="32"/>
          <w:lang w:eastAsia="zh-CN"/>
        </w:rPr>
        <w:t>依法取得营业执照或</w:t>
      </w:r>
      <w:r>
        <w:rPr>
          <w:rFonts w:hint="eastAsia" w:ascii="仿宋_GB2312" w:hAnsi="仿宋" w:eastAsia="仿宋_GB2312" w:cs="仿宋"/>
          <w:color w:val="000000"/>
          <w:kern w:val="2"/>
          <w:sz w:val="32"/>
          <w:szCs w:val="32"/>
          <w:lang w:eastAsia="zh-CN"/>
        </w:rPr>
        <w:t>者</w:t>
      </w:r>
      <w:r>
        <w:rPr>
          <w:rFonts w:hint="default" w:ascii="仿宋_GB2312" w:hAnsi="仿宋" w:eastAsia="仿宋_GB2312" w:cs="仿宋"/>
          <w:color w:val="000000"/>
          <w:kern w:val="2"/>
          <w:sz w:val="32"/>
          <w:szCs w:val="32"/>
          <w:lang w:eastAsia="zh-CN"/>
        </w:rPr>
        <w:t>登记证书；</w:t>
      </w:r>
    </w:p>
    <w:p w14:paraId="3C90EE99">
      <w:pPr>
        <w:pStyle w:val="2"/>
        <w:widowControl/>
        <w:adjustRightInd w:val="0"/>
        <w:snapToGrid w:val="0"/>
        <w:spacing w:before="0" w:beforeAutospacing="0" w:after="0" w:afterAutospacing="0" w:line="600" w:lineRule="exact"/>
        <w:ind w:firstLine="640" w:firstLineChars="200"/>
        <w:jc w:val="both"/>
        <w:rPr>
          <w:rFonts w:hint="eastAsia" w:ascii="仿宋_GB2312" w:hAnsi="仿宋" w:eastAsia="仿宋_GB2312" w:cs="仿宋"/>
          <w:color w:val="000000"/>
          <w:kern w:val="2"/>
          <w:sz w:val="32"/>
          <w:szCs w:val="32"/>
        </w:rPr>
      </w:pPr>
      <w:r>
        <w:rPr>
          <w:rFonts w:hint="eastAsia" w:ascii="仿宋_GB2312" w:hAnsi="仿宋" w:eastAsia="仿宋_GB2312" w:cs="仿宋"/>
          <w:color w:val="000000"/>
          <w:kern w:val="2"/>
          <w:sz w:val="32"/>
          <w:szCs w:val="32"/>
          <w:lang w:eastAsia="zh-CN"/>
        </w:rPr>
        <w:t>（二）</w:t>
      </w:r>
      <w:r>
        <w:rPr>
          <w:rFonts w:hint="eastAsia" w:ascii="仿宋_GB2312" w:hAnsi="仿宋" w:eastAsia="仿宋_GB2312" w:cs="仿宋"/>
          <w:color w:val="000000"/>
          <w:kern w:val="2"/>
          <w:sz w:val="32"/>
          <w:szCs w:val="32"/>
        </w:rPr>
        <w:t>有明确的</w:t>
      </w:r>
      <w:r>
        <w:rPr>
          <w:rFonts w:hint="default" w:ascii="仿宋_GB2312" w:hAnsi="仿宋" w:eastAsia="仿宋_GB2312" w:cs="仿宋"/>
          <w:color w:val="000000"/>
          <w:kern w:val="2"/>
          <w:sz w:val="32"/>
          <w:szCs w:val="32"/>
        </w:rPr>
        <w:t>机构</w:t>
      </w:r>
      <w:r>
        <w:rPr>
          <w:rFonts w:hint="eastAsia" w:ascii="仿宋_GB2312" w:hAnsi="仿宋" w:eastAsia="仿宋_GB2312" w:cs="仿宋"/>
          <w:color w:val="000000"/>
          <w:kern w:val="2"/>
          <w:sz w:val="32"/>
          <w:szCs w:val="32"/>
        </w:rPr>
        <w:t>章程；</w:t>
      </w:r>
    </w:p>
    <w:p w14:paraId="5B9E186F">
      <w:pPr>
        <w:pStyle w:val="2"/>
        <w:widowControl/>
        <w:adjustRightInd w:val="0"/>
        <w:snapToGrid w:val="0"/>
        <w:spacing w:before="0" w:beforeAutospacing="0" w:after="0" w:afterAutospacing="0" w:line="600" w:lineRule="exact"/>
        <w:ind w:firstLine="640" w:firstLineChars="200"/>
        <w:jc w:val="both"/>
        <w:rPr>
          <w:rFonts w:hint="eastAsia" w:ascii="仿宋_GB2312" w:hAnsi="仿宋" w:eastAsia="仿宋_GB2312" w:cs="仿宋"/>
          <w:color w:val="000000"/>
          <w:kern w:val="2"/>
          <w:sz w:val="32"/>
          <w:szCs w:val="32"/>
        </w:rPr>
      </w:pPr>
      <w:r>
        <w:rPr>
          <w:rFonts w:hint="eastAsia" w:ascii="仿宋_GB2312" w:hAnsi="仿宋" w:eastAsia="仿宋_GB2312" w:cs="仿宋"/>
          <w:color w:val="000000"/>
          <w:kern w:val="2"/>
          <w:sz w:val="32"/>
          <w:szCs w:val="32"/>
          <w:lang w:eastAsia="zh-CN"/>
        </w:rPr>
        <w:t>（三）</w:t>
      </w:r>
      <w:r>
        <w:rPr>
          <w:rFonts w:hint="eastAsia" w:ascii="仿宋_GB2312" w:hAnsi="仿宋" w:eastAsia="仿宋_GB2312" w:cs="仿宋"/>
          <w:color w:val="000000"/>
          <w:kern w:val="2"/>
          <w:sz w:val="32"/>
          <w:szCs w:val="32"/>
        </w:rPr>
        <w:t>有开展业务必备的固定场所</w:t>
      </w:r>
      <w:r>
        <w:rPr>
          <w:rFonts w:hint="default" w:ascii="仿宋_GB2312" w:hAnsi="仿宋" w:eastAsia="仿宋_GB2312" w:cs="仿宋"/>
          <w:color w:val="000000"/>
          <w:kern w:val="2"/>
          <w:sz w:val="32"/>
          <w:szCs w:val="32"/>
        </w:rPr>
        <w:t>和</w:t>
      </w:r>
      <w:r>
        <w:rPr>
          <w:rFonts w:hint="eastAsia" w:ascii="仿宋_GB2312" w:hAnsi="仿宋" w:eastAsia="仿宋_GB2312" w:cs="仿宋"/>
          <w:color w:val="000000"/>
          <w:kern w:val="2"/>
          <w:sz w:val="32"/>
          <w:szCs w:val="32"/>
        </w:rPr>
        <w:t>办公设施</w:t>
      </w:r>
      <w:r>
        <w:rPr>
          <w:rFonts w:hint="default" w:ascii="仿宋_GB2312" w:hAnsi="仿宋" w:eastAsia="仿宋_GB2312" w:cs="仿宋"/>
          <w:color w:val="000000"/>
          <w:kern w:val="2"/>
          <w:sz w:val="32"/>
          <w:szCs w:val="32"/>
        </w:rPr>
        <w:t>，场所面积不低于50平方米</w:t>
      </w:r>
      <w:r>
        <w:rPr>
          <w:rFonts w:hint="eastAsia" w:ascii="仿宋_GB2312" w:hAnsi="仿宋" w:eastAsia="仿宋_GB2312" w:cs="仿宋"/>
          <w:color w:val="000000"/>
          <w:kern w:val="2"/>
          <w:sz w:val="32"/>
          <w:szCs w:val="32"/>
        </w:rPr>
        <w:t>；</w:t>
      </w:r>
    </w:p>
    <w:p w14:paraId="2B0F261F">
      <w:pPr>
        <w:ind w:firstLine="640" w:firstLineChars="200"/>
        <w:rPr>
          <w:rFonts w:hint="default" w:ascii="仿宋_GB2312" w:hAnsi="仿宋" w:eastAsia="仿宋_GB2312" w:cs="仿宋"/>
          <w:color w:val="000000"/>
          <w:kern w:val="2"/>
          <w:sz w:val="32"/>
          <w:szCs w:val="32"/>
        </w:rPr>
      </w:pPr>
      <w:r>
        <w:rPr>
          <w:rFonts w:hint="default" w:ascii="仿宋_GB2312" w:hAnsi="仿宋" w:eastAsia="仿宋_GB2312" w:cs="仿宋"/>
          <w:color w:val="000000"/>
          <w:kern w:val="2"/>
          <w:sz w:val="32"/>
          <w:szCs w:val="32"/>
        </w:rPr>
        <w:t>（四）</w:t>
      </w:r>
      <w:r>
        <w:rPr>
          <w:rFonts w:hint="eastAsia" w:ascii="仿宋_GB2312" w:hAnsi="仿宋" w:eastAsia="仿宋_GB2312" w:cs="仿宋"/>
          <w:color w:val="000000"/>
          <w:kern w:val="2"/>
          <w:sz w:val="32"/>
          <w:szCs w:val="32"/>
        </w:rPr>
        <w:t>有一定数量</w:t>
      </w:r>
      <w:r>
        <w:rPr>
          <w:rFonts w:hint="default" w:ascii="仿宋_GB2312" w:hAnsi="仿宋" w:eastAsia="仿宋_GB2312" w:cs="仿宋"/>
          <w:color w:val="000000"/>
          <w:kern w:val="2"/>
          <w:sz w:val="32"/>
          <w:szCs w:val="32"/>
        </w:rPr>
        <w:t>在本机构签订劳动合同并参加社会保险的专职</w:t>
      </w:r>
      <w:r>
        <w:rPr>
          <w:rFonts w:hint="eastAsia" w:ascii="仿宋_GB2312" w:hAnsi="仿宋" w:eastAsia="仿宋_GB2312" w:cs="仿宋"/>
          <w:color w:val="000000"/>
          <w:kern w:val="2"/>
          <w:sz w:val="32"/>
          <w:szCs w:val="32"/>
        </w:rPr>
        <w:t>工作人员</w:t>
      </w:r>
      <w:r>
        <w:rPr>
          <w:rFonts w:hint="default" w:ascii="仿宋_GB2312" w:hAnsi="仿宋" w:eastAsia="仿宋_GB2312" w:cs="仿宋"/>
          <w:color w:val="000000"/>
          <w:kern w:val="2"/>
          <w:sz w:val="32"/>
          <w:szCs w:val="32"/>
        </w:rPr>
        <w:t>，省级5名以上、省辖市级3名以上、县级2名以上；</w:t>
      </w:r>
    </w:p>
    <w:p w14:paraId="6E539F0B">
      <w:pPr>
        <w:ind w:firstLine="640" w:firstLineChars="200"/>
        <w:rPr>
          <w:rFonts w:hint="eastAsia" w:ascii="仿宋_GB2312" w:hAnsi="仿宋" w:eastAsia="仿宋_GB2312" w:cs="仿宋"/>
          <w:color w:val="000000"/>
          <w:kern w:val="2"/>
          <w:sz w:val="32"/>
          <w:szCs w:val="32"/>
        </w:rPr>
      </w:pPr>
      <w:r>
        <w:rPr>
          <w:rFonts w:hint="default" w:ascii="仿宋_GB2312" w:hAnsi="仿宋" w:eastAsia="仿宋_GB2312" w:cs="仿宋"/>
          <w:color w:val="000000"/>
          <w:kern w:val="2"/>
          <w:sz w:val="32"/>
          <w:szCs w:val="32"/>
        </w:rPr>
        <w:t>（五）从事网络招聘服务的，符合国家和我省网络安全、互联网信息服务管理的有关规定</w:t>
      </w:r>
      <w:r>
        <w:rPr>
          <w:rFonts w:hint="eastAsia" w:ascii="仿宋_GB2312" w:hAnsi="仿宋" w:eastAsia="仿宋_GB2312" w:cs="仿宋"/>
          <w:color w:val="000000"/>
          <w:kern w:val="2"/>
          <w:sz w:val="32"/>
          <w:szCs w:val="32"/>
        </w:rPr>
        <w:t>。</w:t>
      </w:r>
    </w:p>
    <w:p w14:paraId="6CECBB8D">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四、提交材料</w:t>
      </w:r>
    </w:p>
    <w:p w14:paraId="2FFAFAC1">
      <w:pPr>
        <w:adjustRightInd w:val="0"/>
        <w:snapToGrid w:val="0"/>
        <w:spacing w:line="600" w:lineRule="exact"/>
        <w:ind w:firstLine="640" w:firstLineChars="200"/>
        <w:rPr>
          <w:rFonts w:hint="eastAsia" w:ascii="仿宋_GB2312" w:hAnsi="仿宋" w:eastAsia="仿宋_GB2312" w:cs="仿宋"/>
          <w:color w:val="000000"/>
          <w:sz w:val="32"/>
          <w:szCs w:val="32"/>
        </w:rPr>
      </w:pPr>
      <w:r>
        <w:rPr>
          <w:rFonts w:hint="eastAsia" w:ascii="仿宋_GB2312" w:hAnsi="仿宋" w:eastAsia="仿宋_GB2312" w:cs="仿宋"/>
          <w:color w:val="000000"/>
          <w:sz w:val="32"/>
          <w:szCs w:val="32"/>
        </w:rPr>
        <w:t>1.开展职业中介活动申请书；</w:t>
      </w:r>
    </w:p>
    <w:p w14:paraId="0A61700B">
      <w:pPr>
        <w:adjustRightInd w:val="0"/>
        <w:snapToGrid w:val="0"/>
        <w:spacing w:line="600" w:lineRule="exact"/>
        <w:ind w:firstLine="640" w:firstLineChars="200"/>
        <w:rPr>
          <w:rFonts w:hint="eastAsia" w:ascii="仿宋_GB2312" w:hAnsi="仿宋" w:eastAsia="仿宋_GB2312" w:cs="仿宋"/>
          <w:color w:val="000000"/>
          <w:sz w:val="32"/>
          <w:szCs w:val="32"/>
        </w:rPr>
      </w:pPr>
      <w:r>
        <w:rPr>
          <w:rFonts w:hint="eastAsia" w:ascii="仿宋_GB2312" w:hAnsi="仿宋" w:eastAsia="仿宋_GB2312" w:cs="仿宋"/>
          <w:color w:val="000000"/>
          <w:sz w:val="32"/>
          <w:szCs w:val="32"/>
        </w:rPr>
        <w:t>2.承诺书。</w:t>
      </w:r>
    </w:p>
    <w:p w14:paraId="4CB83B4C">
      <w:pPr>
        <w:adjustRightInd w:val="0"/>
        <w:snapToGrid w:val="0"/>
        <w:spacing w:line="600" w:lineRule="exact"/>
        <w:ind w:firstLine="640" w:firstLineChars="200"/>
        <w:rPr>
          <w:rFonts w:hint="eastAsia" w:ascii="仿宋_GB2312" w:hAnsi="CESI楷体-GB2312" w:eastAsia="仿宋_GB2312" w:cs="CESI楷体-GB2312"/>
          <w:color w:val="000000"/>
          <w:sz w:val="32"/>
          <w:szCs w:val="32"/>
        </w:rPr>
      </w:pPr>
      <w:r>
        <w:rPr>
          <w:rFonts w:hint="eastAsia" w:ascii="仿宋_GB2312" w:hAnsi="仿宋_GB2312" w:eastAsia="仿宋_GB2312" w:cs="仿宋_GB2312"/>
          <w:bCs/>
          <w:color w:val="000000"/>
          <w:kern w:val="0"/>
          <w:sz w:val="32"/>
          <w:szCs w:val="32"/>
        </w:rPr>
        <w:t>委托办理的，还应提供人力资源服务机构法定代表人及委托代理人的身份证明</w:t>
      </w:r>
      <w:r>
        <w:rPr>
          <w:rFonts w:hint="eastAsia" w:ascii="仿宋_GB2312" w:hAnsi="仿宋_GB2312" w:eastAsia="仿宋_GB2312" w:cs="仿宋_GB2312"/>
          <w:bCs/>
          <w:color w:val="000000"/>
          <w:kern w:val="0"/>
          <w:sz w:val="32"/>
          <w:szCs w:val="32"/>
          <w:lang w:eastAsia="zh-CN"/>
        </w:rPr>
        <w:t>、</w:t>
      </w:r>
      <w:r>
        <w:rPr>
          <w:rFonts w:hint="eastAsia" w:ascii="仿宋_GB2312" w:hAnsi="仿宋_GB2312" w:eastAsia="仿宋_GB2312" w:cs="仿宋_GB2312"/>
          <w:bCs/>
          <w:color w:val="000000"/>
          <w:kern w:val="0"/>
          <w:sz w:val="32"/>
          <w:szCs w:val="32"/>
        </w:rPr>
        <w:t>委托书。</w:t>
      </w:r>
    </w:p>
    <w:p w14:paraId="766213E4">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五、承诺事项</w:t>
      </w:r>
    </w:p>
    <w:p w14:paraId="329F8312">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申请人应承诺符合申请人力资源服务许可的有关规定条件，</w:t>
      </w:r>
      <w:r>
        <w:rPr>
          <w:rFonts w:ascii="Times New Roman" w:hAnsi="Times New Roman" w:eastAsia="仿宋_GB2312"/>
          <w:sz w:val="32"/>
          <w:szCs w:val="32"/>
        </w:rPr>
        <w:t>提交有关材料</w:t>
      </w:r>
      <w:r>
        <w:rPr>
          <w:rFonts w:hint="eastAsia" w:ascii="Times New Roman" w:hAnsi="Times New Roman" w:eastAsia="仿宋_GB2312"/>
          <w:sz w:val="32"/>
          <w:szCs w:val="32"/>
          <w:lang w:eastAsia="zh-CN"/>
        </w:rPr>
        <w:t>，所</w:t>
      </w:r>
      <w:r>
        <w:rPr>
          <w:rFonts w:hint="eastAsia" w:ascii="Times New Roman" w:hAnsi="Times New Roman" w:eastAsia="仿宋_GB2312"/>
          <w:sz w:val="32"/>
          <w:szCs w:val="32"/>
          <w:lang w:val="en-US" w:eastAsia="zh-CN"/>
        </w:rPr>
        <w:t>提交材料真实、合法、有效</w:t>
      </w:r>
      <w:r>
        <w:rPr>
          <w:rFonts w:ascii="Times New Roman" w:hAnsi="Times New Roman" w:eastAsia="仿宋_GB2312"/>
          <w:sz w:val="32"/>
          <w:szCs w:val="32"/>
        </w:rPr>
        <w:t>。</w:t>
      </w:r>
    </w:p>
    <w:p w14:paraId="4F998725">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default" w:ascii="黑体" w:hAnsi="黑体" w:eastAsia="黑体" w:cs="黑体"/>
          <w:sz w:val="32"/>
          <w:szCs w:val="32"/>
        </w:rPr>
      </w:pPr>
      <w:r>
        <w:rPr>
          <w:rFonts w:hint="eastAsia" w:ascii="黑体" w:hAnsi="黑体" w:eastAsia="黑体" w:cs="黑体"/>
          <w:sz w:val="32"/>
          <w:szCs w:val="32"/>
        </w:rPr>
        <w:t>六、</w:t>
      </w:r>
      <w:r>
        <w:rPr>
          <w:rFonts w:hint="default" w:ascii="黑体" w:hAnsi="黑体" w:eastAsia="黑体" w:cs="黑体"/>
          <w:sz w:val="32"/>
          <w:szCs w:val="32"/>
        </w:rPr>
        <w:t>监管措施</w:t>
      </w:r>
    </w:p>
    <w:p w14:paraId="3317379B">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Times New Roman" w:hAnsi="Times New Roman" w:eastAsia="仿宋_GB2312"/>
          <w:sz w:val="32"/>
          <w:szCs w:val="32"/>
          <w:lang w:val="en-US" w:eastAsia="zh-CN"/>
        </w:rPr>
      </w:pPr>
      <w:r>
        <w:rPr>
          <w:rFonts w:hint="default" w:ascii="仿宋_GB2312" w:hAnsi="仿宋" w:eastAsia="仿宋_GB2312" w:cs="仿宋"/>
          <w:color w:val="000000"/>
          <w:sz w:val="32"/>
          <w:szCs w:val="32"/>
        </w:rPr>
        <w:t>人力资源社会保障</w:t>
      </w:r>
      <w:r>
        <w:rPr>
          <w:rFonts w:hint="eastAsia" w:ascii="Times New Roman" w:hAnsi="Times New Roman" w:eastAsia="仿宋_GB2312"/>
          <w:sz w:val="32"/>
          <w:szCs w:val="32"/>
          <w:lang w:val="en-US" w:eastAsia="zh-CN"/>
        </w:rPr>
        <w:t>部门作出许可决定后</w:t>
      </w:r>
      <w:r>
        <w:rPr>
          <w:rFonts w:hint="default" w:ascii="Times New Roman" w:hAnsi="Times New Roman" w:eastAsia="仿宋_GB2312"/>
          <w:sz w:val="32"/>
          <w:szCs w:val="32"/>
          <w:lang w:eastAsia="zh-CN"/>
        </w:rPr>
        <w:t>，将通过现场核查、</w:t>
      </w:r>
      <w:r>
        <w:rPr>
          <w:rFonts w:hint="eastAsia" w:ascii="Times New Roman" w:hAnsi="Times New Roman" w:eastAsia="仿宋_GB2312"/>
          <w:sz w:val="32"/>
          <w:szCs w:val="32"/>
          <w:lang w:val="en-US" w:eastAsia="zh-CN"/>
        </w:rPr>
        <w:t>“双随机、一公开”监管、专项执法检查、年度报告公示等方式对承诺情况进行核查</w:t>
      </w:r>
      <w:r>
        <w:rPr>
          <w:rFonts w:hint="default" w:ascii="Times New Roman" w:hAnsi="Times New Roman" w:eastAsia="仿宋_GB2312"/>
          <w:sz w:val="32"/>
          <w:szCs w:val="32"/>
          <w:lang w:val="en-US" w:eastAsia="zh-CN"/>
        </w:rPr>
        <w:t>，</w:t>
      </w:r>
      <w:r>
        <w:rPr>
          <w:rFonts w:hint="eastAsia" w:ascii="Times New Roman" w:hAnsi="Times New Roman" w:eastAsia="仿宋_GB2312"/>
          <w:sz w:val="32"/>
          <w:szCs w:val="32"/>
          <w:lang w:val="en-US" w:eastAsia="zh-CN"/>
        </w:rPr>
        <w:t>也可利用</w:t>
      </w:r>
      <w:r>
        <w:rPr>
          <w:rFonts w:hint="default" w:ascii="Times New Roman" w:hAnsi="Times New Roman" w:eastAsia="仿宋_GB2312"/>
          <w:sz w:val="32"/>
          <w:szCs w:val="32"/>
          <w:lang w:val="en-US" w:eastAsia="zh-CN"/>
        </w:rPr>
        <w:t>河南政务服务网</w:t>
      </w:r>
      <w:r>
        <w:rPr>
          <w:rFonts w:hint="eastAsia" w:ascii="Times New Roman" w:hAnsi="Times New Roman" w:eastAsia="仿宋_GB2312"/>
          <w:sz w:val="32"/>
          <w:szCs w:val="32"/>
          <w:lang w:val="en-US" w:eastAsia="zh-CN"/>
        </w:rPr>
        <w:t>、人力资源市场管理信息系统等实施在线核查。</w:t>
      </w:r>
    </w:p>
    <w:p w14:paraId="7A744842">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default" w:ascii="Times New Roman" w:hAnsi="Times New Roman" w:eastAsia="仿宋_GB2312"/>
          <w:sz w:val="32"/>
          <w:szCs w:val="32"/>
          <w:lang w:eastAsia="zh-CN"/>
        </w:rPr>
      </w:pPr>
      <w:r>
        <w:rPr>
          <w:rFonts w:hint="default" w:ascii="仿宋_GB2312" w:hAnsi="仿宋" w:eastAsia="仿宋_GB2312" w:cs="仿宋"/>
          <w:color w:val="000000"/>
          <w:sz w:val="32"/>
          <w:szCs w:val="32"/>
        </w:rPr>
        <w:t>人力资源社会保障</w:t>
      </w:r>
      <w:r>
        <w:rPr>
          <w:rFonts w:hint="eastAsia" w:ascii="Times New Roman" w:hAnsi="Times New Roman" w:eastAsia="仿宋_GB2312"/>
          <w:sz w:val="32"/>
          <w:szCs w:val="32"/>
          <w:lang w:val="en-US" w:eastAsia="zh-CN"/>
        </w:rPr>
        <w:t>部门</w:t>
      </w:r>
      <w:r>
        <w:rPr>
          <w:rFonts w:hint="default" w:ascii="Times New Roman" w:hAnsi="Times New Roman" w:eastAsia="仿宋_GB2312"/>
          <w:sz w:val="32"/>
          <w:szCs w:val="32"/>
          <w:lang w:val="en-US" w:eastAsia="zh-CN"/>
        </w:rPr>
        <w:t>将根据</w:t>
      </w:r>
      <w:r>
        <w:rPr>
          <w:rFonts w:hint="eastAsia" w:ascii="Times New Roman" w:hAnsi="Times New Roman" w:eastAsia="仿宋_GB2312"/>
          <w:sz w:val="32"/>
          <w:szCs w:val="32"/>
          <w:lang w:val="en-US" w:eastAsia="zh-CN"/>
        </w:rPr>
        <w:t>《就业促进法》《人力资源市场暂行条例》</w:t>
      </w:r>
      <w:r>
        <w:rPr>
          <w:rFonts w:hint="default" w:ascii="Times New Roman" w:hAnsi="Times New Roman" w:eastAsia="仿宋_GB2312"/>
          <w:sz w:val="32"/>
          <w:szCs w:val="32"/>
          <w:lang w:val="en-US" w:eastAsia="zh-CN"/>
        </w:rPr>
        <w:t>《河南省人力资源市场条例》等法律法规加强日常监督管理。</w:t>
      </w:r>
    </w:p>
    <w:p w14:paraId="649EF786">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七、法律责任</w:t>
      </w:r>
    </w:p>
    <w:p w14:paraId="2D90D4B1">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eastAsia="zh-CN"/>
        </w:rPr>
        <w:t>在办理人力资源服务许可证后，通过核查或者日常监管等方式，对履行承诺情况进行检查。发现违反承诺的，责令限期整改；逾期未改或者整改不到位的，依法给予撤销人力资源服务许可等处罚。</w:t>
      </w:r>
    </w:p>
    <w:p w14:paraId="6CD3BCBE">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（二）对申请人</w:t>
      </w:r>
      <w:r>
        <w:rPr>
          <w:rFonts w:hint="default" w:ascii="仿宋_GB2312" w:hAnsi="仿宋_GB2312" w:eastAsia="仿宋_GB2312" w:cs="仿宋_GB2312"/>
          <w:sz w:val="32"/>
          <w:szCs w:val="32"/>
          <w:lang w:val="en-US" w:eastAsia="zh-CN"/>
        </w:rPr>
        <w:t>未履行承诺</w:t>
      </w:r>
      <w:r>
        <w:rPr>
          <w:rFonts w:hint="default" w:ascii="仿宋_GB2312" w:hAnsi="仿宋_GB2312" w:eastAsia="仿宋_GB2312" w:cs="仿宋_GB2312"/>
          <w:sz w:val="32"/>
          <w:szCs w:val="32"/>
          <w:lang w:eastAsia="zh-CN"/>
        </w:rPr>
        <w:t>、未履行全部承诺</w:t>
      </w:r>
      <w:r>
        <w:rPr>
          <w:rFonts w:hint="eastAsia" w:ascii="仿宋_GB2312" w:hAnsi="仿宋_GB2312" w:eastAsia="仿宋_GB2312" w:cs="仿宋_GB2312"/>
          <w:sz w:val="32"/>
          <w:szCs w:val="32"/>
          <w:lang w:eastAsia="zh-CN"/>
        </w:rPr>
        <w:t>、虚假</w:t>
      </w:r>
      <w:r>
        <w:rPr>
          <w:rFonts w:hint="eastAsia" w:ascii="仿宋_GB2312" w:hAnsi="仿宋_GB2312" w:eastAsia="仿宋_GB2312" w:cs="仿宋_GB2312"/>
          <w:sz w:val="32"/>
          <w:szCs w:val="32"/>
        </w:rPr>
        <w:t>承诺的行为，记入企业信用记录，归集至省信用信息共享平台，并依法依规对失信主体实施联合惩戒，对申请人以后的</w:t>
      </w:r>
      <w:r>
        <w:rPr>
          <w:rFonts w:hint="default" w:ascii="仿宋_GB2312" w:hAnsi="仿宋_GB2312" w:eastAsia="仿宋_GB2312" w:cs="仿宋_GB2312"/>
          <w:sz w:val="32"/>
          <w:szCs w:val="32"/>
        </w:rPr>
        <w:t>人力资源服务许可</w:t>
      </w:r>
      <w:r>
        <w:rPr>
          <w:rFonts w:hint="eastAsia" w:ascii="仿宋_GB2312" w:hAnsi="仿宋_GB2312" w:eastAsia="仿宋_GB2312" w:cs="仿宋_GB2312"/>
          <w:sz w:val="32"/>
          <w:szCs w:val="32"/>
        </w:rPr>
        <w:t>申请，不再适用告知承诺的审批方式。</w:t>
      </w:r>
    </w:p>
    <w:p w14:paraId="5D86C03C">
      <w:pPr>
        <w:keepNext w:val="0"/>
        <w:keepLines w:val="0"/>
        <w:pageBreakBefore w:val="0"/>
        <w:widowControl w:val="0"/>
        <w:kinsoku/>
        <w:wordWrap/>
        <w:overflowPunct/>
        <w:topLinePunct w:val="0"/>
        <w:autoSpaceDE/>
        <w:autoSpaceDN/>
        <w:bidi w:val="0"/>
        <w:spacing w:line="240" w:lineRule="auto"/>
        <w:textAlignment w:val="auto"/>
        <w:rPr>
          <w:rFonts w:hint="eastAsia" w:ascii="仿宋_GB2312" w:hAnsi="仿宋_GB2312" w:eastAsia="仿宋_GB2312" w:cs="仿宋_GB2312"/>
          <w:sz w:val="32"/>
          <w:szCs w:val="32"/>
        </w:rPr>
      </w:pPr>
    </w:p>
    <w:p w14:paraId="6C49ABA3">
      <w:pPr>
        <w:keepNext w:val="0"/>
        <w:keepLines w:val="0"/>
        <w:pageBreakBefore w:val="0"/>
        <w:widowControl w:val="0"/>
        <w:kinsoku/>
        <w:wordWrap/>
        <w:overflowPunct/>
        <w:topLinePunct w:val="0"/>
        <w:autoSpaceDE/>
        <w:autoSpaceDN/>
        <w:bidi w:val="0"/>
        <w:spacing w:line="240" w:lineRule="auto"/>
        <w:textAlignment w:val="auto"/>
        <w:rPr>
          <w:rFonts w:hint="eastAsia" w:ascii="仿宋_GB2312" w:hAnsi="仿宋_GB2312" w:eastAsia="仿宋_GB2312" w:cs="仿宋_GB2312"/>
          <w:sz w:val="32"/>
          <w:szCs w:val="32"/>
        </w:rPr>
      </w:pPr>
    </w:p>
    <w:p w14:paraId="0313FE28">
      <w:pPr>
        <w:keepNext w:val="0"/>
        <w:keepLines w:val="0"/>
        <w:pageBreakBefore w:val="0"/>
        <w:widowControl w:val="0"/>
        <w:tabs>
          <w:tab w:val="left" w:pos="4845"/>
        </w:tabs>
        <w:kinsoku/>
        <w:wordWrap/>
        <w:overflowPunct/>
        <w:topLinePunct w:val="0"/>
        <w:autoSpaceDE/>
        <w:autoSpaceDN/>
        <w:bidi w:val="0"/>
        <w:spacing w:line="240" w:lineRule="auto"/>
        <w:ind w:firstLine="3680" w:firstLineChars="1150"/>
        <w:textAlignment w:val="auto"/>
        <w:rPr>
          <w:rFonts w:ascii="Times New Roman" w:hAnsi="Times New Roman" w:eastAsia="仿宋_GB2312"/>
          <w:sz w:val="32"/>
          <w:szCs w:val="32"/>
        </w:rPr>
      </w:pPr>
      <w:r>
        <w:rPr>
          <w:rFonts w:ascii="Times New Roman" w:hAnsi="Times New Roman" w:eastAsia="仿宋_GB2312"/>
          <w:sz w:val="32"/>
          <w:szCs w:val="32"/>
        </w:rPr>
        <w:t>许可单位（盖章）：</w:t>
      </w:r>
    </w:p>
    <w:p w14:paraId="30A8E5E8">
      <w:pPr>
        <w:keepNext w:val="0"/>
        <w:keepLines w:val="0"/>
        <w:pageBreakBefore w:val="0"/>
        <w:widowControl w:val="0"/>
        <w:tabs>
          <w:tab w:val="left" w:pos="4845"/>
        </w:tabs>
        <w:kinsoku/>
        <w:wordWrap/>
        <w:overflowPunct/>
        <w:topLinePunct w:val="0"/>
        <w:autoSpaceDE/>
        <w:autoSpaceDN/>
        <w:bidi w:val="0"/>
        <w:spacing w:line="240" w:lineRule="auto"/>
        <w:ind w:firstLine="4320" w:firstLineChars="1350"/>
        <w:textAlignment w:val="auto"/>
        <w:rPr>
          <w:rFonts w:ascii="Times New Roman" w:hAnsi="Times New Roman" w:eastAsia="仿宋_GB2312"/>
          <w:sz w:val="32"/>
          <w:szCs w:val="32"/>
        </w:rPr>
      </w:pPr>
      <w:r>
        <w:rPr>
          <w:rFonts w:hint="default" w:ascii="Times New Roman" w:hAnsi="Times New Roman" w:eastAsia="仿宋_GB2312"/>
          <w:sz w:val="32"/>
          <w:szCs w:val="32"/>
        </w:rPr>
        <w:t xml:space="preserve">   </w:t>
      </w:r>
      <w:r>
        <w:rPr>
          <w:rFonts w:hint="eastAsia" w:ascii="仿宋" w:hAnsi="仿宋" w:eastAsia="仿宋" w:cs="仿宋"/>
          <w:sz w:val="32"/>
          <w:szCs w:val="32"/>
          <w:lang w:val="en-US" w:eastAsia="zh-CN"/>
        </w:rPr>
        <w:t>年</w:t>
      </w:r>
      <w:r>
        <w:rPr>
          <w:rFonts w:hint="default" w:ascii="仿宋" w:hAnsi="仿宋" w:eastAsia="仿宋" w:cs="仿宋"/>
          <w:sz w:val="32"/>
          <w:szCs w:val="32"/>
          <w:lang w:eastAsia="zh-CN"/>
        </w:rPr>
        <w:t xml:space="preserve">  </w:t>
      </w:r>
      <w:r>
        <w:rPr>
          <w:rFonts w:hint="eastAsia" w:ascii="仿宋" w:hAnsi="仿宋" w:eastAsia="仿宋" w:cs="仿宋"/>
          <w:sz w:val="32"/>
          <w:szCs w:val="32"/>
          <w:lang w:val="en-US" w:eastAsia="zh-CN"/>
        </w:rPr>
        <w:t>月</w:t>
      </w:r>
      <w:r>
        <w:rPr>
          <w:rFonts w:hint="default" w:ascii="仿宋" w:hAnsi="仿宋" w:eastAsia="仿宋" w:cs="仿宋"/>
          <w:sz w:val="32"/>
          <w:szCs w:val="32"/>
          <w:lang w:eastAsia="zh-CN"/>
        </w:rPr>
        <w:t xml:space="preserve">  </w:t>
      </w:r>
      <w:r>
        <w:rPr>
          <w:rFonts w:hint="eastAsia" w:ascii="仿宋" w:hAnsi="仿宋" w:eastAsia="仿宋" w:cs="仿宋"/>
          <w:sz w:val="32"/>
          <w:szCs w:val="32"/>
          <w:lang w:val="en-US" w:eastAsia="zh-CN"/>
        </w:rPr>
        <w:t>日</w:t>
      </w:r>
    </w:p>
    <w:p w14:paraId="150760D7">
      <w:pPr>
        <w:rPr>
          <w:rFonts w:hint="eastAsia" w:asciiTheme="minorEastAsia" w:hAnsiTheme="minorEastAsia" w:eastAsiaTheme="minorEastAsia" w:cstheme="minorEastAsia"/>
          <w:b/>
          <w:bCs/>
          <w:sz w:val="32"/>
          <w:szCs w:val="32"/>
          <w:lang w:eastAsia="zh-CN"/>
        </w:rPr>
      </w:pPr>
    </w:p>
    <w:p w14:paraId="5AAC05C8">
      <w:pPr>
        <w:rPr>
          <w:rFonts w:hint="eastAsia" w:asciiTheme="minorEastAsia" w:hAnsiTheme="minorEastAsia" w:eastAsiaTheme="minorEastAsia" w:cstheme="minorEastAsia"/>
          <w:b/>
          <w:bCs/>
          <w:sz w:val="32"/>
          <w:szCs w:val="32"/>
          <w:lang w:eastAsia="zh-CN"/>
        </w:rPr>
      </w:pPr>
    </w:p>
    <w:p w14:paraId="7567C718">
      <w:pPr>
        <w:rPr>
          <w:rFonts w:hint="eastAsia" w:asciiTheme="minorEastAsia" w:hAnsiTheme="minorEastAsia" w:eastAsiaTheme="minorEastAsia" w:cstheme="minorEastAsia"/>
          <w:b/>
          <w:bCs/>
          <w:sz w:val="32"/>
          <w:szCs w:val="32"/>
          <w:lang w:eastAsia="zh-CN"/>
        </w:rPr>
      </w:pPr>
    </w:p>
    <w:p w14:paraId="27D5617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仿宋_GB2312"/>
    <w:panose1 w:val="02000000000000000000"/>
    <w:charset w:val="86"/>
    <w:family w:val="script"/>
    <w:pitch w:val="default"/>
    <w:sig w:usb0="00000000" w:usb1="00000000" w:usb2="00000012" w:usb3="00000000" w:csb0="00040001" w:csb1="00000000"/>
  </w:font>
  <w:font w:name="Arial Unicode MS">
    <w:altName w:val="宋体"/>
    <w:panose1 w:val="020B0604020202020204"/>
    <w:charset w:val="86"/>
    <w:family w:val="auto"/>
    <w:pitch w:val="default"/>
    <w:sig w:usb0="00000000" w:usb1="00000000" w:usb2="0000003F" w:usb3="00000000" w:csb0="603F01FF" w:csb1="FFFF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CESI楷体-GB2312">
    <w:altName w:val="宋体"/>
    <w:panose1 w:val="02000500000000000000"/>
    <w:charset w:val="86"/>
    <w:family w:val="auto"/>
    <w:pitch w:val="default"/>
    <w:sig w:usb0="00000000" w:usb1="00000000" w:usb2="00000012"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c0OWFmNDQ5N2Y1MGE0YTlmZGEzOWI2YWFhZDI1ODMifQ=="/>
  </w:docVars>
  <w:rsids>
    <w:rsidRoot w:val="5FE43D64"/>
    <w:rsid w:val="0BBC5E81"/>
    <w:rsid w:val="5FE43D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1276</Words>
  <Characters>1297</Characters>
  <Lines>0</Lines>
  <Paragraphs>0</Paragraphs>
  <TotalTime>0</TotalTime>
  <ScaleCrop>false</ScaleCrop>
  <LinksUpToDate>false</LinksUpToDate>
  <CharactersWithSpaces>1323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2023-06-20T08:02:00Z</dcterms:created>
  <dc:creator>四驱小蜗牛</dc:creator>
  <cp:lastModifiedBy>小不点</cp:lastModifiedBy>
  <dcterms:modified xsi:type="dcterms:W3CDTF">2025-12-23T08:13:57Z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3791E12013C64C898A9B53EB84D6A779_13</vt:lpwstr>
  </property>
</Properties>
</file>