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5017" w:type="pct"/>
        <w:tblInd w:w="0" w:type="dxa"/>
        <w:shd w:val="clear" w:color="auto" w:fill="auto"/>
        <w:tblLayout w:type="autofit"/>
        <w:tblCellMar>
          <w:top w:w="0" w:type="dxa"/>
          <w:left w:w="0" w:type="dxa"/>
          <w:bottom w:w="0" w:type="dxa"/>
          <w:right w:w="0" w:type="dxa"/>
        </w:tblCellMar>
      </w:tblPr>
      <w:tblGrid>
        <w:gridCol w:w="850"/>
        <w:gridCol w:w="2886"/>
        <w:gridCol w:w="10300"/>
      </w:tblGrid>
      <w:tr w14:paraId="509DC54A">
        <w:tblPrEx>
          <w:shd w:val="clear" w:color="auto" w:fill="auto"/>
          <w:tblCellMar>
            <w:top w:w="0" w:type="dxa"/>
            <w:left w:w="0" w:type="dxa"/>
            <w:bottom w:w="0" w:type="dxa"/>
            <w:right w:w="0" w:type="dxa"/>
          </w:tblCellMar>
        </w:tblPrEx>
        <w:trPr>
          <w:trHeight w:val="575" w:hRule="atLeast"/>
        </w:trPr>
        <w:tc>
          <w:tcPr>
            <w:tcW w:w="5000" w:type="pct"/>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7D4336">
            <w:pPr>
              <w:keepNext w:val="0"/>
              <w:keepLines w:val="0"/>
              <w:widowControl/>
              <w:suppressLineNumbers w:val="0"/>
              <w:jc w:val="center"/>
              <w:textAlignment w:val="center"/>
              <w:rPr>
                <w:rFonts w:hint="eastAsia" w:ascii="黑体" w:hAnsi="黑体" w:eastAsia="黑体" w:cs="黑体"/>
                <w:i w:val="0"/>
                <w:color w:val="000000"/>
                <w:kern w:val="0"/>
                <w:sz w:val="28"/>
                <w:szCs w:val="28"/>
                <w:u w:val="none"/>
                <w:lang w:val="en-US" w:eastAsia="zh-CN" w:bidi="ar"/>
              </w:rPr>
            </w:pPr>
            <w:r>
              <w:rPr>
                <w:rFonts w:hint="eastAsia" w:ascii="黑体" w:hAnsi="黑体" w:eastAsia="黑体" w:cs="黑体"/>
                <w:i w:val="0"/>
                <w:color w:val="000000"/>
                <w:kern w:val="0"/>
                <w:sz w:val="28"/>
                <w:szCs w:val="28"/>
                <w:u w:val="none"/>
                <w:lang w:val="en-US" w:eastAsia="zh-CN" w:bidi="ar"/>
              </w:rPr>
              <w:t>检查标准</w:t>
            </w:r>
          </w:p>
        </w:tc>
      </w:tr>
      <w:tr w14:paraId="0CEF7240">
        <w:tblPrEx>
          <w:shd w:val="clear" w:color="auto" w:fill="auto"/>
          <w:tblCellMar>
            <w:top w:w="0" w:type="dxa"/>
            <w:left w:w="0" w:type="dxa"/>
            <w:bottom w:w="0" w:type="dxa"/>
            <w:right w:w="0" w:type="dxa"/>
          </w:tblCellMar>
        </w:tblPrEx>
        <w:trPr>
          <w:trHeight w:val="635" w:hRule="atLeast"/>
        </w:trPr>
        <w:tc>
          <w:tcPr>
            <w:tcW w:w="303"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A435F0">
            <w:pPr>
              <w:keepNext w:val="0"/>
              <w:keepLines w:val="0"/>
              <w:widowControl/>
              <w:suppressLineNumbers w:val="0"/>
              <w:jc w:val="center"/>
              <w:textAlignment w:val="center"/>
              <w:rPr>
                <w:rFonts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序号</w:t>
            </w:r>
          </w:p>
        </w:tc>
        <w:tc>
          <w:tcPr>
            <w:tcW w:w="10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A302025">
            <w:pPr>
              <w:keepNext w:val="0"/>
              <w:keepLines w:val="0"/>
              <w:widowControl/>
              <w:suppressLineNumbers w:val="0"/>
              <w:jc w:val="center"/>
              <w:textAlignment w:val="center"/>
              <w:rPr>
                <w:rFonts w:hint="eastAsia"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涉企行政检查事项</w:t>
            </w:r>
          </w:p>
        </w:tc>
        <w:tc>
          <w:tcPr>
            <w:tcW w:w="366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FDEDE2B">
            <w:pPr>
              <w:keepNext w:val="0"/>
              <w:keepLines w:val="0"/>
              <w:widowControl/>
              <w:suppressLineNumbers w:val="0"/>
              <w:jc w:val="center"/>
              <w:textAlignment w:val="center"/>
              <w:rPr>
                <w:rFonts w:hint="eastAsia" w:ascii="仿宋_GB2312" w:hAnsi="宋体" w:eastAsia="仿宋_GB2312" w:cs="仿宋_GB2312"/>
                <w:b/>
                <w:bCs/>
                <w:i w:val="0"/>
                <w:color w:val="000000"/>
                <w:sz w:val="28"/>
                <w:szCs w:val="28"/>
                <w:u w:val="none"/>
              </w:rPr>
            </w:pPr>
            <w:r>
              <w:rPr>
                <w:rFonts w:hint="eastAsia" w:ascii="仿宋_GB2312" w:hAnsi="宋体" w:eastAsia="仿宋_GB2312" w:cs="仿宋_GB2312"/>
                <w:b/>
                <w:bCs/>
                <w:i w:val="0"/>
                <w:color w:val="000000"/>
                <w:kern w:val="0"/>
                <w:sz w:val="28"/>
                <w:szCs w:val="28"/>
                <w:u w:val="none"/>
                <w:lang w:val="en-US" w:eastAsia="zh-CN" w:bidi="ar"/>
              </w:rPr>
              <w:t>检查依据</w:t>
            </w:r>
          </w:p>
        </w:tc>
      </w:tr>
      <w:tr w14:paraId="37862B5E">
        <w:tblPrEx>
          <w:shd w:val="clear" w:color="auto" w:fill="auto"/>
          <w:tblCellMar>
            <w:top w:w="0" w:type="dxa"/>
            <w:left w:w="0" w:type="dxa"/>
            <w:bottom w:w="0" w:type="dxa"/>
            <w:right w:w="0" w:type="dxa"/>
          </w:tblCellMar>
        </w:tblPrEx>
        <w:trPr>
          <w:trHeight w:val="4064" w:hRule="atLeast"/>
        </w:trPr>
        <w:tc>
          <w:tcPr>
            <w:tcW w:w="30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43C84">
            <w:pPr>
              <w:keepNext w:val="0"/>
              <w:keepLines w:val="0"/>
              <w:widowControl/>
              <w:suppressLineNumbers w:val="0"/>
              <w:jc w:val="center"/>
              <w:textAlignment w:val="center"/>
              <w:rPr>
                <w:rFonts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1</w:t>
            </w:r>
          </w:p>
        </w:tc>
        <w:tc>
          <w:tcPr>
            <w:tcW w:w="10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089217">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对违反水</w:t>
            </w:r>
            <w:bookmarkStart w:id="0" w:name="_GoBack"/>
            <w:bookmarkEnd w:id="0"/>
            <w:r>
              <w:rPr>
                <w:rFonts w:hint="default" w:ascii="CESI仿宋-GB2312" w:hAnsi="CESI仿宋-GB2312" w:eastAsia="CESI仿宋-GB2312" w:cs="CESI仿宋-GB2312"/>
                <w:i w:val="0"/>
                <w:color w:val="000000"/>
                <w:kern w:val="0"/>
                <w:sz w:val="22"/>
                <w:szCs w:val="22"/>
                <w:u w:val="none"/>
                <w:lang w:val="en-US" w:eastAsia="zh-CN" w:bidi="ar"/>
              </w:rPr>
              <w:t>法的行为监督检查</w:t>
            </w:r>
          </w:p>
        </w:tc>
        <w:tc>
          <w:tcPr>
            <w:tcW w:w="366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B2A4BB">
            <w:pPr>
              <w:keepNext w:val="0"/>
              <w:keepLines w:val="0"/>
              <w:widowControl/>
              <w:suppressLineNumbers w:val="0"/>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 xml:space="preserve">  《中华人民共和国水法》（2002年8月主席令第74条）第五十九条:“县级以上人民政府水行政主管部门和流域管理机构应当对违反本法的行为加强监督检查并依法进行查处。水政监督检查人员应当忠于职守，秉公执法。六十条:“县级以上人民政府水行政主管部门、流域管理机构及其水政监督检查人员履行本法规定的监督检查职责时，有权采取下列措施：(一)要求被检查单位提供有关文件、证照、资料；(二)要求被检查单位就执行本法的有关问题作出说明；(三)进入被检查单位的生产场所进行调查；(四)责令被检查单位停止违反本法的行为，履行法定义务。”六十一条:“有关单位或者个人对水政监督检查人员的监督检查工作应当给予配合，不得拒绝或者阻碍水政监督检查人员依法执行职务。”</w:t>
            </w:r>
          </w:p>
        </w:tc>
      </w:tr>
      <w:tr w14:paraId="23577823">
        <w:tblPrEx>
          <w:shd w:val="clear" w:color="auto" w:fill="auto"/>
          <w:tblCellMar>
            <w:top w:w="0" w:type="dxa"/>
            <w:left w:w="0" w:type="dxa"/>
            <w:bottom w:w="0" w:type="dxa"/>
            <w:right w:w="0" w:type="dxa"/>
          </w:tblCellMar>
        </w:tblPrEx>
        <w:trPr>
          <w:trHeight w:val="4040" w:hRule="atLeast"/>
        </w:trPr>
        <w:tc>
          <w:tcPr>
            <w:tcW w:w="30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5C530D">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2</w:t>
            </w:r>
          </w:p>
        </w:tc>
        <w:tc>
          <w:tcPr>
            <w:tcW w:w="10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62E1944">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取水许可监督检查</w:t>
            </w:r>
          </w:p>
        </w:tc>
        <w:tc>
          <w:tcPr>
            <w:tcW w:w="366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F8703E">
            <w:pPr>
              <w:keepNext w:val="0"/>
              <w:keepLines w:val="0"/>
              <w:widowControl/>
              <w:suppressLineNumbers w:val="0"/>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 xml:space="preserve">  《取水许可和水资源费征收管理条例》（2006年2月国务院令第460号）第三十八条：“县级以上人民政府水行政主管部门或者流域管理机构应当依照本条例规定，加强对取水许可制度实施的监督管理。”第四十五条：“县级以上人民政府水行政主管部门或者流域管理机构在进行监督检查时，有权采取下列措施：（一）要求被检查单位或者个人提供有关文件、证照、资料；（二）要求被检查单位或者个人就执行本条例的有关问题作出说明；（三）进入被检查单位或者个人的生产场所进行调查；（四）责令被检查单位或者个人停止违反本条例的行为，履行法定义务。监督检查人员在进行监督检查时，应当出示合法有效的行政执法证件。有关单位和个人对监督检查工作应当给予配合，不得拒绝或者阻碍监督检查人员依法执行公务。”</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 xml:space="preserve">  《河南省取水许可和水资源费征收管理办法》（省政府令第126号）第二十三条：“县级以上水行政主管部门在进行监督检查时，有权采取下列措施：（一）要求被检查单位或者个人提供有关文件、证照、资料；（二）要求被检查单位或者个人就执行本办法的有关问题作出说明；（三）进入被检查单位或者个人的生产场所进行调查；（四）责令被检查单位或者个人停止违反本办法的行为，履行法定义务。监督检查人员在进行监督检查时，应当出示合法有效的行政执法证件。有关单位和个人对监督检查工作应当给予配合，不得拒绝或者阻碍监督检查人员依法执行公务。”</w:t>
            </w:r>
          </w:p>
        </w:tc>
      </w:tr>
      <w:tr w14:paraId="67703444">
        <w:tblPrEx>
          <w:shd w:val="clear" w:color="auto" w:fill="auto"/>
          <w:tblCellMar>
            <w:top w:w="0" w:type="dxa"/>
            <w:left w:w="0" w:type="dxa"/>
            <w:bottom w:w="0" w:type="dxa"/>
            <w:right w:w="0" w:type="dxa"/>
          </w:tblCellMar>
        </w:tblPrEx>
        <w:trPr>
          <w:trHeight w:val="1075" w:hRule="atLeast"/>
        </w:trPr>
        <w:tc>
          <w:tcPr>
            <w:tcW w:w="30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D5F494">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3</w:t>
            </w:r>
          </w:p>
        </w:tc>
        <w:tc>
          <w:tcPr>
            <w:tcW w:w="10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C9E2EE">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节约用水监督检查</w:t>
            </w:r>
          </w:p>
        </w:tc>
        <w:tc>
          <w:tcPr>
            <w:tcW w:w="366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93906">
            <w:pPr>
              <w:keepNext w:val="0"/>
              <w:keepLines w:val="0"/>
              <w:widowControl/>
              <w:suppressLineNumbers w:val="0"/>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河南省节约用水管理条例》（2004年5月28日河南省第十届人民代表大会常务委员会第九次会议通过第14号公告）第五条：“县级以上人民政府水行政主管部门负责组织、管理和监督本行政区域内的节约用水工作。其他有关部门按照职责分工，负责有关的节约用水工作。”</w:t>
            </w:r>
          </w:p>
        </w:tc>
      </w:tr>
      <w:tr w14:paraId="040BEB64">
        <w:tblPrEx>
          <w:shd w:val="clear" w:color="auto" w:fill="auto"/>
          <w:tblCellMar>
            <w:top w:w="0" w:type="dxa"/>
            <w:left w:w="0" w:type="dxa"/>
            <w:bottom w:w="0" w:type="dxa"/>
            <w:right w:w="0" w:type="dxa"/>
          </w:tblCellMar>
        </w:tblPrEx>
        <w:trPr>
          <w:trHeight w:val="1900" w:hRule="atLeast"/>
        </w:trPr>
        <w:tc>
          <w:tcPr>
            <w:tcW w:w="30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EFB0FF">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4</w:t>
            </w:r>
          </w:p>
        </w:tc>
        <w:tc>
          <w:tcPr>
            <w:tcW w:w="10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E12786">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水土保持监督检查</w:t>
            </w:r>
          </w:p>
        </w:tc>
        <w:tc>
          <w:tcPr>
            <w:tcW w:w="366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08DEA13">
            <w:pPr>
              <w:keepNext w:val="0"/>
              <w:keepLines w:val="0"/>
              <w:widowControl/>
              <w:suppressLineNumbers w:val="0"/>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中华人民共和国水土保持法》第二十九条：“县级以上人民政府水行政主管部门、流域管理机构，应当对生产建设项目水土保持方案的实施情况进行跟踪检查，发现问题及时处理。”第四十三条：“县级以上人民政府水行政主管部门负责对水土保持情况进行监督检查。流域管理机构在其管辖范围内可以行使国务院水行政主管部门的监督检查职权。”第四十七条：“水行政主管部门或者其他依照本法规定行使监督管理权的部门，不依法作出行政许可决定或者办理批准文件的，发现违法行为或者接到对违法行为的举报不予查处的，或者有其他未依照本法规定履行职责的行为的，对直接负责的主管人员和其他直接责任人员依法给予处分。”</w:t>
            </w:r>
          </w:p>
        </w:tc>
      </w:tr>
      <w:tr w14:paraId="15DA0235">
        <w:tblPrEx>
          <w:shd w:val="clear" w:color="auto" w:fill="auto"/>
          <w:tblCellMar>
            <w:top w:w="0" w:type="dxa"/>
            <w:left w:w="0" w:type="dxa"/>
            <w:bottom w:w="0" w:type="dxa"/>
            <w:right w:w="0" w:type="dxa"/>
          </w:tblCellMar>
        </w:tblPrEx>
        <w:trPr>
          <w:trHeight w:val="2210" w:hRule="atLeast"/>
        </w:trPr>
        <w:tc>
          <w:tcPr>
            <w:tcW w:w="30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981387">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5</w:t>
            </w:r>
          </w:p>
        </w:tc>
        <w:tc>
          <w:tcPr>
            <w:tcW w:w="10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762130">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安全生产监督检查</w:t>
            </w:r>
          </w:p>
        </w:tc>
        <w:tc>
          <w:tcPr>
            <w:tcW w:w="366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20CBA4A">
            <w:pPr>
              <w:keepNext w:val="0"/>
              <w:keepLines w:val="0"/>
              <w:widowControl/>
              <w:suppressLineNumbers w:val="0"/>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中华人民共和国安全生产法》（2014年8月主席令第13号）第九条：“县级以上地方各级人民政府有关部门依照本法和其它有关法律、法规的规定，在各自职责范围内对有关行业、领域的安全生产工作实施监督管理”。</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水利工程建设安全生产管理规定》（2005年7月水利部第26号令）第二十六条：“水行政主管部门和流域管理机构按照分级管理权限，负责水利工程建设安全生产的监督管理。水行政主管部门或者流域管理机构委托的安全生产监督机构，负责水利工程施工现场的具体监督检查工作。”第二十九条：“省、自治区、直辖市人民政府水行政主管部门负责本行政区域内所管辖的水利工程建设安全生产的监督管理工作。</w:t>
            </w:r>
          </w:p>
        </w:tc>
      </w:tr>
      <w:tr w14:paraId="33780969">
        <w:tblPrEx>
          <w:shd w:val="clear" w:color="auto" w:fill="auto"/>
          <w:tblCellMar>
            <w:top w:w="0" w:type="dxa"/>
            <w:left w:w="0" w:type="dxa"/>
            <w:bottom w:w="0" w:type="dxa"/>
            <w:right w:w="0" w:type="dxa"/>
          </w:tblCellMar>
        </w:tblPrEx>
        <w:trPr>
          <w:trHeight w:val="90" w:hRule="atLeast"/>
        </w:trPr>
        <w:tc>
          <w:tcPr>
            <w:tcW w:w="30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81FA70">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6</w:t>
            </w:r>
          </w:p>
        </w:tc>
        <w:tc>
          <w:tcPr>
            <w:tcW w:w="10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377491C">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工程质量监督检查</w:t>
            </w:r>
          </w:p>
        </w:tc>
        <w:tc>
          <w:tcPr>
            <w:tcW w:w="366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EB2551">
            <w:pPr>
              <w:keepNext w:val="0"/>
              <w:keepLines w:val="0"/>
              <w:widowControl/>
              <w:suppressLineNumbers w:val="0"/>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工程质量管理规定》（1997年12月水利部第7号令）第五条：“各省、自治区、直辖市水行政主管部门负责本行政区域内水利工程质量管理工作。”第十条：“政府对水利工程的质量实行监督的制度。水利工程按照分级管理的原则由相应水行政主管部门授权的质量监督机构实施质量监督。”第十三条：“水利工程质量监督机构负责监督设计、监理、施工单位在其资质等级允许范围内从事水利工程建设的质量工作；负责检查、督促建设、监理、设计、施工单位建立健全质量体系。水利工程质量监督机构，按照国家和水利行业有关工程建设法规、技术标准和设计文件实施工程质量监督，对施工现场影响工程质量的行为进行监督检查。”</w:t>
            </w:r>
          </w:p>
        </w:tc>
      </w:tr>
      <w:tr w14:paraId="0B4CBEB4">
        <w:tblPrEx>
          <w:shd w:val="clear" w:color="auto" w:fill="auto"/>
          <w:tblCellMar>
            <w:top w:w="0" w:type="dxa"/>
            <w:left w:w="0" w:type="dxa"/>
            <w:bottom w:w="0" w:type="dxa"/>
            <w:right w:w="0" w:type="dxa"/>
          </w:tblCellMar>
        </w:tblPrEx>
        <w:trPr>
          <w:trHeight w:val="90" w:hRule="atLeast"/>
        </w:trPr>
        <w:tc>
          <w:tcPr>
            <w:tcW w:w="30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ED79EA">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7</w:t>
            </w:r>
          </w:p>
        </w:tc>
        <w:tc>
          <w:tcPr>
            <w:tcW w:w="10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94B40C5">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水利建设市场主体行为监督检查</w:t>
            </w:r>
          </w:p>
        </w:tc>
        <w:tc>
          <w:tcPr>
            <w:tcW w:w="366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71E831">
            <w:pPr>
              <w:keepNext w:val="0"/>
              <w:keepLines w:val="0"/>
              <w:widowControl/>
              <w:suppressLineNumbers w:val="0"/>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 xml:space="preserve">《水利建设市场主体信用评价管理暂行办法》（水建管〔2015〕377 号）第五条：“水利建设市场主体的信用评价结果记入其信用档案，并在全国水利建设市场信用信息平台上向社会公布。各级水行政主管部门、项目主管部门（单位）、项目法人和有关单位应在招标投标、政府采购、行政审批、市场准入、资质管理、评优评奖、日常监管等工作中，积极应用信用评价结果，实行市场主体信用分类监管，建立健全守信激励失信惩戒机制。省级水行政主管部门可结合本地实际，制定信用评价结果的应用办法或在其他相关规章制度中明确信用评价结果应用的条款。”第二十一条：“水利建设市场主体信用评价实行一票否决制，凡发生严重失信行为的，其信用等级一律为CCC级；取得BBB级（含）以上信用等级的水利建设市场主体发生严重失信行为的，应立即将其信用等级降为CCC级并向社会公布，3年内不受理其升级申请。上述严重失信行为包括：（一）出借、借用资质证书进行投标或承接工程的；（二）围标、串标的；（三）转包或违法分包所承揽工程的；（四）有行贿、受贿违法记录的；（五）对重（特）大质量事故、生产安全事故负有直接责任的；（六）公开信息隐瞒真实情况、弄虚作假的。” 第二十四条：“评价机构在评价活动中违反评价标准和评价程序、有失客观公正的，责令改正；在评价活动中弄虚作假、与市场主体串通操纵评价结果的，禁止继续参与水利建设市场主体信用评价工作。评价工作人员违反本办法规定的，责令改正;在工作中玩忽职守、弄虚作假、滥用职权、徇私舞弊的，依法依纪给予处分；涉嫌犯罪的，移送司法机关依法追究刑事责任。” </w:t>
            </w:r>
          </w:p>
        </w:tc>
      </w:tr>
      <w:tr w14:paraId="38CBA5C3">
        <w:tblPrEx>
          <w:shd w:val="clear" w:color="auto" w:fill="auto"/>
          <w:tblCellMar>
            <w:top w:w="0" w:type="dxa"/>
            <w:left w:w="0" w:type="dxa"/>
            <w:bottom w:w="0" w:type="dxa"/>
            <w:right w:w="0" w:type="dxa"/>
          </w:tblCellMar>
        </w:tblPrEx>
        <w:trPr>
          <w:trHeight w:val="4125" w:hRule="atLeast"/>
        </w:trPr>
        <w:tc>
          <w:tcPr>
            <w:tcW w:w="303" w:type="pc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0CBED9">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8</w:t>
            </w:r>
          </w:p>
        </w:tc>
        <w:tc>
          <w:tcPr>
            <w:tcW w:w="102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DE982">
            <w:pPr>
              <w:keepNext w:val="0"/>
              <w:keepLines w:val="0"/>
              <w:widowControl/>
              <w:suppressLineNumbers w:val="0"/>
              <w:jc w:val="center"/>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水利工程建设项目监督检查</w:t>
            </w:r>
          </w:p>
        </w:tc>
        <w:tc>
          <w:tcPr>
            <w:tcW w:w="3668" w:type="pc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6752FE">
            <w:pPr>
              <w:keepNext w:val="0"/>
              <w:keepLines w:val="0"/>
              <w:widowControl/>
              <w:suppressLineNumbers w:val="0"/>
              <w:jc w:val="left"/>
              <w:textAlignment w:val="center"/>
              <w:rPr>
                <w:rFonts w:hint="default" w:ascii="CESI仿宋-GB2312" w:hAnsi="CESI仿宋-GB2312" w:eastAsia="CESI仿宋-GB2312" w:cs="CESI仿宋-GB2312"/>
                <w:i w:val="0"/>
                <w:color w:val="000000"/>
                <w:sz w:val="22"/>
                <w:szCs w:val="22"/>
                <w:u w:val="none"/>
              </w:rPr>
            </w:pPr>
            <w:r>
              <w:rPr>
                <w:rFonts w:hint="default" w:ascii="CESI仿宋-GB2312" w:hAnsi="CESI仿宋-GB2312" w:eastAsia="CESI仿宋-GB2312" w:cs="CESI仿宋-GB2312"/>
                <w:i w:val="0"/>
                <w:color w:val="000000"/>
                <w:kern w:val="0"/>
                <w:sz w:val="22"/>
                <w:szCs w:val="22"/>
                <w:u w:val="none"/>
                <w:lang w:val="en-US" w:eastAsia="zh-CN" w:bidi="ar"/>
              </w:rPr>
              <w:t>《国务院批转国家计委、财政部、水利部、建设部&lt;关于加强公益性水利工程建设管理若干意见的通知&gt;》（国发〔2000〕20 号）第六条：“加强对水利工程建设的检查监督（一）各级计划、财政、水利及建设部门要充实检查监督力量，对水利工程建设项目及移民建镇项目的工程质量、建设进度和资金管理使用情况经常进行稽察、检查和监督，发现问题及时提出整改意见，按管理权限查处，并应及时将有关情况向同级人民政府和上级主管部门报告。上级主管部门要定期和不定期对项目执行情况进行检查和稽察。”</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《水利部印发关于贯彻落实加强公益性水利工程建设管理若干意见的实施意见的通知》（水建管〔2001〕74 号）第三条：“加强建设管理（一）加强各级水行政主管部门的建设管理各级水行政主管部门要认真履行建设管理职责，严格监督、检查基建程序、招标投标、建设监理、工程质量和资金管理等有关法规、规章的执行情况，对违反规定的要及时纠正和查处。”</w:t>
            </w:r>
            <w:r>
              <w:rPr>
                <w:rFonts w:hint="default" w:ascii="CESI仿宋-GB2312" w:hAnsi="CESI仿宋-GB2312" w:eastAsia="CESI仿宋-GB2312" w:cs="CESI仿宋-GB2312"/>
                <w:i w:val="0"/>
                <w:color w:val="000000"/>
                <w:kern w:val="0"/>
                <w:sz w:val="22"/>
                <w:szCs w:val="22"/>
                <w:u w:val="none"/>
                <w:lang w:val="en-US" w:eastAsia="zh-CN" w:bidi="ar"/>
              </w:rPr>
              <w:br w:type="textWrapping"/>
            </w:r>
            <w:r>
              <w:rPr>
                <w:rFonts w:hint="default" w:ascii="CESI仿宋-GB2312" w:hAnsi="CESI仿宋-GB2312" w:eastAsia="CESI仿宋-GB2312" w:cs="CESI仿宋-GB2312"/>
                <w:i w:val="0"/>
                <w:color w:val="000000"/>
                <w:kern w:val="0"/>
                <w:sz w:val="22"/>
                <w:szCs w:val="22"/>
                <w:u w:val="none"/>
                <w:lang w:val="en-US" w:eastAsia="zh-CN" w:bidi="ar"/>
              </w:rPr>
              <w:t xml:space="preserve"> 《水利工程建设项目管理规定》（水建〔1995〕128 号）第四条：“水利工程建设项目管理要严格按建设程序进行，实行全过程的管理、监督、服务。”第八条：“省（自治区、直辖市）水利（水电）厅（局）是本地区的水行政主管部门，负责本地区水利工程建设的行业管理。”</w:t>
            </w:r>
          </w:p>
        </w:tc>
      </w:tr>
    </w:tbl>
    <w:p w14:paraId="7B8622B3"/>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CESI仿宋-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KSOF557087D0">
    <w:panose1 w:val="02000500000000000000"/>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3FC671B"/>
    <w:rsid w:val="003F73CA"/>
    <w:rsid w:val="152B03E6"/>
    <w:rsid w:val="33FC67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3115</Words>
  <Characters>3167</Characters>
  <Lines>0</Lines>
  <Paragraphs>0</Paragraphs>
  <TotalTime>3</TotalTime>
  <ScaleCrop>false</ScaleCrop>
  <LinksUpToDate>false</LinksUpToDate>
  <CharactersWithSpaces>3180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2025-12-26T11:31:00Z</dcterms:created>
  <dc:creator>清华</dc:creator>
  <cp:lastModifiedBy>WPS_1670555283</cp:lastModifiedBy>
  <dcterms:modified xsi:type="dcterms:W3CDTF">2025-12-29T03:16:46Z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eyJoZGlkIjoiODJjMjQ4MDFkM2QzZWU1NzA0NDZjZDhiNmY0MGI1ZWYiLCJ1c2VySWQiOiIxNDQwNDc1NDM4In0=</vt:lpwstr>
  </property>
  <property fmtid="{D5CDD505-2E9C-101B-9397-08002B2CF9AE}" pid="4" name="ICV">
    <vt:lpwstr>07CAC169E2924722A8B6DBE719394E2A_12</vt:lpwstr>
  </property>
</Properties>
</file>