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5017" w:type="pct"/>
        <w:tblInd w:w="0" w:type="dxa"/>
        <w:shd w:val="clear" w:color="auto" w:fill="auto"/>
        <w:tblLayout w:type="autofit"/>
        <w:tblCellMar>
          <w:top w:w="0" w:type="dxa"/>
          <w:left w:w="0" w:type="dxa"/>
          <w:bottom w:w="0" w:type="dxa"/>
          <w:right w:w="0" w:type="dxa"/>
        </w:tblCellMar>
      </w:tblPr>
      <w:tblGrid>
        <w:gridCol w:w="749"/>
        <w:gridCol w:w="3306"/>
        <w:gridCol w:w="11165"/>
      </w:tblGrid>
      <w:tr w14:paraId="330EB21A">
        <w:tblPrEx>
          <w:shd w:val="clear" w:color="auto" w:fill="auto"/>
          <w:tblCellMar>
            <w:top w:w="0" w:type="dxa"/>
            <w:left w:w="0" w:type="dxa"/>
            <w:bottom w:w="0" w:type="dxa"/>
            <w:right w:w="0" w:type="dxa"/>
          </w:tblCellMar>
        </w:tblPrEx>
        <w:trPr>
          <w:trHeight w:val="575" w:hRule="atLeast"/>
        </w:trPr>
        <w:tc>
          <w:tcPr>
            <w:tcW w:w="5000"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620849">
            <w:pPr>
              <w:keepNext w:val="0"/>
              <w:keepLines w:val="0"/>
              <w:widowControl/>
              <w:suppressLineNumbers w:val="0"/>
              <w:jc w:val="center"/>
              <w:textAlignment w:val="center"/>
              <w:rPr>
                <w:rFonts w:hint="eastAsia" w:ascii="黑体" w:hAnsi="黑体" w:eastAsia="黑体" w:cs="黑体"/>
                <w:i w:val="0"/>
                <w:color w:val="000000"/>
                <w:kern w:val="0"/>
                <w:sz w:val="28"/>
                <w:szCs w:val="28"/>
                <w:u w:val="none"/>
                <w:lang w:val="en-US" w:eastAsia="zh-CN" w:bidi="ar"/>
              </w:rPr>
            </w:pPr>
            <w:r>
              <w:rPr>
                <w:rFonts w:hint="eastAsia" w:ascii="黑体" w:hAnsi="黑体" w:eastAsia="黑体" w:cs="黑体"/>
                <w:i w:val="0"/>
                <w:color w:val="000000"/>
                <w:kern w:val="0"/>
                <w:sz w:val="28"/>
                <w:szCs w:val="28"/>
                <w:u w:val="none"/>
                <w:lang w:val="en-US" w:eastAsia="zh-CN" w:bidi="ar"/>
              </w:rPr>
              <w:t>检查事项和依据</w:t>
            </w:r>
          </w:p>
        </w:tc>
      </w:tr>
      <w:tr w14:paraId="49F6FA73">
        <w:tblPrEx>
          <w:shd w:val="clear" w:color="auto" w:fill="auto"/>
          <w:tblCellMar>
            <w:top w:w="0" w:type="dxa"/>
            <w:left w:w="0" w:type="dxa"/>
            <w:bottom w:w="0" w:type="dxa"/>
            <w:right w:w="0" w:type="dxa"/>
          </w:tblCellMar>
        </w:tblPrEx>
        <w:trPr>
          <w:trHeight w:val="635"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229F2E">
            <w:pPr>
              <w:keepNext w:val="0"/>
              <w:keepLines w:val="0"/>
              <w:widowControl/>
              <w:suppressLineNumbers w:val="0"/>
              <w:jc w:val="center"/>
              <w:textAlignment w:val="center"/>
              <w:rPr>
                <w:rFonts w:ascii="仿宋_GB2312" w:hAnsi="宋体" w:eastAsia="仿宋_GB2312" w:cs="仿宋_GB2312"/>
                <w:i w:val="0"/>
                <w:color w:val="000000"/>
                <w:sz w:val="28"/>
                <w:szCs w:val="28"/>
                <w:u w:val="none"/>
              </w:rPr>
            </w:pPr>
            <w:r>
              <w:rPr>
                <w:rFonts w:hint="eastAsia" w:ascii="仿宋_GB2312" w:hAnsi="宋体" w:eastAsia="仿宋_GB2312" w:cs="仿宋_GB2312"/>
                <w:i w:val="0"/>
                <w:color w:val="000000"/>
                <w:kern w:val="0"/>
                <w:sz w:val="28"/>
                <w:szCs w:val="28"/>
                <w:u w:val="none"/>
                <w:lang w:val="en-US" w:eastAsia="zh-CN" w:bidi="ar"/>
              </w:rPr>
              <w:t>序号</w:t>
            </w:r>
          </w:p>
        </w:tc>
        <w:tc>
          <w:tcPr>
            <w:tcW w:w="10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CD6799">
            <w:pPr>
              <w:keepNext w:val="0"/>
              <w:keepLines w:val="0"/>
              <w:widowControl/>
              <w:suppressLineNumbers w:val="0"/>
              <w:jc w:val="center"/>
              <w:textAlignment w:val="center"/>
              <w:rPr>
                <w:rFonts w:hint="eastAsia" w:ascii="仿宋_GB2312" w:hAnsi="宋体" w:eastAsia="仿宋_GB2312" w:cs="仿宋_GB2312"/>
                <w:i w:val="0"/>
                <w:color w:val="000000"/>
                <w:sz w:val="28"/>
                <w:szCs w:val="28"/>
                <w:u w:val="none"/>
              </w:rPr>
            </w:pPr>
            <w:r>
              <w:rPr>
                <w:rFonts w:hint="eastAsia" w:ascii="仿宋_GB2312" w:hAnsi="宋体" w:eastAsia="仿宋_GB2312" w:cs="仿宋_GB2312"/>
                <w:i w:val="0"/>
                <w:color w:val="000000"/>
                <w:kern w:val="0"/>
                <w:sz w:val="28"/>
                <w:szCs w:val="28"/>
                <w:u w:val="none"/>
                <w:lang w:val="en-US" w:eastAsia="zh-CN" w:bidi="ar"/>
              </w:rPr>
              <w:t>涉企行政检查事项</w:t>
            </w:r>
          </w:p>
        </w:tc>
        <w:tc>
          <w:tcPr>
            <w:tcW w:w="366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ADC0A5">
            <w:pPr>
              <w:keepNext w:val="0"/>
              <w:keepLines w:val="0"/>
              <w:widowControl/>
              <w:suppressLineNumbers w:val="0"/>
              <w:jc w:val="center"/>
              <w:textAlignment w:val="center"/>
              <w:rPr>
                <w:rFonts w:hint="eastAsia" w:ascii="仿宋_GB2312" w:hAnsi="宋体" w:eastAsia="仿宋_GB2312" w:cs="仿宋_GB2312"/>
                <w:i w:val="0"/>
                <w:color w:val="000000"/>
                <w:sz w:val="28"/>
                <w:szCs w:val="28"/>
                <w:u w:val="none"/>
              </w:rPr>
            </w:pPr>
            <w:r>
              <w:rPr>
                <w:rFonts w:hint="eastAsia" w:ascii="仿宋_GB2312" w:hAnsi="宋体" w:eastAsia="仿宋_GB2312" w:cs="仿宋_GB2312"/>
                <w:i w:val="0"/>
                <w:color w:val="000000"/>
                <w:kern w:val="0"/>
                <w:sz w:val="28"/>
                <w:szCs w:val="28"/>
                <w:u w:val="none"/>
                <w:lang w:val="en-US" w:eastAsia="zh-CN" w:bidi="ar"/>
              </w:rPr>
              <w:t>检查依据</w:t>
            </w:r>
          </w:p>
        </w:tc>
      </w:tr>
      <w:tr w14:paraId="6AA5ECB6">
        <w:tblPrEx>
          <w:shd w:val="clear" w:color="auto" w:fill="auto"/>
          <w:tblCellMar>
            <w:top w:w="0" w:type="dxa"/>
            <w:left w:w="0" w:type="dxa"/>
            <w:bottom w:w="0" w:type="dxa"/>
            <w:right w:w="0" w:type="dxa"/>
          </w:tblCellMar>
        </w:tblPrEx>
        <w:trPr>
          <w:trHeight w:val="1955"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F14131">
            <w:pPr>
              <w:keepNext w:val="0"/>
              <w:keepLines w:val="0"/>
              <w:widowControl/>
              <w:suppressLineNumbers w:val="0"/>
              <w:jc w:val="center"/>
              <w:textAlignment w:val="center"/>
              <w:rPr>
                <w:rFonts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1</w:t>
            </w:r>
          </w:p>
        </w:tc>
        <w:tc>
          <w:tcPr>
            <w:tcW w:w="10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AB8B82">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对违反水法的行为监督检查</w:t>
            </w:r>
          </w:p>
        </w:tc>
        <w:tc>
          <w:tcPr>
            <w:tcW w:w="366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0DE49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 xml:space="preserve">  《中华人民共和国水法》（2002年8月主席令第74条）第五十九条:“县级以上人民政府水行政主管部门和流域管理机构应当对违反本法的行为加强监督检查并依法进行查处。水政监督检查人员应当忠于职守，秉公执法。六十条:“县级以上人民政府水行政主管部门、流域管理机构及其水政监督检查人员履行本法规定的监督检查职责时，有权采取下列措施：(一)要求被检查单位提供有关文件、证照、资料；(二)要求被检查单位就执行本法的有关问题作出说明；(三)进入被检查单位的生产场所进行调查；(四)责令被检查单位停止违反本法的行为，履行法定义务。”六十一条:“有关单位或者个人对水政监督检查人员的监督检查工作应当给予配合，不得拒绝或者阻碍水政监督检查人员依法执行职务。”</w:t>
            </w:r>
          </w:p>
        </w:tc>
      </w:tr>
      <w:tr w14:paraId="57A57DF4">
        <w:tblPrEx>
          <w:shd w:val="clear" w:color="auto" w:fill="auto"/>
          <w:tblCellMar>
            <w:top w:w="0" w:type="dxa"/>
            <w:left w:w="0" w:type="dxa"/>
            <w:bottom w:w="0" w:type="dxa"/>
            <w:right w:w="0" w:type="dxa"/>
          </w:tblCellMar>
        </w:tblPrEx>
        <w:trPr>
          <w:trHeight w:val="3270"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6DD685">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2</w:t>
            </w:r>
          </w:p>
        </w:tc>
        <w:tc>
          <w:tcPr>
            <w:tcW w:w="10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D8C501">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取水许可监督检查</w:t>
            </w:r>
          </w:p>
        </w:tc>
        <w:tc>
          <w:tcPr>
            <w:tcW w:w="366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0880D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 xml:space="preserve">  《取水许可和水资源费征收管理条例》（2006年2月国务院令第460号）第三十八条：“县级以上人民政府水行政主管部门或者流域管理机构应当依照本条例规定，加强对取水许可制度实施的监督管理。”第四十五条：“县级以上人民政府水行政主管部门或者流域管理机构在进行监督检查时，有权采取下列措施：（一）要求被检查单位或者个人提供有关文件、证照、资料；（二）要求被检查单位或者个人就执行本条例的有关问题作出说明；（三）进入被检查单位或者个人的生产场所进行调查；（四）责令被检查单位或者个人停止违反本条例的行为，履行法定义务。监督检查人员在进行监督检查时，应当出示合法有效的行政执法证件。有关单位和个人对监督检查工作应当给予配合，不得拒绝或者阻碍监督检查人员依法执行公务。”</w:t>
            </w:r>
            <w:r>
              <w:rPr>
                <w:rFonts w:hint="default" w:ascii="CESI仿宋-GB2312" w:hAnsi="CESI仿宋-GB2312" w:eastAsia="CESI仿宋-GB2312" w:cs="CESI仿宋-GB2312"/>
                <w:i w:val="0"/>
                <w:color w:val="000000"/>
                <w:kern w:val="0"/>
                <w:sz w:val="22"/>
                <w:szCs w:val="22"/>
                <w:u w:val="none"/>
                <w:lang w:val="en-US" w:eastAsia="zh-CN" w:bidi="ar"/>
              </w:rPr>
              <w:br w:type="textWrapping"/>
            </w:r>
            <w:r>
              <w:rPr>
                <w:rFonts w:hint="default" w:ascii="CESI仿宋-GB2312" w:hAnsi="CESI仿宋-GB2312" w:eastAsia="CESI仿宋-GB2312" w:cs="CESI仿宋-GB2312"/>
                <w:i w:val="0"/>
                <w:color w:val="000000"/>
                <w:kern w:val="0"/>
                <w:sz w:val="22"/>
                <w:szCs w:val="22"/>
                <w:u w:val="none"/>
                <w:lang w:val="en-US" w:eastAsia="zh-CN" w:bidi="ar"/>
              </w:rPr>
              <w:t xml:space="preserve">  《河南省取水许可和水资源费征收管理办法》（省政府令第126号）第二十三条：“县级以上水行政主管部门在进行监督检查时，有权采取下列措施：（一）要求被检查单位或者个人提供有关文件、证照、资料；（二）要求被检查单位或者个人就执行本办法的有关问题作出说明；（三）进入被检查单位或者个人的生产场所进行调查；（四）责令被检查单位或者个人停止违反本办法的行为，履行法定义务。监督检查人员在进行监督检查时，应当出示合法有效的行政执法证件。有关单</w:t>
            </w:r>
            <w:bookmarkStart w:id="0" w:name="_GoBack"/>
            <w:r>
              <w:rPr>
                <w:rFonts w:hint="default" w:ascii="CESI仿宋-GB2312" w:hAnsi="CESI仿宋-GB2312" w:eastAsia="CESI仿宋-GB2312" w:cs="CESI仿宋-GB2312"/>
                <w:i w:val="0"/>
                <w:color w:val="000000"/>
                <w:kern w:val="0"/>
                <w:sz w:val="22"/>
                <w:szCs w:val="22"/>
                <w:u w:val="none"/>
                <w:lang w:val="en-US" w:eastAsia="zh-CN" w:bidi="ar"/>
              </w:rPr>
              <w:t>位</w:t>
            </w:r>
            <w:bookmarkEnd w:id="0"/>
            <w:r>
              <w:rPr>
                <w:rFonts w:hint="default" w:ascii="CESI仿宋-GB2312" w:hAnsi="CESI仿宋-GB2312" w:eastAsia="CESI仿宋-GB2312" w:cs="CESI仿宋-GB2312"/>
                <w:i w:val="0"/>
                <w:color w:val="000000"/>
                <w:kern w:val="0"/>
                <w:sz w:val="22"/>
                <w:szCs w:val="22"/>
                <w:u w:val="none"/>
                <w:lang w:val="en-US" w:eastAsia="zh-CN" w:bidi="ar"/>
              </w:rPr>
              <w:t>和个人对监督检查工作应当给予配合，不得拒绝或者阻碍监督检查人员依法执行公务。”</w:t>
            </w:r>
          </w:p>
        </w:tc>
      </w:tr>
      <w:tr w14:paraId="39263364">
        <w:tblPrEx>
          <w:shd w:val="clear" w:color="auto" w:fill="auto"/>
          <w:tblCellMar>
            <w:top w:w="0" w:type="dxa"/>
            <w:left w:w="0" w:type="dxa"/>
            <w:bottom w:w="0" w:type="dxa"/>
            <w:right w:w="0" w:type="dxa"/>
          </w:tblCellMar>
        </w:tblPrEx>
        <w:trPr>
          <w:trHeight w:val="1075"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75B451">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3</w:t>
            </w:r>
          </w:p>
        </w:tc>
        <w:tc>
          <w:tcPr>
            <w:tcW w:w="10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A262DD">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节约用水监督检查</w:t>
            </w:r>
          </w:p>
        </w:tc>
        <w:tc>
          <w:tcPr>
            <w:tcW w:w="366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05A71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河南省节约用水管理条例》（2004年5月28日河南省第十届人民代表大会常务委员会第九次会议通过第14号公告）第五条：“县级以上人民政府水行政主管部门负责组织、管理和监督本行政区域内的节约用水工作。其他有关部门按照职责分工，负责有关的节约用水工作。”</w:t>
            </w:r>
          </w:p>
        </w:tc>
      </w:tr>
      <w:tr w14:paraId="0667D8F3">
        <w:tblPrEx>
          <w:shd w:val="clear" w:color="auto" w:fill="auto"/>
          <w:tblCellMar>
            <w:top w:w="0" w:type="dxa"/>
            <w:left w:w="0" w:type="dxa"/>
            <w:bottom w:w="0" w:type="dxa"/>
            <w:right w:w="0" w:type="dxa"/>
          </w:tblCellMar>
        </w:tblPrEx>
        <w:trPr>
          <w:trHeight w:val="1900"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84A405">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4</w:t>
            </w:r>
          </w:p>
        </w:tc>
        <w:tc>
          <w:tcPr>
            <w:tcW w:w="10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D476F2">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水土保持监督检查</w:t>
            </w:r>
          </w:p>
        </w:tc>
        <w:tc>
          <w:tcPr>
            <w:tcW w:w="366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9211B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中华人民共和国水土保持法》第二十九条：“县级以上人民政府水行政主管部门、流域管理机构，应当对生产建设项目水土保持方案的实施情况进行跟踪检查，发现问题及时处理。”第四十三条：“县级以上人民政府水行政主管部门负责对水土保持情况进行监督检查。流域管理机构在其管辖范围内可以行使国务院水行政主管部门的监督检查职权。”第四十七条：“水行政主管部门或者其他依照本法规定行使监督管理权的部门，不依法作出行政许可决定或者办理批准文件的，发现违法行为或者接到对违法行为的举报不予查处的，或者有其他未依照本法规定履行职责的行为的，对直接负责的主管人员和其他直接责任人员依法给予处分。”</w:t>
            </w:r>
          </w:p>
        </w:tc>
      </w:tr>
      <w:tr w14:paraId="46F1B36C">
        <w:tblPrEx>
          <w:shd w:val="clear" w:color="auto" w:fill="auto"/>
          <w:tblCellMar>
            <w:top w:w="0" w:type="dxa"/>
            <w:left w:w="0" w:type="dxa"/>
            <w:bottom w:w="0" w:type="dxa"/>
            <w:right w:w="0" w:type="dxa"/>
          </w:tblCellMar>
        </w:tblPrEx>
        <w:trPr>
          <w:trHeight w:val="1810"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C42EE5">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5</w:t>
            </w:r>
          </w:p>
        </w:tc>
        <w:tc>
          <w:tcPr>
            <w:tcW w:w="10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9412E7">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安全生产监督检查</w:t>
            </w:r>
          </w:p>
        </w:tc>
        <w:tc>
          <w:tcPr>
            <w:tcW w:w="366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22403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中华人民共和国安全生产法》（2014年8月主席令第13号）第九条：“县级以上地方各级人民政府有关部门依照本法和其它有关法律、法规的规定，在各自职责范围内对有关行业、领域的安全生产工作实施监督管理”。</w:t>
            </w:r>
            <w:r>
              <w:rPr>
                <w:rFonts w:hint="default" w:ascii="CESI仿宋-GB2312" w:hAnsi="CESI仿宋-GB2312" w:eastAsia="CESI仿宋-GB2312" w:cs="CESI仿宋-GB2312"/>
                <w:i w:val="0"/>
                <w:color w:val="000000"/>
                <w:kern w:val="0"/>
                <w:sz w:val="22"/>
                <w:szCs w:val="22"/>
                <w:u w:val="none"/>
                <w:lang w:val="en-US" w:eastAsia="zh-CN" w:bidi="ar"/>
              </w:rPr>
              <w:br w:type="textWrapping"/>
            </w:r>
            <w:r>
              <w:rPr>
                <w:rFonts w:hint="default" w:ascii="CESI仿宋-GB2312" w:hAnsi="CESI仿宋-GB2312" w:eastAsia="CESI仿宋-GB2312" w:cs="CESI仿宋-GB2312"/>
                <w:i w:val="0"/>
                <w:color w:val="000000"/>
                <w:kern w:val="0"/>
                <w:sz w:val="22"/>
                <w:szCs w:val="22"/>
                <w:u w:val="none"/>
                <w:lang w:val="en-US" w:eastAsia="zh-CN" w:bidi="ar"/>
              </w:rPr>
              <w:t>《水利工程建设安全生产管理规定》（2005年7月水利部第26号令）第二十六条：“水行政主管部门和流域管理机构按照分级管理权限，负责水利工程建设安全生产的监督管理。水行政主管部门或者流域管理机构委托的安全生产监督机构，负责水利工程施工现场的具体监督检查工作。”第二十九条：“省、自治区、直辖市人民政府水行政主管部门负责本行政区域内所管辖的水利工程建设安全生产的监督管理工作。</w:t>
            </w:r>
          </w:p>
        </w:tc>
      </w:tr>
      <w:tr w14:paraId="6FD535EA">
        <w:tblPrEx>
          <w:shd w:val="clear" w:color="auto" w:fill="auto"/>
          <w:tblCellMar>
            <w:top w:w="0" w:type="dxa"/>
            <w:left w:w="0" w:type="dxa"/>
            <w:bottom w:w="0" w:type="dxa"/>
            <w:right w:w="0" w:type="dxa"/>
          </w:tblCellMar>
        </w:tblPrEx>
        <w:trPr>
          <w:trHeight w:val="1610"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AC2AC1">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6</w:t>
            </w:r>
          </w:p>
        </w:tc>
        <w:tc>
          <w:tcPr>
            <w:tcW w:w="10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F4DB75">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工程质量监督检查</w:t>
            </w:r>
          </w:p>
        </w:tc>
        <w:tc>
          <w:tcPr>
            <w:tcW w:w="366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E690D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水利工程质量管理规定》（1997年12月水利部第7号令）第五条：“各省、自治区、直辖市水行政主管部门负责本行政区域内水利工程质量管理工作。”第十条：“政府对水利工程的质量实行监督的制度。水利工程按照分级管理的原则由相应水行政主管部门授权的质量监督机构实施质量监督。”第十三条：“水利工程质量监督机构负责监督设计、监理、施工单位在其资质等级允许范围内从事水利工程建设的质量工作；负责检查、督促建设、监理、设计、施工单位建立健全质量体系。水利工程质量监督机构，按照国家和水利行业有关工程建设法规、技术标准和设计文件实施工程质量监督，对施工现场影响工程质量的行为进行监督检查。”</w:t>
            </w:r>
          </w:p>
        </w:tc>
      </w:tr>
      <w:tr w14:paraId="733688E8">
        <w:tblPrEx>
          <w:shd w:val="clear" w:color="auto" w:fill="auto"/>
          <w:tblCellMar>
            <w:top w:w="0" w:type="dxa"/>
            <w:left w:w="0" w:type="dxa"/>
            <w:bottom w:w="0" w:type="dxa"/>
            <w:right w:w="0" w:type="dxa"/>
          </w:tblCellMar>
        </w:tblPrEx>
        <w:trPr>
          <w:trHeight w:val="3320"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EC8FDF">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7</w:t>
            </w:r>
          </w:p>
        </w:tc>
        <w:tc>
          <w:tcPr>
            <w:tcW w:w="10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2F0917">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水利建设市场主体行为监督检查</w:t>
            </w:r>
          </w:p>
        </w:tc>
        <w:tc>
          <w:tcPr>
            <w:tcW w:w="366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7ADA1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 xml:space="preserve">《水利建设市场主体信用评价管理暂行办法》（水建管〔2015〕377 号）第五条：“水利建设市场主体的信用评价结果记入其信用档案，并在全国水利建设市场信用信息平台上向社会公布。各级水行政主管部门、项目主管部门（单位）、项目法人和有关单位应在招标投标、政府采购、行政审批、市场准入、资质管理、评优评奖、日常监管等工作中，积极应用信用评价结果，实行市场主体信用分类监管，建立健全守信激励失信惩戒机制。省级水行政主管部门可结合本地实际，制定信用评价结果的应用办法或在其他相关规章制度中明确信用评价结果应用的条款。”第二十一条：“水利建设市场主体信用评价实行一票否决制，凡发生严重失信行为的，其信用等级一律为CCC级；取得BBB级（含）以上信用等级的水利建设市场主体发生严重失信行为的，应立即将其信用等级降为CCC级并向社会公布，3年内不受理其升级申请。上述严重失信行为包括：（一）出借、借用资质证书进行投标或承接工程的；（二）围标、串标的；（三）转包或违法分包所承揽工程的；（四）有行贿、受贿违法记录的；（五）对重（特）大质量事故、生产安全事故负有直接责任的；（六）公开信息隐瞒真实情况、弄虚作假的。” 第二十四条：“评价机构在评价活动中违反评价标准和评价程序、有失客观公正的，责令改正；在评价活动中弄虚作假、与市场主体串通操纵评价结果的，禁止继续参与水利建设市场主体信用评价工作。评价工作人员违反本办法规定的，责令改正;在工作中玩忽职守、弄虚作假、滥用职权、徇私舞弊的，依法依纪给予处分；涉嫌犯罪的，移送司法机关依法追究刑事责任。” </w:t>
            </w:r>
          </w:p>
        </w:tc>
      </w:tr>
      <w:tr w14:paraId="7B533A3D">
        <w:tblPrEx>
          <w:shd w:val="clear" w:color="auto" w:fill="auto"/>
          <w:tblCellMar>
            <w:top w:w="0" w:type="dxa"/>
            <w:left w:w="0" w:type="dxa"/>
            <w:bottom w:w="0" w:type="dxa"/>
            <w:right w:w="0" w:type="dxa"/>
          </w:tblCellMar>
        </w:tblPrEx>
        <w:trPr>
          <w:trHeight w:val="3195" w:hRule="atLeast"/>
        </w:trPr>
        <w:tc>
          <w:tcPr>
            <w:tcW w:w="2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3EC2DB">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8</w:t>
            </w:r>
          </w:p>
        </w:tc>
        <w:tc>
          <w:tcPr>
            <w:tcW w:w="10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9C4A06">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水利工程建设项目监督检查</w:t>
            </w:r>
          </w:p>
        </w:tc>
        <w:tc>
          <w:tcPr>
            <w:tcW w:w="366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348A8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《国务院批转国家计委、财政部、水利部、建设部&lt;关于加强公益性水利工程建设管理若干意见的通知&gt;》（国发〔2000〕20 号）第六条：“加强对水利工程建设的检查监督（一）各级计划、财政、水利及建设部门要充实检查监督力量，对水利工程建设项目及移民建镇项目的工程质量、建设进度和资金管理使用情况经常进行稽察、检查和监督，发现问题及时提出整改意见，按管理权限查处，并应及时将有关情况向同级人民政府和上级主管部门报告。上级主管部门要定期和不定期对项目执行情况进行检查和稽察。”</w:t>
            </w:r>
            <w:r>
              <w:rPr>
                <w:rFonts w:hint="default" w:ascii="CESI仿宋-GB2312" w:hAnsi="CESI仿宋-GB2312" w:eastAsia="CESI仿宋-GB2312" w:cs="CESI仿宋-GB2312"/>
                <w:i w:val="0"/>
                <w:color w:val="000000"/>
                <w:kern w:val="0"/>
                <w:sz w:val="22"/>
                <w:szCs w:val="22"/>
                <w:u w:val="none"/>
                <w:lang w:val="en-US" w:eastAsia="zh-CN" w:bidi="ar"/>
              </w:rPr>
              <w:br w:type="textWrapping"/>
            </w:r>
            <w:r>
              <w:rPr>
                <w:rFonts w:hint="default" w:ascii="CESI仿宋-GB2312" w:hAnsi="CESI仿宋-GB2312" w:eastAsia="CESI仿宋-GB2312" w:cs="CESI仿宋-GB2312"/>
                <w:i w:val="0"/>
                <w:color w:val="000000"/>
                <w:kern w:val="0"/>
                <w:sz w:val="22"/>
                <w:szCs w:val="22"/>
                <w:u w:val="none"/>
                <w:lang w:val="en-US" w:eastAsia="zh-CN" w:bidi="ar"/>
              </w:rPr>
              <w:t>《水利部印发关于贯彻落实加强公益性水利工程建设管理若干意见的实施意见的通知》（水建管〔2001〕74 号）第三条：“加强建设管理（一）加强各级水行政主管部门的建设管理各级水行政主管部门要认真履行建设管理职责，严格监督、检查基建程序、招标投标、建设监理、工程质量和资金管理等有关法规、规章的执行情况，对违反规定的要及时纠正和查处。”</w:t>
            </w:r>
            <w:r>
              <w:rPr>
                <w:rFonts w:hint="default" w:ascii="CESI仿宋-GB2312" w:hAnsi="CESI仿宋-GB2312" w:eastAsia="CESI仿宋-GB2312" w:cs="CESI仿宋-GB2312"/>
                <w:i w:val="0"/>
                <w:color w:val="000000"/>
                <w:kern w:val="0"/>
                <w:sz w:val="22"/>
                <w:szCs w:val="22"/>
                <w:u w:val="none"/>
                <w:lang w:val="en-US" w:eastAsia="zh-CN" w:bidi="ar"/>
              </w:rPr>
              <w:br w:type="textWrapping"/>
            </w:r>
            <w:r>
              <w:rPr>
                <w:rFonts w:hint="default" w:ascii="CESI仿宋-GB2312" w:hAnsi="CESI仿宋-GB2312" w:eastAsia="CESI仿宋-GB2312" w:cs="CESI仿宋-GB2312"/>
                <w:i w:val="0"/>
                <w:color w:val="000000"/>
                <w:kern w:val="0"/>
                <w:sz w:val="22"/>
                <w:szCs w:val="22"/>
                <w:u w:val="none"/>
                <w:lang w:val="en-US" w:eastAsia="zh-CN" w:bidi="ar"/>
              </w:rPr>
              <w:t xml:space="preserve"> 《水利工程建设项目管理规定》（水建〔1995〕128 号）第四条：“水利工程建设项目管理要严格按建设程序进行，实行全过程的管理、监督、服务。”第八条：“省（自治区、直辖市）水利（水电）厅（局）是本地区的水行政主管部门，负责本地区水利工程建设的行业管理。”</w:t>
            </w:r>
          </w:p>
        </w:tc>
      </w:tr>
    </w:tbl>
    <w:p w14:paraId="2BAC8C88"/>
    <w:sectPr>
      <w:pgSz w:w="16838" w:h="11906" w:orient="landscape"/>
      <w:pgMar w:top="567" w:right="850" w:bottom="567" w:left="85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ESI仿宋-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KSOF557087D0">
    <w:panose1 w:val="02000500000000000000"/>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3FC671B"/>
    <w:rsid w:val="268C70C2"/>
    <w:rsid w:val="33FC67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3118</Words>
  <Characters>3170</Characters>
  <Lines>0</Lines>
  <Paragraphs>0</Paragraphs>
  <TotalTime>3</TotalTime>
  <ScaleCrop>false</ScaleCrop>
  <LinksUpToDate>false</LinksUpToDate>
  <CharactersWithSpaces>3183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2025-12-26T11:31:00Z</dcterms:created>
  <dc:creator>清华</dc:creator>
  <cp:lastModifiedBy>WPS_1670555283</cp:lastModifiedBy>
  <dcterms:modified xsi:type="dcterms:W3CDTF">2025-12-29T03:26:02Z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eyJoZGlkIjoiODJjMjQ4MDFkM2QzZWU1NzA0NDZjZDhiNmY0MGI1ZWYiLCJ1c2VySWQiOiIxNDQwNDc1NDM4In0=</vt:lpwstr>
  </property>
  <property fmtid="{D5CDD505-2E9C-101B-9397-08002B2CF9AE}" pid="4" name="ICV">
    <vt:lpwstr>1B2F7ACFB4594C3596472B7FB266971B_12</vt:lpwstr>
  </property>
</Properties>
</file>