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atLeast"/>
        <w:jc w:val="center"/>
        <w:textAlignment w:val="auto"/>
        <w:rPr>
          <w:rFonts w:ascii="方正小标宋简体" w:hAnsi="方正小标宋简体" w:eastAsia="方正小标宋简体" w:cs="方正小标宋简体"/>
          <w:color w:val="auto"/>
          <w:sz w:val="44"/>
          <w:szCs w:val="44"/>
        </w:rPr>
      </w:pPr>
      <w:r>
        <w:rPr>
          <w:rFonts w:hint="eastAsia" w:ascii="方正小标宋简体" w:hAnsi="方正小标宋简体" w:eastAsia="方正小标宋简体" w:cs="方正小标宋简体"/>
          <w:color w:val="auto"/>
          <w:sz w:val="44"/>
          <w:szCs w:val="44"/>
        </w:rPr>
        <w:t>项城市应急管理局</w:t>
      </w:r>
    </w:p>
    <w:p>
      <w:pPr>
        <w:widowControl w:val="0"/>
        <w:wordWrap/>
        <w:adjustRightInd w:val="0"/>
        <w:snapToGrid w:val="0"/>
        <w:spacing w:line="560" w:lineRule="atLeast"/>
        <w:jc w:val="center"/>
        <w:textAlignment w:val="auto"/>
        <w:rPr>
          <w:color w:val="auto"/>
        </w:rPr>
      </w:pPr>
      <w:r>
        <w:rPr>
          <w:rFonts w:hint="eastAsia" w:ascii="方正小标宋简体" w:hAnsi="方正小标宋简体" w:eastAsia="方正小标宋简体" w:cs="方正小标宋简体"/>
          <w:color w:val="auto"/>
          <w:sz w:val="44"/>
          <w:szCs w:val="44"/>
          <w:lang w:eastAsia="zh-CN"/>
        </w:rPr>
        <w:t>2025</w:t>
      </w:r>
      <w:r>
        <w:rPr>
          <w:rFonts w:hint="eastAsia" w:ascii="方正小标宋简体" w:hAnsi="方正小标宋简体" w:eastAsia="方正小标宋简体" w:cs="方正小标宋简体"/>
          <w:color w:val="auto"/>
          <w:sz w:val="44"/>
          <w:szCs w:val="44"/>
        </w:rPr>
        <w:t>年度安全生产监督检查计划</w:t>
      </w:r>
    </w:p>
    <w:p>
      <w:pPr>
        <w:widowControl w:val="0"/>
        <w:wordWrap/>
        <w:adjustRightInd w:val="0"/>
        <w:snapToGrid w:val="0"/>
        <w:spacing w:line="560" w:lineRule="atLeast"/>
        <w:ind w:firstLine="640" w:firstLineChars="200"/>
        <w:textAlignment w:val="auto"/>
        <w:rPr>
          <w:rFonts w:ascii="仿宋" w:hAnsi="仿宋" w:eastAsia="仿宋"/>
          <w:color w:val="auto"/>
          <w:sz w:val="32"/>
          <w:szCs w:val="32"/>
        </w:rPr>
      </w:pPr>
      <w:r>
        <w:rPr>
          <w:rFonts w:hint="eastAsia" w:ascii="仿宋_GB2312" w:hAnsi="仿宋_GB2312" w:eastAsia="仿宋_GB2312" w:cs="仿宋_GB2312"/>
          <w:sz w:val="32"/>
          <w:szCs w:val="32"/>
          <w:lang w:val="en-US" w:eastAsia="zh-CN"/>
        </w:rPr>
        <w:t>根据《中华人民共和国安全生产法》、《河南省安全生产条例》、《河南省安全生产风险管控与隐患排查治理办法》、《安全生产监管监察职责和行政执法责任追究的规定》等规定，按照《安全生产年度监督检查计划编制办法》、《项城市应急管理局职能配置内设机构和人员编制规定》等文件精神，结合我局工作实际，编制项城市应急管理局2025年度安全生产监督检查计划。</w:t>
      </w:r>
    </w:p>
    <w:p>
      <w:pPr>
        <w:widowControl w:val="0"/>
        <w:wordWrap/>
        <w:adjustRightInd w:val="0"/>
        <w:snapToGrid w:val="0"/>
        <w:spacing w:line="560" w:lineRule="atLeast"/>
        <w:ind w:firstLine="640" w:firstLineChars="200"/>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rPr>
        <w:t>一、</w:t>
      </w:r>
      <w:r>
        <w:rPr>
          <w:rFonts w:hint="eastAsia" w:ascii="黑体" w:hAnsi="黑体" w:eastAsia="黑体" w:cs="黑体"/>
          <w:color w:val="auto"/>
          <w:sz w:val="32"/>
          <w:szCs w:val="32"/>
          <w:lang w:val="en-US" w:eastAsia="zh-CN"/>
        </w:rPr>
        <w:t>总体要求</w:t>
      </w:r>
    </w:p>
    <w:p>
      <w:pPr>
        <w:widowControl w:val="0"/>
        <w:wordWrap/>
        <w:adjustRightInd w:val="0"/>
        <w:snapToGrid w:val="0"/>
        <w:spacing w:line="560" w:lineRule="atLeas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以党的二十大精神和习近平总书记关于安全生产重要论述为指导，深入贯彻习近平总书记关于安全生产的一系列重要论述和李克强总理重要批示要求，深入贯彻落实省委、省政府和市委、市政府关于安全生产工作的决策部署，以《中华人民共和国安全生产法》等法律法规规章为依据，坚持分类分级和</w:t>
      </w:r>
      <w:r>
        <w:rPr>
          <w:rFonts w:hint="default" w:ascii="仿宋_GB2312" w:hAnsi="仿宋_GB2312" w:eastAsia="仿宋_GB2312" w:cs="仿宋_GB2312"/>
          <w:sz w:val="32"/>
          <w:szCs w:val="32"/>
          <w:lang w:val="en-US" w:eastAsia="zh-CN"/>
        </w:rPr>
        <w:t>“双随机一公开”监管执法原则要求，实施精准执法，督促生产经营单位落实安全生产主体责任，依法查处安全生产违法违规行为，有效防范化解重大安全风险，杜绝重特大生产安全事故，遏制较大生产安全事故，减少一般生产安全事故，确保全市安全生产形势持续稳定好转。</w:t>
      </w:r>
    </w:p>
    <w:p>
      <w:pPr>
        <w:widowControl w:val="0"/>
        <w:wordWrap/>
        <w:adjustRightInd w:val="0"/>
        <w:snapToGrid w:val="0"/>
        <w:spacing w:line="560" w:lineRule="atLeast"/>
        <w:ind w:firstLine="640" w:firstLineChars="200"/>
        <w:textAlignment w:val="auto"/>
        <w:rPr>
          <w:rFonts w:hint="default" w:ascii="黑体" w:hAnsi="黑体" w:eastAsia="黑体" w:cs="黑体"/>
          <w:color w:val="auto"/>
          <w:sz w:val="32"/>
          <w:szCs w:val="32"/>
          <w:u w:val="none"/>
          <w:lang w:val="en-US" w:eastAsia="zh-CN"/>
        </w:rPr>
      </w:pPr>
      <w:r>
        <w:rPr>
          <w:rFonts w:hint="eastAsia" w:ascii="黑体" w:hAnsi="黑体" w:eastAsia="黑体" w:cs="黑体"/>
          <w:color w:val="auto"/>
          <w:sz w:val="32"/>
          <w:szCs w:val="32"/>
          <w:u w:val="none"/>
          <w:lang w:val="en-US" w:eastAsia="zh-CN"/>
        </w:rPr>
        <w:t>二、行政执法人员数量和执法工作日测算</w:t>
      </w:r>
    </w:p>
    <w:p>
      <w:pPr>
        <w:widowControl w:val="0"/>
        <w:wordWrap/>
        <w:adjustRightInd w:val="0"/>
        <w:snapToGrid w:val="0"/>
        <w:spacing w:line="560" w:lineRule="atLeas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项城市应急管理局机关和应急管理综合行政执法大队实有在编人员24人，有行政执法证的人员有19人，负有安全生产监管相关职责的内设机构1个，实际纳入年度执法人员为9名，占在册人数47.4%。</w:t>
      </w:r>
    </w:p>
    <w:p>
      <w:pPr>
        <w:widowControl w:val="0"/>
        <w:wordWrap/>
        <w:adjustRightInd w:val="0"/>
        <w:snapToGrid w:val="0"/>
        <w:spacing w:line="560" w:lineRule="atLeas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经测算，法定工作日共2250个工作日。其中，全年监督检查工作日972个、其他执法工作日117个、非执法工作日90个。</w:t>
      </w:r>
    </w:p>
    <w:p>
      <w:pPr>
        <w:widowControl w:val="0"/>
        <w:wordWrap/>
        <w:adjustRightInd w:val="0"/>
        <w:snapToGrid w:val="0"/>
        <w:spacing w:line="560" w:lineRule="atLeast"/>
        <w:ind w:firstLine="640" w:firstLineChars="2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2025年度监督检查生产经营单位共105家，其中重点监督检查生产经营单位74家，在年度监督检查计划中的占比为70.5%，对以上生产经营单位年度内至少进行1次检查。一般监督检查生产经营单位共31家，在年度监督检查计划中的占比为29.5%，对以上生产经营单位年度内采用“双随机、一公开”方式开展监督检查。</w:t>
      </w:r>
    </w:p>
    <w:p>
      <w:pPr>
        <w:widowControl w:val="0"/>
        <w:numPr>
          <w:ilvl w:val="0"/>
          <w:numId w:val="0"/>
        </w:numPr>
        <w:wordWrap/>
        <w:adjustRightInd w:val="0"/>
        <w:snapToGrid w:val="0"/>
        <w:spacing w:line="560" w:lineRule="atLeast"/>
        <w:ind w:firstLine="640" w:firstLineChars="200"/>
        <w:textAlignment w:val="auto"/>
        <w:rPr>
          <w:rFonts w:hint="eastAsia"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三、监督检查重点</w:t>
      </w:r>
    </w:p>
    <w:p>
      <w:pPr>
        <w:widowControl w:val="0"/>
        <w:numPr>
          <w:ilvl w:val="0"/>
          <w:numId w:val="0"/>
        </w:numPr>
        <w:wordWrap/>
        <w:adjustRightInd w:val="0"/>
        <w:snapToGrid w:val="0"/>
        <w:spacing w:line="560" w:lineRule="atLeast"/>
        <w:ind w:firstLine="640" w:firstLineChars="200"/>
        <w:textAlignment w:val="auto"/>
        <w:rPr>
          <w:rFonts w:hint="eastAsia" w:ascii="仿宋" w:hAnsi="仿宋" w:eastAsia="仿宋" w:cs="仿宋"/>
          <w:color w:val="auto"/>
          <w:sz w:val="32"/>
          <w:szCs w:val="32"/>
          <w:lang w:val="en-US" w:eastAsia="zh-CN"/>
        </w:rPr>
      </w:pPr>
      <w:r>
        <w:rPr>
          <w:rFonts w:hint="eastAsia" w:ascii="仿宋_GB2312" w:hAnsi="仿宋_GB2312" w:eastAsia="仿宋_GB2312" w:cs="仿宋_GB2312"/>
          <w:sz w:val="32"/>
          <w:szCs w:val="32"/>
          <w:lang w:val="en-US" w:eastAsia="zh-CN"/>
        </w:rPr>
        <w:t>按照分级分类负责、属地监管的原则，项城市应急管理局重点监督检查辖区内的危险化学品企业和工贸行业重点领域企业（还是纳入日常监管的工业企业）。监督检查内容：《安全生产法》、《河南省安全生产条例》、《河南省安全生产风险管控与隐患治理办法》等相关内容；党中央、国务院和省委省政府对安全生产工作的部署；应急管理部和省应急管理厅关于安全生产工作的具体要求，安全生产专项整治三年行动和双重预防体系建设情况等。</w:t>
      </w:r>
    </w:p>
    <w:p>
      <w:pPr>
        <w:widowControl w:val="0"/>
        <w:numPr>
          <w:ilvl w:val="0"/>
          <w:numId w:val="1"/>
        </w:numPr>
        <w:wordWrap/>
        <w:adjustRightInd w:val="0"/>
        <w:snapToGrid w:val="0"/>
        <w:spacing w:line="560" w:lineRule="atLeast"/>
        <w:ind w:firstLine="640" w:firstLineChars="200"/>
        <w:textAlignment w:val="auto"/>
        <w:rPr>
          <w:rFonts w:hint="default" w:ascii="仿宋_GB2312" w:hAnsi="仿宋_GB2312" w:eastAsia="仿宋_GB2312" w:cs="仿宋_GB2312"/>
          <w:sz w:val="32"/>
          <w:szCs w:val="32"/>
          <w:lang w:val="en-US" w:eastAsia="zh-CN"/>
        </w:rPr>
      </w:pPr>
      <w:r>
        <w:rPr>
          <w:rFonts w:hint="eastAsia" w:ascii="楷体" w:hAnsi="楷体" w:eastAsia="楷体" w:cs="楷体"/>
          <w:color w:val="auto"/>
          <w:sz w:val="32"/>
          <w:szCs w:val="32"/>
          <w:lang w:val="en-US" w:eastAsia="zh-CN"/>
        </w:rPr>
        <w:t>重点监督检查。</w:t>
      </w:r>
      <w:r>
        <w:rPr>
          <w:rFonts w:hint="default" w:ascii="仿宋_GB2312" w:hAnsi="仿宋_GB2312" w:eastAsia="仿宋_GB2312" w:cs="仿宋_GB2312"/>
          <w:sz w:val="32"/>
          <w:szCs w:val="32"/>
          <w:lang w:val="en-US" w:eastAsia="zh-CN"/>
        </w:rPr>
        <w:t>重点生产经营单位一个执法年度内实现监督检查全覆盖，主要包括：</w:t>
      </w:r>
      <w:r>
        <w:rPr>
          <w:rFonts w:hint="eastAsia" w:ascii="仿宋_GB2312" w:hAnsi="仿宋_GB2312" w:eastAsia="仿宋_GB2312" w:cs="仿宋_GB2312"/>
          <w:sz w:val="32"/>
          <w:szCs w:val="32"/>
          <w:lang w:val="en-US" w:eastAsia="zh-CN"/>
        </w:rPr>
        <w:t>涉及重点监管危险化学品、重点监管危险化学品工艺和危险化学品重大危险源的生产经营单位，烟花爆竹生产、批发单位，涉爆粉尘</w:t>
      </w:r>
      <w:r>
        <w:rPr>
          <w:rFonts w:hint="default" w:ascii="仿宋_GB2312" w:hAnsi="仿宋_GB2312" w:eastAsia="仿宋_GB2312" w:cs="仿宋_GB2312"/>
          <w:sz w:val="32"/>
          <w:szCs w:val="32"/>
          <w:lang w:val="en-US" w:eastAsia="zh-CN"/>
        </w:rPr>
        <w:t>等安全风险等级较高的生产经营单位</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近三年发生过造成人员死亡的生产安全事故</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纳入</w:t>
      </w:r>
      <w:r>
        <w:rPr>
          <w:rFonts w:hint="eastAsia" w:ascii="仿宋_GB2312" w:hAnsi="仿宋_GB2312" w:eastAsia="仿宋_GB2312" w:cs="仿宋_GB2312"/>
          <w:sz w:val="32"/>
          <w:szCs w:val="32"/>
          <w:lang w:val="en-US" w:eastAsia="zh-CN"/>
        </w:rPr>
        <w:t>安全生产</w:t>
      </w:r>
      <w:r>
        <w:rPr>
          <w:rFonts w:hint="default" w:ascii="仿宋_GB2312" w:hAnsi="仿宋_GB2312" w:eastAsia="仿宋_GB2312" w:cs="仿宋_GB2312"/>
          <w:sz w:val="32"/>
          <w:szCs w:val="32"/>
          <w:lang w:val="en-US" w:eastAsia="zh-CN"/>
        </w:rPr>
        <w:t>失信</w:t>
      </w:r>
      <w:r>
        <w:rPr>
          <w:rFonts w:hint="eastAsia" w:ascii="仿宋_GB2312" w:hAnsi="仿宋_GB2312" w:eastAsia="仿宋_GB2312" w:cs="仿宋_GB2312"/>
          <w:sz w:val="32"/>
          <w:szCs w:val="32"/>
          <w:lang w:val="en-US" w:eastAsia="zh-CN"/>
        </w:rPr>
        <w:t>行为联合</w:t>
      </w:r>
      <w:r>
        <w:rPr>
          <w:rFonts w:hint="default" w:ascii="仿宋_GB2312" w:hAnsi="仿宋_GB2312" w:eastAsia="仿宋_GB2312" w:cs="仿宋_GB2312"/>
          <w:sz w:val="32"/>
          <w:szCs w:val="32"/>
          <w:lang w:val="en-US" w:eastAsia="zh-CN"/>
        </w:rPr>
        <w:t>惩戒</w:t>
      </w:r>
      <w:r>
        <w:rPr>
          <w:rFonts w:hint="eastAsia" w:ascii="仿宋_GB2312" w:hAnsi="仿宋_GB2312" w:eastAsia="仿宋_GB2312" w:cs="仿宋_GB2312"/>
          <w:sz w:val="32"/>
          <w:szCs w:val="32"/>
          <w:lang w:val="en-US" w:eastAsia="zh-CN"/>
        </w:rPr>
        <w:t>对象、检查发现存在</w:t>
      </w:r>
      <w:r>
        <w:rPr>
          <w:rFonts w:hint="default" w:ascii="仿宋_GB2312" w:hAnsi="仿宋_GB2312" w:eastAsia="仿宋_GB2312" w:cs="仿宋_GB2312"/>
          <w:sz w:val="32"/>
          <w:szCs w:val="32"/>
          <w:lang w:val="en-US" w:eastAsia="zh-CN"/>
        </w:rPr>
        <w:t>重大</w:t>
      </w:r>
      <w:r>
        <w:rPr>
          <w:rFonts w:hint="eastAsia" w:ascii="仿宋_GB2312" w:hAnsi="仿宋_GB2312" w:eastAsia="仿宋_GB2312" w:cs="仿宋_GB2312"/>
          <w:sz w:val="32"/>
          <w:szCs w:val="32"/>
          <w:lang w:val="en-US" w:eastAsia="zh-CN"/>
        </w:rPr>
        <w:t>生产安全</w:t>
      </w:r>
      <w:r>
        <w:rPr>
          <w:rFonts w:hint="default" w:ascii="仿宋_GB2312" w:hAnsi="仿宋_GB2312" w:eastAsia="仿宋_GB2312" w:cs="仿宋_GB2312"/>
          <w:sz w:val="32"/>
          <w:szCs w:val="32"/>
          <w:lang w:val="en-US" w:eastAsia="zh-CN"/>
        </w:rPr>
        <w:t>事故隐患</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试生产或</w:t>
      </w:r>
      <w:r>
        <w:rPr>
          <w:rFonts w:hint="eastAsia" w:ascii="仿宋_GB2312" w:hAnsi="仿宋_GB2312" w:eastAsia="仿宋_GB2312" w:cs="仿宋_GB2312"/>
          <w:sz w:val="32"/>
          <w:szCs w:val="32"/>
          <w:lang w:val="en-US" w:eastAsia="zh-CN"/>
        </w:rPr>
        <w:t>者</w:t>
      </w:r>
      <w:r>
        <w:rPr>
          <w:rFonts w:hint="default" w:ascii="仿宋_GB2312" w:hAnsi="仿宋_GB2312" w:eastAsia="仿宋_GB2312" w:cs="仿宋_GB2312"/>
          <w:sz w:val="32"/>
          <w:szCs w:val="32"/>
          <w:lang w:val="en-US" w:eastAsia="zh-CN"/>
        </w:rPr>
        <w:t>复工复产</w:t>
      </w:r>
      <w:r>
        <w:rPr>
          <w:rFonts w:hint="eastAsia" w:ascii="仿宋_GB2312" w:hAnsi="仿宋_GB2312" w:eastAsia="仿宋_GB2312" w:cs="仿宋_GB2312"/>
          <w:sz w:val="32"/>
          <w:szCs w:val="32"/>
          <w:lang w:val="en-US" w:eastAsia="zh-CN"/>
        </w:rPr>
        <w:t>、其他应当纳入重点检查安排的生产经营单位。</w:t>
      </w:r>
    </w:p>
    <w:p>
      <w:pPr>
        <w:widowControl w:val="0"/>
        <w:numPr>
          <w:ilvl w:val="0"/>
          <w:numId w:val="0"/>
        </w:numPr>
        <w:wordWrap/>
        <w:adjustRightInd w:val="0"/>
        <w:snapToGrid w:val="0"/>
        <w:spacing w:line="560" w:lineRule="atLeast"/>
        <w:ind w:firstLine="640" w:firstLineChars="200"/>
        <w:textAlignment w:val="auto"/>
        <w:rPr>
          <w:rFonts w:hint="default" w:ascii="仿宋_GB2312" w:hAnsi="仿宋_GB2312" w:eastAsia="仿宋_GB2312" w:cs="仿宋_GB2312"/>
          <w:sz w:val="32"/>
          <w:szCs w:val="32"/>
          <w:lang w:val="en-US" w:eastAsia="zh-CN"/>
        </w:rPr>
      </w:pPr>
      <w:r>
        <w:rPr>
          <w:rFonts w:hint="eastAsia" w:ascii="楷体" w:hAnsi="楷体" w:eastAsia="楷体" w:cs="楷体"/>
          <w:color w:val="auto"/>
          <w:sz w:val="32"/>
          <w:szCs w:val="32"/>
          <w:lang w:val="en-US" w:eastAsia="zh-CN"/>
        </w:rPr>
        <w:t>（二）“双随机”监督检查。</w:t>
      </w:r>
      <w:r>
        <w:rPr>
          <w:rFonts w:hint="default" w:ascii="仿宋_GB2312" w:hAnsi="仿宋_GB2312" w:eastAsia="仿宋_GB2312" w:cs="仿宋_GB2312"/>
          <w:sz w:val="32"/>
          <w:szCs w:val="32"/>
          <w:lang w:val="en-US" w:eastAsia="zh-CN"/>
        </w:rPr>
        <w:t>一般生产经营单位</w:t>
      </w:r>
      <w:r>
        <w:rPr>
          <w:rFonts w:hint="eastAsia" w:ascii="仿宋_GB2312" w:hAnsi="仿宋_GB2312" w:eastAsia="仿宋_GB2312" w:cs="仿宋_GB2312"/>
          <w:sz w:val="32"/>
          <w:szCs w:val="32"/>
          <w:lang w:val="en-US" w:eastAsia="zh-CN"/>
        </w:rPr>
        <w:t>是指本部门执法职责范围内除了重点生产经营单位以外的其他生产经营单位</w:t>
      </w:r>
      <w:r>
        <w:rPr>
          <w:rFonts w:hint="default" w:ascii="仿宋_GB2312" w:hAnsi="仿宋_GB2312" w:eastAsia="仿宋_GB2312" w:cs="仿宋_GB2312"/>
          <w:sz w:val="32"/>
          <w:szCs w:val="32"/>
          <w:lang w:val="en-US" w:eastAsia="zh-CN"/>
        </w:rPr>
        <w:t>，结合其所属行业领域、生产经营规模、安全管理状况、安全风险等级等因素，有针对性地开展“双随机、一公开”监督检查,原则上中型规模以上企业不少于三分之一。制定</w:t>
      </w:r>
      <w:r>
        <w:rPr>
          <w:rFonts w:hint="eastAsia" w:ascii="仿宋_GB2312" w:hAnsi="仿宋_GB2312" w:eastAsia="仿宋_GB2312" w:cs="仿宋_GB2312"/>
          <w:sz w:val="32"/>
          <w:szCs w:val="32"/>
          <w:lang w:val="en-US" w:eastAsia="zh-CN"/>
        </w:rPr>
        <w:t>随机</w:t>
      </w:r>
      <w:r>
        <w:rPr>
          <w:rFonts w:hint="default" w:ascii="仿宋_GB2312" w:hAnsi="仿宋_GB2312" w:eastAsia="仿宋_GB2312" w:cs="仿宋_GB2312"/>
          <w:sz w:val="32"/>
          <w:szCs w:val="32"/>
          <w:lang w:val="en-US" w:eastAsia="zh-CN"/>
        </w:rPr>
        <w:t>抽查方案，随机抽取被检查对象、随机抽取监督检查人员，向社会公开检查结果。</w:t>
      </w:r>
      <w:r>
        <w:rPr>
          <w:rFonts w:hint="eastAsia" w:ascii="仿宋_GB2312" w:hAnsi="仿宋_GB2312" w:eastAsia="仿宋_GB2312" w:cs="仿宋_GB2312"/>
          <w:sz w:val="32"/>
          <w:szCs w:val="32"/>
          <w:lang w:val="en-US" w:eastAsia="zh-CN"/>
        </w:rPr>
        <w:t>如有特殊情况，经研究后再做临时调整。</w:t>
      </w:r>
    </w:p>
    <w:p>
      <w:pPr>
        <w:widowControl w:val="0"/>
        <w:numPr>
          <w:ilvl w:val="0"/>
          <w:numId w:val="0"/>
        </w:numPr>
        <w:wordWrap/>
        <w:adjustRightInd w:val="0"/>
        <w:snapToGrid w:val="0"/>
        <w:spacing w:line="560" w:lineRule="atLeast"/>
        <w:ind w:firstLine="640" w:firstLineChars="200"/>
        <w:textAlignment w:val="auto"/>
        <w:rPr>
          <w:rFonts w:hint="default" w:ascii="仿宋_GB2312" w:hAnsi="仿宋_GB2312" w:eastAsia="仿宋_GB2312" w:cs="仿宋_GB2312"/>
          <w:sz w:val="32"/>
          <w:szCs w:val="32"/>
          <w:lang w:val="en-US" w:eastAsia="zh-CN"/>
        </w:rPr>
      </w:pPr>
      <w:r>
        <w:rPr>
          <w:rFonts w:hint="eastAsia" w:ascii="楷体" w:hAnsi="楷体" w:eastAsia="楷体" w:cs="楷体"/>
          <w:color w:val="auto"/>
          <w:sz w:val="32"/>
          <w:szCs w:val="32"/>
          <w:u w:val="none"/>
          <w:lang w:val="en-US" w:eastAsia="zh-CN"/>
        </w:rPr>
        <w:t>（三）专项整治行动。</w:t>
      </w:r>
      <w:r>
        <w:rPr>
          <w:rFonts w:hint="default" w:ascii="仿宋_GB2312" w:hAnsi="仿宋_GB2312" w:eastAsia="仿宋_GB2312" w:cs="仿宋_GB2312"/>
          <w:sz w:val="32"/>
          <w:szCs w:val="32"/>
          <w:lang w:val="en-US" w:eastAsia="zh-CN"/>
        </w:rPr>
        <w:t>按照应急管理部、省委省政府和市委市政府工作部署，结合省</w:t>
      </w:r>
      <w:r>
        <w:rPr>
          <w:rFonts w:hint="eastAsia" w:ascii="仿宋_GB2312" w:hAnsi="仿宋_GB2312" w:eastAsia="仿宋_GB2312" w:cs="仿宋_GB2312"/>
          <w:sz w:val="32"/>
          <w:szCs w:val="32"/>
          <w:lang w:val="en-US" w:eastAsia="zh-CN"/>
        </w:rPr>
        <w:t>、市</w:t>
      </w:r>
      <w:r>
        <w:rPr>
          <w:rFonts w:hint="default" w:ascii="仿宋_GB2312" w:hAnsi="仿宋_GB2312" w:eastAsia="仿宋_GB2312" w:cs="仿宋_GB2312"/>
          <w:sz w:val="32"/>
          <w:szCs w:val="32"/>
          <w:lang w:val="en-US" w:eastAsia="zh-CN"/>
        </w:rPr>
        <w:t>安全工作实际，对重点时段、重点领域开展专项整治行动。采用联合执法、异地执法检查等方式，依法查处企业安全生产违法违规行为，及时消除安全生产事故隐患。</w:t>
      </w:r>
    </w:p>
    <w:p>
      <w:pPr>
        <w:widowControl w:val="0"/>
        <w:wordWrap/>
        <w:adjustRightInd w:val="0"/>
        <w:snapToGrid w:val="0"/>
        <w:spacing w:line="560" w:lineRule="atLeast"/>
        <w:ind w:firstLine="640" w:firstLineChars="200"/>
        <w:textAlignment w:val="auto"/>
        <w:rPr>
          <w:rFonts w:hint="default" w:ascii="黑体" w:hAnsi="黑体" w:eastAsia="黑体" w:cs="黑体"/>
          <w:color w:val="auto"/>
          <w:sz w:val="32"/>
          <w:szCs w:val="32"/>
          <w:u w:val="none"/>
          <w:lang w:val="en-US" w:eastAsia="zh-CN"/>
        </w:rPr>
      </w:pPr>
      <w:r>
        <w:rPr>
          <w:rFonts w:hint="eastAsia" w:ascii="黑体" w:hAnsi="黑体" w:eastAsia="黑体" w:cs="黑体"/>
          <w:color w:val="auto"/>
          <w:sz w:val="32"/>
          <w:szCs w:val="32"/>
          <w:u w:val="none"/>
          <w:lang w:val="en-US" w:eastAsia="zh-CN"/>
        </w:rPr>
        <w:t>四、执法检查内容</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依据《安全生产监管监察职责和行政执法责任追究的暂行规定》第八条，重点检查内容为：</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（一）依法通过有关安全生产行政审批的情况；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（二）有关人员的安全生产教育和培训、考核情况；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（三）建立和落实安全生产责任制、安全生产规章制度和操作规程、作业规程的情况；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（四）按照国家规定提取和使用安全生产费用，安排用于配备劳动防护用品、进行安全生产教育和培训的经费，以及其他安全生产投入的情况；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（五）依法设置安全生产管理机构和配备安全生产管理人员的情况；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（六）危险物品的生产、储存单位以及矿山、金属冶炼单位配备或者聘用注册安全工程师的情况；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（七）从业人员、被派遣劳动者和实习学生受到安全生产教育、培训及其教育培训档案的情况；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（八）新建、改建、扩建工程项目的安全设施与主体工程同时设计、同时施工、同时投入生产和使用，以及按规定办理设计审查和竣工验收的情况；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（九）在有较大危险因素的生产经营场所和有关设施、设备上，设置安全警示标志的情况；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（十）对安全设备的维护、保养、定期检测的情况；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（十一）重大危险源登记建档、定期检测、评估、监控和制定应急预案的情况；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（十二）教育和督促从业人员严格执行本单位的安全生产规章制度和安全操作规程，并向从业人员如实告知作业场所和工作岗位存在的危险因素、防范措施以及事故应急措施的情况；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（十三）为从业人员提供符合国家标准或者行业标准的劳动防护用品，并监督、教育从业人员按照使用规则正确佩戴和使用的情况；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四）在同一作业区域内进行生产经营活动，可能危及对方生产安全的，与对方签订安全生产管理协议，明确各自的安全生产管理职责和应当采取的安全措施，并指定专职安全生产管理人员进行安全检查与协调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（十五）对承包单位、承租单位的安全生产工作实行统一协调、管理，定期进行安全检查，督促整改安全问题的情况；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（十六）建立健全生产安全事故隐患排查治理制度，及时发现并消除事故隐患，如实记录事故隐患治理，以及向从业人员通报的情况；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（十七）制定、实施生产安全事故应急预案，定期组织应急预案演练，以及有关应急预案备案的情况；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（十八）危险物品的生产、经营、储存单位以及矿山、金属冶炼单位建立应急救援组织或者兼职救援队伍、签订应急救援协议，以及应急救援器材、设备和物资的配备、维护、保养的情况；</w:t>
      </w:r>
    </w:p>
    <w:p>
      <w:pPr>
        <w:pStyle w:val="7"/>
        <w:widowControl w:val="0"/>
        <w:wordWrap/>
        <w:adjustRightInd/>
        <w:snapToGrid/>
        <w:spacing w:line="560" w:lineRule="atLeas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（十九）按照规定报告生产安全事故的情况；</w:t>
      </w:r>
    </w:p>
    <w:p>
      <w:pPr>
        <w:pStyle w:val="7"/>
        <w:widowControl w:val="0"/>
        <w:wordWrap/>
        <w:adjustRightInd/>
        <w:snapToGrid/>
        <w:spacing w:line="560" w:lineRule="atLeast"/>
        <w:ind w:firstLine="640" w:firstLineChars="200"/>
        <w:textAlignment w:val="auto"/>
        <w:rPr>
          <w:rFonts w:hint="eastAsia" w:ascii="仿宋" w:hAnsi="仿宋" w:eastAsia="仿宋" w:cs="仿宋"/>
          <w:color w:val="auto"/>
          <w:sz w:val="32"/>
          <w:szCs w:val="32"/>
          <w:lang w:val="en-US" w:eastAsia="zh-CN"/>
        </w:rPr>
      </w:pPr>
      <w:r>
        <w:rPr>
          <w:rFonts w:hint="eastAsia" w:ascii="仿宋_GB2312" w:hAnsi="仿宋_GB2312" w:eastAsia="仿宋_GB2312" w:cs="仿宋_GB2312"/>
          <w:kern w:val="2"/>
          <w:sz w:val="32"/>
          <w:szCs w:val="32"/>
          <w:lang w:val="en-US" w:eastAsia="zh-CN" w:bidi="ar-SA"/>
        </w:rPr>
        <w:t>（二十）依法应当监督检查的其他情况。</w:t>
      </w:r>
    </w:p>
    <w:p>
      <w:pPr>
        <w:widowControl w:val="0"/>
        <w:numPr>
          <w:ilvl w:val="0"/>
          <w:numId w:val="0"/>
        </w:numPr>
        <w:wordWrap/>
        <w:adjustRightInd w:val="0"/>
        <w:snapToGrid w:val="0"/>
        <w:spacing w:line="560" w:lineRule="atLeast"/>
        <w:ind w:firstLine="640" w:firstLineChars="200"/>
        <w:textAlignment w:val="auto"/>
        <w:rPr>
          <w:rFonts w:hint="default" w:ascii="黑体" w:hAnsi="黑体" w:eastAsia="黑体" w:cs="黑体"/>
          <w:color w:val="auto"/>
          <w:sz w:val="32"/>
          <w:szCs w:val="32"/>
          <w:lang w:val="en-US" w:eastAsia="zh-CN"/>
        </w:rPr>
      </w:pPr>
      <w:r>
        <w:rPr>
          <w:rFonts w:hint="eastAsia" w:ascii="黑体" w:hAnsi="黑体" w:eastAsia="黑体" w:cs="黑体"/>
          <w:color w:val="auto"/>
          <w:sz w:val="32"/>
          <w:szCs w:val="32"/>
          <w:lang w:val="en-US" w:eastAsia="zh-CN"/>
        </w:rPr>
        <w:t>五、保障措施</w:t>
      </w:r>
    </w:p>
    <w:p>
      <w:pPr>
        <w:widowControl w:val="0"/>
        <w:numPr>
          <w:ilvl w:val="0"/>
          <w:numId w:val="2"/>
        </w:numPr>
        <w:wordWrap/>
        <w:adjustRightInd w:val="0"/>
        <w:snapToGrid w:val="0"/>
        <w:spacing w:line="560" w:lineRule="atLeast"/>
        <w:ind w:leftChars="0" w:firstLine="643" w:firstLineChars="200"/>
        <w:textAlignment w:val="auto"/>
        <w:rPr>
          <w:rFonts w:hint="eastAsia" w:ascii="仿宋_GB2312" w:hAnsi="仿宋_GB2312" w:eastAsia="仿宋_GB2312" w:cs="仿宋_GB2312"/>
          <w:kern w:val="2"/>
          <w:sz w:val="32"/>
          <w:szCs w:val="32"/>
          <w:lang w:val="en-US" w:eastAsia="zh-CN" w:bidi="ar-SA"/>
        </w:rPr>
      </w:pPr>
      <w:r>
        <w:rPr>
          <w:rFonts w:hint="eastAsia" w:ascii="楷体" w:hAnsi="楷体" w:eastAsia="楷体" w:cs="楷体"/>
          <w:b/>
          <w:bCs/>
          <w:color w:val="auto"/>
          <w:sz w:val="32"/>
          <w:szCs w:val="32"/>
          <w:lang w:val="en-US" w:eastAsia="zh-CN"/>
        </w:rPr>
        <w:t>加强组织领导。</w:t>
      </w:r>
      <w:r>
        <w:rPr>
          <w:rFonts w:hint="eastAsia" w:ascii="仿宋_GB2312" w:hAnsi="仿宋_GB2312" w:eastAsia="仿宋_GB2312" w:cs="仿宋_GB2312"/>
          <w:kern w:val="2"/>
          <w:sz w:val="32"/>
          <w:szCs w:val="32"/>
          <w:lang w:val="en-US" w:eastAsia="zh-CN" w:bidi="ar-SA"/>
        </w:rPr>
        <w:t>局机关各股室和应急管理综合行政执法大队要高度重视，强化组织领导。监督检查计划下发后，要根据行业领域特点，结合任务要求，科学统筹，落实每周每月的检查任务。不得擅自变更和调整监督检查计划，确需进行重大调整或变更的，严格履行报批和备案程序。监督检查要压实责任，确保监督检查工作扎实推进。</w:t>
      </w:r>
    </w:p>
    <w:p>
      <w:pPr>
        <w:widowControl w:val="0"/>
        <w:numPr>
          <w:ilvl w:val="0"/>
          <w:numId w:val="2"/>
        </w:numPr>
        <w:wordWrap/>
        <w:adjustRightInd w:val="0"/>
        <w:snapToGrid w:val="0"/>
        <w:spacing w:line="560" w:lineRule="atLeast"/>
        <w:ind w:leftChars="0" w:firstLine="643" w:firstLineChars="200"/>
        <w:textAlignment w:val="auto"/>
        <w:rPr>
          <w:rFonts w:hint="eastAsia" w:ascii="仿宋_GB2312" w:hAnsi="仿宋" w:eastAsia="仿宋_GB2312"/>
          <w:color w:val="auto"/>
          <w:sz w:val="32"/>
          <w:szCs w:val="32"/>
        </w:rPr>
      </w:pPr>
      <w:r>
        <w:rPr>
          <w:rFonts w:hint="eastAsia" w:ascii="楷体" w:hAnsi="楷体" w:eastAsia="楷体" w:cs="楷体"/>
          <w:b/>
          <w:bCs/>
          <w:color w:val="auto"/>
          <w:sz w:val="32"/>
          <w:szCs w:val="32"/>
          <w:lang w:val="en-US" w:eastAsia="zh-CN"/>
        </w:rPr>
        <w:t>规范公正执法。</w:t>
      </w:r>
      <w:r>
        <w:rPr>
          <w:rFonts w:hint="eastAsia" w:ascii="仿宋_GB2312" w:hAnsi="仿宋" w:eastAsia="仿宋_GB2312"/>
          <w:color w:val="auto"/>
          <w:sz w:val="32"/>
          <w:szCs w:val="32"/>
        </w:rPr>
        <w:t>落实行政执法“三项制度”，严格执法行为和执法程序，坚持规范公正文明执法。监督检查要制定《现场检查方案》，检查情况同步录入行政执法管理系统，做到照单检查、线上执法、闭环管理。“双随机、一公开”监督检查，随机选取被检查单位和执法人员，及时向社会公开检查结果。</w:t>
      </w:r>
    </w:p>
    <w:p>
      <w:pPr>
        <w:pStyle w:val="7"/>
        <w:widowControl w:val="0"/>
        <w:wordWrap/>
        <w:adjustRightInd/>
        <w:snapToGrid/>
        <w:spacing w:line="560" w:lineRule="atLeast"/>
        <w:ind w:firstLine="643" w:firstLineChars="200"/>
        <w:textAlignment w:val="auto"/>
        <w:rPr>
          <w:rFonts w:hint="eastAsia"/>
          <w:color w:val="auto"/>
        </w:rPr>
      </w:pPr>
      <w:r>
        <w:rPr>
          <w:rFonts w:hint="eastAsia" w:ascii="楷体" w:hAnsi="楷体" w:eastAsia="楷体" w:cs="楷体"/>
          <w:b/>
          <w:bCs/>
          <w:color w:val="auto"/>
          <w:sz w:val="32"/>
          <w:szCs w:val="32"/>
        </w:rPr>
        <w:t>（三）改进执法方式。</w:t>
      </w:r>
      <w:r>
        <w:rPr>
          <w:rFonts w:hint="eastAsia" w:ascii="仿宋_GB2312" w:hAnsi="仿宋_GB2312" w:eastAsia="仿宋_GB2312" w:cs="仿宋_GB2312"/>
          <w:kern w:val="2"/>
          <w:sz w:val="32"/>
          <w:szCs w:val="32"/>
          <w:lang w:val="en-US" w:eastAsia="zh-CN" w:bidi="ar-SA"/>
        </w:rPr>
        <w:t>坚持严格执法与指导服务并重，推行“启动会+现场执法检查+总结会”、“企业主要负责人+安全管理人员+岗位操作员工全过程在场”和“执法+专家”工作模式，充分发挥执法专业人员和行业专家优势。采取“互联网+执法”方式，实施精准执法，切实增强执法效能。</w:t>
      </w:r>
    </w:p>
    <w:p>
      <w:pPr>
        <w:widowControl w:val="0"/>
        <w:numPr>
          <w:ilvl w:val="0"/>
          <w:numId w:val="0"/>
        </w:numPr>
        <w:wordWrap/>
        <w:adjustRightInd w:val="0"/>
        <w:snapToGrid w:val="0"/>
        <w:spacing w:line="560" w:lineRule="atLeast"/>
        <w:ind w:firstLine="643" w:firstLineChars="200"/>
        <w:textAlignment w:val="auto"/>
        <w:rPr>
          <w:rFonts w:hint="default" w:ascii="仿宋_GB2312" w:hAnsi="仿宋" w:eastAsia="仿宋_GB2312" w:cs="Times New Roman"/>
          <w:color w:val="auto"/>
          <w:sz w:val="32"/>
          <w:szCs w:val="32"/>
          <w:lang w:val="en-US" w:eastAsia="zh-CN"/>
        </w:rPr>
      </w:pPr>
      <w:r>
        <w:rPr>
          <w:rFonts w:hint="eastAsia" w:ascii="楷体" w:hAnsi="楷体" w:eastAsia="楷体" w:cs="楷体"/>
          <w:b/>
          <w:bCs/>
          <w:color w:val="auto"/>
          <w:sz w:val="32"/>
          <w:szCs w:val="32"/>
          <w:lang w:val="en-US" w:eastAsia="zh-CN"/>
        </w:rPr>
        <w:t>（四）严明执法纪律。</w:t>
      </w:r>
      <w:r>
        <w:rPr>
          <w:rFonts w:hint="eastAsia" w:ascii="仿宋_GB2312" w:hAnsi="仿宋" w:eastAsia="仿宋_GB2312" w:cs="Times New Roman"/>
          <w:color w:val="auto"/>
          <w:sz w:val="32"/>
          <w:szCs w:val="32"/>
          <w:lang w:val="en-US" w:eastAsia="zh-CN"/>
        </w:rPr>
        <w:t>执法人员要不断提升执法监察工作水平和能力，坚持依法履职，法定职权必须为、法无授权不可为，坚持执法必严、违法必究，坚持避免执法错位、缺位和越位。要严格执行党风廉政建设相关规定，把党风廉政建设贯穿执法全过程，要做到公正执法、严格执法、文明执法、廉洁执法。树立良好的执法形象。</w:t>
      </w:r>
    </w:p>
    <w:p>
      <w:pPr>
        <w:widowControl w:val="0"/>
        <w:numPr>
          <w:ilvl w:val="0"/>
          <w:numId w:val="0"/>
        </w:numPr>
        <w:wordWrap/>
        <w:adjustRightInd w:val="0"/>
        <w:snapToGrid w:val="0"/>
        <w:spacing w:line="560" w:lineRule="atLeast"/>
        <w:ind w:firstLine="640" w:firstLineChars="200"/>
        <w:textAlignment w:val="auto"/>
        <w:rPr>
          <w:rFonts w:hint="default" w:ascii="仿宋_GB2312" w:hAnsi="仿宋" w:eastAsia="仿宋_GB2312" w:cs="Times New Roman"/>
          <w:color w:val="auto"/>
          <w:sz w:val="32"/>
          <w:szCs w:val="32"/>
          <w:lang w:val="en-US" w:eastAsia="zh-CN"/>
        </w:rPr>
      </w:pPr>
      <w:r>
        <w:rPr>
          <w:rFonts w:hint="eastAsia" w:ascii="仿宋_GB2312" w:hAnsi="仿宋" w:eastAsia="仿宋_GB2312" w:cs="Times New Roman"/>
          <w:color w:val="auto"/>
          <w:sz w:val="32"/>
          <w:szCs w:val="32"/>
          <w:lang w:val="en-US" w:eastAsia="zh-CN"/>
        </w:rPr>
        <w:t>附件：1.执法工作日测算</w:t>
      </w:r>
    </w:p>
    <w:p>
      <w:pPr>
        <w:widowControl w:val="0"/>
        <w:numPr>
          <w:ilvl w:val="0"/>
          <w:numId w:val="0"/>
        </w:numPr>
        <w:wordWrap/>
        <w:adjustRightInd w:val="0"/>
        <w:snapToGrid w:val="0"/>
        <w:spacing w:line="560" w:lineRule="atLeast"/>
        <w:ind w:firstLine="1600" w:firstLineChars="500"/>
        <w:textAlignment w:val="auto"/>
        <w:rPr>
          <w:rFonts w:hint="eastAsia" w:ascii="仿宋_GB2312" w:hAnsi="仿宋" w:eastAsia="仿宋_GB2312" w:cs="Times New Roman"/>
          <w:color w:val="auto"/>
          <w:sz w:val="32"/>
          <w:szCs w:val="32"/>
          <w:lang w:val="en-US" w:eastAsia="zh-CN"/>
        </w:rPr>
      </w:pPr>
      <w:r>
        <w:rPr>
          <w:rFonts w:hint="eastAsia" w:ascii="仿宋_GB2312" w:hAnsi="仿宋" w:eastAsia="仿宋_GB2312" w:cs="Times New Roman"/>
          <w:color w:val="auto"/>
          <w:sz w:val="32"/>
          <w:szCs w:val="32"/>
          <w:lang w:val="en-US" w:eastAsia="zh-CN"/>
        </w:rPr>
        <w:t>2.项城市应急管理局2025年度监督检查计划表</w:t>
      </w:r>
    </w:p>
    <w:p>
      <w:pPr>
        <w:pStyle w:val="7"/>
        <w:numPr>
          <w:ilvl w:val="0"/>
          <w:numId w:val="0"/>
        </w:numPr>
        <w:ind w:left="1600" w:leftChars="0"/>
        <w:rPr>
          <w:rFonts w:hint="eastAsia"/>
          <w:lang w:val="en-US" w:eastAsia="zh-CN"/>
        </w:rPr>
      </w:pPr>
    </w:p>
    <w:p>
      <w:pPr>
        <w:widowControl w:val="0"/>
        <w:numPr>
          <w:ilvl w:val="0"/>
          <w:numId w:val="0"/>
        </w:numPr>
        <w:wordWrap/>
        <w:adjustRightInd w:val="0"/>
        <w:snapToGrid w:val="0"/>
        <w:spacing w:line="560" w:lineRule="atLeast"/>
        <w:textAlignment w:val="auto"/>
        <w:rPr>
          <w:rFonts w:hint="eastAsia" w:ascii="方正小标宋简体" w:hAnsi="方正小标宋简体" w:eastAsia="方正小标宋简体" w:cs="方正小标宋简体"/>
          <w:color w:val="auto"/>
          <w:sz w:val="36"/>
          <w:szCs w:val="36"/>
          <w:lang w:val="en-US" w:eastAsia="zh-CN"/>
        </w:rPr>
      </w:pPr>
      <w:r>
        <w:rPr>
          <w:rFonts w:hint="eastAsia" w:ascii="方正小标宋简体" w:hAnsi="方正小标宋简体" w:eastAsia="方正小标宋简体" w:cs="方正小标宋简体"/>
          <w:color w:val="auto"/>
          <w:sz w:val="36"/>
          <w:szCs w:val="36"/>
          <w:lang w:val="en-US" w:eastAsia="zh-CN"/>
        </w:rPr>
        <w:t>附件1</w:t>
      </w:r>
    </w:p>
    <w:p>
      <w:pPr>
        <w:widowControl w:val="0"/>
        <w:numPr>
          <w:ilvl w:val="0"/>
          <w:numId w:val="0"/>
        </w:numPr>
        <w:wordWrap/>
        <w:adjustRightInd w:val="0"/>
        <w:snapToGrid w:val="0"/>
        <w:spacing w:line="560" w:lineRule="atLeast"/>
        <w:ind w:firstLine="720" w:firstLineChars="200"/>
        <w:jc w:val="center"/>
        <w:textAlignment w:val="auto"/>
        <w:rPr>
          <w:rFonts w:hint="eastAsia" w:ascii="方正小标宋简体" w:hAnsi="方正小标宋简体" w:eastAsia="方正小标宋简体" w:cs="方正小标宋简体"/>
          <w:color w:val="auto"/>
          <w:sz w:val="36"/>
          <w:szCs w:val="36"/>
          <w:lang w:val="en-US" w:eastAsia="zh-CN"/>
        </w:rPr>
      </w:pPr>
      <w:r>
        <w:rPr>
          <w:rFonts w:hint="eastAsia" w:ascii="方正小标宋简体" w:hAnsi="方正小标宋简体" w:eastAsia="方正小标宋简体" w:cs="方正小标宋简体"/>
          <w:color w:val="auto"/>
          <w:sz w:val="36"/>
          <w:szCs w:val="36"/>
          <w:lang w:val="en-US" w:eastAsia="zh-CN"/>
        </w:rPr>
        <w:t>执法工作日测算</w:t>
      </w:r>
    </w:p>
    <w:p>
      <w:pPr>
        <w:widowControl w:val="0"/>
        <w:numPr>
          <w:ilvl w:val="0"/>
          <w:numId w:val="3"/>
        </w:numPr>
        <w:wordWrap/>
        <w:adjustRightInd w:val="0"/>
        <w:snapToGrid w:val="0"/>
        <w:spacing w:line="560" w:lineRule="atLeast"/>
        <w:ind w:firstLine="643" w:firstLineChars="200"/>
        <w:textAlignment w:val="auto"/>
        <w:rPr>
          <w:rFonts w:hint="eastAsia" w:ascii="仿宋" w:hAnsi="仿宋" w:eastAsia="仿宋"/>
          <w:color w:val="auto"/>
          <w:sz w:val="32"/>
          <w:szCs w:val="32"/>
          <w:lang w:val="en-US" w:eastAsia="zh-CN"/>
        </w:rPr>
      </w:pPr>
      <w:r>
        <w:rPr>
          <w:rFonts w:hint="eastAsia" w:ascii="楷体" w:hAnsi="楷体" w:eastAsia="楷体" w:cs="楷体"/>
          <w:b/>
          <w:bCs/>
          <w:color w:val="auto"/>
          <w:sz w:val="32"/>
          <w:szCs w:val="32"/>
          <w:lang w:val="en-US" w:eastAsia="zh-CN"/>
        </w:rPr>
        <w:t>总法定工作日</w:t>
      </w:r>
      <w:r>
        <w:rPr>
          <w:rFonts w:hint="eastAsia" w:ascii="仿宋" w:hAnsi="仿宋" w:eastAsia="仿宋"/>
          <w:color w:val="auto"/>
          <w:sz w:val="32"/>
          <w:szCs w:val="32"/>
          <w:lang w:val="en-US" w:eastAsia="zh-CN"/>
        </w:rPr>
        <w:t>=法定工作日</w:t>
      </w:r>
      <w:r>
        <w:rPr>
          <w:rFonts w:hint="default" w:ascii="Arial" w:hAnsi="Arial" w:eastAsia="仿宋" w:cs="Arial"/>
          <w:color w:val="auto"/>
          <w:sz w:val="32"/>
          <w:szCs w:val="32"/>
          <w:lang w:val="en-US" w:eastAsia="zh-CN"/>
        </w:rPr>
        <w:t>×</w:t>
      </w:r>
      <w:r>
        <w:rPr>
          <w:rFonts w:hint="eastAsia" w:ascii="仿宋" w:hAnsi="仿宋" w:eastAsia="仿宋"/>
          <w:color w:val="auto"/>
          <w:sz w:val="32"/>
          <w:szCs w:val="32"/>
          <w:lang w:val="en-US" w:eastAsia="zh-CN"/>
        </w:rPr>
        <w:t>本部门行政执法人员总数；</w:t>
      </w:r>
    </w:p>
    <w:p>
      <w:pPr>
        <w:widowControl w:val="0"/>
        <w:numPr>
          <w:ilvl w:val="0"/>
          <w:numId w:val="0"/>
        </w:numPr>
        <w:wordWrap/>
        <w:adjustRightInd w:val="0"/>
        <w:snapToGrid w:val="0"/>
        <w:spacing w:line="560" w:lineRule="atLeast"/>
        <w:ind w:firstLine="640" w:firstLineChars="200"/>
        <w:textAlignment w:val="auto"/>
        <w:rPr>
          <w:rFonts w:hint="eastAsia" w:ascii="仿宋" w:hAnsi="仿宋" w:eastAsia="仿宋"/>
          <w:color w:val="auto"/>
          <w:sz w:val="32"/>
          <w:szCs w:val="32"/>
          <w:lang w:val="en-US" w:eastAsia="zh-CN"/>
        </w:rPr>
      </w:pPr>
      <w:r>
        <w:rPr>
          <w:rFonts w:hint="eastAsia" w:ascii="仿宋" w:hAnsi="仿宋" w:eastAsia="仿宋" w:cs="仿宋"/>
          <w:b w:val="0"/>
          <w:bCs w:val="0"/>
          <w:color w:val="auto"/>
          <w:sz w:val="32"/>
          <w:szCs w:val="32"/>
          <w:lang w:val="en-US" w:eastAsia="zh-CN"/>
        </w:rPr>
        <w:t>总法定工作日</w:t>
      </w:r>
      <w:r>
        <w:rPr>
          <w:rFonts w:hint="eastAsia" w:ascii="仿宋" w:hAnsi="仿宋" w:eastAsia="仿宋"/>
          <w:color w:val="auto"/>
          <w:sz w:val="32"/>
          <w:szCs w:val="32"/>
          <w:lang w:val="en-US" w:eastAsia="zh-CN"/>
        </w:rPr>
        <w:t>=250</w:t>
      </w:r>
      <w:r>
        <w:rPr>
          <w:rFonts w:hint="default" w:ascii="Arial" w:hAnsi="Arial" w:eastAsia="仿宋" w:cs="Arial"/>
          <w:color w:val="auto"/>
          <w:sz w:val="32"/>
          <w:szCs w:val="32"/>
          <w:lang w:val="en-US" w:eastAsia="zh-CN"/>
        </w:rPr>
        <w:t>×</w:t>
      </w:r>
      <w:r>
        <w:rPr>
          <w:rFonts w:hint="eastAsia" w:ascii="仿宋" w:hAnsi="仿宋" w:eastAsia="仿宋" w:cs="仿宋"/>
          <w:color w:val="auto"/>
          <w:sz w:val="32"/>
          <w:szCs w:val="32"/>
          <w:lang w:val="en-US" w:eastAsia="zh-CN"/>
        </w:rPr>
        <w:t>9=2250（天）</w:t>
      </w:r>
      <w:r>
        <w:rPr>
          <w:rFonts w:hint="eastAsia" w:ascii="仿宋" w:hAnsi="仿宋" w:eastAsia="仿宋"/>
          <w:color w:val="auto"/>
          <w:sz w:val="32"/>
          <w:szCs w:val="32"/>
          <w:lang w:val="en-US" w:eastAsia="zh-CN"/>
        </w:rPr>
        <w:t>。</w:t>
      </w:r>
    </w:p>
    <w:p>
      <w:pPr>
        <w:widowControl w:val="0"/>
        <w:numPr>
          <w:ilvl w:val="0"/>
          <w:numId w:val="3"/>
        </w:numPr>
        <w:wordWrap/>
        <w:adjustRightInd w:val="0"/>
        <w:snapToGrid w:val="0"/>
        <w:spacing w:line="560" w:lineRule="atLeast"/>
        <w:ind w:firstLine="643" w:firstLineChars="200"/>
        <w:textAlignment w:val="auto"/>
        <w:rPr>
          <w:rFonts w:hint="default" w:ascii="仿宋" w:hAnsi="仿宋" w:eastAsia="仿宋"/>
          <w:color w:val="auto"/>
          <w:sz w:val="32"/>
          <w:szCs w:val="32"/>
          <w:lang w:val="en-US" w:eastAsia="zh-CN"/>
        </w:rPr>
      </w:pPr>
      <w:r>
        <w:rPr>
          <w:rFonts w:hint="eastAsia" w:ascii="楷体" w:hAnsi="楷体" w:eastAsia="楷体" w:cs="楷体"/>
          <w:b/>
          <w:bCs/>
          <w:color w:val="auto"/>
          <w:sz w:val="32"/>
          <w:szCs w:val="32"/>
          <w:lang w:val="en-US" w:eastAsia="zh-CN"/>
        </w:rPr>
        <w:t>其他执法工作日</w:t>
      </w:r>
      <w:r>
        <w:rPr>
          <w:rFonts w:hint="eastAsia" w:ascii="仿宋" w:hAnsi="仿宋" w:eastAsia="仿宋"/>
          <w:color w:val="auto"/>
          <w:sz w:val="32"/>
          <w:szCs w:val="32"/>
          <w:lang w:val="en-US" w:eastAsia="zh-CN"/>
        </w:rPr>
        <w:t>，共720天，按照前3个年度的平均值测算；</w:t>
      </w:r>
    </w:p>
    <w:p>
      <w:pPr>
        <w:widowControl w:val="0"/>
        <w:numPr>
          <w:ilvl w:val="0"/>
          <w:numId w:val="4"/>
        </w:numPr>
        <w:wordWrap/>
        <w:adjustRightInd w:val="0"/>
        <w:snapToGrid w:val="0"/>
        <w:spacing w:line="560" w:lineRule="atLeast"/>
        <w:ind w:firstLine="640" w:firstLineChars="200"/>
        <w:textAlignment w:val="auto"/>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开展安全生产综合监管：162天。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实施行政许可：63天。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组织生产安全事故调查和处理：27天。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调查核实安全生产投诉举报：27天。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参加有关部门联合执法：135天。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办理有关法律、法规、规章规定的登记、备案：27天。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开展对中介服务机构的监督检查：9天。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开展安全生产宣传教育培训：144天。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办理行政复议、行政应诉：9天。</w:t>
      </w:r>
    </w:p>
    <w:p>
      <w:pPr>
        <w:widowControl w:val="0"/>
        <w:numPr>
          <w:ilvl w:val="0"/>
          <w:numId w:val="4"/>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完成本级人民政府或者上级安全监管部门安排的执法工作任务：117天。</w:t>
      </w:r>
    </w:p>
    <w:p>
      <w:pPr>
        <w:widowControl w:val="0"/>
        <w:numPr>
          <w:ilvl w:val="0"/>
          <w:numId w:val="3"/>
        </w:numPr>
        <w:wordWrap/>
        <w:adjustRightInd w:val="0"/>
        <w:snapToGrid w:val="0"/>
        <w:spacing w:line="560" w:lineRule="atLeast"/>
        <w:ind w:firstLine="643" w:firstLineChars="200"/>
        <w:textAlignment w:val="auto"/>
        <w:rPr>
          <w:rFonts w:hint="default" w:ascii="仿宋" w:hAnsi="仿宋" w:eastAsia="仿宋"/>
          <w:color w:val="auto"/>
          <w:sz w:val="32"/>
          <w:szCs w:val="32"/>
          <w:lang w:val="en-US" w:eastAsia="zh-CN"/>
        </w:rPr>
      </w:pPr>
      <w:r>
        <w:rPr>
          <w:rFonts w:hint="eastAsia" w:ascii="楷体" w:hAnsi="楷体" w:eastAsia="楷体" w:cs="楷体"/>
          <w:b/>
          <w:bCs/>
          <w:color w:val="auto"/>
          <w:sz w:val="32"/>
          <w:szCs w:val="32"/>
          <w:lang w:val="en-US" w:eastAsia="zh-CN"/>
        </w:rPr>
        <w:t>非执法工作日</w:t>
      </w:r>
      <w:r>
        <w:rPr>
          <w:rFonts w:hint="eastAsia" w:ascii="仿宋" w:hAnsi="仿宋" w:eastAsia="仿宋"/>
          <w:color w:val="auto"/>
          <w:sz w:val="32"/>
          <w:szCs w:val="32"/>
          <w:lang w:val="en-US" w:eastAsia="zh-CN"/>
        </w:rPr>
        <w:t>，共558天，按照前3个年度的平均值测算;</w:t>
      </w:r>
    </w:p>
    <w:p>
      <w:pPr>
        <w:widowControl w:val="0"/>
        <w:numPr>
          <w:ilvl w:val="0"/>
          <w:numId w:val="5"/>
        </w:numPr>
        <w:wordWrap/>
        <w:adjustRightInd w:val="0"/>
        <w:snapToGrid w:val="0"/>
        <w:spacing w:line="560" w:lineRule="atLeast"/>
        <w:ind w:firstLine="640" w:firstLineChars="200"/>
        <w:textAlignment w:val="auto"/>
        <w:rPr>
          <w:rFonts w:hint="eastAsia" w:ascii="仿宋" w:hAnsi="仿宋" w:eastAsia="仿宋"/>
          <w:color w:val="auto"/>
          <w:sz w:val="32"/>
          <w:szCs w:val="32"/>
          <w:lang w:val="en-US" w:eastAsia="zh-CN"/>
        </w:rPr>
      </w:pPr>
      <w:r>
        <w:rPr>
          <w:rFonts w:hint="eastAsia" w:ascii="仿宋" w:hAnsi="仿宋" w:eastAsia="仿宋"/>
          <w:color w:val="auto"/>
          <w:sz w:val="32"/>
          <w:szCs w:val="32"/>
          <w:lang w:val="en-US" w:eastAsia="zh-CN"/>
        </w:rPr>
        <w:t>机关值班：36天。</w:t>
      </w:r>
    </w:p>
    <w:p>
      <w:pPr>
        <w:widowControl w:val="0"/>
        <w:numPr>
          <w:ilvl w:val="0"/>
          <w:numId w:val="5"/>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学习、培训、考核、会议：216天。</w:t>
      </w:r>
    </w:p>
    <w:p>
      <w:pPr>
        <w:widowControl w:val="0"/>
        <w:numPr>
          <w:ilvl w:val="0"/>
          <w:numId w:val="5"/>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检查指导下级安全监管部门工作：108天。</w:t>
      </w:r>
    </w:p>
    <w:p>
      <w:pPr>
        <w:widowControl w:val="0"/>
        <w:numPr>
          <w:ilvl w:val="0"/>
          <w:numId w:val="5"/>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参加党群活动：108天。</w:t>
      </w:r>
    </w:p>
    <w:p>
      <w:pPr>
        <w:widowControl w:val="0"/>
        <w:numPr>
          <w:ilvl w:val="0"/>
          <w:numId w:val="5"/>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病假、事假：108天。</w:t>
      </w:r>
    </w:p>
    <w:p>
      <w:pPr>
        <w:widowControl w:val="0"/>
        <w:numPr>
          <w:ilvl w:val="0"/>
          <w:numId w:val="5"/>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法定年休假、探亲假、婚（丧）假：90天。</w:t>
      </w:r>
    </w:p>
    <w:p>
      <w:pPr>
        <w:widowControl w:val="0"/>
        <w:numPr>
          <w:ilvl w:val="0"/>
          <w:numId w:val="3"/>
        </w:numPr>
        <w:wordWrap/>
        <w:adjustRightInd w:val="0"/>
        <w:snapToGrid w:val="0"/>
        <w:spacing w:line="560" w:lineRule="atLeast"/>
        <w:ind w:firstLine="643" w:firstLineChars="200"/>
        <w:textAlignment w:val="auto"/>
        <w:rPr>
          <w:rFonts w:hint="eastAsia" w:ascii="楷体" w:hAnsi="楷体" w:eastAsia="楷体" w:cs="楷体"/>
          <w:b/>
          <w:bCs/>
          <w:color w:val="auto"/>
          <w:sz w:val="32"/>
          <w:szCs w:val="32"/>
          <w:lang w:val="en-US" w:eastAsia="zh-CN"/>
        </w:rPr>
      </w:pPr>
      <w:r>
        <w:rPr>
          <w:rFonts w:hint="eastAsia" w:ascii="楷体" w:hAnsi="楷体" w:eastAsia="楷体" w:cs="楷体"/>
          <w:b/>
          <w:bCs/>
          <w:color w:val="auto"/>
          <w:sz w:val="32"/>
          <w:szCs w:val="32"/>
          <w:lang w:val="en-US" w:eastAsia="zh-CN"/>
        </w:rPr>
        <w:t>监督检查工作日</w:t>
      </w:r>
    </w:p>
    <w:p>
      <w:pPr>
        <w:widowControl w:val="0"/>
        <w:numPr>
          <w:ilvl w:val="0"/>
          <w:numId w:val="0"/>
        </w:numPr>
        <w:wordWrap/>
        <w:adjustRightInd w:val="0"/>
        <w:snapToGrid w:val="0"/>
        <w:spacing w:line="560" w:lineRule="atLeast"/>
        <w:ind w:firstLine="640" w:firstLineChars="200"/>
        <w:textAlignment w:val="auto"/>
        <w:rPr>
          <w:rFonts w:hint="default" w:ascii="仿宋" w:hAnsi="仿宋" w:eastAsia="仿宋"/>
          <w:color w:val="auto"/>
          <w:sz w:val="32"/>
          <w:szCs w:val="32"/>
          <w:lang w:val="en-US" w:eastAsia="zh-CN"/>
        </w:rPr>
      </w:pPr>
      <w:r>
        <w:rPr>
          <w:rFonts w:hint="eastAsia" w:ascii="仿宋" w:hAnsi="仿宋" w:eastAsia="仿宋"/>
          <w:color w:val="auto"/>
          <w:sz w:val="32"/>
          <w:szCs w:val="32"/>
          <w:lang w:val="en-US" w:eastAsia="zh-CN"/>
        </w:rPr>
        <w:t>监督检查工作日=总法定工作日</w:t>
      </w:r>
      <w:r>
        <w:rPr>
          <w:rFonts w:hint="eastAsia" w:ascii="宋体" w:hAnsi="宋体" w:eastAsia="宋体" w:cs="宋体"/>
          <w:color w:val="auto"/>
          <w:sz w:val="32"/>
          <w:szCs w:val="32"/>
          <w:lang w:val="en-US" w:eastAsia="zh-CN"/>
        </w:rPr>
        <w:t>－</w:t>
      </w:r>
      <w:r>
        <w:rPr>
          <w:rFonts w:hint="eastAsia" w:ascii="仿宋" w:hAnsi="仿宋" w:eastAsia="仿宋"/>
          <w:color w:val="auto"/>
          <w:sz w:val="32"/>
          <w:szCs w:val="32"/>
          <w:lang w:val="en-US" w:eastAsia="zh-CN"/>
        </w:rPr>
        <w:t>其他执法工作日</w:t>
      </w:r>
      <w:r>
        <w:rPr>
          <w:rFonts w:hint="eastAsia" w:ascii="宋体" w:hAnsi="宋体" w:eastAsia="宋体" w:cs="宋体"/>
          <w:color w:val="auto"/>
          <w:sz w:val="32"/>
          <w:szCs w:val="32"/>
          <w:lang w:val="en-US" w:eastAsia="zh-CN"/>
        </w:rPr>
        <w:t>－</w:t>
      </w:r>
      <w:r>
        <w:rPr>
          <w:rFonts w:hint="eastAsia" w:ascii="仿宋" w:hAnsi="仿宋" w:eastAsia="仿宋"/>
          <w:color w:val="auto"/>
          <w:sz w:val="32"/>
          <w:szCs w:val="32"/>
          <w:lang w:val="en-US" w:eastAsia="zh-CN"/>
        </w:rPr>
        <w:t>非执法工作日。</w:t>
      </w:r>
    </w:p>
    <w:p>
      <w:pPr>
        <w:widowControl w:val="0"/>
        <w:wordWrap/>
        <w:adjustRightInd w:val="0"/>
        <w:snapToGrid w:val="0"/>
        <w:spacing w:line="560" w:lineRule="atLeast"/>
        <w:ind w:firstLine="640" w:firstLineChars="200"/>
        <w:textAlignment w:val="auto"/>
        <w:rPr>
          <w:rFonts w:hint="eastAsia" w:ascii="仿宋" w:hAnsi="仿宋" w:eastAsia="仿宋"/>
          <w:color w:val="auto"/>
          <w:sz w:val="32"/>
          <w:szCs w:val="32"/>
        </w:rPr>
      </w:pPr>
      <w:r>
        <w:rPr>
          <w:rFonts w:hint="eastAsia" w:ascii="仿宋" w:hAnsi="仿宋" w:eastAsia="仿宋"/>
          <w:color w:val="auto"/>
          <w:sz w:val="32"/>
          <w:szCs w:val="32"/>
        </w:rPr>
        <w:t>经测算，全年监督检查工作日</w:t>
      </w:r>
      <w:r>
        <w:rPr>
          <w:rFonts w:hint="eastAsia" w:ascii="仿宋" w:hAnsi="仿宋" w:eastAsia="仿宋"/>
          <w:color w:val="auto"/>
          <w:sz w:val="32"/>
          <w:szCs w:val="32"/>
          <w:lang w:val="en-US" w:eastAsia="zh-CN"/>
        </w:rPr>
        <w:t>共972天</w:t>
      </w:r>
      <w:r>
        <w:rPr>
          <w:rFonts w:hint="eastAsia" w:ascii="仿宋" w:hAnsi="仿宋" w:eastAsia="仿宋"/>
          <w:color w:val="auto"/>
          <w:sz w:val="32"/>
          <w:szCs w:val="32"/>
        </w:rPr>
        <w:t>。</w:t>
      </w:r>
    </w:p>
    <w:p>
      <w:pPr>
        <w:jc w:val="center"/>
        <w:rPr>
          <w:rFonts w:hint="eastAsia" w:ascii="方正小标宋简体" w:hAnsi="方正小标宋简体" w:eastAsia="方正小标宋简体" w:cs="方正小标宋简体"/>
          <w:color w:val="auto"/>
          <w:kern w:val="0"/>
          <w:sz w:val="36"/>
          <w:szCs w:val="36"/>
        </w:rPr>
      </w:pPr>
    </w:p>
    <w:p>
      <w:pPr>
        <w:pStyle w:val="7"/>
        <w:rPr>
          <w:rFonts w:hint="eastAsia"/>
          <w:color w:val="auto"/>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pStyle w:val="7"/>
        <w:rPr>
          <w:rFonts w:hint="eastAsia" w:ascii="方正小标宋简体" w:hAnsi="方正小标宋简体" w:eastAsia="方正小标宋简体" w:cs="方正小标宋简体"/>
          <w:color w:val="auto"/>
          <w:kern w:val="0"/>
          <w:sz w:val="36"/>
          <w:szCs w:val="36"/>
        </w:rPr>
      </w:pPr>
    </w:p>
    <w:p>
      <w:pPr>
        <w:pStyle w:val="7"/>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jc w:val="center"/>
        <w:rPr>
          <w:rFonts w:hint="eastAsia" w:ascii="方正小标宋简体" w:hAnsi="方正小标宋简体" w:eastAsia="方正小标宋简体" w:cs="方正小标宋简体"/>
          <w:color w:val="auto"/>
          <w:kern w:val="0"/>
          <w:sz w:val="36"/>
          <w:szCs w:val="36"/>
        </w:rPr>
      </w:pPr>
    </w:p>
    <w:p>
      <w:pPr>
        <w:widowControl w:val="0"/>
        <w:numPr>
          <w:ilvl w:val="0"/>
          <w:numId w:val="0"/>
        </w:numPr>
        <w:wordWrap/>
        <w:adjustRightInd w:val="0"/>
        <w:snapToGrid w:val="0"/>
        <w:spacing w:line="560" w:lineRule="atLeast"/>
        <w:textAlignment w:val="auto"/>
        <w:rPr>
          <w:rFonts w:hint="eastAsia" w:ascii="方正小标宋简体" w:hAnsi="方正小标宋简体" w:eastAsia="方正小标宋简体" w:cs="方正小标宋简体"/>
          <w:color w:val="auto"/>
          <w:sz w:val="36"/>
          <w:szCs w:val="36"/>
          <w:lang w:val="en-US" w:eastAsia="zh-CN"/>
        </w:rPr>
      </w:pPr>
      <w:r>
        <w:rPr>
          <w:rFonts w:hint="eastAsia" w:ascii="方正小标宋简体" w:hAnsi="方正小标宋简体" w:eastAsia="方正小标宋简体" w:cs="方正小标宋简体"/>
          <w:color w:val="auto"/>
          <w:sz w:val="36"/>
          <w:szCs w:val="36"/>
          <w:lang w:val="en-US" w:eastAsia="zh-CN"/>
        </w:rPr>
        <w:t>附件2</w:t>
      </w:r>
    </w:p>
    <w:p>
      <w:pPr>
        <w:widowControl w:val="0"/>
        <w:numPr>
          <w:ilvl w:val="0"/>
          <w:numId w:val="0"/>
        </w:numPr>
        <w:wordWrap/>
        <w:adjustRightInd w:val="0"/>
        <w:snapToGrid w:val="0"/>
        <w:spacing w:line="560" w:lineRule="atLeast"/>
        <w:jc w:val="center"/>
        <w:textAlignment w:val="auto"/>
        <w:rPr>
          <w:rFonts w:hint="eastAsia" w:ascii="方正小标宋简体" w:hAnsi="方正小标宋简体" w:eastAsia="方正小标宋简体" w:cs="方正小标宋简体"/>
          <w:color w:val="auto"/>
          <w:kern w:val="0"/>
          <w:sz w:val="36"/>
          <w:szCs w:val="36"/>
        </w:rPr>
      </w:pPr>
      <w:r>
        <w:rPr>
          <w:rFonts w:hint="eastAsia" w:ascii="方正小标宋简体" w:hAnsi="方正小标宋简体" w:eastAsia="方正小标宋简体" w:cs="方正小标宋简体"/>
          <w:color w:val="auto"/>
          <w:kern w:val="0"/>
          <w:sz w:val="36"/>
          <w:szCs w:val="36"/>
          <w:lang w:val="en-US" w:eastAsia="zh-CN"/>
        </w:rPr>
        <w:t>项城市应急管理局</w:t>
      </w:r>
      <w:r>
        <w:rPr>
          <w:rFonts w:hint="eastAsia" w:ascii="方正小标宋简体" w:hAnsi="方正小标宋简体" w:eastAsia="方正小标宋简体" w:cs="方正小标宋简体"/>
          <w:color w:val="auto"/>
          <w:kern w:val="0"/>
          <w:sz w:val="36"/>
          <w:szCs w:val="36"/>
          <w:lang w:eastAsia="zh-CN"/>
        </w:rPr>
        <w:t>2025</w:t>
      </w:r>
      <w:r>
        <w:rPr>
          <w:rFonts w:hint="eastAsia" w:ascii="方正小标宋简体" w:hAnsi="方正小标宋简体" w:eastAsia="方正小标宋简体" w:cs="方正小标宋简体"/>
          <w:color w:val="auto"/>
          <w:kern w:val="0"/>
          <w:sz w:val="36"/>
          <w:szCs w:val="36"/>
        </w:rPr>
        <w:t>年度监督检查计划表</w:t>
      </w:r>
    </w:p>
    <w:tbl>
      <w:tblPr>
        <w:tblStyle w:val="5"/>
        <w:tblW w:w="9129"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6"/>
        <w:gridCol w:w="3198"/>
        <w:gridCol w:w="2880"/>
        <w:gridCol w:w="1455"/>
        <w:gridCol w:w="11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426" w:type="dxa"/>
            <w:vAlign w:val="center"/>
          </w:tcPr>
          <w:p>
            <w:pPr>
              <w:jc w:val="center"/>
              <w:rPr>
                <w:rFonts w:hint="eastAsia"/>
                <w:color w:val="auto"/>
              </w:rPr>
            </w:pPr>
            <w:r>
              <w:rPr>
                <w:rFonts w:hint="eastAsia" w:ascii="黑体" w:hAnsi="黑体" w:eastAsia="黑体" w:cs="黑体"/>
                <w:color w:val="auto"/>
                <w:szCs w:val="21"/>
              </w:rPr>
              <w:t>序号</w:t>
            </w:r>
          </w:p>
        </w:tc>
        <w:tc>
          <w:tcPr>
            <w:tcW w:w="3198" w:type="dxa"/>
            <w:vAlign w:val="center"/>
          </w:tcPr>
          <w:p>
            <w:pPr>
              <w:jc w:val="center"/>
              <w:rPr>
                <w:rFonts w:hint="eastAsia"/>
                <w:color w:val="auto"/>
              </w:rPr>
            </w:pPr>
            <w:r>
              <w:rPr>
                <w:rFonts w:hint="eastAsia" w:ascii="黑体" w:hAnsi="黑体" w:eastAsia="黑体" w:cs="黑体"/>
                <w:color w:val="auto"/>
                <w:szCs w:val="21"/>
              </w:rPr>
              <w:t>企业名称</w:t>
            </w:r>
          </w:p>
        </w:tc>
        <w:tc>
          <w:tcPr>
            <w:tcW w:w="2880" w:type="dxa"/>
            <w:vAlign w:val="center"/>
          </w:tcPr>
          <w:p>
            <w:pPr>
              <w:jc w:val="center"/>
              <w:rPr>
                <w:rFonts w:hint="eastAsia"/>
                <w:color w:val="auto"/>
              </w:rPr>
            </w:pPr>
            <w:r>
              <w:rPr>
                <w:rFonts w:hint="eastAsia" w:ascii="黑体" w:hAnsi="黑体" w:eastAsia="黑体" w:cs="黑体"/>
                <w:color w:val="auto"/>
                <w:szCs w:val="21"/>
              </w:rPr>
              <w:t>地址</w:t>
            </w:r>
          </w:p>
        </w:tc>
        <w:tc>
          <w:tcPr>
            <w:tcW w:w="1455" w:type="dxa"/>
            <w:vAlign w:val="center"/>
          </w:tcPr>
          <w:p>
            <w:pPr>
              <w:jc w:val="center"/>
              <w:rPr>
                <w:rFonts w:hint="eastAsia"/>
                <w:color w:val="auto"/>
              </w:rPr>
            </w:pPr>
            <w:r>
              <w:rPr>
                <w:rFonts w:hint="eastAsia" w:ascii="黑体" w:hAnsi="黑体" w:eastAsia="黑体" w:cs="黑体"/>
                <w:color w:val="auto"/>
                <w:szCs w:val="21"/>
              </w:rPr>
              <w:t>行业领域</w:t>
            </w:r>
          </w:p>
        </w:tc>
        <w:tc>
          <w:tcPr>
            <w:tcW w:w="1170" w:type="dxa"/>
            <w:vAlign w:val="center"/>
          </w:tcPr>
          <w:p>
            <w:pPr>
              <w:jc w:val="center"/>
              <w:rPr>
                <w:rFonts w:hint="eastAsia"/>
                <w:color w:val="auto"/>
              </w:rPr>
            </w:pPr>
            <w:r>
              <w:rPr>
                <w:rFonts w:hint="eastAsia" w:ascii="黑体" w:hAnsi="黑体" w:eastAsia="黑体" w:cs="黑体"/>
                <w:color w:val="auto"/>
                <w:szCs w:val="21"/>
              </w:rPr>
              <w:t>时间安排（季度）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trPr>
        <w:tc>
          <w:tcPr>
            <w:tcW w:w="9129" w:type="dxa"/>
            <w:gridSpan w:val="5"/>
            <w:vAlign w:val="top"/>
          </w:tcPr>
          <w:p>
            <w:pPr>
              <w:pStyle w:val="7"/>
              <w:rPr>
                <w:rFonts w:hint="eastAsia"/>
                <w:color w:val="auto"/>
              </w:rPr>
            </w:pPr>
            <w:r>
              <w:rPr>
                <w:rFonts w:hint="eastAsia" w:ascii="仿宋" w:hAnsi="仿宋" w:eastAsia="仿宋" w:cs="仿宋"/>
                <w:b/>
                <w:bCs/>
                <w:color w:val="auto"/>
                <w:sz w:val="21"/>
                <w:szCs w:val="21"/>
                <w:lang w:eastAsia="zh-CN"/>
              </w:rPr>
              <w:t>一、重点检查企业（</w:t>
            </w:r>
            <w:r>
              <w:rPr>
                <w:rFonts w:hint="eastAsia" w:ascii="仿宋" w:hAnsi="仿宋" w:eastAsia="仿宋" w:cs="仿宋"/>
                <w:b/>
                <w:bCs/>
                <w:color w:val="auto"/>
                <w:sz w:val="21"/>
                <w:szCs w:val="21"/>
                <w:lang w:val="en-US" w:eastAsia="zh-CN"/>
              </w:rPr>
              <w:t>75家</w:t>
            </w:r>
            <w:r>
              <w:rPr>
                <w:rFonts w:hint="eastAsia" w:ascii="仿宋" w:hAnsi="仿宋" w:eastAsia="仿宋" w:cs="仿宋"/>
                <w:b/>
                <w:bCs/>
                <w:color w:val="auto"/>
                <w:sz w:val="21"/>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项城市惠达加油站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项城市南顿镇水牛刘村</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 w:hRule="atLeast"/>
        </w:trPr>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项城市南顿泉鑫加油站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项城市南顿镇沈岗村北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中国石化销售股份有限公司河南周口项城范集加油站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项城市范集乡李老庄东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项城市范集农机站加油站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项城市范集镇满大街路北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项城市范集建峰加油站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项城市范集西217省道</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项城市范集镇善德桥汾北加油站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项城市范集善德桥</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trPr>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项城市范集镇爱萍加油站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rPr>
              <w:t>项城市范集镇杨营村南200米026县道北侧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8</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项城市孙店镇芝锋加油站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项城市孙店镇高营村</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9</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项城市孙店供销社加油站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项城市孙店镇东开发区331省道路南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10</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项城市孙店君恒加油站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项城市孙店南街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11</w:t>
            </w:r>
          </w:p>
        </w:tc>
        <w:tc>
          <w:tcPr>
            <w:tcW w:w="3198" w:type="dxa"/>
            <w:vAlign w:val="top"/>
          </w:tcPr>
          <w:p>
            <w:pPr>
              <w:pStyle w:val="7"/>
              <w:ind w:left="0" w:leftChars="0" w:firstLine="0" w:firstLineChars="0"/>
              <w:jc w:val="left"/>
              <w:rPr>
                <w:rFonts w:hint="eastAsia" w:ascii="仿宋" w:hAnsi="仿宋" w:eastAsia="仿宋" w:cs="仿宋"/>
                <w:color w:val="auto"/>
                <w:sz w:val="21"/>
                <w:szCs w:val="21"/>
              </w:rPr>
            </w:pPr>
            <w:r>
              <w:rPr>
                <w:rFonts w:hint="eastAsia" w:ascii="仿宋" w:hAnsi="仿宋" w:eastAsia="仿宋" w:cs="仿宋"/>
                <w:color w:val="auto"/>
                <w:sz w:val="21"/>
                <w:szCs w:val="21"/>
              </w:rPr>
              <w:t>中国石油天然气股份有限公司河南周口第二十一加油站</w:t>
            </w:r>
          </w:p>
        </w:tc>
        <w:tc>
          <w:tcPr>
            <w:tcW w:w="2880" w:type="dxa"/>
            <w:vAlign w:val="center"/>
          </w:tcPr>
          <w:p>
            <w:pPr>
              <w:pStyle w:val="7"/>
              <w:ind w:left="0" w:leftChars="0" w:firstLine="0" w:firstLineChars="0"/>
              <w:jc w:val="left"/>
              <w:rPr>
                <w:rFonts w:hint="eastAsia" w:ascii="仿宋" w:hAnsi="仿宋" w:eastAsia="仿宋" w:cs="仿宋"/>
                <w:color w:val="auto"/>
                <w:sz w:val="21"/>
                <w:szCs w:val="21"/>
              </w:rPr>
            </w:pPr>
            <w:r>
              <w:rPr>
                <w:rFonts w:hint="eastAsia" w:ascii="仿宋" w:hAnsi="仿宋" w:eastAsia="仿宋" w:cs="仿宋"/>
                <w:color w:val="auto"/>
                <w:sz w:val="21"/>
                <w:szCs w:val="21"/>
              </w:rPr>
              <w:t>项城市老城乡王营村南100米106国道路东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项城市秣陵镇九想加油站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项城市秣陵镇王营村</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项城市秣陵镇厚德加油站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项城市秣陵镇王营村南200米106国道路东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项城市秣陵镇恒丰加油站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项城市秣陵镇西开发区</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项城市秣陵镇韩桥兴隆加油站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项城市秣陵镇东韩桥</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16</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河南康达制药有限公司</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项城市经五路66号</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17</w:t>
            </w:r>
          </w:p>
        </w:tc>
        <w:tc>
          <w:tcPr>
            <w:tcW w:w="3198" w:type="dxa"/>
            <w:vAlign w:val="center"/>
          </w:tcPr>
          <w:p>
            <w:pPr>
              <w:widowControl/>
              <w:jc w:val="left"/>
              <w:textAlignment w:val="center"/>
              <w:rPr>
                <w:rFonts w:hint="default"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乐普药业股份有限公司</w:t>
            </w:r>
          </w:p>
        </w:tc>
        <w:tc>
          <w:tcPr>
            <w:tcW w:w="2880" w:type="dxa"/>
            <w:vAlign w:val="center"/>
          </w:tcPr>
          <w:p>
            <w:pPr>
              <w:widowControl/>
              <w:jc w:val="left"/>
              <w:textAlignment w:val="center"/>
              <w:rPr>
                <w:rFonts w:hint="default"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东方大道136号</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18</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项城市高寺镇春杰加油站</w:t>
            </w:r>
          </w:p>
        </w:tc>
        <w:tc>
          <w:tcPr>
            <w:tcW w:w="2880"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项城市高寺镇曹河桥南200米路西</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19</w:t>
            </w:r>
          </w:p>
        </w:tc>
        <w:tc>
          <w:tcPr>
            <w:tcW w:w="3198" w:type="dxa"/>
            <w:vAlign w:val="top"/>
          </w:tcPr>
          <w:p>
            <w:pPr>
              <w:pStyle w:val="7"/>
              <w:ind w:left="0" w:leftChars="0" w:firstLine="0" w:firstLineChars="0"/>
              <w:jc w:val="left"/>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项城市纺织有限公司</w:t>
            </w:r>
          </w:p>
        </w:tc>
        <w:tc>
          <w:tcPr>
            <w:tcW w:w="2880" w:type="dxa"/>
            <w:vAlign w:val="center"/>
          </w:tcPr>
          <w:p>
            <w:pPr>
              <w:pStyle w:val="7"/>
              <w:ind w:left="0" w:leftChars="0" w:firstLine="0" w:firstLineChars="0"/>
              <w:jc w:val="left"/>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东方大道158号</w:t>
            </w:r>
          </w:p>
        </w:tc>
        <w:tc>
          <w:tcPr>
            <w:tcW w:w="1455"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纺织</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20</w:t>
            </w:r>
          </w:p>
        </w:tc>
        <w:tc>
          <w:tcPr>
            <w:tcW w:w="3198" w:type="dxa"/>
            <w:vAlign w:val="top"/>
          </w:tcPr>
          <w:p>
            <w:pPr>
              <w:pStyle w:val="7"/>
              <w:ind w:left="0" w:leftChars="0" w:firstLine="0" w:firstLineChars="0"/>
              <w:jc w:val="left"/>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u w:val="none"/>
                <w:lang w:val="en-US" w:eastAsia="zh-CN"/>
              </w:rPr>
              <w:t>项城市松鑫服装有限公司</w:t>
            </w:r>
          </w:p>
        </w:tc>
        <w:tc>
          <w:tcPr>
            <w:tcW w:w="2880" w:type="dxa"/>
            <w:vAlign w:val="center"/>
          </w:tcPr>
          <w:p>
            <w:pPr>
              <w:pStyle w:val="7"/>
              <w:ind w:left="0" w:leftChars="0" w:firstLine="0" w:firstLineChars="0"/>
              <w:jc w:val="left"/>
              <w:rPr>
                <w:rFonts w:hint="eastAsia" w:ascii="仿宋" w:hAnsi="仿宋" w:eastAsia="仿宋" w:cs="仿宋"/>
                <w:color w:val="auto"/>
                <w:sz w:val="21"/>
                <w:szCs w:val="21"/>
                <w:lang w:val="en-US" w:eastAsia="zh-CN"/>
              </w:rPr>
            </w:pPr>
            <w:r>
              <w:rPr>
                <w:rFonts w:hint="eastAsia" w:ascii="仿宋" w:hAnsi="仿宋" w:eastAsia="仿宋" w:cs="仿宋"/>
                <w:i w:val="0"/>
                <w:iCs w:val="0"/>
                <w:color w:val="auto"/>
                <w:kern w:val="0"/>
                <w:sz w:val="21"/>
                <w:szCs w:val="21"/>
                <w:u w:val="none"/>
                <w:lang w:val="en-US" w:eastAsia="zh-CN"/>
              </w:rPr>
              <w:t>东方大道219号</w:t>
            </w:r>
          </w:p>
        </w:tc>
        <w:tc>
          <w:tcPr>
            <w:tcW w:w="1455"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纺织</w:t>
            </w:r>
          </w:p>
        </w:tc>
        <w:tc>
          <w:tcPr>
            <w:tcW w:w="1170" w:type="dxa"/>
            <w:vAlign w:val="center"/>
          </w:tcPr>
          <w:p>
            <w:pPr>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河南延长石油销售有限公司项城第五分公司</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项城市106国道与大广高速引线西200米路西</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中国石油天然气股份有限公司河南周口第三十九加油站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项城市西城路与荣新路交汇处</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4"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项城市水寨峰翔加油站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健康路南段（健康路与环城路交叉口西北角）</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河南延长石油销售有限公司项城第六分公司</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项城市平安大道与工业路交叉口西200米路南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河南延长石油销售有限公司项城第七分公司</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项城市平安大道与通济大道交叉口南10米路东</w:t>
            </w:r>
          </w:p>
        </w:tc>
        <w:tc>
          <w:tcPr>
            <w:tcW w:w="1455" w:type="dxa"/>
            <w:vAlign w:val="center"/>
          </w:tcPr>
          <w:p>
            <w:pPr>
              <w:jc w:val="center"/>
              <w:rPr>
                <w:rFonts w:hint="eastAsia" w:ascii="仿宋" w:hAnsi="仿宋" w:eastAsia="仿宋" w:cs="仿宋"/>
                <w:color w:val="auto"/>
                <w:sz w:val="21"/>
                <w:szCs w:val="21"/>
              </w:rPr>
            </w:pP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9"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26</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项城市农机供油站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项城市水新路与平安大道交叉口西南角</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7"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27</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项城市东城加油站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项城市环城路东段路南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28</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项城市郑郭镇供销社加油站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项城市郑郭镇</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29</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河南省项城市广衡石油有限公司</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项城市郑郭镇南街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426" w:type="dxa"/>
            <w:vAlign w:val="center"/>
          </w:tcPr>
          <w:p>
            <w:pPr>
              <w:jc w:val="center"/>
              <w:rPr>
                <w:rFonts w:hint="eastAsia"/>
                <w:color w:val="auto"/>
              </w:rPr>
            </w:pPr>
            <w:r>
              <w:rPr>
                <w:rFonts w:hint="eastAsia" w:ascii="黑体" w:hAnsi="黑体" w:eastAsia="黑体" w:cs="黑体"/>
                <w:color w:val="auto"/>
                <w:szCs w:val="21"/>
              </w:rPr>
              <w:t>序号</w:t>
            </w:r>
          </w:p>
        </w:tc>
        <w:tc>
          <w:tcPr>
            <w:tcW w:w="3198" w:type="dxa"/>
            <w:vAlign w:val="center"/>
          </w:tcPr>
          <w:p>
            <w:pPr>
              <w:jc w:val="center"/>
              <w:rPr>
                <w:rFonts w:hint="eastAsia"/>
                <w:color w:val="auto"/>
              </w:rPr>
            </w:pPr>
            <w:r>
              <w:rPr>
                <w:rFonts w:hint="eastAsia" w:ascii="黑体" w:hAnsi="黑体" w:eastAsia="黑体" w:cs="黑体"/>
                <w:color w:val="auto"/>
                <w:szCs w:val="21"/>
              </w:rPr>
              <w:t>企业名称</w:t>
            </w:r>
          </w:p>
        </w:tc>
        <w:tc>
          <w:tcPr>
            <w:tcW w:w="2880" w:type="dxa"/>
            <w:vAlign w:val="center"/>
          </w:tcPr>
          <w:p>
            <w:pPr>
              <w:jc w:val="center"/>
              <w:rPr>
                <w:rFonts w:hint="eastAsia"/>
                <w:color w:val="auto"/>
              </w:rPr>
            </w:pPr>
            <w:r>
              <w:rPr>
                <w:rFonts w:hint="eastAsia" w:ascii="黑体" w:hAnsi="黑体" w:eastAsia="黑体" w:cs="黑体"/>
                <w:color w:val="auto"/>
                <w:szCs w:val="21"/>
              </w:rPr>
              <w:t>地址</w:t>
            </w:r>
          </w:p>
        </w:tc>
        <w:tc>
          <w:tcPr>
            <w:tcW w:w="1455" w:type="dxa"/>
            <w:vAlign w:val="center"/>
          </w:tcPr>
          <w:p>
            <w:pPr>
              <w:jc w:val="center"/>
              <w:rPr>
                <w:rFonts w:hint="eastAsia"/>
                <w:color w:val="auto"/>
              </w:rPr>
            </w:pPr>
            <w:r>
              <w:rPr>
                <w:rFonts w:hint="eastAsia" w:ascii="黑体" w:hAnsi="黑体" w:eastAsia="黑体" w:cs="黑体"/>
                <w:color w:val="auto"/>
                <w:szCs w:val="21"/>
              </w:rPr>
              <w:t>行业领域</w:t>
            </w:r>
          </w:p>
        </w:tc>
        <w:tc>
          <w:tcPr>
            <w:tcW w:w="1170" w:type="dxa"/>
            <w:vAlign w:val="center"/>
          </w:tcPr>
          <w:p>
            <w:pPr>
              <w:jc w:val="center"/>
              <w:rPr>
                <w:rFonts w:hint="eastAsia"/>
                <w:color w:val="auto"/>
              </w:rPr>
            </w:pPr>
            <w:r>
              <w:rPr>
                <w:rFonts w:hint="eastAsia" w:ascii="黑体" w:hAnsi="黑体" w:eastAsia="黑体" w:cs="黑体"/>
                <w:color w:val="auto"/>
                <w:szCs w:val="21"/>
              </w:rPr>
              <w:t>时间安排（季度）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9129" w:type="dxa"/>
            <w:gridSpan w:val="5"/>
            <w:vAlign w:val="top"/>
          </w:tcPr>
          <w:p>
            <w:pPr>
              <w:pStyle w:val="7"/>
              <w:rPr>
                <w:rFonts w:hint="eastAsia"/>
                <w:color w:val="auto"/>
              </w:rPr>
            </w:pPr>
            <w:r>
              <w:rPr>
                <w:rFonts w:hint="eastAsia" w:ascii="仿宋" w:hAnsi="仿宋" w:eastAsia="仿宋" w:cs="仿宋"/>
                <w:b/>
                <w:bCs/>
                <w:color w:val="auto"/>
                <w:sz w:val="21"/>
                <w:szCs w:val="21"/>
                <w:lang w:eastAsia="zh-CN"/>
              </w:rPr>
              <w:t>一、重点检查企业（</w:t>
            </w:r>
            <w:r>
              <w:rPr>
                <w:rFonts w:hint="eastAsia" w:ascii="仿宋" w:hAnsi="仿宋" w:eastAsia="仿宋" w:cs="仿宋"/>
                <w:b/>
                <w:bCs/>
                <w:color w:val="auto"/>
                <w:sz w:val="21"/>
                <w:szCs w:val="21"/>
                <w:lang w:val="en-US" w:eastAsia="zh-CN"/>
              </w:rPr>
              <w:t>75家</w:t>
            </w:r>
            <w:r>
              <w:rPr>
                <w:rFonts w:hint="eastAsia" w:ascii="仿宋" w:hAnsi="仿宋" w:eastAsia="仿宋" w:cs="仿宋"/>
                <w:b/>
                <w:bCs/>
                <w:color w:val="auto"/>
                <w:sz w:val="21"/>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29</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项城市王明口镇畅通加油站</w:t>
            </w:r>
          </w:p>
        </w:tc>
        <w:tc>
          <w:tcPr>
            <w:tcW w:w="2880"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项城市王明口镇马坡村</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30</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项城市王明口铁亮加油站</w:t>
            </w:r>
          </w:p>
        </w:tc>
        <w:tc>
          <w:tcPr>
            <w:tcW w:w="2880"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王明口镇北高庄路东</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项城市高寺张四新加油站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项城市高寺东街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项城市官会桥北加油站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项城市官会镇桥头路北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项城市新桥镇项新加油站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项城市新桥镇常楼村北200米县道014东侧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项城市新桥镇广众加油站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项城市新桥镇邓庄南300米x014路东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项城市永丰镇籽墨加油站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项城市永丰镇李集东马庄北300米004乡道东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36</w:t>
            </w:r>
          </w:p>
        </w:tc>
        <w:tc>
          <w:tcPr>
            <w:tcW w:w="3198" w:type="dxa"/>
            <w:vAlign w:val="center"/>
          </w:tcPr>
          <w:p>
            <w:pPr>
              <w:widowControl/>
              <w:jc w:val="left"/>
              <w:textAlignment w:val="center"/>
              <w:rPr>
                <w:rFonts w:hint="default"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项城市永丰永祯加油站</w:t>
            </w:r>
          </w:p>
        </w:tc>
        <w:tc>
          <w:tcPr>
            <w:tcW w:w="2880" w:type="dxa"/>
            <w:vAlign w:val="center"/>
          </w:tcPr>
          <w:p>
            <w:pPr>
              <w:widowControl/>
              <w:jc w:val="left"/>
              <w:textAlignment w:val="center"/>
              <w:rPr>
                <w:rFonts w:hint="default"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永丰镇水贾路贾坡村北</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37</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项城市腾龙实业有限公司</w:t>
            </w:r>
          </w:p>
        </w:tc>
        <w:tc>
          <w:tcPr>
            <w:tcW w:w="2880"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颖河路与纬二路交叉口</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s="仿宋"/>
                <w:i w:val="0"/>
                <w:iCs w:val="0"/>
                <w:color w:val="auto"/>
                <w:kern w:val="0"/>
                <w:sz w:val="21"/>
                <w:szCs w:val="21"/>
                <w:u w:val="none"/>
                <w:lang w:val="en-US" w:eastAsia="zh-CN"/>
              </w:rPr>
              <w:t>轻工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38</w:t>
            </w:r>
          </w:p>
        </w:tc>
        <w:tc>
          <w:tcPr>
            <w:tcW w:w="3198" w:type="dxa"/>
            <w:vAlign w:val="top"/>
          </w:tcPr>
          <w:p>
            <w:pPr>
              <w:pStyle w:val="7"/>
              <w:ind w:left="0" w:leftChars="0" w:firstLine="0" w:firstLineChars="0"/>
              <w:jc w:val="left"/>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河南三利食品有限公司</w:t>
            </w:r>
          </w:p>
        </w:tc>
        <w:tc>
          <w:tcPr>
            <w:tcW w:w="2880" w:type="dxa"/>
            <w:vAlign w:val="top"/>
          </w:tcPr>
          <w:p>
            <w:pPr>
              <w:pStyle w:val="7"/>
              <w:ind w:left="0" w:leftChars="0" w:firstLine="0" w:firstLineChars="0"/>
              <w:jc w:val="left"/>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项城市纬二路29号</w:t>
            </w:r>
          </w:p>
        </w:tc>
        <w:tc>
          <w:tcPr>
            <w:tcW w:w="1455" w:type="dxa"/>
            <w:vAlign w:val="center"/>
          </w:tcPr>
          <w:p>
            <w:pPr>
              <w:pStyle w:val="7"/>
              <w:ind w:firstLine="420" w:firstLineChars="200"/>
              <w:jc w:val="both"/>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轻工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39</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项城市南顿农机服务部加油站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项城市106国道与光武大道交叉口路南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40</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项城市南顿建明加油站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项城市106国道李庄桥</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项城市永丰新中加油站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永丰镇106国道郭桥北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项城市永丰怀峰加油站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永丰镇南106国道路东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项城市永丰谷楼加油站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项城市永丰南6公里处东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项城市永丰洪振加油站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项城市永丰镇朱滩村南300米106国道路东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项城市高寺镇一元加油站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项城市高寺镇刘铁冢北等街106国道路东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46</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项城市娄堤保明加油站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项城市高寺镇106国道南80米路东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47</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项城市贾岭中心加油站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项城市贾岭镇南路西</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48</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项城市贾岭中禧加油站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项城市贾岭镇Y005与X020交叉口东，X020南侧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49</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项城市贾岭张辛加油站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项城市贾岭镇张辛庄</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50</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项城市秣陵镇信诚加油站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项城市秣陵镇南三店路口106国道东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项城市三店维文加油站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项城市三店镇韩土屯村南400米三丁路东侧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项城市三店长博加油站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项城市三店镇大广高速出入口西S217道路南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项城市李寨镇东兴加油站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项城市李寨镇东薛村</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项城市李寨高清加油站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项城市李寨北环城路</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55</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项城市李寨供销社东薛加油站</w:t>
            </w:r>
          </w:p>
        </w:tc>
        <w:tc>
          <w:tcPr>
            <w:tcW w:w="2880" w:type="dxa"/>
            <w:vAlign w:val="center"/>
          </w:tcPr>
          <w:p>
            <w:pPr>
              <w:widowControl/>
              <w:jc w:val="left"/>
              <w:textAlignment w:val="center"/>
              <w:rPr>
                <w:rFonts w:hint="default"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项城市李寨东薛路北</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56</w:t>
            </w:r>
          </w:p>
        </w:tc>
        <w:tc>
          <w:tcPr>
            <w:tcW w:w="3198"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河南博奥皮业有限公司</w:t>
            </w:r>
          </w:p>
        </w:tc>
        <w:tc>
          <w:tcPr>
            <w:tcW w:w="2880"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南二环与经四路交叉口</w:t>
            </w:r>
          </w:p>
        </w:tc>
        <w:tc>
          <w:tcPr>
            <w:tcW w:w="1455"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轻工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426" w:type="dxa"/>
            <w:vAlign w:val="center"/>
          </w:tcPr>
          <w:p>
            <w:pPr>
              <w:jc w:val="center"/>
              <w:rPr>
                <w:rFonts w:hint="eastAsia"/>
                <w:color w:val="auto"/>
              </w:rPr>
            </w:pPr>
            <w:r>
              <w:rPr>
                <w:rFonts w:hint="eastAsia" w:ascii="黑体" w:hAnsi="黑体" w:eastAsia="黑体" w:cs="黑体"/>
                <w:color w:val="auto"/>
                <w:szCs w:val="21"/>
              </w:rPr>
              <w:t>序号</w:t>
            </w:r>
          </w:p>
        </w:tc>
        <w:tc>
          <w:tcPr>
            <w:tcW w:w="3198" w:type="dxa"/>
            <w:vAlign w:val="center"/>
          </w:tcPr>
          <w:p>
            <w:pPr>
              <w:jc w:val="center"/>
              <w:rPr>
                <w:rFonts w:hint="eastAsia"/>
                <w:color w:val="auto"/>
              </w:rPr>
            </w:pPr>
            <w:r>
              <w:rPr>
                <w:rFonts w:hint="eastAsia" w:ascii="黑体" w:hAnsi="黑体" w:eastAsia="黑体" w:cs="黑体"/>
                <w:color w:val="auto"/>
                <w:szCs w:val="21"/>
              </w:rPr>
              <w:t>企业名称</w:t>
            </w:r>
          </w:p>
        </w:tc>
        <w:tc>
          <w:tcPr>
            <w:tcW w:w="2880" w:type="dxa"/>
            <w:vAlign w:val="center"/>
          </w:tcPr>
          <w:p>
            <w:pPr>
              <w:jc w:val="center"/>
              <w:rPr>
                <w:rFonts w:hint="eastAsia"/>
                <w:color w:val="auto"/>
              </w:rPr>
            </w:pPr>
            <w:r>
              <w:rPr>
                <w:rFonts w:hint="eastAsia" w:ascii="黑体" w:hAnsi="黑体" w:eastAsia="黑体" w:cs="黑体"/>
                <w:color w:val="auto"/>
                <w:szCs w:val="21"/>
              </w:rPr>
              <w:t>地址</w:t>
            </w:r>
          </w:p>
        </w:tc>
        <w:tc>
          <w:tcPr>
            <w:tcW w:w="1455" w:type="dxa"/>
            <w:vAlign w:val="center"/>
          </w:tcPr>
          <w:p>
            <w:pPr>
              <w:jc w:val="center"/>
              <w:rPr>
                <w:rFonts w:hint="eastAsia"/>
                <w:color w:val="auto"/>
              </w:rPr>
            </w:pPr>
            <w:r>
              <w:rPr>
                <w:rFonts w:hint="eastAsia" w:ascii="黑体" w:hAnsi="黑体" w:eastAsia="黑体" w:cs="黑体"/>
                <w:color w:val="auto"/>
                <w:szCs w:val="21"/>
              </w:rPr>
              <w:t>行业领域</w:t>
            </w:r>
          </w:p>
        </w:tc>
        <w:tc>
          <w:tcPr>
            <w:tcW w:w="1170" w:type="dxa"/>
            <w:vAlign w:val="center"/>
          </w:tcPr>
          <w:p>
            <w:pPr>
              <w:jc w:val="center"/>
              <w:rPr>
                <w:rFonts w:hint="eastAsia"/>
                <w:color w:val="auto"/>
              </w:rPr>
            </w:pPr>
            <w:r>
              <w:rPr>
                <w:rFonts w:hint="eastAsia" w:ascii="黑体" w:hAnsi="黑体" w:eastAsia="黑体" w:cs="黑体"/>
                <w:color w:val="auto"/>
                <w:szCs w:val="21"/>
              </w:rPr>
              <w:t>时间安排（季度）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9129" w:type="dxa"/>
            <w:gridSpan w:val="5"/>
            <w:vAlign w:val="top"/>
          </w:tcPr>
          <w:p>
            <w:pPr>
              <w:pStyle w:val="7"/>
              <w:rPr>
                <w:rFonts w:hint="eastAsia"/>
                <w:color w:val="auto"/>
              </w:rPr>
            </w:pPr>
            <w:r>
              <w:rPr>
                <w:rFonts w:hint="eastAsia" w:ascii="仿宋" w:hAnsi="仿宋" w:eastAsia="仿宋" w:cs="仿宋"/>
                <w:b/>
                <w:bCs/>
                <w:color w:val="auto"/>
                <w:sz w:val="21"/>
                <w:szCs w:val="21"/>
                <w:lang w:eastAsia="zh-CN"/>
              </w:rPr>
              <w:t>一、重点检查企业（</w:t>
            </w:r>
            <w:r>
              <w:rPr>
                <w:rFonts w:hint="eastAsia" w:ascii="仿宋" w:hAnsi="仿宋" w:eastAsia="仿宋" w:cs="仿宋"/>
                <w:b/>
                <w:bCs/>
                <w:color w:val="auto"/>
                <w:sz w:val="21"/>
                <w:szCs w:val="21"/>
                <w:lang w:val="en-US" w:eastAsia="zh-CN"/>
              </w:rPr>
              <w:t>75家</w:t>
            </w:r>
            <w:r>
              <w:rPr>
                <w:rFonts w:hint="eastAsia" w:ascii="仿宋" w:hAnsi="仿宋" w:eastAsia="仿宋" w:cs="仿宋"/>
                <w:b/>
                <w:bCs/>
                <w:color w:val="auto"/>
                <w:sz w:val="21"/>
                <w:szCs w:val="21"/>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57</w:t>
            </w:r>
          </w:p>
        </w:tc>
        <w:tc>
          <w:tcPr>
            <w:tcW w:w="3198" w:type="dxa"/>
            <w:vAlign w:val="top"/>
          </w:tcPr>
          <w:p>
            <w:pPr>
              <w:pStyle w:val="7"/>
              <w:ind w:left="0" w:leftChars="0" w:firstLine="0" w:firstLineChars="0"/>
              <w:jc w:val="left"/>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color w:val="auto"/>
                <w:sz w:val="21"/>
                <w:szCs w:val="21"/>
                <w:lang w:val="en-US" w:eastAsia="zh-CN"/>
              </w:rPr>
              <w:t>项城华丰国际皮革城有限公司</w:t>
            </w:r>
          </w:p>
        </w:tc>
        <w:tc>
          <w:tcPr>
            <w:tcW w:w="2880" w:type="dxa"/>
            <w:vAlign w:val="center"/>
          </w:tcPr>
          <w:p>
            <w:pPr>
              <w:pStyle w:val="7"/>
              <w:ind w:left="0" w:leftChars="0" w:firstLine="0" w:firstLineChars="0"/>
              <w:jc w:val="left"/>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color w:val="auto"/>
                <w:sz w:val="21"/>
                <w:szCs w:val="21"/>
                <w:lang w:val="en-US" w:eastAsia="zh-CN"/>
              </w:rPr>
              <w:t>东方大道130号</w:t>
            </w:r>
          </w:p>
        </w:tc>
        <w:tc>
          <w:tcPr>
            <w:tcW w:w="1455" w:type="dxa"/>
            <w:vAlign w:val="center"/>
          </w:tcPr>
          <w:p>
            <w:pPr>
              <w:pStyle w:val="7"/>
              <w:ind w:left="0" w:leftChars="0" w:firstLine="0" w:firstLineChars="0"/>
              <w:jc w:val="center"/>
              <w:rPr>
                <w:rFonts w:hint="eastAsia" w:ascii="仿宋" w:hAnsi="仿宋" w:eastAsia="仿宋"/>
                <w:color w:val="auto"/>
                <w:sz w:val="20"/>
                <w:szCs w:val="20"/>
              </w:rPr>
            </w:pPr>
            <w:r>
              <w:rPr>
                <w:rFonts w:hint="eastAsia" w:ascii="仿宋" w:hAnsi="仿宋" w:eastAsia="仿宋" w:cs="仿宋"/>
                <w:color w:val="auto"/>
                <w:sz w:val="21"/>
                <w:szCs w:val="21"/>
                <w:lang w:val="en-US" w:eastAsia="zh-CN"/>
              </w:rPr>
              <w:t>轻工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58</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项城市索敏加油站</w:t>
            </w:r>
          </w:p>
        </w:tc>
        <w:tc>
          <w:tcPr>
            <w:tcW w:w="2880"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项城市水新路西望陵园北</w:t>
            </w:r>
          </w:p>
        </w:tc>
        <w:tc>
          <w:tcPr>
            <w:tcW w:w="1455" w:type="dxa"/>
            <w:vAlign w:val="center"/>
          </w:tcPr>
          <w:p>
            <w:pPr>
              <w:jc w:val="center"/>
              <w:rPr>
                <w:rFonts w:hint="eastAsia" w:ascii="仿宋" w:hAnsi="仿宋" w:eastAsia="仿宋"/>
                <w:color w:val="auto"/>
                <w:sz w:val="20"/>
                <w:szCs w:val="20"/>
              </w:rPr>
            </w:pPr>
          </w:p>
        </w:tc>
        <w:tc>
          <w:tcPr>
            <w:tcW w:w="1170"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59</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中国石化销售有限公司河南周口项城丁集加油站</w:t>
            </w:r>
          </w:p>
        </w:tc>
        <w:tc>
          <w:tcPr>
            <w:tcW w:w="2880"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i w:val="0"/>
                <w:iCs w:val="0"/>
                <w:color w:val="auto"/>
                <w:kern w:val="0"/>
                <w:sz w:val="21"/>
                <w:szCs w:val="21"/>
                <w:u w:val="none"/>
                <w:lang w:val="en-US" w:eastAsia="zh-CN"/>
              </w:rPr>
              <w:t>项城市丁集镇</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atLeast"/>
        </w:trPr>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60</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项城市丁集张锦中加油站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丁集南付庄东100米</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项城市丁集振华加油站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项城市丁集镇水新路东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项城市花园潘咏加油站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项城市花园办事处从营社区天然气站北300米迎宾大道北段路东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项城市郑埠口加油站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项城市花园办事处郑埠口村北200米路东</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中国石化销售股份有限公司河南周口项城袁桥加油站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项城市城郊袁桥北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中国石化销售股份有限公司河南周口项城接卸加油站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项城市水新路西侧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66</w:t>
            </w:r>
          </w:p>
        </w:tc>
        <w:tc>
          <w:tcPr>
            <w:tcW w:w="3198" w:type="dxa"/>
            <w:vAlign w:val="top"/>
          </w:tcPr>
          <w:p>
            <w:pPr>
              <w:pStyle w:val="7"/>
              <w:ind w:left="0" w:leftChars="0" w:firstLine="0" w:firstLineChars="0"/>
              <w:rPr>
                <w:rFonts w:hint="eastAsia" w:ascii="仿宋" w:hAnsi="仿宋" w:eastAsia="仿宋" w:cs="仿宋"/>
                <w:color w:val="auto"/>
                <w:sz w:val="21"/>
                <w:szCs w:val="21"/>
              </w:rPr>
            </w:pPr>
            <w:r>
              <w:rPr>
                <w:rFonts w:hint="eastAsia" w:ascii="仿宋" w:hAnsi="仿宋" w:eastAsia="仿宋" w:cs="仿宋"/>
                <w:color w:val="auto"/>
                <w:sz w:val="21"/>
                <w:szCs w:val="21"/>
              </w:rPr>
              <w:t>中国石油天然气股份有限公司河南周口销售分公司第三十八加油站</w:t>
            </w:r>
          </w:p>
        </w:tc>
        <w:tc>
          <w:tcPr>
            <w:tcW w:w="2880" w:type="dxa"/>
            <w:vAlign w:val="center"/>
          </w:tcPr>
          <w:p>
            <w:pPr>
              <w:pStyle w:val="7"/>
              <w:ind w:left="0" w:leftChars="0" w:firstLine="0" w:firstLineChars="0"/>
              <w:jc w:val="left"/>
              <w:rPr>
                <w:rFonts w:hint="eastAsia" w:ascii="仿宋" w:hAnsi="仿宋" w:eastAsia="仿宋" w:cs="仿宋"/>
                <w:color w:val="auto"/>
                <w:sz w:val="21"/>
                <w:szCs w:val="21"/>
              </w:rPr>
            </w:pPr>
            <w:r>
              <w:rPr>
                <w:rFonts w:hint="eastAsia" w:ascii="仿宋" w:hAnsi="仿宋" w:eastAsia="仿宋" w:cs="仿宋"/>
                <w:color w:val="auto"/>
                <w:sz w:val="21"/>
                <w:szCs w:val="21"/>
              </w:rPr>
              <w:t>项城市周项公路东侧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67</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中国石化销售股份有限公司河南周口大广高速项城服务区西加油站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项城市贾岭镇祁庄行政村西，大广高速秣陵收费站南11公里</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68</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中国石化销售股份有限公司河南周口大广高速项城服务区东加油站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项城市贾岭镇大广高速项城服务区东区</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69</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中国石化销售股份有限公司河南周口项城郑郭加油站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项城市郑郭镇张堂行政村东，329国道北</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70</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中国石化股份有限公司河南周口石油分公司大广项城停车区西加油站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大广高速项城停车区西侧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中国石化股份有限公司河南周口石油分公司大广项城停车区东加油站</w:t>
            </w:r>
          </w:p>
        </w:tc>
        <w:tc>
          <w:tcPr>
            <w:tcW w:w="2880"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i w:val="0"/>
                <w:iCs w:val="0"/>
                <w:color w:val="auto"/>
                <w:kern w:val="0"/>
                <w:sz w:val="21"/>
                <w:szCs w:val="21"/>
                <w:u w:val="none"/>
                <w:lang w:val="en-US" w:eastAsia="zh-CN"/>
              </w:rPr>
              <w:t>大广高速项城停车区东侧</w:t>
            </w:r>
          </w:p>
        </w:tc>
        <w:tc>
          <w:tcPr>
            <w:tcW w:w="1455" w:type="dxa"/>
            <w:vAlign w:val="center"/>
          </w:tcPr>
          <w:p>
            <w:pPr>
              <w:jc w:val="center"/>
              <w:rPr>
                <w:rFonts w:hint="eastAsia" w:ascii="仿宋" w:hAnsi="仿宋" w:eastAsia="仿宋" w:cs="仿宋"/>
                <w:color w:val="auto"/>
                <w:sz w:val="21"/>
                <w:szCs w:val="21"/>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72</w:t>
            </w:r>
          </w:p>
        </w:tc>
        <w:tc>
          <w:tcPr>
            <w:tcW w:w="3198" w:type="dxa"/>
            <w:vAlign w:val="center"/>
          </w:tcPr>
          <w:p>
            <w:pPr>
              <w:widowControl/>
              <w:jc w:val="left"/>
              <w:textAlignment w:val="center"/>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color w:val="auto"/>
                <w:sz w:val="21"/>
                <w:szCs w:val="21"/>
                <w:lang w:val="en-US" w:eastAsia="zh-CN"/>
              </w:rPr>
              <w:t>项城市易达加油站</w:t>
            </w:r>
          </w:p>
        </w:tc>
        <w:tc>
          <w:tcPr>
            <w:tcW w:w="2880" w:type="dxa"/>
            <w:vAlign w:val="center"/>
          </w:tcPr>
          <w:p>
            <w:pPr>
              <w:jc w:val="left"/>
              <w:rPr>
                <w:rFonts w:hint="eastAsia" w:ascii="仿宋" w:hAnsi="仿宋" w:eastAsia="仿宋" w:cs="仿宋"/>
                <w:i w:val="0"/>
                <w:iCs w:val="0"/>
                <w:color w:val="auto"/>
                <w:kern w:val="0"/>
                <w:sz w:val="21"/>
                <w:szCs w:val="21"/>
                <w:u w:val="none"/>
                <w:lang w:val="en-US" w:eastAsia="zh-CN"/>
              </w:rPr>
            </w:pPr>
            <w:r>
              <w:rPr>
                <w:rFonts w:hint="eastAsia" w:ascii="仿宋" w:hAnsi="仿宋" w:eastAsia="仿宋" w:cs="仿宋"/>
                <w:color w:val="auto"/>
                <w:sz w:val="21"/>
                <w:szCs w:val="21"/>
                <w:lang w:val="en-US" w:eastAsia="zh-CN"/>
              </w:rPr>
              <w:t>项城市永丰镇大李庄200米Y004西侧</w:t>
            </w:r>
          </w:p>
        </w:tc>
        <w:tc>
          <w:tcPr>
            <w:tcW w:w="1455" w:type="dxa"/>
            <w:vAlign w:val="center"/>
          </w:tcPr>
          <w:p>
            <w:pPr>
              <w:jc w:val="center"/>
              <w:rPr>
                <w:rFonts w:hint="eastAsia" w:ascii="仿宋" w:hAnsi="仿宋" w:eastAsia="仿宋"/>
                <w:color w:val="auto"/>
                <w:sz w:val="20"/>
                <w:szCs w:val="20"/>
              </w:rPr>
            </w:pPr>
            <w:r>
              <w:rPr>
                <w:rFonts w:hint="eastAsia" w:ascii="仿宋" w:hAnsi="仿宋" w:eastAsia="仿宋"/>
                <w:color w:val="auto"/>
                <w:sz w:val="20"/>
                <w:szCs w:val="20"/>
              </w:rPr>
              <w:t>危化品（经营）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73</w:t>
            </w:r>
          </w:p>
        </w:tc>
        <w:tc>
          <w:tcPr>
            <w:tcW w:w="3198"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周口庄吉服饰有限公司</w:t>
            </w:r>
          </w:p>
        </w:tc>
        <w:tc>
          <w:tcPr>
            <w:tcW w:w="2880"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颍河路纬三路东500米</w:t>
            </w:r>
          </w:p>
        </w:tc>
        <w:tc>
          <w:tcPr>
            <w:tcW w:w="1455"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纺织</w:t>
            </w:r>
          </w:p>
        </w:tc>
        <w:tc>
          <w:tcPr>
            <w:tcW w:w="1170" w:type="dxa"/>
            <w:vAlign w:val="center"/>
          </w:tcPr>
          <w:p>
            <w:pPr>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pStyle w:val="7"/>
              <w:ind w:left="0" w:leftChars="0" w:firstLine="0" w:firstLineChars="0"/>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74</w:t>
            </w:r>
          </w:p>
        </w:tc>
        <w:tc>
          <w:tcPr>
            <w:tcW w:w="3198" w:type="dxa"/>
            <w:vAlign w:val="center"/>
          </w:tcPr>
          <w:p>
            <w:pPr>
              <w:widowControl/>
              <w:jc w:val="left"/>
              <w:textAlignment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莲花健康产业集团股份有限公司</w:t>
            </w:r>
          </w:p>
        </w:tc>
        <w:tc>
          <w:tcPr>
            <w:tcW w:w="2880" w:type="dxa"/>
            <w:vAlign w:val="center"/>
          </w:tcPr>
          <w:p>
            <w:pPr>
              <w:widowControl/>
              <w:jc w:val="left"/>
              <w:textAlignment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项城市莲花大道18号</w:t>
            </w:r>
          </w:p>
        </w:tc>
        <w:tc>
          <w:tcPr>
            <w:tcW w:w="1455"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轻工</w:t>
            </w:r>
          </w:p>
        </w:tc>
        <w:tc>
          <w:tcPr>
            <w:tcW w:w="1170" w:type="dxa"/>
            <w:vAlign w:val="center"/>
          </w:tcPr>
          <w:p>
            <w:pPr>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四</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29" w:type="dxa"/>
            <w:gridSpan w:val="5"/>
            <w:vAlign w:val="center"/>
          </w:tcPr>
          <w:p>
            <w:pPr>
              <w:jc w:val="both"/>
              <w:rPr>
                <w:rFonts w:hint="eastAsia" w:ascii="仿宋" w:hAnsi="仿宋" w:eastAsia="仿宋" w:cs="仿宋"/>
                <w:color w:val="auto"/>
                <w:sz w:val="21"/>
                <w:szCs w:val="21"/>
                <w:lang w:val="en-US" w:eastAsia="zh-CN"/>
              </w:rPr>
            </w:pPr>
            <w:r>
              <w:rPr>
                <w:rFonts w:hint="eastAsia" w:ascii="仿宋" w:hAnsi="仿宋" w:eastAsia="仿宋" w:cs="仿宋"/>
                <w:b/>
                <w:bCs/>
                <w:color w:val="auto"/>
                <w:sz w:val="21"/>
                <w:szCs w:val="21"/>
                <w:lang w:val="en-US" w:eastAsia="zh-CN"/>
              </w:rPr>
              <w:t>二、一般检查企业（29家）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426" w:type="dxa"/>
            <w:vAlign w:val="center"/>
          </w:tcPr>
          <w:p>
            <w:pPr>
              <w:jc w:val="center"/>
              <w:rPr>
                <w:rFonts w:hint="eastAsia"/>
                <w:color w:val="auto"/>
              </w:rPr>
            </w:pPr>
            <w:r>
              <w:rPr>
                <w:rFonts w:hint="eastAsia" w:ascii="黑体" w:hAnsi="黑体" w:eastAsia="黑体" w:cs="黑体"/>
                <w:color w:val="auto"/>
                <w:szCs w:val="21"/>
              </w:rPr>
              <w:t>序号</w:t>
            </w:r>
          </w:p>
        </w:tc>
        <w:tc>
          <w:tcPr>
            <w:tcW w:w="3198" w:type="dxa"/>
            <w:vAlign w:val="center"/>
          </w:tcPr>
          <w:p>
            <w:pPr>
              <w:jc w:val="center"/>
              <w:rPr>
                <w:rFonts w:hint="eastAsia"/>
                <w:color w:val="auto"/>
              </w:rPr>
            </w:pPr>
            <w:r>
              <w:rPr>
                <w:rFonts w:hint="eastAsia" w:ascii="黑体" w:hAnsi="黑体" w:eastAsia="黑体" w:cs="黑体"/>
                <w:color w:val="auto"/>
                <w:szCs w:val="21"/>
              </w:rPr>
              <w:t>企业名称</w:t>
            </w:r>
          </w:p>
        </w:tc>
        <w:tc>
          <w:tcPr>
            <w:tcW w:w="2880" w:type="dxa"/>
            <w:vAlign w:val="center"/>
          </w:tcPr>
          <w:p>
            <w:pPr>
              <w:jc w:val="center"/>
              <w:rPr>
                <w:rFonts w:hint="eastAsia"/>
                <w:color w:val="auto"/>
              </w:rPr>
            </w:pPr>
            <w:r>
              <w:rPr>
                <w:rFonts w:hint="eastAsia" w:ascii="黑体" w:hAnsi="黑体" w:eastAsia="黑体" w:cs="黑体"/>
                <w:color w:val="auto"/>
                <w:szCs w:val="21"/>
              </w:rPr>
              <w:t>地址</w:t>
            </w:r>
          </w:p>
        </w:tc>
        <w:tc>
          <w:tcPr>
            <w:tcW w:w="1455" w:type="dxa"/>
            <w:vAlign w:val="center"/>
          </w:tcPr>
          <w:p>
            <w:pPr>
              <w:jc w:val="center"/>
              <w:rPr>
                <w:rFonts w:hint="eastAsia"/>
                <w:color w:val="auto"/>
              </w:rPr>
            </w:pPr>
            <w:r>
              <w:rPr>
                <w:rFonts w:hint="eastAsia" w:ascii="黑体" w:hAnsi="黑体" w:eastAsia="黑体" w:cs="黑体"/>
                <w:color w:val="auto"/>
                <w:szCs w:val="21"/>
              </w:rPr>
              <w:t>行业领域</w:t>
            </w:r>
          </w:p>
        </w:tc>
        <w:tc>
          <w:tcPr>
            <w:tcW w:w="1170" w:type="dxa"/>
            <w:vAlign w:val="center"/>
          </w:tcPr>
          <w:p>
            <w:pPr>
              <w:jc w:val="center"/>
              <w:rPr>
                <w:rFonts w:hint="eastAsia"/>
                <w:color w:val="auto"/>
              </w:rPr>
            </w:pPr>
            <w:r>
              <w:rPr>
                <w:rFonts w:hint="eastAsia" w:ascii="黑体" w:hAnsi="黑体" w:eastAsia="黑体" w:cs="黑体"/>
                <w:color w:val="auto"/>
                <w:szCs w:val="21"/>
              </w:rPr>
              <w:t>时间安排（季度）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w:t>
            </w:r>
          </w:p>
        </w:tc>
        <w:tc>
          <w:tcPr>
            <w:tcW w:w="3198" w:type="dxa"/>
            <w:vAlign w:val="top"/>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项城市梦尔罗服装有限公司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颍河路新王昶集</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河南亨科京建科技有限公司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项城市南环路与城东路交叉口东段500米路南</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项城市奔马皮业有限公司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项城市丁集镇</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河南豪派服饰有限公司</w:t>
            </w:r>
          </w:p>
          <w:p>
            <w:pPr>
              <w:widowControl/>
              <w:jc w:val="left"/>
              <w:textAlignment w:val="center"/>
            </w:pPr>
          </w:p>
        </w:tc>
        <w:tc>
          <w:tcPr>
            <w:tcW w:w="2880" w:type="dxa"/>
            <w:vAlign w:val="center"/>
          </w:tcPr>
          <w:p>
            <w:pPr>
              <w:widowControl/>
              <w:jc w:val="left"/>
              <w:textAlignment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项城市纬二路与经四路交叉口</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河南省森罗家具有限公司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项城市丁集镇田寨</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3"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6</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河南省领航服饰有限公司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项城市颖河路39号</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426" w:type="dxa"/>
            <w:vAlign w:val="center"/>
          </w:tcPr>
          <w:p>
            <w:pPr>
              <w:widowControl/>
              <w:jc w:val="left"/>
              <w:textAlignment w:val="center"/>
              <w:rPr>
                <w:rFonts w:hint="eastAsia"/>
                <w:color w:val="auto"/>
              </w:rPr>
            </w:pPr>
            <w:r>
              <w:rPr>
                <w:rFonts w:hint="eastAsia" w:ascii="仿宋" w:hAnsi="仿宋" w:eastAsia="仿宋" w:cs="仿宋"/>
                <w:color w:val="auto"/>
                <w:sz w:val="21"/>
                <w:szCs w:val="21"/>
                <w:lang w:val="en-US" w:eastAsia="zh-CN"/>
              </w:rPr>
              <w:t>7</w:t>
            </w:r>
          </w:p>
        </w:tc>
        <w:tc>
          <w:tcPr>
            <w:tcW w:w="3198" w:type="dxa"/>
            <w:vAlign w:val="center"/>
          </w:tcPr>
          <w:p>
            <w:pPr>
              <w:widowControl/>
              <w:jc w:val="left"/>
              <w:textAlignment w:val="center"/>
              <w:rPr>
                <w:rFonts w:hint="eastAsia" w:ascii="黑体" w:hAnsi="黑体" w:eastAsia="黑体" w:cs="黑体"/>
                <w:color w:val="auto"/>
                <w:szCs w:val="21"/>
              </w:rPr>
            </w:pPr>
            <w:r>
              <w:rPr>
                <w:rFonts w:hint="eastAsia" w:ascii="仿宋" w:hAnsi="仿宋" w:eastAsia="仿宋" w:cs="仿宋"/>
                <w:color w:val="auto"/>
                <w:sz w:val="21"/>
                <w:szCs w:val="21"/>
                <w:lang w:val="en-US" w:eastAsia="zh-CN"/>
              </w:rPr>
              <w:t>河南瑞博电气有限公司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产业集聚区纬三路与经四路交叉口西60米路南</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9" w:hRule="atLeast"/>
        </w:trPr>
        <w:tc>
          <w:tcPr>
            <w:tcW w:w="426" w:type="dxa"/>
            <w:vAlign w:val="center"/>
          </w:tcPr>
          <w:p>
            <w:pPr>
              <w:widowControl/>
              <w:jc w:val="left"/>
              <w:textAlignment w:val="center"/>
              <w:rPr>
                <w:rFonts w:hint="eastAsia"/>
                <w:color w:val="auto"/>
              </w:rPr>
            </w:pPr>
            <w:r>
              <w:rPr>
                <w:rFonts w:hint="eastAsia" w:ascii="仿宋" w:hAnsi="仿宋" w:eastAsia="仿宋" w:cs="仿宋"/>
                <w:color w:val="auto"/>
                <w:sz w:val="21"/>
                <w:szCs w:val="21"/>
                <w:lang w:val="en-US" w:eastAsia="zh-CN"/>
              </w:rPr>
              <w:t>8</w:t>
            </w:r>
          </w:p>
        </w:tc>
        <w:tc>
          <w:tcPr>
            <w:tcW w:w="3198" w:type="dxa"/>
            <w:vAlign w:val="center"/>
          </w:tcPr>
          <w:p>
            <w:pPr>
              <w:widowControl/>
              <w:jc w:val="left"/>
              <w:textAlignment w:val="center"/>
              <w:rPr>
                <w:rFonts w:hint="eastAsia" w:ascii="仿宋" w:hAnsi="仿宋" w:eastAsia="仿宋" w:cs="仿宋"/>
                <w:b/>
                <w:bCs/>
                <w:color w:val="auto"/>
                <w:sz w:val="21"/>
                <w:szCs w:val="21"/>
                <w:lang w:val="en-US" w:eastAsia="zh-CN"/>
              </w:rPr>
            </w:pPr>
            <w:r>
              <w:rPr>
                <w:rFonts w:hint="eastAsia" w:ascii="仿宋" w:hAnsi="仿宋" w:eastAsia="仿宋" w:cs="仿宋"/>
                <w:color w:val="auto"/>
                <w:sz w:val="21"/>
                <w:szCs w:val="21"/>
                <w:lang w:val="en-US" w:eastAsia="zh-CN"/>
              </w:rPr>
              <w:t>河南趣野户外用品有限公司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项城市东方大道196号</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9</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周口平高电气集团有限公司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产业集聚区纬二路36号</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10</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项城市圣书缘服装服饰有限公司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产业集聚区纬二路16号</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项城市百家实业有限公司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项城市范集镇大陈开发区</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项城市安德利游乐设备有限公司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产业集聚区纬二路28号</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项城市顺宏皮革有限公司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项城市秣陵镇北郊工业区</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项城市双强皮业有限公司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颍河路88号院内</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河南熙元食品有限公司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项城市颖河路88号</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16</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项城市宝达纺织有限公司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项城市高寺娄堤村</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17</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项城市永花调味品有限公司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项城市天安大道东段</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18</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河南大河重工有限公司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项城市南顿镇姜庄村</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19</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项城市安康食品有限公司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项城市产业集聚区经一路</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20</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项城市亚星箱包皮件有限公司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经一路与纬二路交叉口</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21</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项城市礼邵诚鞋业有限公司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东方大道产业集聚区</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22</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项城市优踏工贸有限公司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纬三路中小企业园</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23</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项城市芙蓉烙食品有限公司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纬三路中小企业产业园</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24</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河南金泽兰纺织科技股份有限公司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同济大道与天安大道交叉口</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25</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项城市瑞丰纺织有限公司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项城市G106光武大道</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26</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东方丝路医纺科技股份有限公司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项城市经五路666号</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27</w:t>
            </w:r>
          </w:p>
        </w:tc>
        <w:tc>
          <w:tcPr>
            <w:tcW w:w="3198" w:type="dxa"/>
            <w:vAlign w:val="center"/>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河南新乐园科技有限公司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项城市产业集聚区东方大道</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轻工</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28</w:t>
            </w:r>
          </w:p>
        </w:tc>
        <w:tc>
          <w:tcPr>
            <w:tcW w:w="3198" w:type="dxa"/>
            <w:vAlign w:val="bottom"/>
          </w:tcPr>
          <w:p>
            <w:pPr>
              <w:widowControl/>
              <w:jc w:val="left"/>
              <w:textAlignment w:val="center"/>
              <w:rPr>
                <w:rFonts w:hint="eastAsia" w:ascii="仿宋" w:hAnsi="仿宋" w:eastAsia="仿宋" w:cs="仿宋"/>
                <w:color w:val="auto"/>
                <w:sz w:val="21"/>
                <w:szCs w:val="21"/>
              </w:rPr>
            </w:pPr>
            <w:r>
              <w:rPr>
                <w:rFonts w:hint="default" w:ascii="仿宋" w:hAnsi="仿宋" w:eastAsia="仿宋" w:cs="仿宋"/>
                <w:color w:val="auto"/>
                <w:sz w:val="21"/>
                <w:szCs w:val="21"/>
                <w:lang w:val="en-US" w:eastAsia="zh-CN"/>
              </w:rPr>
              <w:t>项城市恋姿兰服装有限公司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项城市城东路西50米</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纺织</w:t>
            </w:r>
          </w:p>
        </w:tc>
        <w:tc>
          <w:tcPr>
            <w:tcW w:w="1170" w:type="dxa"/>
            <w:vAlign w:val="top"/>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426" w:type="dxa"/>
            <w:vAlign w:val="center"/>
          </w:tcPr>
          <w:p>
            <w:pPr>
              <w:widowControl/>
              <w:jc w:val="left"/>
              <w:textAlignment w:val="center"/>
              <w:rPr>
                <w:rFonts w:hint="default"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29</w:t>
            </w:r>
          </w:p>
        </w:tc>
        <w:tc>
          <w:tcPr>
            <w:tcW w:w="3198" w:type="dxa"/>
            <w:vAlign w:val="bottom"/>
          </w:tcPr>
          <w:p>
            <w:pPr>
              <w:widowControl/>
              <w:jc w:val="left"/>
              <w:textAlignment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项城市大成钢构有限公司</w:t>
            </w:r>
          </w:p>
        </w:tc>
        <w:tc>
          <w:tcPr>
            <w:tcW w:w="2880" w:type="dxa"/>
            <w:vAlign w:val="center"/>
          </w:tcPr>
          <w:p>
            <w:pPr>
              <w:widowControl/>
              <w:jc w:val="left"/>
              <w:textAlignment w:val="center"/>
            </w:pPr>
            <w:r>
              <w:rPr>
                <w:rFonts w:hint="eastAsia" w:ascii="仿宋" w:hAnsi="仿宋" w:eastAsia="仿宋" w:cs="仿宋"/>
                <w:color w:val="auto"/>
                <w:sz w:val="21"/>
                <w:szCs w:val="21"/>
                <w:lang w:val="en-US" w:eastAsia="zh-CN"/>
              </w:rPr>
              <w:t>平安大道与经一路交叉口</w:t>
            </w:r>
          </w:p>
        </w:tc>
        <w:tc>
          <w:tcPr>
            <w:tcW w:w="1455" w:type="dxa"/>
            <w:vAlign w:val="center"/>
          </w:tcPr>
          <w:p>
            <w:pPr>
              <w:widowControl/>
              <w:jc w:val="center"/>
              <w:textAlignment w:val="center"/>
            </w:pPr>
            <w:r>
              <w:rPr>
                <w:rFonts w:hint="eastAsia" w:ascii="仿宋" w:hAnsi="仿宋" w:eastAsia="仿宋" w:cs="仿宋"/>
                <w:color w:val="auto"/>
                <w:sz w:val="21"/>
                <w:szCs w:val="21"/>
                <w:lang w:val="en-US" w:eastAsia="zh-CN"/>
              </w:rPr>
              <w:t>建材</w:t>
            </w:r>
          </w:p>
        </w:tc>
        <w:tc>
          <w:tcPr>
            <w:tcW w:w="1170" w:type="dxa"/>
            <w:vAlign w:val="center"/>
          </w:tcPr>
          <w:p>
            <w:pPr>
              <w:widowControl/>
              <w:jc w:val="left"/>
              <w:textAlignment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9129" w:type="dxa"/>
            <w:gridSpan w:val="5"/>
            <w:vAlign w:val="center"/>
          </w:tcPr>
          <w:p>
            <w:pPr>
              <w:widowControl/>
              <w:jc w:val="left"/>
              <w:textAlignment w:val="center"/>
            </w:pPr>
            <w:r>
              <w:rPr>
                <w:rFonts w:hint="eastAsia" w:ascii="仿宋" w:hAnsi="仿宋" w:eastAsia="仿宋" w:cs="仿宋"/>
                <w:color w:val="auto"/>
                <w:sz w:val="21"/>
                <w:szCs w:val="21"/>
                <w:lang w:val="en-US" w:eastAsia="zh-CN"/>
              </w:rPr>
              <w:t>一般检查企业按照“双随机”监督检查方式开展检查</w:t>
            </w:r>
          </w:p>
        </w:tc>
      </w:tr>
    </w:tbl>
    <w:p>
      <w:pPr>
        <w:pStyle w:val="7"/>
        <w:rPr>
          <w:rFonts w:hint="eastAsia" w:ascii="仿宋" w:hAnsi="仿宋" w:eastAsia="仿宋"/>
          <w:color w:val="auto"/>
          <w:sz w:val="32"/>
          <w:szCs w:val="32"/>
        </w:rPr>
      </w:pPr>
    </w:p>
    <w:p>
      <w:pPr>
        <w:pStyle w:val="7"/>
        <w:ind w:left="0" w:leftChars="0" w:firstLine="0" w:firstLineChars="0"/>
        <w:rPr>
          <w:rFonts w:hint="eastAsia" w:ascii="仿宋" w:hAnsi="仿宋" w:eastAsia="仿宋"/>
          <w:color w:val="auto"/>
          <w:sz w:val="32"/>
          <w:szCs w:val="32"/>
        </w:rPr>
      </w:pPr>
      <w:bookmarkStart w:id="0" w:name="_GoBack"/>
      <w:bookmarkEnd w:id="0"/>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rFonts w:ascii="Calibri" w:hAnsi="Calibri" w:eastAsia="宋体" w:cs="Times New Roman"/>
        <w:kern w:val="2"/>
        <w:sz w:val="18"/>
        <w:szCs w:val="18"/>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3"/>
              <wp:cNvGraphicFramePr/>
              <a:graphic xmlns:a="http://schemas.openxmlformats.org/drawingml/2006/main">
                <a:graphicData uri="http://schemas.microsoft.com/office/word/2010/wordprocessingShape">
                  <wps:wsp>
                    <wps:cNvSpPr/>
                    <wps:spPr>
                      <a:xfrm>
                        <a:off x="0" y="0"/>
                        <a:ext cx="1828800" cy="1828800"/>
                      </a:xfrm>
                      <a:prstGeom prst="rect">
                        <a:avLst/>
                      </a:prstGeom>
                      <a:noFill/>
                      <a:ln>
                        <a:noFill/>
                      </a:ln>
                    </wps:spPr>
                    <wps:txbx>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1">
                      <a:spAutoFit/>
                    </wps:bodyPr>
                  </wps:wsp>
                </a:graphicData>
              </a:graphic>
            </wp:anchor>
          </w:drawing>
        </mc:Choice>
        <mc:Fallback>
          <w:pict>
            <v:rect id="文本框 3" o:spid="_x0000_s1026" o:spt="1"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5dblS0AAAAAUBAAAPAAAAAAAA&#10;AAEAIAAAACIAAABkcnMvZG93bnJldi54bWxQSwECFAAUAAAACACHTuJACcTR36gBAABBAwAADgAA&#10;AAAAAAABACAAAAAfAQAAZHJzL2Uyb0RvYy54bWxQSwUGAAAAAAYABgBZAQAAOQUAAAAA&#10;">
              <v:fill on="f" focussize="0,0"/>
              <v:stroke on="f"/>
              <v:imagedata o:title=""/>
              <o:lock v:ext="edit" aspectratio="f"/>
              <v:textbox inset="0mm,0mm,0mm,0mm" style="mso-fit-shape-to-text:t;">
                <w:txbxContent>
                  <w:p>
                    <w:pPr>
                      <w:pStyle w:val="3"/>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0"/>
    <w:multiLevelType w:val="singleLevel"/>
    <w:tmpl w:val="00000000"/>
    <w:lvl w:ilvl="0" w:tentative="0">
      <w:start w:val="1"/>
      <w:numFmt w:val="decimal"/>
      <w:suff w:val="nothing"/>
      <w:lvlText w:val="%1、"/>
      <w:lvlJc w:val="left"/>
    </w:lvl>
  </w:abstractNum>
  <w:abstractNum w:abstractNumId="1">
    <w:nsid w:val="00000001"/>
    <w:multiLevelType w:val="singleLevel"/>
    <w:tmpl w:val="00000001"/>
    <w:lvl w:ilvl="0" w:tentative="0">
      <w:start w:val="1"/>
      <w:numFmt w:val="decimal"/>
      <w:suff w:val="nothing"/>
      <w:lvlText w:val="%1、"/>
      <w:lvlJc w:val="left"/>
    </w:lvl>
  </w:abstractNum>
  <w:abstractNum w:abstractNumId="2">
    <w:nsid w:val="00000002"/>
    <w:multiLevelType w:val="singleLevel"/>
    <w:tmpl w:val="00000002"/>
    <w:lvl w:ilvl="0" w:tentative="0">
      <w:start w:val="1"/>
      <w:numFmt w:val="chineseCounting"/>
      <w:suff w:val="nothing"/>
      <w:lvlText w:val="（%1）"/>
      <w:lvlJc w:val="left"/>
      <w:rPr>
        <w:rFonts w:hint="eastAsia"/>
      </w:rPr>
    </w:lvl>
  </w:abstractNum>
  <w:abstractNum w:abstractNumId="3">
    <w:nsid w:val="00000003"/>
    <w:multiLevelType w:val="singleLevel"/>
    <w:tmpl w:val="00000003"/>
    <w:lvl w:ilvl="0" w:tentative="0">
      <w:start w:val="1"/>
      <w:numFmt w:val="chineseCounting"/>
      <w:suff w:val="nothing"/>
      <w:lvlText w:val="（%1）"/>
      <w:lvlJc w:val="left"/>
      <w:rPr>
        <w:rFonts w:hint="eastAsia"/>
      </w:rPr>
    </w:lvl>
  </w:abstractNum>
  <w:abstractNum w:abstractNumId="4">
    <w:nsid w:val="00000004"/>
    <w:multiLevelType w:val="singleLevel"/>
    <w:tmpl w:val="00000004"/>
    <w:lvl w:ilvl="0" w:tentative="0">
      <w:start w:val="1"/>
      <w:numFmt w:val="chineseCounting"/>
      <w:suff w:val="nothing"/>
      <w:lvlText w:val="（%1）"/>
      <w:lvlJc w:val="left"/>
      <w:rPr>
        <w:rFonts w:hint="eastAsia" w:ascii="楷体" w:hAnsi="楷体" w:eastAsia="楷体" w:cs="楷体"/>
        <w:b/>
        <w:bCs/>
        <w:sz w:val="32"/>
        <w:szCs w:val="32"/>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k2MGRlMzNmYzRhMjVkMjM5Mzg4NWY5MzIwYmVmYjYifQ=="/>
  </w:docVars>
  <w:rsids>
    <w:rsidRoot w:val="00000000"/>
    <w:rsid w:val="04664A43"/>
    <w:rsid w:val="05634469"/>
    <w:rsid w:val="108F25B6"/>
    <w:rsid w:val="12BC340B"/>
    <w:rsid w:val="1C1E0C92"/>
    <w:rsid w:val="22FC5D86"/>
    <w:rsid w:val="239D4B92"/>
    <w:rsid w:val="27754BE8"/>
    <w:rsid w:val="346C65E7"/>
    <w:rsid w:val="3A0E1EEE"/>
    <w:rsid w:val="40B01F5E"/>
    <w:rsid w:val="47662C5C"/>
    <w:rsid w:val="49E94CEC"/>
    <w:rsid w:val="4CF45719"/>
    <w:rsid w:val="4D1D44CA"/>
    <w:rsid w:val="53D21218"/>
    <w:rsid w:val="545E354D"/>
    <w:rsid w:val="578E2D51"/>
    <w:rsid w:val="623C1DC5"/>
    <w:rsid w:val="69D13632"/>
    <w:rsid w:val="6ECC76A7"/>
    <w:rsid w:val="6F671466"/>
    <w:rsid w:val="729F135A"/>
    <w:rsid w:val="7C016BE2"/>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rPr>
      <w:sz w:val="29"/>
      <w:szCs w:val="29"/>
    </w:rPr>
  </w:style>
  <w:style w:type="paragraph" w:styleId="3">
    <w:name w:val="footer"/>
    <w:basedOn w:val="1"/>
    <w:link w:val="8"/>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customStyle="1" w:styleId="7">
    <w:name w:val="正文首行缩进1"/>
    <w:basedOn w:val="2"/>
    <w:qFormat/>
    <w:uiPriority w:val="0"/>
    <w:pPr>
      <w:ind w:firstLine="420" w:firstLineChars="100"/>
    </w:pPr>
    <w:rPr>
      <w:rFonts w:ascii="Times New Roman" w:hAnsi="Times New Roman" w:eastAsia="宋体" w:cs="Times New Roman"/>
    </w:rPr>
  </w:style>
  <w:style w:type="character" w:customStyle="1" w:styleId="8">
    <w:name w:val="页脚 Char"/>
    <w:link w:val="3"/>
    <w:semiHidden/>
    <w:qFormat/>
    <w:uiPriority w:val="0"/>
    <w:rPr>
      <w:sz w:val="18"/>
      <w:szCs w:val="18"/>
    </w:rPr>
  </w:style>
  <w:style w:type="character" w:customStyle="1" w:styleId="9">
    <w:name w:val="页眉 Char"/>
    <w:link w:val="4"/>
    <w:semiHidden/>
    <w:qFormat/>
    <w:uiPriority w:val="0"/>
    <w:rPr>
      <w:sz w:val="18"/>
      <w:szCs w:val="18"/>
    </w:rPr>
  </w:style>
  <w:style w:type="paragraph" w:customStyle="1" w:styleId="10">
    <w:name w:val="Plain Text"/>
    <w:basedOn w:val="1"/>
    <w:qFormat/>
    <w:uiPriority w:val="0"/>
    <w:rPr>
      <w:rFonts w:ascii="宋体" w:hAnsi="Courier New" w:cs="Courier New"/>
      <w:szCs w:val="21"/>
    </w:rPr>
  </w:style>
  <w:style w:type="paragraph" w:customStyle="1" w:styleId="11">
    <w:name w:val="Normal (Web)"/>
    <w:basedOn w:val="1"/>
    <w:qFormat/>
    <w:uiPriority w:val="0"/>
    <w:pPr>
      <w:spacing w:before="0" w:beforeAutospacing="1" w:after="0" w:afterAutospacing="1"/>
      <w:ind w:left="0" w:right="0"/>
      <w:jc w:val="left"/>
    </w:pPr>
    <w:rPr>
      <w:kern w:val="0"/>
      <w:sz w:val="24"/>
      <w:lang w:val="en-US" w:eastAsia="zh-CN"/>
    </w:rPr>
  </w:style>
  <w:style w:type="character" w:customStyle="1" w:styleId="12">
    <w:name w:val="font21"/>
    <w:basedOn w:val="6"/>
    <w:qFormat/>
    <w:uiPriority w:val="0"/>
    <w:rPr>
      <w:rFonts w:hint="eastAsia" w:ascii="仿宋" w:hAnsi="仿宋" w:eastAsia="仿宋" w:cs="仿宋"/>
      <w:color w:val="000000"/>
      <w:sz w:val="20"/>
      <w:szCs w:val="20"/>
      <w:u w:val="none"/>
    </w:rPr>
  </w:style>
  <w:style w:type="character" w:customStyle="1" w:styleId="13">
    <w:name w:val="font11"/>
    <w:basedOn w:val="6"/>
    <w:qFormat/>
    <w:uiPriority w:val="0"/>
    <w:rPr>
      <w:rFonts w:hint="eastAsia" w:ascii="仿宋" w:hAnsi="仿宋" w:eastAsia="仿宋" w:cs="仿宋"/>
      <w:color w:val="000000"/>
      <w:sz w:val="20"/>
      <w:szCs w:val="20"/>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13</Pages>
  <Words>6987</Words>
  <Characters>7284</Characters>
  <Lines>37</Lines>
  <Paragraphs>10</Paragraphs>
  <TotalTime>13</TotalTime>
  <ScaleCrop>false</ScaleCrop>
  <LinksUpToDate>false</LinksUpToDate>
  <CharactersWithSpaces>7356</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2020-03-18T00:50:00Z</dcterms:created>
  <dc:creator>gaoyu</dc:creator>
  <cp:lastModifiedBy>清华</cp:lastModifiedBy>
  <cp:lastPrinted>2025-02-11T02:37:00Z</cp:lastPrinted>
  <dcterms:modified xsi:type="dcterms:W3CDTF">2025-12-29T02:02:13Z</dcterms:modified>
  <dc:title>宁静致远</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y fmtid="{D5CDD505-2E9C-101B-9397-08002B2CF9AE}" pid="3" name="ICV">
    <vt:lpwstr>EF565DA7F9514590957707D72C751FB8_13</vt:lpwstr>
  </property>
  <property fmtid="{D5CDD505-2E9C-101B-9397-08002B2CF9AE}" pid="4" name="KSOTemplateDocerSaveRecord">
    <vt:lpwstr>eyJoZGlkIjoiMDAwMjg1ZThkODdmODQ2YmRkY2Q2N2M2OGQ0ZDI3ZWEiLCJ1c2VySWQiOiI0MjE5MDgzOTYifQ==</vt:lpwstr>
  </property>
</Properties>
</file>