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
        <w:tblW w:w="13977" w:type="dxa"/>
        <w:tblInd w:w="0" w:type="dxa"/>
        <w:shd w:val="clear" w:color="auto" w:fill="auto"/>
        <w:tblLayout w:type="autofit"/>
        <w:tblCellMar>
          <w:top w:w="0" w:type="dxa"/>
          <w:left w:w="0" w:type="dxa"/>
          <w:bottom w:w="0" w:type="dxa"/>
          <w:right w:w="0" w:type="dxa"/>
        </w:tblCellMar>
      </w:tblPr>
      <w:tblGrid>
        <w:gridCol w:w="1080"/>
        <w:gridCol w:w="5847"/>
        <w:gridCol w:w="7050"/>
      </w:tblGrid>
      <w:tr w14:paraId="7B680713">
        <w:tblPrEx>
          <w:shd w:val="clear" w:color="auto" w:fill="auto"/>
          <w:tblCellMar>
            <w:top w:w="0" w:type="dxa"/>
            <w:left w:w="0" w:type="dxa"/>
            <w:bottom w:w="0" w:type="dxa"/>
            <w:right w:w="0" w:type="dxa"/>
          </w:tblCellMar>
        </w:tblPrEx>
        <w:trPr>
          <w:trHeight w:val="635" w:hRule="atLeast"/>
        </w:trPr>
        <w:tc>
          <w:tcPr>
            <w:tcW w:w="1397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076ED31">
            <w:pPr>
              <w:keepNext w:val="0"/>
              <w:keepLines w:val="0"/>
              <w:widowControl/>
              <w:suppressLineNumbers w:val="0"/>
              <w:jc w:val="center"/>
              <w:textAlignment w:val="center"/>
              <w:rPr>
                <w:rFonts w:hint="default" w:ascii="方正小标宋简体" w:hAnsi="方正小标宋简体" w:eastAsia="方正小标宋简体" w:cs="方正小标宋简体"/>
                <w:i w:val="0"/>
                <w:color w:val="000000"/>
                <w:sz w:val="36"/>
                <w:szCs w:val="36"/>
                <w:u w:val="none"/>
                <w:lang w:val="en-US"/>
              </w:rPr>
            </w:pPr>
            <w:r>
              <w:rPr>
                <w:rFonts w:hint="eastAsia" w:ascii="方正小标宋简体" w:hAnsi="方正小标宋简体" w:eastAsia="方正小标宋简体" w:cs="方正小标宋简体"/>
                <w:i w:val="0"/>
                <w:color w:val="000000"/>
                <w:kern w:val="0"/>
                <w:sz w:val="36"/>
                <w:szCs w:val="36"/>
                <w:u w:val="none"/>
                <w:lang w:val="en-US" w:eastAsia="zh-CN" w:bidi="ar"/>
              </w:rPr>
              <w:t>检查标准</w:t>
            </w:r>
          </w:p>
        </w:tc>
      </w:tr>
      <w:tr w14:paraId="651F7FC5">
        <w:tblPrEx>
          <w:shd w:val="clear" w:color="auto" w:fill="auto"/>
          <w:tblCellMar>
            <w:top w:w="0" w:type="dxa"/>
            <w:left w:w="0" w:type="dxa"/>
            <w:bottom w:w="0" w:type="dxa"/>
            <w:right w:w="0" w:type="dxa"/>
          </w:tblCellMar>
        </w:tblPrEx>
        <w:trPr>
          <w:trHeight w:val="584"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96E43D">
            <w:pPr>
              <w:keepNext w:val="0"/>
              <w:keepLines w:val="0"/>
              <w:widowControl/>
              <w:suppressLineNumbers w:val="0"/>
              <w:jc w:val="center"/>
              <w:textAlignment w:val="center"/>
              <w:rPr>
                <w:rFonts w:ascii="仿宋_GB2312" w:hAnsi="宋体" w:eastAsia="仿宋_GB2312" w:cs="仿宋_GB2312"/>
                <w:b/>
                <w:bCs/>
                <w:i w:val="0"/>
                <w:color w:val="000000"/>
                <w:sz w:val="28"/>
                <w:szCs w:val="28"/>
                <w:u w:val="none"/>
              </w:rPr>
            </w:pPr>
            <w:r>
              <w:rPr>
                <w:rFonts w:hint="eastAsia" w:ascii="仿宋_GB2312" w:hAnsi="宋体" w:eastAsia="仿宋_GB2312" w:cs="仿宋_GB2312"/>
                <w:b/>
                <w:bCs/>
                <w:i w:val="0"/>
                <w:color w:val="000000"/>
                <w:kern w:val="0"/>
                <w:sz w:val="28"/>
                <w:szCs w:val="28"/>
                <w:u w:val="none"/>
                <w:lang w:val="en-US" w:eastAsia="zh-CN" w:bidi="ar"/>
              </w:rPr>
              <w:t>序号</w:t>
            </w:r>
          </w:p>
        </w:tc>
        <w:tc>
          <w:tcPr>
            <w:tcW w:w="584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54705C">
            <w:pPr>
              <w:keepNext w:val="0"/>
              <w:keepLines w:val="0"/>
              <w:widowControl/>
              <w:suppressLineNumbers w:val="0"/>
              <w:jc w:val="center"/>
              <w:textAlignment w:val="center"/>
              <w:rPr>
                <w:rFonts w:hint="eastAsia" w:ascii="仿宋_GB2312" w:hAnsi="宋体" w:eastAsia="仿宋_GB2312" w:cs="仿宋_GB2312"/>
                <w:b/>
                <w:bCs/>
                <w:i w:val="0"/>
                <w:color w:val="000000"/>
                <w:sz w:val="28"/>
                <w:szCs w:val="28"/>
                <w:u w:val="none"/>
              </w:rPr>
            </w:pPr>
            <w:r>
              <w:rPr>
                <w:rFonts w:hint="eastAsia" w:ascii="仿宋_GB2312" w:hAnsi="宋体" w:eastAsia="仿宋_GB2312" w:cs="仿宋_GB2312"/>
                <w:b/>
                <w:bCs/>
                <w:i w:val="0"/>
                <w:color w:val="000000"/>
                <w:kern w:val="0"/>
                <w:sz w:val="28"/>
                <w:szCs w:val="28"/>
                <w:u w:val="none"/>
                <w:lang w:val="en-US" w:eastAsia="zh-CN" w:bidi="ar"/>
              </w:rPr>
              <w:t>涉企行政检查事项</w:t>
            </w:r>
          </w:p>
        </w:tc>
        <w:tc>
          <w:tcPr>
            <w:tcW w:w="70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D242BE">
            <w:pPr>
              <w:keepNext w:val="0"/>
              <w:keepLines w:val="0"/>
              <w:widowControl/>
              <w:suppressLineNumbers w:val="0"/>
              <w:jc w:val="center"/>
              <w:textAlignment w:val="center"/>
              <w:rPr>
                <w:rFonts w:hint="eastAsia" w:ascii="仿宋_GB2312" w:hAnsi="宋体" w:eastAsia="仿宋_GB2312" w:cs="仿宋_GB2312"/>
                <w:b/>
                <w:bCs/>
                <w:i w:val="0"/>
                <w:color w:val="000000"/>
                <w:sz w:val="28"/>
                <w:szCs w:val="28"/>
                <w:u w:val="none"/>
              </w:rPr>
            </w:pPr>
            <w:r>
              <w:rPr>
                <w:rFonts w:hint="eastAsia" w:ascii="仿宋_GB2312" w:hAnsi="宋体" w:eastAsia="仿宋_GB2312" w:cs="仿宋_GB2312"/>
                <w:b/>
                <w:bCs/>
                <w:i w:val="0"/>
                <w:color w:val="000000"/>
                <w:kern w:val="0"/>
                <w:sz w:val="28"/>
                <w:szCs w:val="28"/>
                <w:u w:val="none"/>
                <w:lang w:val="en-US" w:eastAsia="zh-CN" w:bidi="ar"/>
              </w:rPr>
              <w:t>检查依据</w:t>
            </w:r>
          </w:p>
        </w:tc>
      </w:tr>
      <w:tr w14:paraId="782B6E41">
        <w:tblPrEx>
          <w:shd w:val="clear" w:color="auto" w:fill="auto"/>
          <w:tblCellMar>
            <w:top w:w="0" w:type="dxa"/>
            <w:left w:w="0" w:type="dxa"/>
            <w:bottom w:w="0" w:type="dxa"/>
            <w:right w:w="0" w:type="dxa"/>
          </w:tblCellMar>
        </w:tblPrEx>
        <w:trPr>
          <w:trHeight w:val="45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E05A41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584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476C2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对动物诊疗许可证核发的行政检查</w:t>
            </w:r>
          </w:p>
        </w:tc>
        <w:tc>
          <w:tcPr>
            <w:tcW w:w="70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EA897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《中华人民共和国动物防疫法》第六十一条、第六十二条</w:t>
            </w:r>
          </w:p>
        </w:tc>
      </w:tr>
      <w:tr w14:paraId="0FEC3428">
        <w:tblPrEx>
          <w:shd w:val="clear" w:color="auto" w:fill="auto"/>
          <w:tblCellMar>
            <w:top w:w="0" w:type="dxa"/>
            <w:left w:w="0" w:type="dxa"/>
            <w:bottom w:w="0" w:type="dxa"/>
            <w:right w:w="0" w:type="dxa"/>
          </w:tblCellMar>
        </w:tblPrEx>
        <w:trPr>
          <w:trHeight w:val="48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2BDB56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584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5B395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对兽药经营活动的行政检查</w:t>
            </w:r>
          </w:p>
        </w:tc>
        <w:tc>
          <w:tcPr>
            <w:tcW w:w="70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E0C52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《中华人民共和国兽药管理条例》第二十二条</w:t>
            </w:r>
          </w:p>
        </w:tc>
      </w:tr>
      <w:tr w14:paraId="6969B617">
        <w:tblPrEx>
          <w:shd w:val="clear" w:color="auto" w:fill="auto"/>
          <w:tblCellMar>
            <w:top w:w="0" w:type="dxa"/>
            <w:left w:w="0" w:type="dxa"/>
            <w:bottom w:w="0" w:type="dxa"/>
            <w:right w:w="0" w:type="dxa"/>
          </w:tblCellMar>
        </w:tblPrEx>
        <w:trPr>
          <w:trHeight w:val="52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5FEEC2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584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71135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对动物防疫条件合格证</w:t>
            </w:r>
            <w:bookmarkStart w:id="0" w:name="_GoBack"/>
            <w:bookmarkEnd w:id="0"/>
            <w:r>
              <w:rPr>
                <w:rFonts w:hint="eastAsia" w:ascii="宋体" w:hAnsi="宋体" w:eastAsia="宋体" w:cs="宋体"/>
                <w:i w:val="0"/>
                <w:color w:val="000000"/>
                <w:kern w:val="0"/>
                <w:sz w:val="22"/>
                <w:szCs w:val="22"/>
                <w:u w:val="none"/>
                <w:lang w:val="en-US" w:eastAsia="zh-CN" w:bidi="ar"/>
              </w:rPr>
              <w:t>核发的行政检查</w:t>
            </w:r>
          </w:p>
        </w:tc>
        <w:tc>
          <w:tcPr>
            <w:tcW w:w="70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99A07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《中华人民共和国动物防疫法》第二十五条</w:t>
            </w:r>
          </w:p>
        </w:tc>
      </w:tr>
      <w:tr w14:paraId="4DD73F5F">
        <w:tblPrEx>
          <w:shd w:val="clear" w:color="auto" w:fill="auto"/>
          <w:tblCellMar>
            <w:top w:w="0" w:type="dxa"/>
            <w:left w:w="0" w:type="dxa"/>
            <w:bottom w:w="0" w:type="dxa"/>
            <w:right w:w="0" w:type="dxa"/>
          </w:tblCellMar>
        </w:tblPrEx>
        <w:trPr>
          <w:trHeight w:val="54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52F20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584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1C585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对饲料、饲料添加剂生产企业、经营者的行政检查</w:t>
            </w:r>
          </w:p>
        </w:tc>
        <w:tc>
          <w:tcPr>
            <w:tcW w:w="70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DF9A3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《饲料和饲料添加剂管理条例》第三十二条</w:t>
            </w:r>
          </w:p>
        </w:tc>
      </w:tr>
      <w:tr w14:paraId="085360EA">
        <w:tblPrEx>
          <w:shd w:val="clear" w:color="auto" w:fill="auto"/>
          <w:tblCellMar>
            <w:top w:w="0" w:type="dxa"/>
            <w:left w:w="0" w:type="dxa"/>
            <w:bottom w:w="0" w:type="dxa"/>
            <w:right w:w="0" w:type="dxa"/>
          </w:tblCellMar>
        </w:tblPrEx>
        <w:trPr>
          <w:trHeight w:val="101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92D672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584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A6A88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对无种畜禽生产经营许可证或者违反种畜禽生产经营许可证的规定生产经营种畜禽，转让、租借种畜禽生产经营许可证的行政检查</w:t>
            </w:r>
          </w:p>
        </w:tc>
        <w:tc>
          <w:tcPr>
            <w:tcW w:w="70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ADF01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《中华人民共和国畜牧法》第八十二条</w:t>
            </w:r>
          </w:p>
        </w:tc>
      </w:tr>
      <w:tr w14:paraId="16FD3031">
        <w:tblPrEx>
          <w:shd w:val="clear" w:color="auto" w:fill="auto"/>
          <w:tblCellMar>
            <w:top w:w="0" w:type="dxa"/>
            <w:left w:w="0" w:type="dxa"/>
            <w:bottom w:w="0" w:type="dxa"/>
            <w:right w:w="0" w:type="dxa"/>
          </w:tblCellMar>
        </w:tblPrEx>
        <w:trPr>
          <w:trHeight w:val="3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37BAFF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58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F5719C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对水产苗种生产的检查</w:t>
            </w:r>
          </w:p>
        </w:tc>
        <w:tc>
          <w:tcPr>
            <w:tcW w:w="70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5BE89D">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《中华人民共和国渔业法》第四十四条</w:t>
            </w:r>
          </w:p>
        </w:tc>
      </w:tr>
      <w:tr w14:paraId="4F159B44">
        <w:tblPrEx>
          <w:shd w:val="clear" w:color="auto" w:fill="auto"/>
          <w:tblCellMar>
            <w:top w:w="0" w:type="dxa"/>
            <w:left w:w="0" w:type="dxa"/>
            <w:bottom w:w="0" w:type="dxa"/>
            <w:right w:w="0" w:type="dxa"/>
          </w:tblCellMar>
        </w:tblPrEx>
        <w:trPr>
          <w:trHeight w:val="3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1891B6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c>
          <w:tcPr>
            <w:tcW w:w="58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51FFD6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对水域滩涂养殖证的检查</w:t>
            </w:r>
          </w:p>
        </w:tc>
        <w:tc>
          <w:tcPr>
            <w:tcW w:w="70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18CB8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《中华人民共和国渔业法》第四十条</w:t>
            </w:r>
          </w:p>
        </w:tc>
      </w:tr>
      <w:tr w14:paraId="06B4E9A7">
        <w:tblPrEx>
          <w:shd w:val="clear" w:color="auto" w:fill="auto"/>
          <w:tblCellMar>
            <w:top w:w="0" w:type="dxa"/>
            <w:left w:w="0" w:type="dxa"/>
            <w:bottom w:w="0" w:type="dxa"/>
            <w:right w:w="0" w:type="dxa"/>
          </w:tblCellMar>
        </w:tblPrEx>
        <w:trPr>
          <w:trHeight w:val="57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A0D7FD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c>
          <w:tcPr>
            <w:tcW w:w="584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ECA65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对农产品质量安全监督抽查的行政检查</w:t>
            </w:r>
          </w:p>
        </w:tc>
        <w:tc>
          <w:tcPr>
            <w:tcW w:w="70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C561D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《中华人民共和国农产品质量安全法》第四十七条</w:t>
            </w:r>
          </w:p>
        </w:tc>
      </w:tr>
      <w:tr w14:paraId="5B9B20C7">
        <w:tblPrEx>
          <w:shd w:val="clear" w:color="auto" w:fill="auto"/>
          <w:tblCellMar>
            <w:top w:w="0" w:type="dxa"/>
            <w:left w:w="0" w:type="dxa"/>
            <w:bottom w:w="0" w:type="dxa"/>
            <w:right w:w="0"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D31C5F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c>
          <w:tcPr>
            <w:tcW w:w="584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AB387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对农产品生产的行政检查</w:t>
            </w:r>
          </w:p>
        </w:tc>
        <w:tc>
          <w:tcPr>
            <w:tcW w:w="70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B41D2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《中华人民共和国农产品质量安全法》第五十二条</w:t>
            </w:r>
          </w:p>
        </w:tc>
      </w:tr>
      <w:tr w14:paraId="465C9007">
        <w:tblPrEx>
          <w:shd w:val="clear" w:color="auto" w:fill="auto"/>
          <w:tblCellMar>
            <w:top w:w="0" w:type="dxa"/>
            <w:left w:w="0" w:type="dxa"/>
            <w:bottom w:w="0" w:type="dxa"/>
            <w:right w:w="0" w:type="dxa"/>
          </w:tblCellMar>
        </w:tblPrEx>
        <w:trPr>
          <w:trHeight w:val="61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F3F160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584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72AF2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对农产品进入批发、零售市场或者生产加工企业后的生产经营活动进行的行政检查</w:t>
            </w:r>
          </w:p>
        </w:tc>
        <w:tc>
          <w:tcPr>
            <w:tcW w:w="70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814CC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《中华人民共和国农产品质量安全法》第六十条</w:t>
            </w:r>
          </w:p>
        </w:tc>
      </w:tr>
      <w:tr w14:paraId="6F127B11">
        <w:tblPrEx>
          <w:shd w:val="clear" w:color="auto" w:fill="auto"/>
          <w:tblCellMar>
            <w:top w:w="0" w:type="dxa"/>
            <w:left w:w="0" w:type="dxa"/>
            <w:bottom w:w="0" w:type="dxa"/>
            <w:right w:w="0" w:type="dxa"/>
          </w:tblCellMar>
        </w:tblPrEx>
        <w:trPr>
          <w:trHeight w:val="42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49B53D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w:t>
            </w:r>
          </w:p>
        </w:tc>
        <w:tc>
          <w:tcPr>
            <w:tcW w:w="584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959F3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农药生产企业的行政检查</w:t>
            </w:r>
          </w:p>
        </w:tc>
        <w:tc>
          <w:tcPr>
            <w:tcW w:w="70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A3EB6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《农药生产许可管理办法》《农药管理条例》</w:t>
            </w:r>
          </w:p>
        </w:tc>
      </w:tr>
      <w:tr w14:paraId="35CC334D">
        <w:tblPrEx>
          <w:shd w:val="clear" w:color="auto" w:fill="auto"/>
          <w:tblCellMar>
            <w:top w:w="0" w:type="dxa"/>
            <w:left w:w="0" w:type="dxa"/>
            <w:bottom w:w="0" w:type="dxa"/>
            <w:right w:w="0" w:type="dxa"/>
          </w:tblCellMar>
        </w:tblPrEx>
        <w:trPr>
          <w:trHeight w:val="48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0AFF2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c>
          <w:tcPr>
            <w:tcW w:w="584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1E042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肥料生产企业的行政检查</w:t>
            </w:r>
          </w:p>
        </w:tc>
        <w:tc>
          <w:tcPr>
            <w:tcW w:w="70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B982D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《肥料生产管理办法》</w:t>
            </w:r>
          </w:p>
        </w:tc>
      </w:tr>
    </w:tbl>
    <w:p w14:paraId="51FCCBCC"/>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93E1D56"/>
    <w:rsid w:val="048B3E34"/>
    <w:rsid w:val="0E303168"/>
    <w:rsid w:val="0FDC19E8"/>
    <w:rsid w:val="293E1D56"/>
    <w:rsid w:val="2FD44032"/>
    <w:rsid w:val="3C9708C1"/>
    <w:rsid w:val="3F696545"/>
    <w:rsid w:val="4B187071"/>
    <w:rsid w:val="4F493C9D"/>
    <w:rsid w:val="50A218B6"/>
    <w:rsid w:val="5841177F"/>
    <w:rsid w:val="5A427C66"/>
    <w:rsid w:val="62326812"/>
    <w:rsid w:val="637846F9"/>
    <w:rsid w:val="65044496"/>
    <w:rsid w:val="69BB533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488</Words>
  <Characters>491</Characters>
  <Lines>0</Lines>
  <Paragraphs>0</Paragraphs>
  <TotalTime>0</TotalTime>
  <ScaleCrop>false</ScaleCrop>
  <LinksUpToDate>false</LinksUpToDate>
  <CharactersWithSpaces>491</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2025-12-26T11:04:00Z</dcterms:created>
  <dc:creator>清华</dc:creator>
  <cp:lastModifiedBy>WPS_1670555283</cp:lastModifiedBy>
  <dcterms:modified xsi:type="dcterms:W3CDTF">2025-12-29T02:30:18Z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KSOTemplateDocerSaveRecord">
    <vt:lpwstr>eyJoZGlkIjoiODJjMjQ4MDFkM2QzZWU1NzA0NDZjZDhiNmY0MGI1ZWYiLCJ1c2VySWQiOiIxNDQwNDc1NDM4In0=</vt:lpwstr>
  </property>
  <property fmtid="{D5CDD505-2E9C-101B-9397-08002B2CF9AE}" pid="4" name="ICV">
    <vt:lpwstr>B0B665999AE047C29FF2042AA27FB910_12</vt:lpwstr>
  </property>
</Properties>
</file>