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3827" w:type="dxa"/>
        <w:tblInd w:w="0" w:type="dxa"/>
        <w:shd w:val="clear" w:color="auto" w:fill="auto"/>
        <w:tblLayout w:type="autofit"/>
        <w:tblCellMar>
          <w:top w:w="0" w:type="dxa"/>
          <w:left w:w="0" w:type="dxa"/>
          <w:bottom w:w="0" w:type="dxa"/>
          <w:right w:w="0" w:type="dxa"/>
        </w:tblCellMar>
      </w:tblPr>
      <w:tblGrid>
        <w:gridCol w:w="1080"/>
        <w:gridCol w:w="6837"/>
        <w:gridCol w:w="5910"/>
      </w:tblGrid>
      <w:tr w14:paraId="6D8054F8">
        <w:tblPrEx>
          <w:shd w:val="clear" w:color="auto" w:fill="auto"/>
          <w:tblCellMar>
            <w:top w:w="0" w:type="dxa"/>
            <w:left w:w="0" w:type="dxa"/>
            <w:bottom w:w="0" w:type="dxa"/>
            <w:right w:w="0" w:type="dxa"/>
          </w:tblCellMar>
        </w:tblPrEx>
        <w:trPr>
          <w:trHeight w:val="520" w:hRule="atLeast"/>
        </w:trPr>
        <w:tc>
          <w:tcPr>
            <w:tcW w:w="138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EBAB35">
            <w:pPr>
              <w:keepNext w:val="0"/>
              <w:keepLines w:val="0"/>
              <w:widowControl/>
              <w:suppressLineNumbers w:val="0"/>
              <w:jc w:val="center"/>
              <w:textAlignment w:val="center"/>
              <w:rPr>
                <w:rFonts w:ascii="方正小标宋简体" w:hAnsi="方正小标宋简体" w:eastAsia="方正小标宋简体" w:cs="方正小标宋简体"/>
                <w:i w:val="0"/>
                <w:color w:val="000000"/>
                <w:sz w:val="36"/>
                <w:szCs w:val="36"/>
                <w:u w:val="none"/>
              </w:rPr>
            </w:pPr>
            <w:r>
              <w:rPr>
                <w:rFonts w:hint="eastAsia" w:ascii="方正小标宋简体" w:hAnsi="方正小标宋简体" w:eastAsia="方正小标宋简体" w:cs="方正小标宋简体"/>
                <w:i w:val="0"/>
                <w:color w:val="000000"/>
                <w:kern w:val="0"/>
                <w:sz w:val="36"/>
                <w:szCs w:val="36"/>
                <w:u w:val="none"/>
                <w:lang w:val="en-US" w:eastAsia="zh-CN" w:bidi="ar"/>
              </w:rPr>
              <w:t>检查事项和依据</w:t>
            </w:r>
          </w:p>
        </w:tc>
      </w:tr>
      <w:tr w14:paraId="08500A15">
        <w:tblPrEx>
          <w:tblCellMar>
            <w:top w:w="0" w:type="dxa"/>
            <w:left w:w="0" w:type="dxa"/>
            <w:bottom w:w="0" w:type="dxa"/>
            <w:right w:w="0" w:type="dxa"/>
          </w:tblCellMar>
        </w:tblPrEx>
        <w:trPr>
          <w:trHeight w:val="539"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D5644">
            <w:pPr>
              <w:keepNext w:val="0"/>
              <w:keepLines w:val="0"/>
              <w:widowControl/>
              <w:suppressLineNumbers w:val="0"/>
              <w:jc w:val="center"/>
              <w:textAlignment w:val="center"/>
              <w:rPr>
                <w:rFonts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序号</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C4233">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涉企行政检查事项</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1D027">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检查依据</w:t>
            </w:r>
          </w:p>
        </w:tc>
      </w:tr>
      <w:tr w14:paraId="53C0AA94">
        <w:tblPrEx>
          <w:shd w:val="clear" w:color="auto" w:fill="auto"/>
          <w:tblCellMar>
            <w:top w:w="0" w:type="dxa"/>
            <w:left w:w="0" w:type="dxa"/>
            <w:bottom w:w="0" w:type="dxa"/>
            <w:right w:w="0"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0CB5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CFBD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对动物诊疗许可证核发的行政检查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820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《中华人民共和国动物防疫法》第六十一条、第六十二条</w:t>
            </w:r>
          </w:p>
        </w:tc>
      </w:tr>
      <w:tr w14:paraId="7DA8814A">
        <w:tblPrEx>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457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56B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对兽药经营活动的行政检查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7CA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《中华人民共和国兽药管理条例》第二十二条</w:t>
            </w:r>
          </w:p>
        </w:tc>
      </w:tr>
      <w:tr w14:paraId="6BA9AE3C">
        <w:tblPrEx>
          <w:shd w:val="clear" w:color="auto" w:fill="auto"/>
          <w:tblCellMar>
            <w:top w:w="0" w:type="dxa"/>
            <w:left w:w="0" w:type="dxa"/>
            <w:bottom w:w="0" w:type="dxa"/>
            <w:right w:w="0" w:type="dxa"/>
          </w:tblCellMar>
        </w:tblPrEx>
        <w:trPr>
          <w:trHeight w:val="5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21A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6C1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对动物防疫条件合格证核发的行政检查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DD4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《中华人民共和国动物防疫法》第二十五条</w:t>
            </w:r>
          </w:p>
        </w:tc>
      </w:tr>
      <w:tr w14:paraId="052FE3A1">
        <w:tblPrEx>
          <w:tblCellMar>
            <w:top w:w="0" w:type="dxa"/>
            <w:left w:w="0" w:type="dxa"/>
            <w:bottom w:w="0" w:type="dxa"/>
            <w:right w:w="0" w:type="dxa"/>
          </w:tblCellMar>
        </w:tblPrEx>
        <w:trPr>
          <w:trHeight w:val="53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B19B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B5C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对饲料、饲料添加剂生产企业、经营者的行政检查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C05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《饲料和饲料添加剂管理条例》第三十二条</w:t>
            </w:r>
          </w:p>
        </w:tc>
      </w:tr>
      <w:tr w14:paraId="70B05AA0">
        <w:tblPrEx>
          <w:tblCellMar>
            <w:top w:w="0" w:type="dxa"/>
            <w:left w:w="0" w:type="dxa"/>
            <w:bottom w:w="0" w:type="dxa"/>
            <w:right w:w="0" w:type="dxa"/>
          </w:tblCellMar>
        </w:tblPrEx>
        <w:trPr>
          <w:trHeight w:val="7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751A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6805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对无种畜禽生产经营许可证或者违反种畜禽生产经营许可证的规定生产经营种畜禽，转让、租借种畜禽生产经营许可证的行政检查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537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《中华人民共和国畜牧法》第八十二条</w:t>
            </w:r>
          </w:p>
        </w:tc>
      </w:tr>
      <w:tr w14:paraId="22C2A99D">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39F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6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C35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对水产苗种生产的检查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48068">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《中华人民共和国渔业法》第四十四条</w:t>
            </w:r>
          </w:p>
        </w:tc>
      </w:tr>
      <w:tr w14:paraId="7512F57C">
        <w:tblPrEx>
          <w:shd w:val="clear" w:color="auto" w:fill="auto"/>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19A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6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A5B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对水域滩涂养殖证的检查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9C0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《中华人民共和国渔业法》第四十条</w:t>
            </w:r>
          </w:p>
        </w:tc>
      </w:tr>
      <w:tr w14:paraId="74F547EF">
        <w:tblPrEx>
          <w:tblCellMar>
            <w:top w:w="0" w:type="dxa"/>
            <w:left w:w="0" w:type="dxa"/>
            <w:bottom w:w="0" w:type="dxa"/>
            <w:right w:w="0" w:type="dxa"/>
          </w:tblCellMar>
        </w:tblPrEx>
        <w:trPr>
          <w:trHeight w:val="50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ED3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034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对农产品质量安全监督抽查的行政检查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CB6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《中华人民共和国农产品质量安全法》第四十七条</w:t>
            </w:r>
          </w:p>
        </w:tc>
      </w:tr>
      <w:tr w14:paraId="01E0D3E8">
        <w:tblPrEx>
          <w:tblCellMar>
            <w:top w:w="0" w:type="dxa"/>
            <w:left w:w="0" w:type="dxa"/>
            <w:bottom w:w="0" w:type="dxa"/>
            <w:right w:w="0"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8B2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CBA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对农产品生产的行政检查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B9C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《中华人民共和国农产品质量安全法》第五十二条</w:t>
            </w:r>
          </w:p>
        </w:tc>
      </w:tr>
      <w:tr w14:paraId="7F0F7D12">
        <w:tblPrEx>
          <w:tblCellMar>
            <w:top w:w="0" w:type="dxa"/>
            <w:left w:w="0" w:type="dxa"/>
            <w:bottom w:w="0" w:type="dxa"/>
            <w:right w:w="0" w:type="dxa"/>
          </w:tblCellMar>
        </w:tblPrEx>
        <w:trPr>
          <w:trHeight w:val="59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9A8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94CF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对农产品进入批发、零售市场或者生产加工企业后的生产经营活动进行的行政检查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D67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《中华人民共和国农产品质量安全法》第六十条</w:t>
            </w:r>
          </w:p>
        </w:tc>
      </w:tr>
      <w:tr w14:paraId="3FF47A59">
        <w:tblPrEx>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C63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37D3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农药生产企业的行政检查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C04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《农药生产许可管理办法》《农药管理条例》</w:t>
            </w:r>
          </w:p>
        </w:tc>
      </w:tr>
      <w:tr w14:paraId="670ACF4C">
        <w:tblPrEx>
          <w:shd w:val="clear" w:color="auto" w:fill="auto"/>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F5B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6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C28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肥料生产企业的行政检查</w:t>
            </w:r>
          </w:p>
        </w:tc>
        <w:tc>
          <w:tcPr>
            <w:tcW w:w="59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0A3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《肥料生产管理办法》</w:t>
            </w:r>
          </w:p>
        </w:tc>
      </w:tr>
    </w:tbl>
    <w:p w14:paraId="509BE4E8">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3E1D56"/>
    <w:rsid w:val="293E1D56"/>
    <w:rsid w:val="77CC04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491</Words>
  <Characters>494</Characters>
  <Lines>0</Lines>
  <Paragraphs>0</Paragraphs>
  <TotalTime>1</TotalTime>
  <ScaleCrop>false</ScaleCrop>
  <LinksUpToDate>false</LinksUpToDate>
  <CharactersWithSpaces>494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2025-12-26T11:04:00Z</dcterms:created>
  <dc:creator>清华</dc:creator>
  <cp:lastModifiedBy>WPS_1670555283</cp:lastModifiedBy>
  <dcterms:modified xsi:type="dcterms:W3CDTF">2025-12-29T02:36:37Z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17DF3894828D46548263B2A42DA63191_12</vt:lpwstr>
  </property>
</Properties>
</file>