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31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8"/>
        <w:gridCol w:w="4020"/>
        <w:gridCol w:w="79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3128" w:type="dxa"/>
            <w:gridSpan w:val="3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36"/>
                <w:szCs w:val="36"/>
              </w:rPr>
            </w:pPr>
            <w:r>
              <w:rPr>
                <w:rFonts w:hint="eastAsia" w:ascii="黑体" w:hAnsi="黑体" w:eastAsia="黑体" w:cs="黑体"/>
                <w:sz w:val="36"/>
                <w:szCs w:val="36"/>
                <w:lang w:val="en-US" w:eastAsia="zh-CN"/>
              </w:rPr>
              <w:t>检查事项和依据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12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402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涉企行政检查事项</w:t>
            </w:r>
          </w:p>
        </w:tc>
        <w:tc>
          <w:tcPr>
            <w:tcW w:w="79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检查依据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《道路旅客运输及客运站管理规定》第六条、第八十二条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道路客运站经营者检查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《道路旅客运输及客运站管理规定》第六条、第八十二条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巡游出租车客运经营者检查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《巡游出租汽车经营服务管理规定》第六条、第四十条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4020" w:type="dxa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道路普通货物运输及站场经营者 检查</w:t>
            </w:r>
          </w:p>
        </w:tc>
        <w:tc>
          <w:tcPr>
            <w:tcW w:w="7980" w:type="dxa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《道路货物运输及站场管理规定》第五条、第四十九条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862" w:hRule="atLeast"/>
        </w:trPr>
        <w:tc>
          <w:tcPr>
            <w:tcW w:w="112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02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道路危险货物(含放射性)运输经营者检查</w:t>
            </w:r>
          </w:p>
        </w:tc>
        <w:tc>
          <w:tcPr>
            <w:tcW w:w="798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《道路危险货物运输管理规定》第七条、第五十一条《放射性物品道路运输管理规定》第六条、第三十六条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618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机动车驾驶员培训机构检查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《机动车驾驶员培训管理规定》第五条、第四十二条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51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机动车维修经营者检查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《机动车维修管理规定》第六条、第四十五条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69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公路水运工程质量监督检查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《公路水运工程质量监督管理规定》第四条、第 二十条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409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港口经营人通用检查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《港口经营管理规定》第四条、第三十六条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379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水路运输经营者检查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《国内水路运输管理规定》第四条、第四十一条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邮政快递经营企业的监督检查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《中华人民共和国邮政法》第六十一条</w:t>
            </w:r>
          </w:p>
        </w:tc>
      </w:tr>
    </w:tbl>
    <w:p/>
    <w:p/>
    <w:sectPr>
      <w:pgSz w:w="16820" w:h="11900"/>
      <w:pgMar w:top="1011" w:right="1495" w:bottom="0" w:left="116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161E6D"/>
    <w:rsid w:val="16161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2025-12-26T09:43:00Z</dcterms:created>
  <dc:creator>清华</dc:creator>
  <cp:lastModifiedBy>清华</cp:lastModifiedBy>
  <dcterms:modified xsi:type="dcterms:W3CDTF">2025-12-26T10:00:11Z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