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line="600" w:lineRule="atLeast"/>
        <w:jc w:val="center"/>
      </w:pPr>
      <w:bookmarkStart w:id="0" w:name="_GoBack"/>
      <w:r>
        <w:rPr>
          <w:rFonts w:ascii="方正小标宋简体" w:hAnsi="方正小标宋简体" w:eastAsia="方正小标宋简体" w:cs="方正小标宋简体"/>
          <w:sz w:val="43"/>
          <w:szCs w:val="43"/>
        </w:rPr>
        <w:t>2023</w:t>
      </w:r>
      <w:r>
        <w:rPr>
          <w:rFonts w:hint="default" w:ascii="方正小标宋简体" w:hAnsi="方正小标宋简体" w:eastAsia="方正小标宋简体" w:cs="方正小标宋简体"/>
          <w:spacing w:val="0"/>
          <w:sz w:val="43"/>
          <w:szCs w:val="43"/>
        </w:rPr>
        <w:t>年工伤保险费率降幅表</w:t>
      </w:r>
      <w:r>
        <w:rPr>
          <w:rFonts w:ascii="文星标宋" w:hAnsi="文星标宋" w:eastAsia="文星标宋" w:cs="文星标宋"/>
          <w:sz w:val="43"/>
          <w:szCs w:val="43"/>
        </w:rPr>
        <w:t> </w:t>
      </w:r>
    </w:p>
    <w:bookmarkEnd w:id="0"/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default" w:ascii="Times New Roman" w:hAnsi="Times New Roman" w:cs="Times New Roman"/>
          <w:sz w:val="28"/>
          <w:szCs w:val="28"/>
        </w:rPr>
        <w:t>  </w:t>
      </w:r>
      <w:r>
        <w:rPr>
          <w:rFonts w:hint="eastAsia" w:ascii="宋体" w:hAnsi="宋体" w:eastAsia="宋体" w:cs="宋体"/>
          <w:sz w:val="28"/>
          <w:szCs w:val="28"/>
        </w:rPr>
        <w:t>   </w:t>
      </w:r>
      <w:r>
        <w:rPr>
          <w:rFonts w:ascii="楷体" w:hAnsi="楷体" w:eastAsia="楷体" w:cs="楷体"/>
          <w:sz w:val="28"/>
          <w:szCs w:val="28"/>
        </w:rPr>
        <w:t>    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                                     </w:t>
      </w:r>
    </w:p>
    <w:p>
      <w:pPr>
        <w:pStyle w:val="2"/>
        <w:keepNext w:val="0"/>
        <w:keepLines w:val="0"/>
        <w:widowControl/>
        <w:suppressLineNumbers w:val="0"/>
        <w:jc w:val="center"/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                                               </w:t>
      </w:r>
      <w:r>
        <w:rPr>
          <w:rFonts w:hint="eastAsia" w:ascii="楷体" w:hAnsi="楷体" w:eastAsia="楷体" w:cs="楷体"/>
          <w:sz w:val="28"/>
          <w:szCs w:val="28"/>
        </w:rPr>
        <w:t>单位：亿</w:t>
      </w:r>
      <w:r>
        <w:rPr>
          <w:rFonts w:hint="eastAsia" w:ascii="楷体" w:hAnsi="楷体" w:eastAsia="楷体" w:cs="楷体"/>
          <w:spacing w:val="-15"/>
          <w:sz w:val="28"/>
          <w:szCs w:val="28"/>
        </w:rPr>
        <w:t>元</w:t>
      </w:r>
    </w:p>
    <w:tbl>
      <w:tblPr>
        <w:tblStyle w:val="3"/>
        <w:tblW w:w="8306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94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</w:tbl>
    <w:p>
      <w:pPr>
        <w:rPr>
          <w:vanish/>
          <w:sz w:val="24"/>
          <w:szCs w:val="24"/>
        </w:rPr>
      </w:pPr>
    </w:p>
    <w:tbl>
      <w:tblPr>
        <w:tblStyle w:val="3"/>
        <w:tblW w:w="8363" w:type="dxa"/>
        <w:jc w:val="center"/>
        <w:tblCellSpacing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46"/>
        <w:gridCol w:w="1455"/>
        <w:gridCol w:w="1483"/>
        <w:gridCol w:w="1497"/>
        <w:gridCol w:w="1265"/>
        <w:gridCol w:w="10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285" w:beforeAutospacing="0" w:line="285" w:lineRule="atLeast"/>
              <w:jc w:val="center"/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项目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2022</w:t>
            </w: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年基金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收入</w:t>
            </w:r>
            <w:r>
              <w:rPr>
                <w:rFonts w:hint="eastAsia" w:ascii="黑体" w:hAnsi="宋体" w:eastAsia="黑体" w:cs="黑体"/>
                <w:sz w:val="24"/>
                <w:szCs w:val="24"/>
              </w:rPr>
              <w:t>小</w:t>
            </w:r>
            <w:r>
              <w:rPr>
                <w:rFonts w:hint="eastAsia" w:ascii="黑体" w:hAnsi="宋体" w:eastAsia="黑体" w:cs="黑体"/>
                <w:spacing w:val="-15"/>
                <w:sz w:val="24"/>
                <w:szCs w:val="24"/>
              </w:rPr>
              <w:t>计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2022</w:t>
            </w: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年基金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支出</w:t>
            </w:r>
            <w:r>
              <w:rPr>
                <w:rFonts w:hint="eastAsia" w:ascii="黑体" w:hAnsi="宋体" w:eastAsia="黑体" w:cs="黑体"/>
                <w:sz w:val="24"/>
                <w:szCs w:val="24"/>
              </w:rPr>
              <w:t>小</w:t>
            </w:r>
            <w:r>
              <w:rPr>
                <w:rFonts w:hint="eastAsia" w:ascii="黑体" w:hAnsi="宋体" w:eastAsia="黑体" w:cs="黑体"/>
                <w:spacing w:val="-15"/>
                <w:sz w:val="24"/>
                <w:szCs w:val="24"/>
              </w:rPr>
              <w:t>计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2022</w:t>
            </w: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年底基金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累计结</w:t>
            </w:r>
            <w:r>
              <w:rPr>
                <w:rFonts w:hint="eastAsia" w:ascii="黑体" w:hAnsi="宋体" w:eastAsia="黑体" w:cs="黑体"/>
                <w:spacing w:val="-15"/>
                <w:sz w:val="24"/>
                <w:szCs w:val="24"/>
              </w:rPr>
              <w:t>余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可支付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pacing w:val="0"/>
                <w:sz w:val="24"/>
                <w:szCs w:val="24"/>
              </w:rPr>
              <w:t>月数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hint="eastAsia" w:ascii="黑体" w:hAnsi="宋体" w:eastAsia="黑体" w:cs="黑体"/>
                <w:sz w:val="24"/>
                <w:szCs w:val="24"/>
              </w:rPr>
              <w:t>年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费</w:t>
            </w:r>
            <w:r>
              <w:rPr>
                <w:rFonts w:hint="eastAsia" w:ascii="黑体" w:hAnsi="宋体" w:eastAsia="黑体" w:cs="黑体"/>
                <w:spacing w:val="-15"/>
                <w:sz w:val="24"/>
                <w:szCs w:val="24"/>
              </w:rPr>
              <w:t>率</w:t>
            </w:r>
            <w:r>
              <w:rPr>
                <w:rFonts w:hint="eastAsia" w:ascii="黑体" w:hAnsi="宋体" w:eastAsia="黑体" w:cs="黑体"/>
                <w:sz w:val="24"/>
                <w:szCs w:val="24"/>
              </w:rPr>
              <w:t>下调比</w:t>
            </w:r>
            <w:r>
              <w:rPr>
                <w:rFonts w:hint="eastAsia" w:ascii="黑体" w:hAnsi="宋体" w:eastAsia="黑体" w:cs="黑体"/>
                <w:spacing w:val="-15"/>
                <w:sz w:val="24"/>
                <w:szCs w:val="24"/>
              </w:rPr>
              <w:t>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省本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级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-15"/>
                <w:sz w:val="24"/>
                <w:szCs w:val="24"/>
              </w:rPr>
              <w:t>10.85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-15"/>
                <w:sz w:val="24"/>
                <w:szCs w:val="24"/>
              </w:rPr>
              <w:t>9.46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18.3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郑州市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4.96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3.86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25.38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79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50%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开封市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1.30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22.6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洛阳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2.81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1.92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4.16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50%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平顶山市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0.68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0.81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2.51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37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50%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安阳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1.89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1.76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0.5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鹤壁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0.43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0.39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7.7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新乡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1.85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1.72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1.82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12.7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焦作市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1.25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1.14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0.72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7.6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濮阳市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0.76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0.53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0.92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20.8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20%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许昌市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1.83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25.5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50%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漯河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0.72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0.51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9.7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三门峡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0.67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0.47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0.64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南阳</w:t>
            </w:r>
            <w:r>
              <w:rPr>
                <w:rFonts w:hint="eastAsia" w:ascii="宋体" w:hAnsi="宋体" w:eastAsia="宋体" w:cs="宋体"/>
                <w:spacing w:val="-15"/>
                <w:sz w:val="24"/>
                <w:szCs w:val="24"/>
              </w:rPr>
              <w:t>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1.97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1.37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1.43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12.5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商丘市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1.29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0.95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1.20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信阳市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0.72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1.22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20.3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周口市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0.66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pacing w:val="0"/>
                <w:sz w:val="24"/>
                <w:szCs w:val="24"/>
              </w:rPr>
              <w:t>2.65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50%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驻马店市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1.28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0.91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1.65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21.8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济源示范区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0.54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0.33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7.3</w:t>
            </w: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CellSpacing w:w="15" w:type="dxa"/>
          <w:jc w:val="center"/>
        </w:trPr>
        <w:tc>
          <w:tcPr>
            <w:tcW w:w="1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合计数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34.93</w:t>
            </w:r>
          </w:p>
        </w:tc>
        <w:tc>
          <w:tcPr>
            <w:tcW w:w="14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29.41</w:t>
            </w:r>
          </w:p>
        </w:tc>
        <w:tc>
          <w:tcPr>
            <w:tcW w:w="14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285" w:lineRule="atLeast"/>
              <w:jc w:val="center"/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67.4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</w:t>
            </w:r>
          </w:p>
        </w:tc>
        <w:tc>
          <w:tcPr>
            <w:tcW w:w="1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94" w:lineRule="atLeast"/>
              <w:ind w:left="0" w:right="0"/>
              <w:jc w:val="left"/>
              <w:rPr>
                <w:sz w:val="21"/>
                <w:szCs w:val="21"/>
              </w:rPr>
            </w:pPr>
          </w:p>
        </w:tc>
        <w:tc>
          <w:tcPr>
            <w:tcW w:w="9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94" w:lineRule="atLeast"/>
              <w:ind w:left="0" w:right="0"/>
              <w:jc w:val="left"/>
              <w:rPr>
                <w:sz w:val="21"/>
                <w:szCs w:val="21"/>
              </w:rPr>
            </w:pP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45" w:beforeAutospacing="0"/>
        <w:ind w:left="0" w:firstLine="450"/>
      </w:pPr>
      <w:r>
        <w:rPr>
          <w:rFonts w:hint="eastAsia" w:ascii="宋体" w:hAnsi="宋体" w:eastAsia="宋体" w:cs="宋体"/>
          <w:sz w:val="24"/>
          <w:szCs w:val="24"/>
        </w:rPr>
        <w:t>说明：</w:t>
      </w:r>
      <w:r>
        <w:rPr>
          <w:rFonts w:hint="default" w:ascii="Times New Roman" w:hAnsi="Times New Roman" w:cs="Times New Roman"/>
          <w:sz w:val="24"/>
          <w:szCs w:val="24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 </w:t>
      </w:r>
      <w:r>
        <w:rPr>
          <w:rFonts w:hint="default" w:ascii="Times New Roman" w:hAnsi="Times New Roman" w:cs="Times New Roman"/>
          <w:sz w:val="24"/>
          <w:szCs w:val="24"/>
        </w:rPr>
        <w:t>2022</w:t>
      </w:r>
      <w:r>
        <w:rPr>
          <w:rFonts w:hint="eastAsia" w:ascii="宋体" w:hAnsi="宋体" w:eastAsia="宋体" w:cs="宋体"/>
          <w:sz w:val="24"/>
          <w:szCs w:val="24"/>
        </w:rPr>
        <w:t>年底省本级累计结余中含</w:t>
      </w:r>
      <w:r>
        <w:rPr>
          <w:rFonts w:hint="default" w:ascii="Times New Roman" w:hAnsi="Times New Roman" w:cs="Times New Roman"/>
          <w:sz w:val="24"/>
          <w:szCs w:val="24"/>
        </w:rPr>
        <w:t>8.12</w:t>
      </w:r>
      <w:r>
        <w:rPr>
          <w:rFonts w:hint="eastAsia" w:ascii="宋体" w:hAnsi="宋体" w:eastAsia="宋体" w:cs="宋体"/>
          <w:sz w:val="24"/>
          <w:szCs w:val="24"/>
        </w:rPr>
        <w:t>亿元的省级储备金</w:t>
      </w:r>
      <w:r>
        <w:rPr>
          <w:rFonts w:hint="eastAsia" w:ascii="宋体" w:hAnsi="宋体" w:eastAsia="宋体" w:cs="宋体"/>
          <w:spacing w:val="-15"/>
          <w:sz w:val="24"/>
          <w:szCs w:val="24"/>
        </w:rPr>
        <w:t>。</w:t>
      </w:r>
    </w:p>
    <w:p>
      <w:pPr>
        <w:pStyle w:val="2"/>
        <w:keepNext w:val="0"/>
        <w:keepLines w:val="0"/>
        <w:widowControl/>
        <w:suppressLineNumbers w:val="0"/>
        <w:spacing w:line="480" w:lineRule="atLeast"/>
        <w:ind w:left="0" w:firstLine="450"/>
      </w:pPr>
      <w:r>
        <w:rPr>
          <w:rFonts w:hint="default" w:ascii="Times New Roman" w:hAnsi="Times New Roman" w:cs="Times New Roman"/>
          <w:sz w:val="24"/>
          <w:szCs w:val="24"/>
        </w:rPr>
        <w:t>2.</w:t>
      </w:r>
      <w:r>
        <w:rPr>
          <w:rFonts w:hint="eastAsia" w:ascii="宋体" w:hAnsi="宋体" w:eastAsia="宋体" w:cs="宋体"/>
          <w:sz w:val="24"/>
          <w:szCs w:val="24"/>
        </w:rPr>
        <w:t> 郑州市含郑州市航空港区有关数据；省直含郑州铁路局有关数据</w:t>
      </w:r>
      <w:r>
        <w:rPr>
          <w:rFonts w:hint="eastAsia" w:ascii="宋体" w:hAnsi="宋体" w:eastAsia="宋体" w:cs="宋体"/>
          <w:spacing w:val="-15"/>
          <w:sz w:val="24"/>
          <w:szCs w:val="24"/>
        </w:rPr>
        <w:t>。</w:t>
      </w:r>
    </w:p>
    <w:p>
      <w:pPr>
        <w:pStyle w:val="2"/>
        <w:keepNext w:val="0"/>
        <w:keepLines w:val="0"/>
        <w:widowControl/>
        <w:suppressLineNumbers w:val="0"/>
      </w:pPr>
    </w:p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标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0423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黄宁</cp:lastModifiedBy>
  <dcterms:modified xsi:type="dcterms:W3CDTF">2023-04-27T00:49:23Z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