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35278">
      <w:pPr>
        <w:jc w:val="center"/>
        <w:rPr>
          <w:rFonts w:hint="eastAsia" w:ascii="Times New Roman" w:hAnsi="Times New Roman"/>
          <w:color w:val="auto"/>
          <w:lang w:val="en-US" w:eastAsia="zh-CN"/>
        </w:rPr>
      </w:pPr>
    </w:p>
    <w:p w14:paraId="3D3B82CB">
      <w:pPr>
        <w:jc w:val="center"/>
        <w:rPr>
          <w:rFonts w:hint="eastAsia" w:ascii="Times New Roman" w:hAnsi="Times New Roman"/>
          <w:color w:val="auto"/>
          <w:lang w:val="en-US" w:eastAsia="zh-CN"/>
        </w:rPr>
      </w:pPr>
    </w:p>
    <w:p w14:paraId="1361DAE6">
      <w:pPr>
        <w:jc w:val="center"/>
        <w:rPr>
          <w:rFonts w:hint="eastAsia" w:ascii="Times New Roman" w:hAnsi="Times New Roman"/>
          <w:color w:val="auto"/>
          <w:lang w:val="en-US" w:eastAsia="zh-CN"/>
        </w:rPr>
      </w:pPr>
    </w:p>
    <w:p w14:paraId="0C402585">
      <w:pPr>
        <w:jc w:val="center"/>
        <w:rPr>
          <w:rFonts w:hint="eastAsia" w:ascii="Times New Roman" w:hAnsi="Times New Roman"/>
          <w:color w:val="auto"/>
          <w:lang w:val="en-US" w:eastAsia="zh-CN"/>
        </w:rPr>
      </w:pPr>
    </w:p>
    <w:p w14:paraId="20BBB233">
      <w:pPr>
        <w:adjustRightInd w:val="0"/>
        <w:snapToGrid w:val="0"/>
        <w:spacing w:line="600" w:lineRule="exact"/>
        <w:ind w:firstLine="0" w:firstLineChars="0"/>
        <w:contextualSpacing/>
        <w:jc w:val="center"/>
        <w:textAlignment w:val="baseline"/>
        <w:rPr>
          <w:rFonts w:hint="default" w:ascii="Times New Roman" w:hAnsi="Times New Roman" w:eastAsia="方正小标宋简体" w:cs="Times New Roman"/>
          <w:color w:val="auto"/>
          <w:sz w:val="48"/>
          <w:szCs w:val="96"/>
          <w:highlight w:val="none"/>
          <w:lang w:val="en-US" w:eastAsia="zh-CN"/>
        </w:rPr>
      </w:pPr>
      <w:r>
        <w:rPr>
          <w:rFonts w:hint="eastAsia" w:ascii="Times New Roman" w:hAnsi="Times New Roman" w:eastAsia="方正小标宋简体" w:cs="Times New Roman"/>
          <w:color w:val="auto"/>
          <w:sz w:val="48"/>
          <w:szCs w:val="96"/>
          <w:highlight w:val="none"/>
          <w:lang w:val="en-US" w:eastAsia="zh-CN"/>
        </w:rPr>
        <w:t>太康县国土空间总体规划</w:t>
      </w:r>
      <w:r>
        <w:rPr>
          <w:rFonts w:hint="eastAsia" w:eastAsia="方正小标宋简体" w:cs="Times New Roman"/>
          <w:color w:val="auto"/>
          <w:sz w:val="48"/>
          <w:szCs w:val="96"/>
          <w:highlight w:val="none"/>
          <w:lang w:val="en-US" w:eastAsia="zh-CN"/>
        </w:rPr>
        <w:t>2026年度</w:t>
      </w:r>
    </w:p>
    <w:p w14:paraId="2DA09996">
      <w:pPr>
        <w:keepNext w:val="0"/>
        <w:keepLines w:val="0"/>
        <w:pageBreakBefore w:val="0"/>
        <w:widowControl w:val="0"/>
        <w:kinsoku/>
        <w:wordWrap/>
        <w:overflowPunct/>
        <w:topLinePunct w:val="0"/>
        <w:autoSpaceDE/>
        <w:autoSpaceDN/>
        <w:bidi w:val="0"/>
        <w:adjustRightInd w:val="0"/>
        <w:snapToGrid w:val="0"/>
        <w:spacing w:after="313" w:afterLines="100" w:line="600" w:lineRule="exact"/>
        <w:ind w:firstLine="0" w:firstLineChars="0"/>
        <w:contextualSpacing/>
        <w:jc w:val="center"/>
        <w:textAlignment w:val="baseline"/>
        <w:rPr>
          <w:rFonts w:hint="eastAsia" w:ascii="Times New Roman" w:hAnsi="Times New Roman" w:eastAsia="方正小标宋简体" w:cs="Times New Roman"/>
          <w:color w:val="auto"/>
          <w:sz w:val="48"/>
          <w:szCs w:val="96"/>
          <w:highlight w:val="none"/>
          <w:lang w:val="en-US" w:eastAsia="zh-CN"/>
        </w:rPr>
      </w:pPr>
      <w:r>
        <w:rPr>
          <w:rFonts w:hint="eastAsia" w:ascii="Times New Roman" w:hAnsi="Times New Roman" w:eastAsia="方正小标宋简体" w:cs="Times New Roman"/>
          <w:color w:val="auto"/>
          <w:sz w:val="48"/>
          <w:szCs w:val="96"/>
          <w:highlight w:val="none"/>
          <w:lang w:val="en-US" w:eastAsia="zh-CN"/>
        </w:rPr>
        <w:t>动态维护方案</w:t>
      </w:r>
    </w:p>
    <w:p w14:paraId="467742E2">
      <w:pPr>
        <w:keepNext w:val="0"/>
        <w:keepLines w:val="0"/>
        <w:pageBreakBefore w:val="0"/>
        <w:widowControl w:val="0"/>
        <w:kinsoku/>
        <w:wordWrap/>
        <w:overflowPunct/>
        <w:topLinePunct w:val="0"/>
        <w:autoSpaceDE/>
        <w:autoSpaceDN/>
        <w:bidi w:val="0"/>
        <w:adjustRightInd w:val="0"/>
        <w:snapToGrid w:val="0"/>
        <w:spacing w:after="313" w:afterLines="100" w:line="600" w:lineRule="exact"/>
        <w:ind w:firstLine="0" w:firstLineChars="0"/>
        <w:contextualSpacing/>
        <w:jc w:val="center"/>
        <w:textAlignment w:val="baseline"/>
        <w:rPr>
          <w:rFonts w:hint="eastAsia" w:ascii="Times New Roman" w:hAnsi="Times New Roman" w:eastAsia="方正小标宋简体" w:cs="Times New Roman"/>
          <w:color w:val="auto"/>
          <w:sz w:val="48"/>
          <w:szCs w:val="96"/>
          <w:highlight w:val="none"/>
          <w:lang w:val="en-US" w:eastAsia="zh-CN"/>
        </w:rPr>
      </w:pPr>
    </w:p>
    <w:p w14:paraId="11D06604">
      <w:pPr>
        <w:adjustRightInd w:val="0"/>
        <w:snapToGrid w:val="0"/>
        <w:spacing w:line="600" w:lineRule="exact"/>
        <w:ind w:firstLine="0" w:firstLineChars="0"/>
        <w:contextualSpacing/>
        <w:jc w:val="center"/>
        <w:textAlignment w:val="baseline"/>
        <w:rPr>
          <w:rFonts w:hint="eastAsia" w:ascii="Times New Roman" w:hAnsi="Times New Roman" w:eastAsia="方正小标宋简体" w:cs="Times New Roman"/>
          <w:color w:val="auto"/>
          <w:sz w:val="40"/>
          <w:szCs w:val="60"/>
          <w:highlight w:val="none"/>
          <w:lang w:val="en-US" w:eastAsia="zh-CN"/>
        </w:rPr>
      </w:pPr>
      <w:r>
        <w:rPr>
          <w:rFonts w:hint="eastAsia" w:ascii="Times New Roman" w:hAnsi="Times New Roman" w:eastAsia="方正小标宋简体" w:cs="Times New Roman"/>
          <w:color w:val="auto"/>
          <w:sz w:val="40"/>
          <w:szCs w:val="60"/>
          <w:highlight w:val="none"/>
          <w:lang w:val="en-US" w:eastAsia="zh-CN"/>
        </w:rPr>
        <w:t>（公示稿）</w:t>
      </w:r>
    </w:p>
    <w:p w14:paraId="2E6C3A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color w:val="auto"/>
          <w:lang w:val="en-US" w:eastAsia="zh-CN"/>
        </w:rPr>
      </w:pPr>
    </w:p>
    <w:p w14:paraId="2420EB57">
      <w:pPr>
        <w:jc w:val="center"/>
        <w:rPr>
          <w:rFonts w:hint="eastAsia" w:ascii="Times New Roman" w:hAnsi="Times New Roman"/>
          <w:color w:val="auto"/>
          <w:lang w:val="en-US" w:eastAsia="zh-CN"/>
        </w:rPr>
      </w:pPr>
    </w:p>
    <w:p w14:paraId="35E830CC">
      <w:pPr>
        <w:jc w:val="center"/>
        <w:rPr>
          <w:rFonts w:hint="eastAsia" w:ascii="Times New Roman" w:hAnsi="Times New Roman"/>
          <w:color w:val="auto"/>
          <w:lang w:val="en-US" w:eastAsia="zh-CN"/>
        </w:rPr>
      </w:pPr>
    </w:p>
    <w:p w14:paraId="455B86FF">
      <w:pPr>
        <w:jc w:val="center"/>
        <w:rPr>
          <w:rFonts w:hint="eastAsia" w:ascii="Times New Roman" w:hAnsi="Times New Roman"/>
          <w:color w:val="auto"/>
          <w:lang w:val="en-US" w:eastAsia="zh-CN"/>
        </w:rPr>
      </w:pPr>
    </w:p>
    <w:p w14:paraId="3B6B2E41">
      <w:pPr>
        <w:jc w:val="center"/>
        <w:rPr>
          <w:rFonts w:hint="eastAsia" w:ascii="Times New Roman" w:hAnsi="Times New Roman"/>
          <w:color w:val="auto"/>
          <w:lang w:val="en-US" w:eastAsia="zh-CN"/>
        </w:rPr>
      </w:pPr>
    </w:p>
    <w:p w14:paraId="5D784A02">
      <w:pPr>
        <w:jc w:val="center"/>
        <w:rPr>
          <w:rFonts w:hint="eastAsia" w:ascii="Times New Roman" w:hAnsi="Times New Roman"/>
          <w:color w:val="auto"/>
          <w:lang w:val="en-US" w:eastAsia="zh-CN"/>
        </w:rPr>
      </w:pPr>
    </w:p>
    <w:p w14:paraId="119F903D">
      <w:pPr>
        <w:jc w:val="center"/>
        <w:rPr>
          <w:rFonts w:hint="eastAsia" w:ascii="Times New Roman" w:hAnsi="Times New Roman"/>
          <w:color w:val="auto"/>
          <w:lang w:val="en-US" w:eastAsia="zh-CN"/>
        </w:rPr>
      </w:pPr>
    </w:p>
    <w:p w14:paraId="79EB68A5">
      <w:pPr>
        <w:jc w:val="both"/>
        <w:rPr>
          <w:rFonts w:hint="eastAsia" w:ascii="Times New Roman" w:hAnsi="Times New Roman"/>
          <w:color w:val="auto"/>
          <w:lang w:val="en-US" w:eastAsia="zh-CN"/>
        </w:rPr>
      </w:pPr>
      <w:bookmarkStart w:id="0" w:name="_GoBack"/>
      <w:bookmarkEnd w:id="0"/>
    </w:p>
    <w:p w14:paraId="54324500">
      <w:pPr>
        <w:jc w:val="center"/>
        <w:rPr>
          <w:rFonts w:hint="eastAsia" w:ascii="Times New Roman" w:hAnsi="Times New Roman"/>
          <w:color w:val="auto"/>
          <w:lang w:val="en-US" w:eastAsia="zh-CN"/>
        </w:rPr>
      </w:pPr>
    </w:p>
    <w:p w14:paraId="6333CC86">
      <w:pPr>
        <w:ind w:left="0" w:leftChars="0" w:firstLine="0" w:firstLineChars="0"/>
        <w:jc w:val="both"/>
        <w:rPr>
          <w:rFonts w:hint="eastAsia" w:ascii="Times New Roman" w:hAnsi="Times New Roman"/>
          <w:color w:val="auto"/>
          <w:lang w:val="en-US" w:eastAsia="zh-CN"/>
        </w:rPr>
      </w:pPr>
    </w:p>
    <w:p w14:paraId="316F6B71">
      <w:pPr>
        <w:jc w:val="center"/>
        <w:rPr>
          <w:rFonts w:hint="eastAsia" w:ascii="Times New Roman" w:hAnsi="Times New Roman"/>
          <w:color w:val="auto"/>
          <w:lang w:val="en-US" w:eastAsia="zh-CN"/>
        </w:rPr>
      </w:pPr>
    </w:p>
    <w:p w14:paraId="464771E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黑体" w:cs="黑体"/>
          <w:color w:val="auto"/>
          <w:lang w:val="en-US" w:eastAsia="zh-CN"/>
        </w:rPr>
      </w:pPr>
      <w:r>
        <w:rPr>
          <w:rFonts w:hint="eastAsia" w:ascii="Times New Roman" w:hAnsi="Times New Roman" w:eastAsia="黑体" w:cs="黑体"/>
          <w:color w:val="auto"/>
          <w:lang w:val="en-US" w:eastAsia="zh-CN"/>
        </w:rPr>
        <w:t>太康县人民政府</w:t>
      </w:r>
    </w:p>
    <w:p w14:paraId="6975265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黑体" w:cs="黑体"/>
          <w:color w:val="auto"/>
          <w:lang w:val="en-US" w:eastAsia="zh-CN"/>
        </w:rPr>
      </w:pPr>
      <w:r>
        <w:rPr>
          <w:rFonts w:hint="eastAsia" w:ascii="Times New Roman" w:hAnsi="Times New Roman" w:eastAsia="黑体" w:cs="黑体"/>
          <w:color w:val="auto"/>
          <w:lang w:val="en-US" w:eastAsia="zh-CN"/>
        </w:rPr>
        <w:t>2026年4月</w:t>
      </w:r>
    </w:p>
    <w:p w14:paraId="023BB1F3">
      <w:pPr>
        <w:rPr>
          <w:rFonts w:hint="eastAsia" w:ascii="Times New Roman" w:hAnsi="Times New Roman"/>
          <w:color w:val="auto"/>
          <w:lang w:val="en-US" w:eastAsia="zh-CN"/>
        </w:rPr>
      </w:pPr>
      <w:r>
        <w:rPr>
          <w:rFonts w:hint="eastAsia" w:ascii="Times New Roman" w:hAnsi="Times New Roman"/>
          <w:color w:val="auto"/>
          <w:lang w:val="en-US" w:eastAsia="zh-CN"/>
        </w:rPr>
        <w:br w:type="page"/>
      </w:r>
    </w:p>
    <w:p w14:paraId="168458FF">
      <w:pPr>
        <w:keepNext w:val="0"/>
        <w:keepLines w:val="0"/>
        <w:pageBreakBefore w:val="0"/>
        <w:widowControl w:val="0"/>
        <w:numPr>
          <w:numId w:val="0"/>
        </w:numPr>
        <w:kinsoku/>
        <w:wordWrap/>
        <w:overflowPunct/>
        <w:topLinePunct w:val="0"/>
        <w:autoSpaceDE/>
        <w:autoSpaceDN/>
        <w:bidi w:val="0"/>
        <w:adjustRightInd/>
        <w:snapToGrid/>
        <w:spacing w:before="200" w:after="200" w:line="600" w:lineRule="exact"/>
        <w:ind w:leftChars="0"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一、永久基本农田正向优化</w:t>
      </w:r>
    </w:p>
    <w:p w14:paraId="5D1499C1">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both"/>
        <w:textAlignment w:val="auto"/>
        <w:rPr>
          <w:rFonts w:hint="eastAsia" w:ascii="楷体" w:hAnsi="楷体" w:eastAsia="楷体" w:cs="楷体"/>
          <w:lang w:val="en-US" w:eastAsia="zh-CN"/>
        </w:rPr>
      </w:pPr>
      <w:r>
        <w:rPr>
          <w:rFonts w:hint="eastAsia" w:ascii="楷体" w:hAnsi="楷体" w:eastAsia="楷体" w:cs="楷体"/>
          <w:lang w:val="en-US" w:eastAsia="zh-CN"/>
        </w:rPr>
        <w:t>基本情况</w:t>
      </w:r>
    </w:p>
    <w:p w14:paraId="2656581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lang w:val="en-US" w:eastAsia="zh-CN"/>
        </w:rPr>
        <w:t>严格落实周口市国土空间总体规划确定的太康县耕地和永久基本农田保护目标任务。至2035年，太康县耕地保有量不低于125974.37公顷（188.96万亩），太康县永久基本农田保护目标不低于113765.67公顷（170.65万亩）。2024年度，太康县耕地面积为191.95万亩，完成188.96万亩的耕地保有量目标；太康县实际落实永久基本农田面积为171.25万亩，完成170.65万亩的永久基本农田的保护目标。</w:t>
      </w:r>
    </w:p>
    <w:p w14:paraId="72DB173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本次动态维护调入永久基本农田284.29公顷，调出248.12公顷，净调入36.17公顷，优化后永久基本农田面积为114205.15公顷（171.31万亩）。</w:t>
      </w:r>
    </w:p>
    <w:p w14:paraId="49A2835A">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both"/>
        <w:textAlignment w:val="auto"/>
        <w:rPr>
          <w:rFonts w:hint="default" w:ascii="楷体" w:hAnsi="楷体" w:eastAsia="楷体" w:cs="楷体"/>
          <w:lang w:val="en-US" w:eastAsia="zh-CN"/>
        </w:rPr>
      </w:pPr>
      <w:r>
        <w:rPr>
          <w:rFonts w:hint="eastAsia" w:ascii="楷体" w:hAnsi="楷体" w:eastAsia="楷体" w:cs="楷体"/>
          <w:lang w:val="en-US" w:eastAsia="zh-CN"/>
        </w:rPr>
        <w:t>调入情况</w:t>
      </w:r>
    </w:p>
    <w:p w14:paraId="0F03183E">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本次动态维护中调入永久基本农田284.29公顷，其中，从已建高标准农田中调入165.48公顷。调入地块主要分布在马厂镇、芝麻洼乡、高朗乡、常营镇、逊母口镇等乡镇，普遍具备地势平坦、集中连片程度高等特点，符合永久基本农田正向优化标准。</w:t>
      </w:r>
    </w:p>
    <w:p w14:paraId="6B7EEF63">
      <w:pPr>
        <w:keepNext w:val="0"/>
        <w:keepLines w:val="0"/>
        <w:pageBreakBefore w:val="0"/>
        <w:widowControl w:val="0"/>
        <w:numPr>
          <w:ilvl w:val="0"/>
          <w:numId w:val="1"/>
        </w:numPr>
        <w:kinsoku/>
        <w:wordWrap/>
        <w:overflowPunct/>
        <w:topLinePunct w:val="0"/>
        <w:autoSpaceDE/>
        <w:autoSpaceDN/>
        <w:bidi w:val="0"/>
        <w:adjustRightInd/>
        <w:snapToGrid/>
        <w:spacing w:line="600" w:lineRule="exact"/>
        <w:jc w:val="both"/>
        <w:textAlignment w:val="auto"/>
        <w:rPr>
          <w:rFonts w:hint="default" w:ascii="楷体" w:hAnsi="楷体" w:eastAsia="楷体" w:cs="楷体"/>
          <w:lang w:val="en-US" w:eastAsia="zh-CN"/>
        </w:rPr>
      </w:pPr>
      <w:r>
        <w:rPr>
          <w:rFonts w:hint="eastAsia" w:ascii="楷体" w:hAnsi="楷体" w:eastAsia="楷体" w:cs="楷体"/>
          <w:lang w:val="en-US" w:eastAsia="zh-CN"/>
        </w:rPr>
        <w:t>调出情况</w:t>
      </w:r>
    </w:p>
    <w:p w14:paraId="00510032">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eastAsia"/>
          <w:lang w:val="en-US" w:eastAsia="zh-CN"/>
        </w:rPr>
        <w:t>本次动态维护中调出永久基本农田248.12公顷。调出地块主要分布在芝麻洼乡、逊母口镇、城郊乡、常营镇、清集镇等乡镇。调出过程严格遵循“数量不减、质量不降、布局优化、生态改善”的正向优化调整原则，确保永久基本农田整体质量和布局持续优化。</w:t>
      </w:r>
    </w:p>
    <w:p w14:paraId="35A07733">
      <w:pPr>
        <w:keepNext w:val="0"/>
        <w:keepLines w:val="0"/>
        <w:pageBreakBefore w:val="0"/>
        <w:widowControl w:val="0"/>
        <w:numPr>
          <w:numId w:val="0"/>
        </w:numPr>
        <w:kinsoku/>
        <w:wordWrap/>
        <w:overflowPunct/>
        <w:topLinePunct w:val="0"/>
        <w:autoSpaceDE/>
        <w:autoSpaceDN/>
        <w:bidi w:val="0"/>
        <w:adjustRightInd/>
        <w:snapToGrid/>
        <w:spacing w:before="200" w:after="200" w:line="600" w:lineRule="exact"/>
        <w:ind w:leftChars="0"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二、城镇开发边界正向优化</w:t>
      </w:r>
    </w:p>
    <w:p w14:paraId="309C10D1">
      <w:pPr>
        <w:keepNext w:val="0"/>
        <w:keepLines w:val="0"/>
        <w:pageBreakBefore w:val="0"/>
        <w:widowControl w:val="0"/>
        <w:numPr>
          <w:ilvl w:val="0"/>
          <w:numId w:val="2"/>
        </w:numPr>
        <w:kinsoku/>
        <w:wordWrap/>
        <w:overflowPunct/>
        <w:topLinePunct w:val="0"/>
        <w:autoSpaceDE/>
        <w:autoSpaceDN/>
        <w:bidi w:val="0"/>
        <w:adjustRightInd/>
        <w:snapToGrid/>
        <w:spacing w:line="600" w:lineRule="exact"/>
        <w:jc w:val="both"/>
        <w:textAlignment w:val="auto"/>
        <w:rPr>
          <w:rFonts w:hint="eastAsia" w:ascii="楷体" w:hAnsi="楷体" w:eastAsia="楷体" w:cs="楷体"/>
          <w:lang w:val="en-US" w:eastAsia="zh-CN"/>
        </w:rPr>
      </w:pPr>
      <w:r>
        <w:rPr>
          <w:rFonts w:hint="eastAsia" w:ascii="楷体" w:hAnsi="楷体" w:eastAsia="楷体" w:cs="楷体"/>
          <w:lang w:val="en-US" w:eastAsia="zh-CN"/>
        </w:rPr>
        <w:t>基本情况</w:t>
      </w:r>
    </w:p>
    <w:p w14:paraId="653551B7">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r>
        <w:rPr>
          <w:rFonts w:hint="eastAsia"/>
          <w:lang w:val="en-US" w:eastAsia="zh-CN"/>
        </w:rPr>
        <w:t>太康县全域城镇开发边界总面积71.22平方公里，城镇开发边界扩展倍数1.12。扣除城镇开发边界内2020年变更调查现状建设用地、部备案批地数据后，新增城镇建设用地为4.06平方公里。本次城镇开发边界动态维护，调入城镇开发边界18.91公顷，</w:t>
      </w:r>
      <w:r>
        <w:rPr>
          <w:rFonts w:hint="eastAsia" w:ascii="Times New Roman" w:hAnsi="Times New Roman"/>
          <w:color w:val="auto"/>
          <w:lang w:val="en-US" w:eastAsia="zh-CN"/>
        </w:rPr>
        <w:t>其中，不占新增指标调入（省备案已批未建设土地）11.68公顷，自平衡调入7.23公顷；调出城镇开发边界17.53公顷，其中，自平衡调出7.23公顷，机动指标调出9.58公顷，存量203用地调出0.72公顷</w:t>
      </w:r>
      <w:r>
        <w:rPr>
          <w:rFonts w:hint="eastAsia"/>
          <w:lang w:val="en-US" w:eastAsia="zh-CN"/>
        </w:rPr>
        <w:t>。优化后城镇空间布局更集聚，职住用地比例更优化。</w:t>
      </w:r>
    </w:p>
    <w:p w14:paraId="0CC0D66A">
      <w:pPr>
        <w:keepNext w:val="0"/>
        <w:keepLines w:val="0"/>
        <w:pageBreakBefore w:val="0"/>
        <w:widowControl w:val="0"/>
        <w:numPr>
          <w:ilvl w:val="0"/>
          <w:numId w:val="2"/>
        </w:numPr>
        <w:kinsoku/>
        <w:wordWrap/>
        <w:overflowPunct/>
        <w:topLinePunct w:val="0"/>
        <w:autoSpaceDE/>
        <w:autoSpaceDN/>
        <w:bidi w:val="0"/>
        <w:adjustRightInd/>
        <w:snapToGrid/>
        <w:spacing w:line="600" w:lineRule="exact"/>
        <w:jc w:val="both"/>
        <w:textAlignment w:val="auto"/>
        <w:rPr>
          <w:rFonts w:hint="default" w:ascii="楷体" w:hAnsi="楷体" w:eastAsia="楷体" w:cs="楷体"/>
          <w:lang w:val="en-US" w:eastAsia="zh-CN"/>
        </w:rPr>
      </w:pPr>
      <w:r>
        <w:rPr>
          <w:rFonts w:hint="eastAsia" w:ascii="楷体" w:hAnsi="楷体" w:eastAsia="楷体" w:cs="楷体"/>
          <w:lang w:val="en-US" w:eastAsia="zh-CN"/>
        </w:rPr>
        <w:t>调入情况</w:t>
      </w:r>
    </w:p>
    <w:p w14:paraId="21B4FE1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default"/>
          <w:lang w:val="en-US" w:eastAsia="zh-CN"/>
        </w:rPr>
        <w:t>基于保障重大项目落实、完善产业配套设施布局、加强公共服务能力的目标，调入城镇开发边界总面积18.91公顷，其中，填补天窗3.45公顷，保障项目发展15.38公顷，用于公用设施配套0.08公顷。</w:t>
      </w:r>
    </w:p>
    <w:p w14:paraId="09D488E7">
      <w:pPr>
        <w:keepNext w:val="0"/>
        <w:keepLines w:val="0"/>
        <w:pageBreakBefore w:val="0"/>
        <w:widowControl w:val="0"/>
        <w:numPr>
          <w:ilvl w:val="0"/>
          <w:numId w:val="2"/>
        </w:numPr>
        <w:kinsoku/>
        <w:wordWrap/>
        <w:overflowPunct/>
        <w:topLinePunct w:val="0"/>
        <w:autoSpaceDE/>
        <w:autoSpaceDN/>
        <w:bidi w:val="0"/>
        <w:adjustRightInd/>
        <w:snapToGrid/>
        <w:spacing w:line="600" w:lineRule="exact"/>
        <w:jc w:val="both"/>
        <w:textAlignment w:val="auto"/>
        <w:rPr>
          <w:rFonts w:hint="default" w:ascii="楷体" w:hAnsi="楷体" w:eastAsia="楷体" w:cs="楷体"/>
          <w:lang w:val="en-US" w:eastAsia="zh-CN"/>
        </w:rPr>
      </w:pPr>
      <w:r>
        <w:rPr>
          <w:rFonts w:hint="eastAsia" w:ascii="楷体" w:hAnsi="楷体" w:eastAsia="楷体" w:cs="楷体"/>
          <w:lang w:val="en-US" w:eastAsia="zh-CN"/>
        </w:rPr>
        <w:t>调出情况</w:t>
      </w:r>
    </w:p>
    <w:p w14:paraId="663B20CD">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lang w:val="en-US" w:eastAsia="zh-CN"/>
        </w:rPr>
      </w:pPr>
      <w:r>
        <w:rPr>
          <w:rFonts w:hint="default"/>
          <w:lang w:val="en-US" w:eastAsia="zh-CN"/>
        </w:rPr>
        <w:t>根据城市体检结果，筛选近期无开发建设计划的城镇建设用地进行调出，共调出城镇开发边界面积17.53公顷</w:t>
      </w:r>
      <w:r>
        <w:rPr>
          <w:rFonts w:hint="eastAsia"/>
          <w:lang w:val="en-US" w:eastAsia="zh-CN"/>
        </w:rPr>
        <w:t>，</w:t>
      </w:r>
      <w:r>
        <w:rPr>
          <w:rFonts w:hint="eastAsia" w:ascii="Times New Roman" w:hAnsi="Times New Roman"/>
          <w:color w:val="auto"/>
          <w:highlight w:val="none"/>
          <w:lang w:val="en-US" w:eastAsia="zh-CN"/>
        </w:rPr>
        <w:t>城镇开发边界形态更加规整，空间紧凑度明显提升。</w:t>
      </w:r>
    </w:p>
    <w:p w14:paraId="6F49BB4D">
      <w:pPr>
        <w:keepNext w:val="0"/>
        <w:keepLines w:val="0"/>
        <w:pageBreakBefore w:val="0"/>
        <w:widowControl w:val="0"/>
        <w:numPr>
          <w:numId w:val="0"/>
        </w:numPr>
        <w:kinsoku/>
        <w:wordWrap/>
        <w:overflowPunct/>
        <w:topLinePunct w:val="0"/>
        <w:autoSpaceDE/>
        <w:autoSpaceDN/>
        <w:bidi w:val="0"/>
        <w:adjustRightInd/>
        <w:snapToGrid/>
        <w:spacing w:before="200" w:after="200" w:line="600" w:lineRule="exact"/>
        <w:ind w:leftChars="0"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三、其他涉及动态维护的情况</w:t>
      </w:r>
    </w:p>
    <w:p w14:paraId="5E046987">
      <w:pPr>
        <w:keepNext w:val="0"/>
        <w:keepLines w:val="0"/>
        <w:pageBreakBefore w:val="0"/>
        <w:widowControl w:val="0"/>
        <w:numPr>
          <w:ilvl w:val="0"/>
          <w:numId w:val="3"/>
        </w:numPr>
        <w:kinsoku/>
        <w:wordWrap/>
        <w:overflowPunct/>
        <w:topLinePunct w:val="0"/>
        <w:autoSpaceDE/>
        <w:autoSpaceDN/>
        <w:bidi w:val="0"/>
        <w:adjustRightInd/>
        <w:snapToGrid/>
        <w:spacing w:line="600" w:lineRule="exact"/>
        <w:jc w:val="both"/>
        <w:textAlignment w:val="auto"/>
        <w:rPr>
          <w:rFonts w:hint="default"/>
          <w:lang w:val="en-US" w:eastAsia="zh-CN"/>
        </w:rPr>
      </w:pPr>
      <w:r>
        <w:rPr>
          <w:rFonts w:hint="eastAsia"/>
          <w:lang w:val="en-US" w:eastAsia="zh-CN"/>
        </w:rPr>
        <w:t>因永久基本农田和城镇开发边界的正向优化，对规划分区、中心城区用地布局等进行同步优化。</w:t>
      </w:r>
    </w:p>
    <w:p w14:paraId="4DA3CC86">
      <w:pPr>
        <w:keepNext w:val="0"/>
        <w:keepLines w:val="0"/>
        <w:pageBreakBefore w:val="0"/>
        <w:widowControl w:val="0"/>
        <w:numPr>
          <w:ilvl w:val="0"/>
          <w:numId w:val="3"/>
        </w:numPr>
        <w:kinsoku/>
        <w:wordWrap/>
        <w:overflowPunct/>
        <w:topLinePunct w:val="0"/>
        <w:autoSpaceDE/>
        <w:autoSpaceDN/>
        <w:bidi w:val="0"/>
        <w:adjustRightInd/>
        <w:snapToGrid/>
        <w:spacing w:line="600" w:lineRule="exact"/>
        <w:jc w:val="both"/>
        <w:textAlignment w:val="auto"/>
        <w:rPr>
          <w:rFonts w:hint="default"/>
          <w:lang w:val="en-US" w:eastAsia="zh-CN"/>
        </w:rPr>
      </w:pPr>
      <w:r>
        <w:rPr>
          <w:rFonts w:hint="eastAsia"/>
          <w:lang w:val="en-US" w:eastAsia="zh-CN"/>
        </w:rPr>
        <w:t>结合中心城区用地布局调整情况，围绕城市绿线、黄线、蓝线、紫线开展精细化调整，保障安全运行与功能完善。</w:t>
      </w:r>
    </w:p>
    <w:p w14:paraId="72372865">
      <w:pPr>
        <w:keepNext w:val="0"/>
        <w:keepLines w:val="0"/>
        <w:pageBreakBefore w:val="0"/>
        <w:widowControl w:val="0"/>
        <w:numPr>
          <w:ilvl w:val="0"/>
          <w:numId w:val="3"/>
        </w:numPr>
        <w:kinsoku/>
        <w:wordWrap/>
        <w:overflowPunct/>
        <w:topLinePunct w:val="0"/>
        <w:autoSpaceDE/>
        <w:autoSpaceDN/>
        <w:bidi w:val="0"/>
        <w:adjustRightInd/>
        <w:snapToGrid/>
        <w:spacing w:line="600" w:lineRule="exact"/>
        <w:jc w:val="both"/>
        <w:textAlignment w:val="auto"/>
        <w:rPr>
          <w:rFonts w:hint="default"/>
          <w:lang w:val="en-US" w:eastAsia="zh-CN"/>
        </w:rPr>
      </w:pPr>
      <w:r>
        <w:rPr>
          <w:rFonts w:hint="eastAsia"/>
          <w:lang w:val="en-US" w:eastAsia="zh-CN"/>
        </w:rPr>
        <w:t>结合“十五五”重大项目，更新国土空间重点建设项目清单。</w:t>
      </w:r>
    </w:p>
    <w:p w14:paraId="08583E7D">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lang w:val="en-US" w:eastAsia="zh-CN"/>
        </w:rPr>
      </w:pPr>
    </w:p>
    <w:p w14:paraId="39C4ED91">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B07C9E"/>
    <w:multiLevelType w:val="singleLevel"/>
    <w:tmpl w:val="8BB07C9E"/>
    <w:lvl w:ilvl="0" w:tentative="0">
      <w:start w:val="1"/>
      <w:numFmt w:val="chineseCounting"/>
      <w:suff w:val="nothing"/>
      <w:lvlText w:val="（%1）"/>
      <w:lvlJc w:val="left"/>
      <w:rPr>
        <w:rFonts w:hint="eastAsia"/>
      </w:rPr>
    </w:lvl>
  </w:abstractNum>
  <w:abstractNum w:abstractNumId="1">
    <w:nsid w:val="F6D558EE"/>
    <w:multiLevelType w:val="singleLevel"/>
    <w:tmpl w:val="F6D558EE"/>
    <w:lvl w:ilvl="0" w:tentative="0">
      <w:start w:val="1"/>
      <w:numFmt w:val="chineseCounting"/>
      <w:suff w:val="nothing"/>
      <w:lvlText w:val="（%1）"/>
      <w:lvlJc w:val="left"/>
      <w:rPr>
        <w:rFonts w:hint="eastAsia"/>
      </w:rPr>
    </w:lvl>
  </w:abstractNum>
  <w:abstractNum w:abstractNumId="2">
    <w:nsid w:val="01C214CA"/>
    <w:multiLevelType w:val="singleLevel"/>
    <w:tmpl w:val="01C214C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6E4A65"/>
    <w:rsid w:val="33973CCD"/>
    <w:rsid w:val="4D7B1C7A"/>
    <w:rsid w:val="5B520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8" w:lineRule="exact"/>
      <w:ind w:firstLine="720" w:firstLineChars="200"/>
      <w:jc w:val="both"/>
    </w:pPr>
    <w:rPr>
      <w:rFonts w:ascii="Times New Roman" w:hAnsi="Times New Roman" w:eastAsia="仿宋_GB2312" w:cstheme="minorBidi"/>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993</Words>
  <Characters>1150</Characters>
  <Lines>0</Lines>
  <Paragraphs>0</Paragraphs>
  <TotalTime>1</TotalTime>
  <ScaleCrop>false</ScaleCrop>
  <LinksUpToDate>false</LinksUpToDate>
  <CharactersWithSpaces>1150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2026-04-17T10:11:00Z</dcterms:created>
  <dc:creator>Administrator</dc:creator>
  <cp:lastModifiedBy>献华</cp:lastModifiedBy>
  <dcterms:modified xsi:type="dcterms:W3CDTF">2026-04-28T09:00:25Z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eyJoZGlkIjoiYjVkYTY3NDQ0MjNiZTZmMWMxMDE4MDZkNDg1ZDY2MTgiLCJ1c2VySWQiOiIzMzc0OTYwMjMifQ==</vt:lpwstr>
  </property>
  <property fmtid="{D5CDD505-2E9C-101B-9397-08002B2CF9AE}" pid="4" name="ICV">
    <vt:lpwstr>D702EBCAC2474A39864B3E8471BF8CCE_12</vt:lpwstr>
  </property>
</Properties>
</file>