
<file path=[Content_Types].xml><?xml version="1.0" encoding="utf-8"?>
<Types xmlns="http://schemas.openxmlformats.org/package/2006/content-types">
  <Default Extension="xml" ContentType="application/xml"/>
  <Default Extension="bin" ContentType="application/vnd.openxmlformats-officedocument.oleObject"/>
  <Default Extension="jpeg" ContentType="image/jpeg"/>
  <Default Extension="JPG" ContentType="image/.jpg"/>
  <Default Extension="wmf" ContentType="image/x-wmf"/>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447D19E">
      <w:pPr>
        <w:spacing w:before="156" w:beforeLines="50" w:line="240" w:lineRule="auto"/>
        <w:jc w:val="center"/>
        <w:rPr>
          <w:rFonts w:hint="eastAsia" w:ascii="黑体" w:hAnsi="黑体" w:eastAsia="黑体"/>
          <w:b/>
          <w:bCs/>
          <w:sz w:val="44"/>
          <w:szCs w:val="44"/>
        </w:rPr>
      </w:pPr>
      <w:bookmarkStart w:id="0" w:name="_Toc144974478"/>
      <w:bookmarkStart w:id="1" w:name="_Toc152042286"/>
      <w:r>
        <w:rPr>
          <w:rFonts w:hint="eastAsia" w:ascii="黑体" w:hAnsi="黑体" w:eastAsia="黑体"/>
          <w:b/>
          <w:bCs/>
          <w:sz w:val="44"/>
          <w:szCs w:val="44"/>
        </w:rPr>
        <w:drawing>
          <wp:inline distT="0" distB="0" distL="114300" distR="114300">
            <wp:extent cx="5757545" cy="8206740"/>
            <wp:effectExtent l="0" t="0" r="5080" b="3810"/>
            <wp:docPr id="1" name="图片 1" descr="文件封皮"/>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文件封皮"/>
                    <pic:cNvPicPr>
                      <a:picLocks noChangeAspect="1"/>
                    </pic:cNvPicPr>
                  </pic:nvPicPr>
                  <pic:blipFill>
                    <a:blip r:embed="rId7"/>
                    <a:stretch>
                      <a:fillRect/>
                    </a:stretch>
                  </pic:blipFill>
                  <pic:spPr>
                    <a:xfrm>
                      <a:off x="0" y="0"/>
                      <a:ext cx="5757545" cy="8206740"/>
                    </a:xfrm>
                    <a:prstGeom prst="rect">
                      <a:avLst/>
                    </a:prstGeom>
                  </pic:spPr>
                </pic:pic>
              </a:graphicData>
            </a:graphic>
          </wp:inline>
        </w:drawing>
      </w:r>
      <w:r>
        <w:rPr>
          <w:rFonts w:hint="eastAsia" w:ascii="黑体" w:hAnsi="黑体" w:eastAsia="黑体"/>
          <w:b/>
          <w:bCs/>
          <w:sz w:val="44"/>
          <w:szCs w:val="44"/>
        </w:rPr>
        <w:br w:type="page"/>
      </w:r>
      <w:r>
        <w:rPr>
          <w:rFonts w:hint="eastAsia" w:ascii="黑体" w:hAnsi="黑体" w:eastAsia="黑体"/>
          <w:b/>
          <w:bCs/>
          <w:sz w:val="44"/>
          <w:szCs w:val="44"/>
        </w:rPr>
        <w:t>目    录</w:t>
      </w:r>
      <w:bookmarkEnd w:id="0"/>
      <w:bookmarkEnd w:id="1"/>
    </w:p>
    <w:p w14:paraId="6E5D2666">
      <w:pPr>
        <w:pStyle w:val="30"/>
        <w:rPr>
          <w:rFonts w:hint="eastAsia"/>
        </w:rPr>
      </w:pPr>
    </w:p>
    <w:p w14:paraId="5454425F">
      <w:pPr>
        <w:pStyle w:val="30"/>
        <w:spacing w:line="360" w:lineRule="auto"/>
        <w:rPr>
          <w:rFonts w:ascii="Calibri" w:hAnsi="Calibri"/>
          <w:sz w:val="24"/>
        </w:rPr>
      </w:pPr>
      <w:r>
        <w:rPr>
          <w:rFonts w:ascii="宋体" w:hAnsi="宋体"/>
          <w:sz w:val="24"/>
        </w:rPr>
        <w:fldChar w:fldCharType="begin"/>
      </w:r>
      <w:r>
        <w:rPr>
          <w:rFonts w:ascii="宋体" w:hAnsi="宋体"/>
          <w:sz w:val="24"/>
        </w:rPr>
        <w:instrText xml:space="preserve"> </w:instrText>
      </w:r>
      <w:r>
        <w:rPr>
          <w:rFonts w:hint="eastAsia" w:ascii="宋体" w:hAnsi="宋体"/>
          <w:sz w:val="24"/>
        </w:rPr>
        <w:instrText xml:space="preserve">TOC \o "1-3" \h \z \u</w:instrText>
      </w:r>
      <w:r>
        <w:rPr>
          <w:rFonts w:ascii="宋体" w:hAnsi="宋体"/>
          <w:sz w:val="24"/>
        </w:rPr>
        <w:instrText xml:space="preserve"> </w:instrText>
      </w:r>
      <w:r>
        <w:rPr>
          <w:rFonts w:ascii="宋体" w:hAnsi="宋体"/>
          <w:sz w:val="24"/>
        </w:rPr>
        <w:fldChar w:fldCharType="separate"/>
      </w:r>
      <w:r>
        <w:rPr>
          <w:rStyle w:val="53"/>
          <w:sz w:val="24"/>
        </w:rPr>
        <w:fldChar w:fldCharType="begin"/>
      </w:r>
      <w:r>
        <w:rPr>
          <w:rStyle w:val="53"/>
          <w:sz w:val="24"/>
        </w:rPr>
        <w:instrText xml:space="preserve"> </w:instrText>
      </w:r>
      <w:r>
        <w:rPr>
          <w:sz w:val="24"/>
        </w:rPr>
        <w:instrText xml:space="preserve">HYPERLINK \l "_Toc100487467"</w:instrText>
      </w:r>
      <w:r>
        <w:rPr>
          <w:rStyle w:val="53"/>
          <w:sz w:val="24"/>
        </w:rPr>
        <w:instrText xml:space="preserve"> </w:instrText>
      </w:r>
      <w:r>
        <w:rPr>
          <w:rStyle w:val="53"/>
          <w:sz w:val="24"/>
        </w:rPr>
        <w:fldChar w:fldCharType="separate"/>
      </w:r>
      <w:r>
        <w:rPr>
          <w:rStyle w:val="53"/>
          <w:rFonts w:hint="eastAsia" w:ascii="黑体" w:hAnsi="黑体" w:eastAsia="黑体"/>
          <w:sz w:val="24"/>
        </w:rPr>
        <w:t>第一章</w:t>
      </w:r>
      <w:r>
        <w:rPr>
          <w:rStyle w:val="53"/>
          <w:rFonts w:ascii="黑体" w:hAnsi="黑体" w:eastAsia="黑体"/>
          <w:sz w:val="24"/>
        </w:rPr>
        <w:t xml:space="preserve">   </w:t>
      </w:r>
      <w:r>
        <w:rPr>
          <w:rStyle w:val="53"/>
          <w:rFonts w:hint="eastAsia" w:ascii="黑体" w:hAnsi="黑体" w:eastAsia="黑体"/>
          <w:sz w:val="24"/>
        </w:rPr>
        <w:t>招标公告</w:t>
      </w:r>
      <w:r>
        <w:rPr>
          <w:sz w:val="24"/>
        </w:rPr>
        <w:tab/>
      </w:r>
      <w:r>
        <w:rPr>
          <w:sz w:val="24"/>
        </w:rPr>
        <w:fldChar w:fldCharType="begin"/>
      </w:r>
      <w:r>
        <w:rPr>
          <w:sz w:val="24"/>
        </w:rPr>
        <w:instrText xml:space="preserve"> PAGEREF _Toc100487467 \h </w:instrText>
      </w:r>
      <w:r>
        <w:rPr>
          <w:sz w:val="24"/>
        </w:rPr>
        <w:fldChar w:fldCharType="separate"/>
      </w:r>
      <w:r>
        <w:rPr>
          <w:sz w:val="24"/>
        </w:rPr>
        <w:t>1</w:t>
      </w:r>
      <w:r>
        <w:rPr>
          <w:sz w:val="24"/>
        </w:rPr>
        <w:fldChar w:fldCharType="end"/>
      </w:r>
      <w:r>
        <w:rPr>
          <w:rStyle w:val="53"/>
          <w:sz w:val="24"/>
        </w:rPr>
        <w:fldChar w:fldCharType="end"/>
      </w:r>
    </w:p>
    <w:p w14:paraId="449FF8F4">
      <w:pPr>
        <w:pStyle w:val="30"/>
        <w:spacing w:line="360" w:lineRule="auto"/>
        <w:rPr>
          <w:rFonts w:ascii="Calibri" w:hAnsi="Calibri"/>
          <w:sz w:val="24"/>
        </w:rPr>
      </w:pPr>
      <w:r>
        <w:rPr>
          <w:rStyle w:val="53"/>
          <w:sz w:val="24"/>
        </w:rPr>
        <w:fldChar w:fldCharType="begin"/>
      </w:r>
      <w:r>
        <w:rPr>
          <w:rStyle w:val="53"/>
          <w:sz w:val="24"/>
        </w:rPr>
        <w:instrText xml:space="preserve"> </w:instrText>
      </w:r>
      <w:r>
        <w:rPr>
          <w:sz w:val="24"/>
        </w:rPr>
        <w:instrText xml:space="preserve">HYPERLINK \l "_Toc100487468"</w:instrText>
      </w:r>
      <w:r>
        <w:rPr>
          <w:rStyle w:val="53"/>
          <w:sz w:val="24"/>
        </w:rPr>
        <w:instrText xml:space="preserve"> </w:instrText>
      </w:r>
      <w:r>
        <w:rPr>
          <w:rStyle w:val="53"/>
          <w:sz w:val="24"/>
        </w:rPr>
        <w:fldChar w:fldCharType="separate"/>
      </w:r>
      <w:r>
        <w:rPr>
          <w:rStyle w:val="53"/>
          <w:rFonts w:hint="eastAsia" w:ascii="黑体" w:hAnsi="黑体" w:eastAsia="黑体"/>
          <w:sz w:val="24"/>
        </w:rPr>
        <w:t>第二章</w:t>
      </w:r>
      <w:r>
        <w:rPr>
          <w:rStyle w:val="53"/>
          <w:rFonts w:ascii="黑体" w:hAnsi="黑体" w:eastAsia="黑体"/>
          <w:sz w:val="24"/>
        </w:rPr>
        <w:t xml:space="preserve"> </w:t>
      </w:r>
      <w:r>
        <w:rPr>
          <w:rStyle w:val="53"/>
          <w:rFonts w:hint="eastAsia" w:ascii="黑体" w:hAnsi="黑体" w:eastAsia="黑体"/>
          <w:sz w:val="24"/>
        </w:rPr>
        <w:t>投标人须知</w:t>
      </w:r>
      <w:r>
        <w:rPr>
          <w:sz w:val="24"/>
        </w:rPr>
        <w:tab/>
      </w:r>
      <w:r>
        <w:rPr>
          <w:sz w:val="24"/>
        </w:rPr>
        <w:fldChar w:fldCharType="begin"/>
      </w:r>
      <w:r>
        <w:rPr>
          <w:sz w:val="24"/>
        </w:rPr>
        <w:instrText xml:space="preserve"> PAGEREF _Toc100487468 \h </w:instrText>
      </w:r>
      <w:r>
        <w:rPr>
          <w:sz w:val="24"/>
        </w:rPr>
        <w:fldChar w:fldCharType="separate"/>
      </w:r>
      <w:r>
        <w:rPr>
          <w:sz w:val="24"/>
        </w:rPr>
        <w:t>5</w:t>
      </w:r>
      <w:r>
        <w:rPr>
          <w:sz w:val="24"/>
        </w:rPr>
        <w:fldChar w:fldCharType="end"/>
      </w:r>
      <w:r>
        <w:rPr>
          <w:rStyle w:val="53"/>
          <w:sz w:val="24"/>
        </w:rPr>
        <w:fldChar w:fldCharType="end"/>
      </w:r>
    </w:p>
    <w:p w14:paraId="291B93C0">
      <w:pPr>
        <w:pStyle w:val="36"/>
        <w:tabs>
          <w:tab w:val="right" w:leader="dot" w:pos="9061"/>
        </w:tabs>
        <w:spacing w:line="360" w:lineRule="auto"/>
        <w:rPr>
          <w:rFonts w:ascii="Calibri" w:hAnsi="Calibri"/>
          <w:sz w:val="24"/>
        </w:rPr>
      </w:pPr>
      <w:r>
        <w:rPr>
          <w:rStyle w:val="53"/>
          <w:sz w:val="24"/>
        </w:rPr>
        <w:fldChar w:fldCharType="begin"/>
      </w:r>
      <w:r>
        <w:rPr>
          <w:rStyle w:val="53"/>
          <w:sz w:val="24"/>
        </w:rPr>
        <w:instrText xml:space="preserve"> </w:instrText>
      </w:r>
      <w:r>
        <w:rPr>
          <w:sz w:val="24"/>
        </w:rPr>
        <w:instrText xml:space="preserve">HYPERLINK \l "_Toc100487469"</w:instrText>
      </w:r>
      <w:r>
        <w:rPr>
          <w:rStyle w:val="53"/>
          <w:sz w:val="24"/>
        </w:rPr>
        <w:instrText xml:space="preserve"> </w:instrText>
      </w:r>
      <w:r>
        <w:rPr>
          <w:rStyle w:val="53"/>
          <w:sz w:val="24"/>
        </w:rPr>
        <w:fldChar w:fldCharType="separate"/>
      </w:r>
      <w:r>
        <w:rPr>
          <w:rStyle w:val="53"/>
          <w:rFonts w:hint="eastAsia"/>
          <w:sz w:val="24"/>
        </w:rPr>
        <w:t>投标人须知前附表</w:t>
      </w:r>
      <w:r>
        <w:rPr>
          <w:sz w:val="24"/>
        </w:rPr>
        <w:tab/>
      </w:r>
      <w:r>
        <w:rPr>
          <w:sz w:val="24"/>
        </w:rPr>
        <w:fldChar w:fldCharType="begin"/>
      </w:r>
      <w:r>
        <w:rPr>
          <w:sz w:val="24"/>
        </w:rPr>
        <w:instrText xml:space="preserve"> PAGEREF _Toc100487469 \h </w:instrText>
      </w:r>
      <w:r>
        <w:rPr>
          <w:sz w:val="24"/>
        </w:rPr>
        <w:fldChar w:fldCharType="separate"/>
      </w:r>
      <w:r>
        <w:rPr>
          <w:sz w:val="24"/>
        </w:rPr>
        <w:t>5</w:t>
      </w:r>
      <w:r>
        <w:rPr>
          <w:sz w:val="24"/>
        </w:rPr>
        <w:fldChar w:fldCharType="end"/>
      </w:r>
      <w:r>
        <w:rPr>
          <w:rStyle w:val="53"/>
          <w:sz w:val="24"/>
        </w:rPr>
        <w:fldChar w:fldCharType="end"/>
      </w:r>
    </w:p>
    <w:p w14:paraId="6DBAD4DD">
      <w:pPr>
        <w:pStyle w:val="36"/>
        <w:tabs>
          <w:tab w:val="right" w:leader="dot" w:pos="9061"/>
        </w:tabs>
        <w:spacing w:line="360" w:lineRule="auto"/>
        <w:rPr>
          <w:rFonts w:ascii="Calibri" w:hAnsi="Calibri"/>
          <w:sz w:val="24"/>
        </w:rPr>
      </w:pPr>
      <w:r>
        <w:rPr>
          <w:rStyle w:val="53"/>
          <w:sz w:val="24"/>
        </w:rPr>
        <w:fldChar w:fldCharType="begin"/>
      </w:r>
      <w:r>
        <w:rPr>
          <w:rStyle w:val="53"/>
          <w:sz w:val="24"/>
        </w:rPr>
        <w:instrText xml:space="preserve"> </w:instrText>
      </w:r>
      <w:r>
        <w:rPr>
          <w:sz w:val="24"/>
        </w:rPr>
        <w:instrText xml:space="preserve">HYPERLINK \l "_Toc100487470"</w:instrText>
      </w:r>
      <w:r>
        <w:rPr>
          <w:rStyle w:val="53"/>
          <w:sz w:val="24"/>
        </w:rPr>
        <w:instrText xml:space="preserve"> </w:instrText>
      </w:r>
      <w:r>
        <w:rPr>
          <w:rStyle w:val="53"/>
          <w:sz w:val="24"/>
        </w:rPr>
        <w:fldChar w:fldCharType="separate"/>
      </w:r>
      <w:r>
        <w:rPr>
          <w:rStyle w:val="53"/>
          <w:rFonts w:ascii="黑体"/>
          <w:sz w:val="24"/>
        </w:rPr>
        <w:t xml:space="preserve">1. </w:t>
      </w:r>
      <w:r>
        <w:rPr>
          <w:rStyle w:val="53"/>
          <w:rFonts w:hint="eastAsia" w:ascii="黑体"/>
          <w:sz w:val="24"/>
        </w:rPr>
        <w:t>总则</w:t>
      </w:r>
      <w:r>
        <w:rPr>
          <w:sz w:val="24"/>
        </w:rPr>
        <w:tab/>
      </w:r>
      <w:r>
        <w:rPr>
          <w:sz w:val="24"/>
        </w:rPr>
        <w:fldChar w:fldCharType="begin"/>
      </w:r>
      <w:r>
        <w:rPr>
          <w:sz w:val="24"/>
        </w:rPr>
        <w:instrText xml:space="preserve"> PAGEREF _Toc100487470 \h </w:instrText>
      </w:r>
      <w:r>
        <w:rPr>
          <w:sz w:val="24"/>
        </w:rPr>
        <w:fldChar w:fldCharType="separate"/>
      </w:r>
      <w:r>
        <w:rPr>
          <w:sz w:val="24"/>
        </w:rPr>
        <w:t>8</w:t>
      </w:r>
      <w:r>
        <w:rPr>
          <w:sz w:val="24"/>
        </w:rPr>
        <w:fldChar w:fldCharType="end"/>
      </w:r>
      <w:r>
        <w:rPr>
          <w:rStyle w:val="53"/>
          <w:sz w:val="24"/>
        </w:rPr>
        <w:fldChar w:fldCharType="end"/>
      </w:r>
    </w:p>
    <w:p w14:paraId="7B69EDD1">
      <w:pPr>
        <w:pStyle w:val="36"/>
        <w:tabs>
          <w:tab w:val="right" w:leader="dot" w:pos="9061"/>
        </w:tabs>
        <w:spacing w:line="360" w:lineRule="auto"/>
        <w:rPr>
          <w:rFonts w:ascii="Calibri" w:hAnsi="Calibri"/>
          <w:sz w:val="24"/>
        </w:rPr>
      </w:pPr>
      <w:r>
        <w:rPr>
          <w:rStyle w:val="53"/>
          <w:sz w:val="24"/>
        </w:rPr>
        <w:fldChar w:fldCharType="begin"/>
      </w:r>
      <w:r>
        <w:rPr>
          <w:rStyle w:val="53"/>
          <w:sz w:val="24"/>
        </w:rPr>
        <w:instrText xml:space="preserve"> </w:instrText>
      </w:r>
      <w:r>
        <w:rPr>
          <w:sz w:val="24"/>
        </w:rPr>
        <w:instrText xml:space="preserve">HYPERLINK \l "_Toc100487483"</w:instrText>
      </w:r>
      <w:r>
        <w:rPr>
          <w:rStyle w:val="53"/>
          <w:sz w:val="24"/>
        </w:rPr>
        <w:instrText xml:space="preserve"> </w:instrText>
      </w:r>
      <w:r>
        <w:rPr>
          <w:rStyle w:val="53"/>
          <w:sz w:val="24"/>
        </w:rPr>
        <w:fldChar w:fldCharType="separate"/>
      </w:r>
      <w:r>
        <w:rPr>
          <w:rStyle w:val="53"/>
          <w:rFonts w:ascii="黑体"/>
          <w:sz w:val="24"/>
        </w:rPr>
        <w:t xml:space="preserve">2. </w:t>
      </w:r>
      <w:r>
        <w:rPr>
          <w:rStyle w:val="53"/>
          <w:rFonts w:hint="eastAsia" w:ascii="黑体"/>
          <w:sz w:val="24"/>
        </w:rPr>
        <w:t>招标文件</w:t>
      </w:r>
      <w:r>
        <w:rPr>
          <w:sz w:val="24"/>
        </w:rPr>
        <w:tab/>
      </w:r>
      <w:r>
        <w:rPr>
          <w:sz w:val="24"/>
        </w:rPr>
        <w:fldChar w:fldCharType="begin"/>
      </w:r>
      <w:r>
        <w:rPr>
          <w:sz w:val="24"/>
        </w:rPr>
        <w:instrText xml:space="preserve"> PAGEREF _Toc100487483 \h </w:instrText>
      </w:r>
      <w:r>
        <w:rPr>
          <w:sz w:val="24"/>
        </w:rPr>
        <w:fldChar w:fldCharType="separate"/>
      </w:r>
      <w:r>
        <w:rPr>
          <w:sz w:val="24"/>
        </w:rPr>
        <w:t>10</w:t>
      </w:r>
      <w:r>
        <w:rPr>
          <w:sz w:val="24"/>
        </w:rPr>
        <w:fldChar w:fldCharType="end"/>
      </w:r>
      <w:r>
        <w:rPr>
          <w:rStyle w:val="53"/>
          <w:sz w:val="24"/>
        </w:rPr>
        <w:fldChar w:fldCharType="end"/>
      </w:r>
    </w:p>
    <w:p w14:paraId="54023F92">
      <w:pPr>
        <w:pStyle w:val="36"/>
        <w:tabs>
          <w:tab w:val="right" w:leader="dot" w:pos="9061"/>
        </w:tabs>
        <w:spacing w:line="360" w:lineRule="auto"/>
        <w:rPr>
          <w:rFonts w:ascii="Calibri" w:hAnsi="Calibri"/>
          <w:sz w:val="24"/>
        </w:rPr>
      </w:pPr>
      <w:r>
        <w:rPr>
          <w:rStyle w:val="53"/>
          <w:sz w:val="24"/>
        </w:rPr>
        <w:fldChar w:fldCharType="begin"/>
      </w:r>
      <w:r>
        <w:rPr>
          <w:rStyle w:val="53"/>
          <w:sz w:val="24"/>
        </w:rPr>
        <w:instrText xml:space="preserve"> </w:instrText>
      </w:r>
      <w:r>
        <w:rPr>
          <w:sz w:val="24"/>
        </w:rPr>
        <w:instrText xml:space="preserve">HYPERLINK \l "_Toc100487487"</w:instrText>
      </w:r>
      <w:r>
        <w:rPr>
          <w:rStyle w:val="53"/>
          <w:sz w:val="24"/>
        </w:rPr>
        <w:instrText xml:space="preserve"> </w:instrText>
      </w:r>
      <w:r>
        <w:rPr>
          <w:rStyle w:val="53"/>
          <w:sz w:val="24"/>
        </w:rPr>
        <w:fldChar w:fldCharType="separate"/>
      </w:r>
      <w:r>
        <w:rPr>
          <w:rStyle w:val="53"/>
          <w:rFonts w:ascii="黑体"/>
          <w:sz w:val="24"/>
        </w:rPr>
        <w:t xml:space="preserve">3. </w:t>
      </w:r>
      <w:r>
        <w:rPr>
          <w:rStyle w:val="53"/>
          <w:rFonts w:hint="eastAsia" w:ascii="黑体"/>
          <w:sz w:val="24"/>
        </w:rPr>
        <w:t>投标文件</w:t>
      </w:r>
      <w:r>
        <w:rPr>
          <w:sz w:val="24"/>
        </w:rPr>
        <w:tab/>
      </w:r>
      <w:r>
        <w:rPr>
          <w:sz w:val="24"/>
        </w:rPr>
        <w:fldChar w:fldCharType="begin"/>
      </w:r>
      <w:r>
        <w:rPr>
          <w:sz w:val="24"/>
        </w:rPr>
        <w:instrText xml:space="preserve"> PAGEREF _Toc100487487 \h </w:instrText>
      </w:r>
      <w:r>
        <w:rPr>
          <w:sz w:val="24"/>
        </w:rPr>
        <w:fldChar w:fldCharType="separate"/>
      </w:r>
      <w:r>
        <w:rPr>
          <w:sz w:val="24"/>
        </w:rPr>
        <w:t>11</w:t>
      </w:r>
      <w:r>
        <w:rPr>
          <w:sz w:val="24"/>
        </w:rPr>
        <w:fldChar w:fldCharType="end"/>
      </w:r>
      <w:r>
        <w:rPr>
          <w:rStyle w:val="53"/>
          <w:sz w:val="24"/>
        </w:rPr>
        <w:fldChar w:fldCharType="end"/>
      </w:r>
    </w:p>
    <w:p w14:paraId="435BC9BE">
      <w:pPr>
        <w:pStyle w:val="36"/>
        <w:tabs>
          <w:tab w:val="right" w:leader="dot" w:pos="9061"/>
        </w:tabs>
        <w:spacing w:line="360" w:lineRule="auto"/>
        <w:rPr>
          <w:rFonts w:ascii="Calibri" w:hAnsi="Calibri"/>
          <w:sz w:val="24"/>
        </w:rPr>
      </w:pPr>
      <w:r>
        <w:rPr>
          <w:rStyle w:val="53"/>
          <w:sz w:val="24"/>
        </w:rPr>
        <w:fldChar w:fldCharType="begin"/>
      </w:r>
      <w:r>
        <w:rPr>
          <w:rStyle w:val="53"/>
          <w:sz w:val="24"/>
        </w:rPr>
        <w:instrText xml:space="preserve"> </w:instrText>
      </w:r>
      <w:r>
        <w:rPr>
          <w:sz w:val="24"/>
        </w:rPr>
        <w:instrText xml:space="preserve">HYPERLINK \l "_Toc100487495"</w:instrText>
      </w:r>
      <w:r>
        <w:rPr>
          <w:rStyle w:val="53"/>
          <w:sz w:val="24"/>
        </w:rPr>
        <w:instrText xml:space="preserve"> </w:instrText>
      </w:r>
      <w:r>
        <w:rPr>
          <w:rStyle w:val="53"/>
          <w:sz w:val="24"/>
        </w:rPr>
        <w:fldChar w:fldCharType="separate"/>
      </w:r>
      <w:r>
        <w:rPr>
          <w:rStyle w:val="53"/>
          <w:rFonts w:ascii="黑体"/>
          <w:sz w:val="24"/>
        </w:rPr>
        <w:t xml:space="preserve">4. </w:t>
      </w:r>
      <w:r>
        <w:rPr>
          <w:rStyle w:val="53"/>
          <w:rFonts w:hint="eastAsia" w:ascii="黑体"/>
          <w:sz w:val="24"/>
        </w:rPr>
        <w:t>投标</w:t>
      </w:r>
      <w:r>
        <w:rPr>
          <w:sz w:val="24"/>
        </w:rPr>
        <w:tab/>
      </w:r>
      <w:r>
        <w:rPr>
          <w:sz w:val="24"/>
        </w:rPr>
        <w:fldChar w:fldCharType="begin"/>
      </w:r>
      <w:r>
        <w:rPr>
          <w:sz w:val="24"/>
        </w:rPr>
        <w:instrText xml:space="preserve"> PAGEREF _Toc100487495 \h </w:instrText>
      </w:r>
      <w:r>
        <w:rPr>
          <w:sz w:val="24"/>
        </w:rPr>
        <w:fldChar w:fldCharType="separate"/>
      </w:r>
      <w:r>
        <w:rPr>
          <w:sz w:val="24"/>
        </w:rPr>
        <w:t>13</w:t>
      </w:r>
      <w:r>
        <w:rPr>
          <w:sz w:val="24"/>
        </w:rPr>
        <w:fldChar w:fldCharType="end"/>
      </w:r>
      <w:r>
        <w:rPr>
          <w:rStyle w:val="53"/>
          <w:sz w:val="24"/>
        </w:rPr>
        <w:fldChar w:fldCharType="end"/>
      </w:r>
    </w:p>
    <w:p w14:paraId="0DD4E6E2">
      <w:pPr>
        <w:pStyle w:val="36"/>
        <w:tabs>
          <w:tab w:val="right" w:leader="dot" w:pos="9061"/>
        </w:tabs>
        <w:spacing w:line="360" w:lineRule="auto"/>
        <w:rPr>
          <w:rFonts w:ascii="Calibri" w:hAnsi="Calibri"/>
          <w:sz w:val="24"/>
        </w:rPr>
      </w:pPr>
      <w:r>
        <w:rPr>
          <w:rStyle w:val="53"/>
          <w:sz w:val="24"/>
        </w:rPr>
        <w:fldChar w:fldCharType="begin"/>
      </w:r>
      <w:r>
        <w:rPr>
          <w:rStyle w:val="53"/>
          <w:sz w:val="24"/>
        </w:rPr>
        <w:instrText xml:space="preserve"> </w:instrText>
      </w:r>
      <w:r>
        <w:rPr>
          <w:sz w:val="24"/>
        </w:rPr>
        <w:instrText xml:space="preserve">HYPERLINK \l "_Toc100487499"</w:instrText>
      </w:r>
      <w:r>
        <w:rPr>
          <w:rStyle w:val="53"/>
          <w:sz w:val="24"/>
        </w:rPr>
        <w:instrText xml:space="preserve"> </w:instrText>
      </w:r>
      <w:r>
        <w:rPr>
          <w:rStyle w:val="53"/>
          <w:sz w:val="24"/>
        </w:rPr>
        <w:fldChar w:fldCharType="separate"/>
      </w:r>
      <w:r>
        <w:rPr>
          <w:rStyle w:val="53"/>
          <w:rFonts w:ascii="黑体"/>
          <w:sz w:val="24"/>
        </w:rPr>
        <w:t xml:space="preserve">5. </w:t>
      </w:r>
      <w:r>
        <w:rPr>
          <w:rStyle w:val="53"/>
          <w:rFonts w:hint="eastAsia" w:ascii="黑体"/>
          <w:sz w:val="24"/>
        </w:rPr>
        <w:t>开标</w:t>
      </w:r>
      <w:r>
        <w:rPr>
          <w:sz w:val="24"/>
        </w:rPr>
        <w:tab/>
      </w:r>
      <w:r>
        <w:rPr>
          <w:sz w:val="24"/>
        </w:rPr>
        <w:fldChar w:fldCharType="begin"/>
      </w:r>
      <w:r>
        <w:rPr>
          <w:sz w:val="24"/>
        </w:rPr>
        <w:instrText xml:space="preserve"> PAGEREF _Toc100487499 \h </w:instrText>
      </w:r>
      <w:r>
        <w:rPr>
          <w:sz w:val="24"/>
        </w:rPr>
        <w:fldChar w:fldCharType="separate"/>
      </w:r>
      <w:r>
        <w:rPr>
          <w:sz w:val="24"/>
        </w:rPr>
        <w:t>14</w:t>
      </w:r>
      <w:r>
        <w:rPr>
          <w:sz w:val="24"/>
        </w:rPr>
        <w:fldChar w:fldCharType="end"/>
      </w:r>
      <w:r>
        <w:rPr>
          <w:rStyle w:val="53"/>
          <w:sz w:val="24"/>
        </w:rPr>
        <w:fldChar w:fldCharType="end"/>
      </w:r>
    </w:p>
    <w:p w14:paraId="21799F28">
      <w:pPr>
        <w:pStyle w:val="36"/>
        <w:tabs>
          <w:tab w:val="right" w:leader="dot" w:pos="9061"/>
        </w:tabs>
        <w:spacing w:line="360" w:lineRule="auto"/>
        <w:rPr>
          <w:rFonts w:ascii="Calibri" w:hAnsi="Calibri"/>
          <w:sz w:val="24"/>
        </w:rPr>
      </w:pPr>
      <w:r>
        <w:rPr>
          <w:rStyle w:val="53"/>
          <w:sz w:val="24"/>
        </w:rPr>
        <w:fldChar w:fldCharType="begin"/>
      </w:r>
      <w:r>
        <w:rPr>
          <w:rStyle w:val="53"/>
          <w:sz w:val="24"/>
        </w:rPr>
        <w:instrText xml:space="preserve"> </w:instrText>
      </w:r>
      <w:r>
        <w:rPr>
          <w:sz w:val="24"/>
        </w:rPr>
        <w:instrText xml:space="preserve">HYPERLINK \l "_Toc100487502"</w:instrText>
      </w:r>
      <w:r>
        <w:rPr>
          <w:rStyle w:val="53"/>
          <w:sz w:val="24"/>
        </w:rPr>
        <w:instrText xml:space="preserve"> </w:instrText>
      </w:r>
      <w:r>
        <w:rPr>
          <w:rStyle w:val="53"/>
          <w:sz w:val="24"/>
        </w:rPr>
        <w:fldChar w:fldCharType="separate"/>
      </w:r>
      <w:r>
        <w:rPr>
          <w:rStyle w:val="53"/>
          <w:rFonts w:ascii="黑体"/>
          <w:sz w:val="24"/>
        </w:rPr>
        <w:t xml:space="preserve">6. </w:t>
      </w:r>
      <w:r>
        <w:rPr>
          <w:rStyle w:val="53"/>
          <w:rFonts w:hint="eastAsia" w:ascii="黑体"/>
          <w:sz w:val="24"/>
        </w:rPr>
        <w:t>评标</w:t>
      </w:r>
      <w:r>
        <w:rPr>
          <w:sz w:val="24"/>
        </w:rPr>
        <w:tab/>
      </w:r>
      <w:r>
        <w:rPr>
          <w:sz w:val="24"/>
        </w:rPr>
        <w:fldChar w:fldCharType="begin"/>
      </w:r>
      <w:r>
        <w:rPr>
          <w:sz w:val="24"/>
        </w:rPr>
        <w:instrText xml:space="preserve"> PAGEREF _Toc100487502 \h </w:instrText>
      </w:r>
      <w:r>
        <w:rPr>
          <w:sz w:val="24"/>
        </w:rPr>
        <w:fldChar w:fldCharType="separate"/>
      </w:r>
      <w:r>
        <w:rPr>
          <w:sz w:val="24"/>
        </w:rPr>
        <w:t>14</w:t>
      </w:r>
      <w:r>
        <w:rPr>
          <w:sz w:val="24"/>
        </w:rPr>
        <w:fldChar w:fldCharType="end"/>
      </w:r>
      <w:r>
        <w:rPr>
          <w:rStyle w:val="53"/>
          <w:sz w:val="24"/>
        </w:rPr>
        <w:fldChar w:fldCharType="end"/>
      </w:r>
    </w:p>
    <w:p w14:paraId="56C7BB26">
      <w:pPr>
        <w:pStyle w:val="36"/>
        <w:tabs>
          <w:tab w:val="right" w:leader="dot" w:pos="9061"/>
        </w:tabs>
        <w:spacing w:line="360" w:lineRule="auto"/>
        <w:rPr>
          <w:rFonts w:ascii="Calibri" w:hAnsi="Calibri"/>
          <w:sz w:val="24"/>
        </w:rPr>
      </w:pPr>
      <w:r>
        <w:rPr>
          <w:rStyle w:val="53"/>
          <w:sz w:val="24"/>
        </w:rPr>
        <w:fldChar w:fldCharType="begin"/>
      </w:r>
      <w:r>
        <w:rPr>
          <w:rStyle w:val="53"/>
          <w:sz w:val="24"/>
        </w:rPr>
        <w:instrText xml:space="preserve"> </w:instrText>
      </w:r>
      <w:r>
        <w:rPr>
          <w:sz w:val="24"/>
        </w:rPr>
        <w:instrText xml:space="preserve">HYPERLINK \l "_Toc100487506"</w:instrText>
      </w:r>
      <w:r>
        <w:rPr>
          <w:rStyle w:val="53"/>
          <w:sz w:val="24"/>
        </w:rPr>
        <w:instrText xml:space="preserve"> </w:instrText>
      </w:r>
      <w:r>
        <w:rPr>
          <w:rStyle w:val="53"/>
          <w:sz w:val="24"/>
        </w:rPr>
        <w:fldChar w:fldCharType="separate"/>
      </w:r>
      <w:r>
        <w:rPr>
          <w:rStyle w:val="53"/>
          <w:rFonts w:ascii="黑体"/>
          <w:sz w:val="24"/>
        </w:rPr>
        <w:t xml:space="preserve">7. </w:t>
      </w:r>
      <w:r>
        <w:rPr>
          <w:rStyle w:val="53"/>
          <w:rFonts w:hint="eastAsia" w:ascii="黑体"/>
          <w:sz w:val="24"/>
        </w:rPr>
        <w:t>合同授予</w:t>
      </w:r>
      <w:r>
        <w:rPr>
          <w:sz w:val="24"/>
        </w:rPr>
        <w:tab/>
      </w:r>
      <w:r>
        <w:rPr>
          <w:sz w:val="24"/>
        </w:rPr>
        <w:fldChar w:fldCharType="begin"/>
      </w:r>
      <w:r>
        <w:rPr>
          <w:sz w:val="24"/>
        </w:rPr>
        <w:instrText xml:space="preserve"> PAGEREF _Toc100487506 \h </w:instrText>
      </w:r>
      <w:r>
        <w:rPr>
          <w:sz w:val="24"/>
        </w:rPr>
        <w:fldChar w:fldCharType="separate"/>
      </w:r>
      <w:r>
        <w:rPr>
          <w:sz w:val="24"/>
        </w:rPr>
        <w:t>15</w:t>
      </w:r>
      <w:r>
        <w:rPr>
          <w:sz w:val="24"/>
        </w:rPr>
        <w:fldChar w:fldCharType="end"/>
      </w:r>
      <w:r>
        <w:rPr>
          <w:rStyle w:val="53"/>
          <w:sz w:val="24"/>
        </w:rPr>
        <w:fldChar w:fldCharType="end"/>
      </w:r>
    </w:p>
    <w:p w14:paraId="1BC8D3CD">
      <w:pPr>
        <w:pStyle w:val="36"/>
        <w:tabs>
          <w:tab w:val="right" w:leader="dot" w:pos="9061"/>
        </w:tabs>
        <w:spacing w:line="360" w:lineRule="auto"/>
        <w:rPr>
          <w:rFonts w:ascii="Calibri" w:hAnsi="Calibri"/>
          <w:sz w:val="24"/>
        </w:rPr>
      </w:pPr>
      <w:r>
        <w:rPr>
          <w:rStyle w:val="53"/>
          <w:sz w:val="24"/>
        </w:rPr>
        <w:fldChar w:fldCharType="begin"/>
      </w:r>
      <w:r>
        <w:rPr>
          <w:rStyle w:val="53"/>
          <w:sz w:val="24"/>
        </w:rPr>
        <w:instrText xml:space="preserve"> </w:instrText>
      </w:r>
      <w:r>
        <w:rPr>
          <w:sz w:val="24"/>
        </w:rPr>
        <w:instrText xml:space="preserve">HYPERLINK \l "_Toc100487511"</w:instrText>
      </w:r>
      <w:r>
        <w:rPr>
          <w:rStyle w:val="53"/>
          <w:sz w:val="24"/>
        </w:rPr>
        <w:instrText xml:space="preserve"> </w:instrText>
      </w:r>
      <w:r>
        <w:rPr>
          <w:rStyle w:val="53"/>
          <w:sz w:val="24"/>
        </w:rPr>
        <w:fldChar w:fldCharType="separate"/>
      </w:r>
      <w:r>
        <w:rPr>
          <w:rStyle w:val="53"/>
          <w:rFonts w:ascii="黑体"/>
          <w:sz w:val="24"/>
        </w:rPr>
        <w:t xml:space="preserve">8. </w:t>
      </w:r>
      <w:r>
        <w:rPr>
          <w:rStyle w:val="53"/>
          <w:rFonts w:hint="eastAsia" w:ascii="黑体"/>
          <w:sz w:val="24"/>
        </w:rPr>
        <w:t>重新招标和不再招标</w:t>
      </w:r>
      <w:r>
        <w:rPr>
          <w:sz w:val="24"/>
        </w:rPr>
        <w:tab/>
      </w:r>
      <w:r>
        <w:rPr>
          <w:sz w:val="24"/>
        </w:rPr>
        <w:fldChar w:fldCharType="begin"/>
      </w:r>
      <w:r>
        <w:rPr>
          <w:sz w:val="24"/>
        </w:rPr>
        <w:instrText xml:space="preserve"> PAGEREF _Toc100487511 \h </w:instrText>
      </w:r>
      <w:r>
        <w:rPr>
          <w:sz w:val="24"/>
        </w:rPr>
        <w:fldChar w:fldCharType="separate"/>
      </w:r>
      <w:r>
        <w:rPr>
          <w:sz w:val="24"/>
        </w:rPr>
        <w:t>15</w:t>
      </w:r>
      <w:r>
        <w:rPr>
          <w:sz w:val="24"/>
        </w:rPr>
        <w:fldChar w:fldCharType="end"/>
      </w:r>
      <w:r>
        <w:rPr>
          <w:rStyle w:val="53"/>
          <w:sz w:val="24"/>
        </w:rPr>
        <w:fldChar w:fldCharType="end"/>
      </w:r>
    </w:p>
    <w:p w14:paraId="0658D724">
      <w:pPr>
        <w:pStyle w:val="36"/>
        <w:tabs>
          <w:tab w:val="right" w:leader="dot" w:pos="9061"/>
        </w:tabs>
        <w:spacing w:line="360" w:lineRule="auto"/>
        <w:rPr>
          <w:rFonts w:ascii="Calibri" w:hAnsi="Calibri"/>
          <w:sz w:val="24"/>
        </w:rPr>
      </w:pPr>
      <w:r>
        <w:rPr>
          <w:rStyle w:val="53"/>
          <w:sz w:val="24"/>
        </w:rPr>
        <w:fldChar w:fldCharType="begin"/>
      </w:r>
      <w:r>
        <w:rPr>
          <w:rStyle w:val="53"/>
          <w:sz w:val="24"/>
        </w:rPr>
        <w:instrText xml:space="preserve"> </w:instrText>
      </w:r>
      <w:r>
        <w:rPr>
          <w:sz w:val="24"/>
        </w:rPr>
        <w:instrText xml:space="preserve">HYPERLINK \l "_Toc100487514"</w:instrText>
      </w:r>
      <w:r>
        <w:rPr>
          <w:rStyle w:val="53"/>
          <w:sz w:val="24"/>
        </w:rPr>
        <w:instrText xml:space="preserve"> </w:instrText>
      </w:r>
      <w:r>
        <w:rPr>
          <w:rStyle w:val="53"/>
          <w:sz w:val="24"/>
        </w:rPr>
        <w:fldChar w:fldCharType="separate"/>
      </w:r>
      <w:r>
        <w:rPr>
          <w:rStyle w:val="53"/>
          <w:rFonts w:ascii="黑体"/>
          <w:sz w:val="24"/>
        </w:rPr>
        <w:t xml:space="preserve">9. </w:t>
      </w:r>
      <w:r>
        <w:rPr>
          <w:rStyle w:val="53"/>
          <w:rFonts w:hint="eastAsia" w:ascii="黑体"/>
          <w:sz w:val="24"/>
        </w:rPr>
        <w:t>纪律和监督</w:t>
      </w:r>
      <w:r>
        <w:rPr>
          <w:sz w:val="24"/>
        </w:rPr>
        <w:tab/>
      </w:r>
      <w:r>
        <w:rPr>
          <w:sz w:val="24"/>
        </w:rPr>
        <w:fldChar w:fldCharType="begin"/>
      </w:r>
      <w:r>
        <w:rPr>
          <w:sz w:val="24"/>
        </w:rPr>
        <w:instrText xml:space="preserve"> PAGEREF _Toc100487514 \h </w:instrText>
      </w:r>
      <w:r>
        <w:rPr>
          <w:sz w:val="24"/>
        </w:rPr>
        <w:fldChar w:fldCharType="separate"/>
      </w:r>
      <w:r>
        <w:rPr>
          <w:sz w:val="24"/>
        </w:rPr>
        <w:t>16</w:t>
      </w:r>
      <w:r>
        <w:rPr>
          <w:sz w:val="24"/>
        </w:rPr>
        <w:fldChar w:fldCharType="end"/>
      </w:r>
      <w:r>
        <w:rPr>
          <w:rStyle w:val="53"/>
          <w:sz w:val="24"/>
        </w:rPr>
        <w:fldChar w:fldCharType="end"/>
      </w:r>
    </w:p>
    <w:p w14:paraId="5AAE40F9">
      <w:pPr>
        <w:pStyle w:val="36"/>
        <w:tabs>
          <w:tab w:val="right" w:leader="dot" w:pos="9061"/>
        </w:tabs>
        <w:spacing w:line="360" w:lineRule="auto"/>
        <w:rPr>
          <w:rFonts w:ascii="Calibri" w:hAnsi="Calibri"/>
          <w:sz w:val="24"/>
        </w:rPr>
      </w:pPr>
      <w:r>
        <w:rPr>
          <w:rStyle w:val="53"/>
          <w:sz w:val="24"/>
        </w:rPr>
        <w:fldChar w:fldCharType="begin"/>
      </w:r>
      <w:r>
        <w:rPr>
          <w:rStyle w:val="53"/>
          <w:sz w:val="24"/>
        </w:rPr>
        <w:instrText xml:space="preserve"> </w:instrText>
      </w:r>
      <w:r>
        <w:rPr>
          <w:sz w:val="24"/>
        </w:rPr>
        <w:instrText xml:space="preserve">HYPERLINK \l "_Toc100487520"</w:instrText>
      </w:r>
      <w:r>
        <w:rPr>
          <w:rStyle w:val="53"/>
          <w:sz w:val="24"/>
        </w:rPr>
        <w:instrText xml:space="preserve"> </w:instrText>
      </w:r>
      <w:r>
        <w:rPr>
          <w:rStyle w:val="53"/>
          <w:sz w:val="24"/>
        </w:rPr>
        <w:fldChar w:fldCharType="separate"/>
      </w:r>
      <w:r>
        <w:rPr>
          <w:rStyle w:val="53"/>
          <w:rFonts w:ascii="黑体"/>
          <w:sz w:val="24"/>
        </w:rPr>
        <w:t xml:space="preserve">10. </w:t>
      </w:r>
      <w:r>
        <w:rPr>
          <w:rStyle w:val="53"/>
          <w:rFonts w:hint="eastAsia" w:ascii="黑体"/>
          <w:sz w:val="24"/>
        </w:rPr>
        <w:t>需要补充的其他内容</w:t>
      </w:r>
      <w:r>
        <w:rPr>
          <w:sz w:val="24"/>
        </w:rPr>
        <w:tab/>
      </w:r>
      <w:r>
        <w:rPr>
          <w:sz w:val="24"/>
        </w:rPr>
        <w:fldChar w:fldCharType="begin"/>
      </w:r>
      <w:r>
        <w:rPr>
          <w:sz w:val="24"/>
        </w:rPr>
        <w:instrText xml:space="preserve"> PAGEREF _Toc100487520 \h </w:instrText>
      </w:r>
      <w:r>
        <w:rPr>
          <w:sz w:val="24"/>
        </w:rPr>
        <w:fldChar w:fldCharType="separate"/>
      </w:r>
      <w:r>
        <w:rPr>
          <w:sz w:val="24"/>
        </w:rPr>
        <w:t>16</w:t>
      </w:r>
      <w:r>
        <w:rPr>
          <w:sz w:val="24"/>
        </w:rPr>
        <w:fldChar w:fldCharType="end"/>
      </w:r>
      <w:r>
        <w:rPr>
          <w:rStyle w:val="53"/>
          <w:sz w:val="24"/>
        </w:rPr>
        <w:fldChar w:fldCharType="end"/>
      </w:r>
    </w:p>
    <w:p w14:paraId="41F5E700">
      <w:pPr>
        <w:pStyle w:val="22"/>
        <w:tabs>
          <w:tab w:val="right" w:leader="dot" w:pos="9061"/>
        </w:tabs>
        <w:spacing w:line="360" w:lineRule="auto"/>
        <w:rPr>
          <w:rFonts w:ascii="Calibri" w:hAnsi="Calibri"/>
          <w:sz w:val="24"/>
        </w:rPr>
      </w:pPr>
      <w:r>
        <w:rPr>
          <w:rStyle w:val="53"/>
          <w:sz w:val="24"/>
        </w:rPr>
        <w:fldChar w:fldCharType="begin"/>
      </w:r>
      <w:r>
        <w:rPr>
          <w:rStyle w:val="53"/>
          <w:sz w:val="24"/>
        </w:rPr>
        <w:instrText xml:space="preserve"> </w:instrText>
      </w:r>
      <w:r>
        <w:rPr>
          <w:sz w:val="24"/>
        </w:rPr>
        <w:instrText xml:space="preserve">HYPERLINK \l "_Toc100487521"</w:instrText>
      </w:r>
      <w:r>
        <w:rPr>
          <w:rStyle w:val="53"/>
          <w:sz w:val="24"/>
        </w:rPr>
        <w:instrText xml:space="preserve"> </w:instrText>
      </w:r>
      <w:r>
        <w:rPr>
          <w:rStyle w:val="53"/>
          <w:sz w:val="24"/>
        </w:rPr>
        <w:fldChar w:fldCharType="separate"/>
      </w:r>
      <w:r>
        <w:rPr>
          <w:rStyle w:val="53"/>
          <w:rFonts w:hint="eastAsia"/>
          <w:sz w:val="24"/>
        </w:rPr>
        <w:t>附表一：开标记录表</w:t>
      </w:r>
      <w:r>
        <w:rPr>
          <w:sz w:val="24"/>
        </w:rPr>
        <w:tab/>
      </w:r>
      <w:r>
        <w:rPr>
          <w:sz w:val="24"/>
        </w:rPr>
        <w:fldChar w:fldCharType="begin"/>
      </w:r>
      <w:r>
        <w:rPr>
          <w:sz w:val="24"/>
        </w:rPr>
        <w:instrText xml:space="preserve"> PAGEREF _Toc100487521 \h </w:instrText>
      </w:r>
      <w:r>
        <w:rPr>
          <w:sz w:val="24"/>
        </w:rPr>
        <w:fldChar w:fldCharType="separate"/>
      </w:r>
      <w:r>
        <w:rPr>
          <w:sz w:val="24"/>
        </w:rPr>
        <w:t>17</w:t>
      </w:r>
      <w:r>
        <w:rPr>
          <w:sz w:val="24"/>
        </w:rPr>
        <w:fldChar w:fldCharType="end"/>
      </w:r>
      <w:r>
        <w:rPr>
          <w:rStyle w:val="53"/>
          <w:sz w:val="24"/>
        </w:rPr>
        <w:fldChar w:fldCharType="end"/>
      </w:r>
    </w:p>
    <w:p w14:paraId="32C7F9F8">
      <w:pPr>
        <w:pStyle w:val="22"/>
        <w:tabs>
          <w:tab w:val="right" w:leader="dot" w:pos="9061"/>
        </w:tabs>
        <w:spacing w:line="360" w:lineRule="auto"/>
        <w:rPr>
          <w:rFonts w:ascii="Calibri" w:hAnsi="Calibri"/>
          <w:sz w:val="24"/>
        </w:rPr>
      </w:pPr>
      <w:r>
        <w:rPr>
          <w:rStyle w:val="53"/>
          <w:sz w:val="24"/>
        </w:rPr>
        <w:fldChar w:fldCharType="begin"/>
      </w:r>
      <w:r>
        <w:rPr>
          <w:rStyle w:val="53"/>
          <w:sz w:val="24"/>
        </w:rPr>
        <w:instrText xml:space="preserve"> </w:instrText>
      </w:r>
      <w:r>
        <w:rPr>
          <w:sz w:val="24"/>
        </w:rPr>
        <w:instrText xml:space="preserve">HYPERLINK \l "_Toc100487522"</w:instrText>
      </w:r>
      <w:r>
        <w:rPr>
          <w:rStyle w:val="53"/>
          <w:sz w:val="24"/>
        </w:rPr>
        <w:instrText xml:space="preserve"> </w:instrText>
      </w:r>
      <w:r>
        <w:rPr>
          <w:rStyle w:val="53"/>
          <w:sz w:val="24"/>
        </w:rPr>
        <w:fldChar w:fldCharType="separate"/>
      </w:r>
      <w:r>
        <w:rPr>
          <w:rStyle w:val="53"/>
          <w:rFonts w:hint="eastAsia"/>
          <w:sz w:val="24"/>
        </w:rPr>
        <w:t>附表二：问题澄清通知</w:t>
      </w:r>
      <w:r>
        <w:rPr>
          <w:sz w:val="24"/>
        </w:rPr>
        <w:tab/>
      </w:r>
      <w:r>
        <w:rPr>
          <w:sz w:val="24"/>
        </w:rPr>
        <w:fldChar w:fldCharType="begin"/>
      </w:r>
      <w:r>
        <w:rPr>
          <w:sz w:val="24"/>
        </w:rPr>
        <w:instrText xml:space="preserve"> PAGEREF _Toc100487522 \h </w:instrText>
      </w:r>
      <w:r>
        <w:rPr>
          <w:sz w:val="24"/>
        </w:rPr>
        <w:fldChar w:fldCharType="separate"/>
      </w:r>
      <w:r>
        <w:rPr>
          <w:sz w:val="24"/>
        </w:rPr>
        <w:t>18</w:t>
      </w:r>
      <w:r>
        <w:rPr>
          <w:sz w:val="24"/>
        </w:rPr>
        <w:fldChar w:fldCharType="end"/>
      </w:r>
      <w:r>
        <w:rPr>
          <w:rStyle w:val="53"/>
          <w:sz w:val="24"/>
        </w:rPr>
        <w:fldChar w:fldCharType="end"/>
      </w:r>
    </w:p>
    <w:p w14:paraId="00840043">
      <w:pPr>
        <w:pStyle w:val="22"/>
        <w:tabs>
          <w:tab w:val="right" w:leader="dot" w:pos="9061"/>
        </w:tabs>
        <w:spacing w:line="360" w:lineRule="auto"/>
        <w:rPr>
          <w:rFonts w:ascii="Calibri" w:hAnsi="Calibri"/>
          <w:sz w:val="24"/>
        </w:rPr>
      </w:pPr>
      <w:r>
        <w:rPr>
          <w:rStyle w:val="53"/>
          <w:sz w:val="24"/>
        </w:rPr>
        <w:fldChar w:fldCharType="begin"/>
      </w:r>
      <w:r>
        <w:rPr>
          <w:rStyle w:val="53"/>
          <w:sz w:val="24"/>
        </w:rPr>
        <w:instrText xml:space="preserve"> </w:instrText>
      </w:r>
      <w:r>
        <w:rPr>
          <w:sz w:val="24"/>
        </w:rPr>
        <w:instrText xml:space="preserve">HYPERLINK \l "_Toc100487523"</w:instrText>
      </w:r>
      <w:r>
        <w:rPr>
          <w:rStyle w:val="53"/>
          <w:sz w:val="24"/>
        </w:rPr>
        <w:instrText xml:space="preserve"> </w:instrText>
      </w:r>
      <w:r>
        <w:rPr>
          <w:rStyle w:val="53"/>
          <w:sz w:val="24"/>
        </w:rPr>
        <w:fldChar w:fldCharType="separate"/>
      </w:r>
      <w:r>
        <w:rPr>
          <w:rStyle w:val="53"/>
          <w:rFonts w:hint="eastAsia"/>
          <w:sz w:val="24"/>
        </w:rPr>
        <w:t>附表三：问题的澄清</w:t>
      </w:r>
      <w:r>
        <w:rPr>
          <w:sz w:val="24"/>
        </w:rPr>
        <w:tab/>
      </w:r>
      <w:r>
        <w:rPr>
          <w:sz w:val="24"/>
        </w:rPr>
        <w:fldChar w:fldCharType="begin"/>
      </w:r>
      <w:r>
        <w:rPr>
          <w:sz w:val="24"/>
        </w:rPr>
        <w:instrText xml:space="preserve"> PAGEREF _Toc100487523 \h </w:instrText>
      </w:r>
      <w:r>
        <w:rPr>
          <w:sz w:val="24"/>
        </w:rPr>
        <w:fldChar w:fldCharType="separate"/>
      </w:r>
      <w:r>
        <w:rPr>
          <w:sz w:val="24"/>
        </w:rPr>
        <w:t>19</w:t>
      </w:r>
      <w:r>
        <w:rPr>
          <w:sz w:val="24"/>
        </w:rPr>
        <w:fldChar w:fldCharType="end"/>
      </w:r>
      <w:r>
        <w:rPr>
          <w:rStyle w:val="53"/>
          <w:sz w:val="24"/>
        </w:rPr>
        <w:fldChar w:fldCharType="end"/>
      </w:r>
    </w:p>
    <w:p w14:paraId="1B9AE02C">
      <w:pPr>
        <w:pStyle w:val="22"/>
        <w:tabs>
          <w:tab w:val="right" w:leader="dot" w:pos="9061"/>
        </w:tabs>
        <w:spacing w:line="360" w:lineRule="auto"/>
        <w:rPr>
          <w:rFonts w:ascii="Calibri" w:hAnsi="Calibri"/>
          <w:sz w:val="24"/>
        </w:rPr>
      </w:pPr>
      <w:r>
        <w:rPr>
          <w:rStyle w:val="53"/>
          <w:sz w:val="24"/>
        </w:rPr>
        <w:fldChar w:fldCharType="begin"/>
      </w:r>
      <w:r>
        <w:rPr>
          <w:rStyle w:val="53"/>
          <w:sz w:val="24"/>
        </w:rPr>
        <w:instrText xml:space="preserve"> </w:instrText>
      </w:r>
      <w:r>
        <w:rPr>
          <w:sz w:val="24"/>
        </w:rPr>
        <w:instrText xml:space="preserve">HYPERLINK \l "_Toc100487524"</w:instrText>
      </w:r>
      <w:r>
        <w:rPr>
          <w:rStyle w:val="53"/>
          <w:sz w:val="24"/>
        </w:rPr>
        <w:instrText xml:space="preserve"> </w:instrText>
      </w:r>
      <w:r>
        <w:rPr>
          <w:rStyle w:val="53"/>
          <w:sz w:val="24"/>
        </w:rPr>
        <w:fldChar w:fldCharType="separate"/>
      </w:r>
      <w:r>
        <w:rPr>
          <w:rStyle w:val="53"/>
          <w:rFonts w:hint="eastAsia"/>
          <w:sz w:val="24"/>
        </w:rPr>
        <w:t>附表四：中标通知书</w:t>
      </w:r>
      <w:r>
        <w:rPr>
          <w:sz w:val="24"/>
        </w:rPr>
        <w:tab/>
      </w:r>
      <w:r>
        <w:rPr>
          <w:sz w:val="24"/>
        </w:rPr>
        <w:fldChar w:fldCharType="begin"/>
      </w:r>
      <w:r>
        <w:rPr>
          <w:sz w:val="24"/>
        </w:rPr>
        <w:instrText xml:space="preserve"> PAGEREF _Toc100487524 \h </w:instrText>
      </w:r>
      <w:r>
        <w:rPr>
          <w:sz w:val="24"/>
        </w:rPr>
        <w:fldChar w:fldCharType="separate"/>
      </w:r>
      <w:r>
        <w:rPr>
          <w:sz w:val="24"/>
        </w:rPr>
        <w:t>20</w:t>
      </w:r>
      <w:r>
        <w:rPr>
          <w:sz w:val="24"/>
        </w:rPr>
        <w:fldChar w:fldCharType="end"/>
      </w:r>
      <w:r>
        <w:rPr>
          <w:rStyle w:val="53"/>
          <w:sz w:val="24"/>
        </w:rPr>
        <w:fldChar w:fldCharType="end"/>
      </w:r>
    </w:p>
    <w:p w14:paraId="565AB4B1">
      <w:pPr>
        <w:pStyle w:val="22"/>
        <w:tabs>
          <w:tab w:val="right" w:leader="dot" w:pos="9061"/>
        </w:tabs>
        <w:spacing w:line="360" w:lineRule="auto"/>
        <w:rPr>
          <w:rFonts w:ascii="Calibri" w:hAnsi="Calibri"/>
          <w:sz w:val="24"/>
        </w:rPr>
      </w:pPr>
      <w:r>
        <w:rPr>
          <w:rStyle w:val="53"/>
          <w:sz w:val="24"/>
        </w:rPr>
        <w:fldChar w:fldCharType="begin"/>
      </w:r>
      <w:r>
        <w:rPr>
          <w:rStyle w:val="53"/>
          <w:sz w:val="24"/>
        </w:rPr>
        <w:instrText xml:space="preserve"> </w:instrText>
      </w:r>
      <w:r>
        <w:rPr>
          <w:sz w:val="24"/>
        </w:rPr>
        <w:instrText xml:space="preserve">HYPERLINK \l "_Toc100487525"</w:instrText>
      </w:r>
      <w:r>
        <w:rPr>
          <w:rStyle w:val="53"/>
          <w:sz w:val="24"/>
        </w:rPr>
        <w:instrText xml:space="preserve"> </w:instrText>
      </w:r>
      <w:r>
        <w:rPr>
          <w:rStyle w:val="53"/>
          <w:sz w:val="24"/>
        </w:rPr>
        <w:fldChar w:fldCharType="separate"/>
      </w:r>
      <w:r>
        <w:rPr>
          <w:rStyle w:val="53"/>
          <w:rFonts w:hint="eastAsia"/>
          <w:sz w:val="24"/>
        </w:rPr>
        <w:t>附表五：中标结果通知书</w:t>
      </w:r>
      <w:r>
        <w:rPr>
          <w:sz w:val="24"/>
        </w:rPr>
        <w:tab/>
      </w:r>
      <w:r>
        <w:rPr>
          <w:sz w:val="24"/>
        </w:rPr>
        <w:fldChar w:fldCharType="begin"/>
      </w:r>
      <w:r>
        <w:rPr>
          <w:sz w:val="24"/>
        </w:rPr>
        <w:instrText xml:space="preserve"> PAGEREF _Toc100487525 \h </w:instrText>
      </w:r>
      <w:r>
        <w:rPr>
          <w:sz w:val="24"/>
        </w:rPr>
        <w:fldChar w:fldCharType="separate"/>
      </w:r>
      <w:r>
        <w:rPr>
          <w:sz w:val="24"/>
        </w:rPr>
        <w:t>21</w:t>
      </w:r>
      <w:r>
        <w:rPr>
          <w:sz w:val="24"/>
        </w:rPr>
        <w:fldChar w:fldCharType="end"/>
      </w:r>
      <w:r>
        <w:rPr>
          <w:rStyle w:val="53"/>
          <w:sz w:val="24"/>
        </w:rPr>
        <w:fldChar w:fldCharType="end"/>
      </w:r>
    </w:p>
    <w:p w14:paraId="69F4AF20">
      <w:pPr>
        <w:pStyle w:val="22"/>
        <w:tabs>
          <w:tab w:val="right" w:leader="dot" w:pos="9061"/>
        </w:tabs>
        <w:spacing w:line="360" w:lineRule="auto"/>
        <w:rPr>
          <w:rFonts w:ascii="Calibri" w:hAnsi="Calibri"/>
          <w:sz w:val="24"/>
        </w:rPr>
      </w:pPr>
      <w:r>
        <w:rPr>
          <w:rStyle w:val="53"/>
          <w:sz w:val="24"/>
        </w:rPr>
        <w:fldChar w:fldCharType="begin"/>
      </w:r>
      <w:r>
        <w:rPr>
          <w:rStyle w:val="53"/>
          <w:sz w:val="24"/>
        </w:rPr>
        <w:instrText xml:space="preserve"> </w:instrText>
      </w:r>
      <w:r>
        <w:rPr>
          <w:sz w:val="24"/>
        </w:rPr>
        <w:instrText xml:space="preserve">HYPERLINK \l "_Toc100487526"</w:instrText>
      </w:r>
      <w:r>
        <w:rPr>
          <w:rStyle w:val="53"/>
          <w:sz w:val="24"/>
        </w:rPr>
        <w:instrText xml:space="preserve"> </w:instrText>
      </w:r>
      <w:r>
        <w:rPr>
          <w:rStyle w:val="53"/>
          <w:sz w:val="24"/>
        </w:rPr>
        <w:fldChar w:fldCharType="separate"/>
      </w:r>
      <w:r>
        <w:rPr>
          <w:rStyle w:val="53"/>
          <w:rFonts w:hint="eastAsia"/>
          <w:sz w:val="24"/>
        </w:rPr>
        <w:t>附表六：确认通知</w:t>
      </w:r>
      <w:r>
        <w:rPr>
          <w:sz w:val="24"/>
        </w:rPr>
        <w:tab/>
      </w:r>
      <w:r>
        <w:rPr>
          <w:sz w:val="24"/>
        </w:rPr>
        <w:fldChar w:fldCharType="begin"/>
      </w:r>
      <w:r>
        <w:rPr>
          <w:sz w:val="24"/>
        </w:rPr>
        <w:instrText xml:space="preserve"> PAGEREF _Toc100487526 \h </w:instrText>
      </w:r>
      <w:r>
        <w:rPr>
          <w:sz w:val="24"/>
        </w:rPr>
        <w:fldChar w:fldCharType="separate"/>
      </w:r>
      <w:r>
        <w:rPr>
          <w:sz w:val="24"/>
        </w:rPr>
        <w:t>22</w:t>
      </w:r>
      <w:r>
        <w:rPr>
          <w:sz w:val="24"/>
        </w:rPr>
        <w:fldChar w:fldCharType="end"/>
      </w:r>
      <w:r>
        <w:rPr>
          <w:rStyle w:val="53"/>
          <w:sz w:val="24"/>
        </w:rPr>
        <w:fldChar w:fldCharType="end"/>
      </w:r>
    </w:p>
    <w:p w14:paraId="3F2AD4FC">
      <w:pPr>
        <w:pStyle w:val="30"/>
        <w:spacing w:line="360" w:lineRule="auto"/>
        <w:rPr>
          <w:rFonts w:ascii="Calibri" w:hAnsi="Calibri"/>
          <w:sz w:val="24"/>
        </w:rPr>
      </w:pPr>
      <w:r>
        <w:rPr>
          <w:rStyle w:val="53"/>
          <w:sz w:val="24"/>
        </w:rPr>
        <w:fldChar w:fldCharType="begin"/>
      </w:r>
      <w:r>
        <w:rPr>
          <w:rStyle w:val="53"/>
          <w:sz w:val="24"/>
        </w:rPr>
        <w:instrText xml:space="preserve"> </w:instrText>
      </w:r>
      <w:r>
        <w:rPr>
          <w:sz w:val="24"/>
        </w:rPr>
        <w:instrText xml:space="preserve">HYPERLINK \l "_Toc100487527"</w:instrText>
      </w:r>
      <w:r>
        <w:rPr>
          <w:rStyle w:val="53"/>
          <w:sz w:val="24"/>
        </w:rPr>
        <w:instrText xml:space="preserve"> </w:instrText>
      </w:r>
      <w:r>
        <w:rPr>
          <w:rStyle w:val="53"/>
          <w:sz w:val="24"/>
        </w:rPr>
        <w:fldChar w:fldCharType="separate"/>
      </w:r>
      <w:r>
        <w:rPr>
          <w:rStyle w:val="53"/>
          <w:rFonts w:hint="eastAsia" w:ascii="黑体" w:hAnsi="黑体" w:eastAsia="黑体"/>
          <w:sz w:val="24"/>
        </w:rPr>
        <w:t>第三章</w:t>
      </w:r>
      <w:r>
        <w:rPr>
          <w:rStyle w:val="53"/>
          <w:rFonts w:ascii="黑体" w:hAnsi="黑体" w:eastAsia="黑体"/>
          <w:sz w:val="24"/>
        </w:rPr>
        <w:t xml:space="preserve"> </w:t>
      </w:r>
      <w:r>
        <w:rPr>
          <w:rStyle w:val="53"/>
          <w:rFonts w:hint="eastAsia" w:ascii="黑体" w:hAnsi="黑体" w:eastAsia="黑体"/>
          <w:sz w:val="24"/>
        </w:rPr>
        <w:t>评标办法（综合评估法）</w:t>
      </w:r>
      <w:r>
        <w:rPr>
          <w:sz w:val="24"/>
        </w:rPr>
        <w:tab/>
      </w:r>
      <w:r>
        <w:rPr>
          <w:sz w:val="24"/>
        </w:rPr>
        <w:fldChar w:fldCharType="begin"/>
      </w:r>
      <w:r>
        <w:rPr>
          <w:sz w:val="24"/>
        </w:rPr>
        <w:instrText xml:space="preserve"> PAGEREF _Toc100487527 \h </w:instrText>
      </w:r>
      <w:r>
        <w:rPr>
          <w:sz w:val="24"/>
        </w:rPr>
        <w:fldChar w:fldCharType="separate"/>
      </w:r>
      <w:r>
        <w:rPr>
          <w:sz w:val="24"/>
        </w:rPr>
        <w:t>23</w:t>
      </w:r>
      <w:r>
        <w:rPr>
          <w:sz w:val="24"/>
        </w:rPr>
        <w:fldChar w:fldCharType="end"/>
      </w:r>
      <w:r>
        <w:rPr>
          <w:rStyle w:val="53"/>
          <w:sz w:val="24"/>
        </w:rPr>
        <w:fldChar w:fldCharType="end"/>
      </w:r>
    </w:p>
    <w:p w14:paraId="2B4C8B76">
      <w:pPr>
        <w:pStyle w:val="36"/>
        <w:tabs>
          <w:tab w:val="right" w:leader="dot" w:pos="9061"/>
        </w:tabs>
        <w:spacing w:line="360" w:lineRule="auto"/>
        <w:rPr>
          <w:rFonts w:ascii="Calibri" w:hAnsi="Calibri"/>
          <w:sz w:val="24"/>
        </w:rPr>
      </w:pPr>
      <w:r>
        <w:rPr>
          <w:rStyle w:val="53"/>
          <w:sz w:val="24"/>
        </w:rPr>
        <w:fldChar w:fldCharType="begin"/>
      </w:r>
      <w:r>
        <w:rPr>
          <w:rStyle w:val="53"/>
          <w:sz w:val="24"/>
        </w:rPr>
        <w:instrText xml:space="preserve"> </w:instrText>
      </w:r>
      <w:r>
        <w:rPr>
          <w:sz w:val="24"/>
        </w:rPr>
        <w:instrText xml:space="preserve">HYPERLINK \l "_Toc100487528"</w:instrText>
      </w:r>
      <w:r>
        <w:rPr>
          <w:rStyle w:val="53"/>
          <w:sz w:val="24"/>
        </w:rPr>
        <w:instrText xml:space="preserve"> </w:instrText>
      </w:r>
      <w:r>
        <w:rPr>
          <w:rStyle w:val="53"/>
          <w:sz w:val="24"/>
        </w:rPr>
        <w:fldChar w:fldCharType="separate"/>
      </w:r>
      <w:r>
        <w:rPr>
          <w:rStyle w:val="53"/>
          <w:rFonts w:hint="eastAsia" w:ascii="宋体" w:hAnsi="宋体"/>
          <w:b/>
          <w:sz w:val="24"/>
        </w:rPr>
        <w:t>评标办法前附表</w:t>
      </w:r>
      <w:r>
        <w:rPr>
          <w:sz w:val="24"/>
        </w:rPr>
        <w:tab/>
      </w:r>
      <w:r>
        <w:rPr>
          <w:sz w:val="24"/>
        </w:rPr>
        <w:fldChar w:fldCharType="begin"/>
      </w:r>
      <w:r>
        <w:rPr>
          <w:sz w:val="24"/>
        </w:rPr>
        <w:instrText xml:space="preserve"> PAGEREF _Toc100487528 \h </w:instrText>
      </w:r>
      <w:r>
        <w:rPr>
          <w:sz w:val="24"/>
        </w:rPr>
        <w:fldChar w:fldCharType="separate"/>
      </w:r>
      <w:r>
        <w:rPr>
          <w:sz w:val="24"/>
        </w:rPr>
        <w:t>23</w:t>
      </w:r>
      <w:r>
        <w:rPr>
          <w:sz w:val="24"/>
        </w:rPr>
        <w:fldChar w:fldCharType="end"/>
      </w:r>
      <w:r>
        <w:rPr>
          <w:rStyle w:val="53"/>
          <w:sz w:val="24"/>
        </w:rPr>
        <w:fldChar w:fldCharType="end"/>
      </w:r>
    </w:p>
    <w:p w14:paraId="14C967CD">
      <w:pPr>
        <w:pStyle w:val="36"/>
        <w:tabs>
          <w:tab w:val="right" w:leader="dot" w:pos="9061"/>
        </w:tabs>
        <w:spacing w:line="360" w:lineRule="auto"/>
        <w:rPr>
          <w:rFonts w:ascii="Calibri" w:hAnsi="Calibri"/>
          <w:sz w:val="24"/>
        </w:rPr>
      </w:pPr>
      <w:r>
        <w:rPr>
          <w:rStyle w:val="53"/>
          <w:sz w:val="24"/>
        </w:rPr>
        <w:fldChar w:fldCharType="begin"/>
      </w:r>
      <w:r>
        <w:rPr>
          <w:rStyle w:val="53"/>
          <w:sz w:val="24"/>
        </w:rPr>
        <w:instrText xml:space="preserve"> </w:instrText>
      </w:r>
      <w:r>
        <w:rPr>
          <w:sz w:val="24"/>
        </w:rPr>
        <w:instrText xml:space="preserve">HYPERLINK \l "_Toc100487529"</w:instrText>
      </w:r>
      <w:r>
        <w:rPr>
          <w:rStyle w:val="53"/>
          <w:sz w:val="24"/>
        </w:rPr>
        <w:instrText xml:space="preserve"> </w:instrText>
      </w:r>
      <w:r>
        <w:rPr>
          <w:rStyle w:val="53"/>
          <w:sz w:val="24"/>
        </w:rPr>
        <w:fldChar w:fldCharType="separate"/>
      </w:r>
      <w:r>
        <w:rPr>
          <w:rStyle w:val="53"/>
          <w:rFonts w:ascii="宋体" w:hAnsi="宋体"/>
          <w:b/>
          <w:sz w:val="24"/>
        </w:rPr>
        <w:t xml:space="preserve">1. </w:t>
      </w:r>
      <w:r>
        <w:rPr>
          <w:rStyle w:val="53"/>
          <w:rFonts w:hint="eastAsia" w:ascii="宋体" w:hAnsi="宋体"/>
          <w:b/>
          <w:sz w:val="24"/>
        </w:rPr>
        <w:t>评标方法</w:t>
      </w:r>
      <w:r>
        <w:rPr>
          <w:sz w:val="24"/>
        </w:rPr>
        <w:tab/>
      </w:r>
      <w:r>
        <w:rPr>
          <w:sz w:val="24"/>
        </w:rPr>
        <w:fldChar w:fldCharType="begin"/>
      </w:r>
      <w:r>
        <w:rPr>
          <w:sz w:val="24"/>
        </w:rPr>
        <w:instrText xml:space="preserve"> PAGEREF _Toc100487529 \h </w:instrText>
      </w:r>
      <w:r>
        <w:rPr>
          <w:sz w:val="24"/>
        </w:rPr>
        <w:fldChar w:fldCharType="separate"/>
      </w:r>
      <w:r>
        <w:rPr>
          <w:sz w:val="24"/>
        </w:rPr>
        <w:t>25</w:t>
      </w:r>
      <w:r>
        <w:rPr>
          <w:sz w:val="24"/>
        </w:rPr>
        <w:fldChar w:fldCharType="end"/>
      </w:r>
      <w:r>
        <w:rPr>
          <w:rStyle w:val="53"/>
          <w:sz w:val="24"/>
        </w:rPr>
        <w:fldChar w:fldCharType="end"/>
      </w:r>
    </w:p>
    <w:p w14:paraId="1C4F6770">
      <w:pPr>
        <w:pStyle w:val="36"/>
        <w:tabs>
          <w:tab w:val="right" w:leader="dot" w:pos="9061"/>
        </w:tabs>
        <w:spacing w:line="360" w:lineRule="auto"/>
        <w:rPr>
          <w:rFonts w:ascii="Calibri" w:hAnsi="Calibri"/>
          <w:sz w:val="24"/>
        </w:rPr>
      </w:pPr>
      <w:r>
        <w:rPr>
          <w:rStyle w:val="53"/>
          <w:sz w:val="24"/>
        </w:rPr>
        <w:fldChar w:fldCharType="begin"/>
      </w:r>
      <w:r>
        <w:rPr>
          <w:rStyle w:val="53"/>
          <w:sz w:val="24"/>
        </w:rPr>
        <w:instrText xml:space="preserve"> </w:instrText>
      </w:r>
      <w:r>
        <w:rPr>
          <w:sz w:val="24"/>
        </w:rPr>
        <w:instrText xml:space="preserve">HYPERLINK \l "_Toc100487530"</w:instrText>
      </w:r>
      <w:r>
        <w:rPr>
          <w:rStyle w:val="53"/>
          <w:sz w:val="24"/>
        </w:rPr>
        <w:instrText xml:space="preserve"> </w:instrText>
      </w:r>
      <w:r>
        <w:rPr>
          <w:rStyle w:val="53"/>
          <w:sz w:val="24"/>
        </w:rPr>
        <w:fldChar w:fldCharType="separate"/>
      </w:r>
      <w:r>
        <w:rPr>
          <w:rStyle w:val="53"/>
          <w:rFonts w:ascii="宋体" w:hAnsi="宋体"/>
          <w:b/>
          <w:sz w:val="24"/>
        </w:rPr>
        <w:t xml:space="preserve">2. </w:t>
      </w:r>
      <w:r>
        <w:rPr>
          <w:rStyle w:val="53"/>
          <w:rFonts w:hint="eastAsia" w:ascii="宋体" w:hAnsi="宋体"/>
          <w:b/>
          <w:sz w:val="24"/>
        </w:rPr>
        <w:t>评审标准</w:t>
      </w:r>
      <w:r>
        <w:rPr>
          <w:sz w:val="24"/>
        </w:rPr>
        <w:tab/>
      </w:r>
      <w:r>
        <w:rPr>
          <w:sz w:val="24"/>
        </w:rPr>
        <w:fldChar w:fldCharType="begin"/>
      </w:r>
      <w:r>
        <w:rPr>
          <w:sz w:val="24"/>
        </w:rPr>
        <w:instrText xml:space="preserve"> PAGEREF _Toc100487530 \h </w:instrText>
      </w:r>
      <w:r>
        <w:rPr>
          <w:sz w:val="24"/>
        </w:rPr>
        <w:fldChar w:fldCharType="separate"/>
      </w:r>
      <w:r>
        <w:rPr>
          <w:sz w:val="24"/>
        </w:rPr>
        <w:t>25</w:t>
      </w:r>
      <w:r>
        <w:rPr>
          <w:sz w:val="24"/>
        </w:rPr>
        <w:fldChar w:fldCharType="end"/>
      </w:r>
      <w:r>
        <w:rPr>
          <w:rStyle w:val="53"/>
          <w:sz w:val="24"/>
        </w:rPr>
        <w:fldChar w:fldCharType="end"/>
      </w:r>
    </w:p>
    <w:p w14:paraId="51E9CF10">
      <w:pPr>
        <w:pStyle w:val="36"/>
        <w:tabs>
          <w:tab w:val="right" w:leader="dot" w:pos="9061"/>
        </w:tabs>
        <w:spacing w:line="360" w:lineRule="auto"/>
        <w:rPr>
          <w:rFonts w:ascii="Calibri" w:hAnsi="Calibri"/>
          <w:sz w:val="24"/>
        </w:rPr>
      </w:pPr>
      <w:r>
        <w:rPr>
          <w:rStyle w:val="53"/>
          <w:sz w:val="24"/>
        </w:rPr>
        <w:fldChar w:fldCharType="begin"/>
      </w:r>
      <w:r>
        <w:rPr>
          <w:rStyle w:val="53"/>
          <w:sz w:val="24"/>
        </w:rPr>
        <w:instrText xml:space="preserve"> </w:instrText>
      </w:r>
      <w:r>
        <w:rPr>
          <w:sz w:val="24"/>
        </w:rPr>
        <w:instrText xml:space="preserve">HYPERLINK \l "_Toc100487531"</w:instrText>
      </w:r>
      <w:r>
        <w:rPr>
          <w:rStyle w:val="53"/>
          <w:sz w:val="24"/>
        </w:rPr>
        <w:instrText xml:space="preserve"> </w:instrText>
      </w:r>
      <w:r>
        <w:rPr>
          <w:rStyle w:val="53"/>
          <w:sz w:val="24"/>
        </w:rPr>
        <w:fldChar w:fldCharType="separate"/>
      </w:r>
      <w:r>
        <w:rPr>
          <w:rStyle w:val="53"/>
          <w:rFonts w:ascii="宋体" w:hAnsi="宋体"/>
          <w:b/>
          <w:sz w:val="24"/>
        </w:rPr>
        <w:t xml:space="preserve">3. </w:t>
      </w:r>
      <w:r>
        <w:rPr>
          <w:rStyle w:val="53"/>
          <w:rFonts w:hint="eastAsia" w:ascii="宋体" w:hAnsi="宋体"/>
          <w:b/>
          <w:sz w:val="24"/>
        </w:rPr>
        <w:t>评标程序</w:t>
      </w:r>
      <w:r>
        <w:rPr>
          <w:sz w:val="24"/>
        </w:rPr>
        <w:tab/>
      </w:r>
      <w:r>
        <w:rPr>
          <w:sz w:val="24"/>
        </w:rPr>
        <w:fldChar w:fldCharType="begin"/>
      </w:r>
      <w:r>
        <w:rPr>
          <w:sz w:val="24"/>
        </w:rPr>
        <w:instrText xml:space="preserve"> PAGEREF _Toc100487531 \h </w:instrText>
      </w:r>
      <w:r>
        <w:rPr>
          <w:sz w:val="24"/>
        </w:rPr>
        <w:fldChar w:fldCharType="separate"/>
      </w:r>
      <w:r>
        <w:rPr>
          <w:sz w:val="24"/>
        </w:rPr>
        <w:t>26</w:t>
      </w:r>
      <w:r>
        <w:rPr>
          <w:sz w:val="24"/>
        </w:rPr>
        <w:fldChar w:fldCharType="end"/>
      </w:r>
      <w:r>
        <w:rPr>
          <w:rStyle w:val="53"/>
          <w:sz w:val="24"/>
        </w:rPr>
        <w:fldChar w:fldCharType="end"/>
      </w:r>
    </w:p>
    <w:p w14:paraId="01992D4E">
      <w:pPr>
        <w:pStyle w:val="30"/>
        <w:spacing w:line="360" w:lineRule="auto"/>
        <w:rPr>
          <w:rFonts w:ascii="Calibri" w:hAnsi="Calibri"/>
          <w:sz w:val="24"/>
        </w:rPr>
      </w:pPr>
      <w:r>
        <w:rPr>
          <w:rStyle w:val="53"/>
          <w:sz w:val="24"/>
        </w:rPr>
        <w:fldChar w:fldCharType="begin"/>
      </w:r>
      <w:r>
        <w:rPr>
          <w:rStyle w:val="53"/>
          <w:sz w:val="24"/>
        </w:rPr>
        <w:instrText xml:space="preserve"> </w:instrText>
      </w:r>
      <w:r>
        <w:rPr>
          <w:sz w:val="24"/>
        </w:rPr>
        <w:instrText xml:space="preserve">HYPERLINK \l "_Toc100487532"</w:instrText>
      </w:r>
      <w:r>
        <w:rPr>
          <w:rStyle w:val="53"/>
          <w:sz w:val="24"/>
        </w:rPr>
        <w:instrText xml:space="preserve"> </w:instrText>
      </w:r>
      <w:r>
        <w:rPr>
          <w:rStyle w:val="53"/>
          <w:sz w:val="24"/>
        </w:rPr>
        <w:fldChar w:fldCharType="separate"/>
      </w:r>
      <w:r>
        <w:rPr>
          <w:rStyle w:val="53"/>
          <w:rFonts w:hint="eastAsia" w:ascii="黑体" w:hAnsi="黑体" w:eastAsia="黑体"/>
          <w:sz w:val="24"/>
        </w:rPr>
        <w:t>第四章</w:t>
      </w:r>
      <w:r>
        <w:rPr>
          <w:rStyle w:val="53"/>
          <w:rFonts w:ascii="黑体" w:hAnsi="黑体" w:eastAsia="黑体"/>
          <w:sz w:val="24"/>
        </w:rPr>
        <w:t xml:space="preserve"> </w:t>
      </w:r>
      <w:r>
        <w:rPr>
          <w:rStyle w:val="53"/>
          <w:rFonts w:hint="eastAsia" w:ascii="黑体" w:hAnsi="黑体" w:eastAsia="黑体"/>
          <w:sz w:val="24"/>
        </w:rPr>
        <w:t>合同条款及格式</w:t>
      </w:r>
      <w:r>
        <w:rPr>
          <w:sz w:val="24"/>
        </w:rPr>
        <w:tab/>
      </w:r>
      <w:r>
        <w:rPr>
          <w:sz w:val="24"/>
        </w:rPr>
        <w:fldChar w:fldCharType="begin"/>
      </w:r>
      <w:r>
        <w:rPr>
          <w:sz w:val="24"/>
        </w:rPr>
        <w:instrText xml:space="preserve"> PAGEREF _Toc100487532 \h </w:instrText>
      </w:r>
      <w:r>
        <w:rPr>
          <w:sz w:val="24"/>
        </w:rPr>
        <w:fldChar w:fldCharType="separate"/>
      </w:r>
      <w:r>
        <w:rPr>
          <w:sz w:val="24"/>
        </w:rPr>
        <w:t>28</w:t>
      </w:r>
      <w:r>
        <w:rPr>
          <w:sz w:val="24"/>
        </w:rPr>
        <w:fldChar w:fldCharType="end"/>
      </w:r>
      <w:r>
        <w:rPr>
          <w:rStyle w:val="53"/>
          <w:sz w:val="24"/>
        </w:rPr>
        <w:fldChar w:fldCharType="end"/>
      </w:r>
    </w:p>
    <w:p w14:paraId="7E0A1273">
      <w:pPr>
        <w:pStyle w:val="30"/>
        <w:spacing w:line="360" w:lineRule="auto"/>
        <w:rPr>
          <w:rFonts w:ascii="Calibri" w:hAnsi="Calibri"/>
          <w:sz w:val="24"/>
        </w:rPr>
      </w:pPr>
      <w:r>
        <w:rPr>
          <w:rStyle w:val="53"/>
          <w:sz w:val="24"/>
        </w:rPr>
        <w:fldChar w:fldCharType="begin"/>
      </w:r>
      <w:r>
        <w:rPr>
          <w:rStyle w:val="53"/>
          <w:sz w:val="24"/>
        </w:rPr>
        <w:instrText xml:space="preserve"> </w:instrText>
      </w:r>
      <w:r>
        <w:rPr>
          <w:sz w:val="24"/>
        </w:rPr>
        <w:instrText xml:space="preserve">HYPERLINK \l "_Toc100487587"</w:instrText>
      </w:r>
      <w:r>
        <w:rPr>
          <w:rStyle w:val="53"/>
          <w:sz w:val="24"/>
        </w:rPr>
        <w:instrText xml:space="preserve"> </w:instrText>
      </w:r>
      <w:r>
        <w:rPr>
          <w:rStyle w:val="53"/>
          <w:sz w:val="24"/>
        </w:rPr>
        <w:fldChar w:fldCharType="separate"/>
      </w:r>
      <w:r>
        <w:rPr>
          <w:rStyle w:val="53"/>
          <w:rFonts w:hint="eastAsia" w:ascii="黑体" w:hAnsi="黑体" w:eastAsia="黑体"/>
          <w:sz w:val="24"/>
        </w:rPr>
        <w:t>第五章</w:t>
      </w:r>
      <w:r>
        <w:rPr>
          <w:rStyle w:val="53"/>
          <w:rFonts w:ascii="黑体" w:hAnsi="黑体" w:eastAsia="黑体"/>
          <w:sz w:val="24"/>
        </w:rPr>
        <w:t xml:space="preserve">  </w:t>
      </w:r>
      <w:r>
        <w:rPr>
          <w:rStyle w:val="53"/>
          <w:rFonts w:hint="eastAsia" w:ascii="黑体" w:hAnsi="黑体" w:eastAsia="黑体"/>
          <w:sz w:val="24"/>
        </w:rPr>
        <w:t>工程量清单</w:t>
      </w:r>
      <w:r>
        <w:rPr>
          <w:sz w:val="24"/>
        </w:rPr>
        <w:tab/>
      </w:r>
      <w:r>
        <w:rPr>
          <w:sz w:val="24"/>
        </w:rPr>
        <w:fldChar w:fldCharType="begin"/>
      </w:r>
      <w:r>
        <w:rPr>
          <w:sz w:val="24"/>
        </w:rPr>
        <w:instrText xml:space="preserve"> PAGEREF _Toc100487587 \h </w:instrText>
      </w:r>
      <w:r>
        <w:rPr>
          <w:sz w:val="24"/>
        </w:rPr>
        <w:fldChar w:fldCharType="separate"/>
      </w:r>
      <w:r>
        <w:rPr>
          <w:sz w:val="24"/>
        </w:rPr>
        <w:t>28</w:t>
      </w:r>
      <w:r>
        <w:rPr>
          <w:sz w:val="24"/>
        </w:rPr>
        <w:fldChar w:fldCharType="end"/>
      </w:r>
      <w:r>
        <w:rPr>
          <w:rStyle w:val="53"/>
          <w:sz w:val="24"/>
        </w:rPr>
        <w:fldChar w:fldCharType="end"/>
      </w:r>
    </w:p>
    <w:p w14:paraId="3CCE7C4B">
      <w:pPr>
        <w:pStyle w:val="30"/>
        <w:spacing w:line="360" w:lineRule="auto"/>
        <w:rPr>
          <w:rFonts w:ascii="Calibri" w:hAnsi="Calibri"/>
          <w:sz w:val="24"/>
        </w:rPr>
      </w:pPr>
      <w:r>
        <w:rPr>
          <w:rStyle w:val="53"/>
          <w:sz w:val="24"/>
        </w:rPr>
        <w:fldChar w:fldCharType="begin"/>
      </w:r>
      <w:r>
        <w:rPr>
          <w:rStyle w:val="53"/>
          <w:sz w:val="24"/>
        </w:rPr>
        <w:instrText xml:space="preserve"> </w:instrText>
      </w:r>
      <w:r>
        <w:rPr>
          <w:sz w:val="24"/>
        </w:rPr>
        <w:instrText xml:space="preserve">HYPERLINK \l "_Toc100487588"</w:instrText>
      </w:r>
      <w:r>
        <w:rPr>
          <w:rStyle w:val="53"/>
          <w:sz w:val="24"/>
        </w:rPr>
        <w:instrText xml:space="preserve"> </w:instrText>
      </w:r>
      <w:r>
        <w:rPr>
          <w:rStyle w:val="53"/>
          <w:sz w:val="24"/>
        </w:rPr>
        <w:fldChar w:fldCharType="separate"/>
      </w:r>
      <w:r>
        <w:rPr>
          <w:rStyle w:val="53"/>
          <w:rFonts w:hint="eastAsia" w:ascii="黑体" w:hAnsi="黑体" w:eastAsia="黑体"/>
          <w:sz w:val="24"/>
        </w:rPr>
        <w:t>第六章</w:t>
      </w:r>
      <w:r>
        <w:rPr>
          <w:rStyle w:val="53"/>
          <w:rFonts w:ascii="黑体" w:hAnsi="黑体" w:eastAsia="黑体"/>
          <w:sz w:val="24"/>
        </w:rPr>
        <w:t xml:space="preserve">  </w:t>
      </w:r>
      <w:r>
        <w:rPr>
          <w:rStyle w:val="53"/>
          <w:rFonts w:hint="eastAsia" w:ascii="黑体" w:hAnsi="黑体" w:eastAsia="黑体"/>
          <w:sz w:val="24"/>
        </w:rPr>
        <w:t>技术标准和要求</w:t>
      </w:r>
      <w:r>
        <w:rPr>
          <w:sz w:val="24"/>
        </w:rPr>
        <w:tab/>
      </w:r>
      <w:r>
        <w:rPr>
          <w:sz w:val="24"/>
        </w:rPr>
        <w:fldChar w:fldCharType="begin"/>
      </w:r>
      <w:r>
        <w:rPr>
          <w:sz w:val="24"/>
        </w:rPr>
        <w:instrText xml:space="preserve"> PAGEREF _Toc100487588 \h </w:instrText>
      </w:r>
      <w:r>
        <w:rPr>
          <w:sz w:val="24"/>
        </w:rPr>
        <w:fldChar w:fldCharType="separate"/>
      </w:r>
      <w:r>
        <w:rPr>
          <w:sz w:val="24"/>
        </w:rPr>
        <w:t>111</w:t>
      </w:r>
      <w:r>
        <w:rPr>
          <w:sz w:val="24"/>
        </w:rPr>
        <w:fldChar w:fldCharType="end"/>
      </w:r>
      <w:r>
        <w:rPr>
          <w:rStyle w:val="53"/>
          <w:sz w:val="24"/>
        </w:rPr>
        <w:fldChar w:fldCharType="end"/>
      </w:r>
    </w:p>
    <w:p w14:paraId="39BE55B9">
      <w:pPr>
        <w:pStyle w:val="30"/>
        <w:spacing w:line="360" w:lineRule="auto"/>
        <w:rPr>
          <w:rFonts w:ascii="Calibri" w:hAnsi="Calibri"/>
          <w:sz w:val="24"/>
        </w:rPr>
      </w:pPr>
      <w:r>
        <w:rPr>
          <w:rStyle w:val="53"/>
          <w:sz w:val="24"/>
        </w:rPr>
        <w:fldChar w:fldCharType="begin"/>
      </w:r>
      <w:r>
        <w:rPr>
          <w:rStyle w:val="53"/>
          <w:sz w:val="24"/>
        </w:rPr>
        <w:instrText xml:space="preserve"> </w:instrText>
      </w:r>
      <w:r>
        <w:rPr>
          <w:sz w:val="24"/>
        </w:rPr>
        <w:instrText xml:space="preserve">HYPERLINK \l "_Toc100487589"</w:instrText>
      </w:r>
      <w:r>
        <w:rPr>
          <w:rStyle w:val="53"/>
          <w:sz w:val="24"/>
        </w:rPr>
        <w:instrText xml:space="preserve"> </w:instrText>
      </w:r>
      <w:r>
        <w:rPr>
          <w:rStyle w:val="53"/>
          <w:sz w:val="24"/>
        </w:rPr>
        <w:fldChar w:fldCharType="separate"/>
      </w:r>
      <w:r>
        <w:rPr>
          <w:rStyle w:val="53"/>
          <w:rFonts w:hint="eastAsia" w:ascii="黑体" w:hAnsi="黑体" w:eastAsia="黑体"/>
          <w:sz w:val="24"/>
        </w:rPr>
        <w:t>第七章</w:t>
      </w:r>
      <w:r>
        <w:rPr>
          <w:rStyle w:val="53"/>
          <w:rFonts w:ascii="黑体" w:hAnsi="黑体" w:eastAsia="黑体"/>
          <w:sz w:val="24"/>
        </w:rPr>
        <w:t xml:space="preserve">  </w:t>
      </w:r>
      <w:r>
        <w:rPr>
          <w:rStyle w:val="53"/>
          <w:rFonts w:hint="eastAsia" w:ascii="黑体" w:hAnsi="黑体" w:eastAsia="黑体"/>
          <w:sz w:val="24"/>
        </w:rPr>
        <w:t>投标文件格式</w:t>
      </w:r>
      <w:r>
        <w:rPr>
          <w:sz w:val="24"/>
        </w:rPr>
        <w:tab/>
      </w:r>
      <w:r>
        <w:rPr>
          <w:sz w:val="24"/>
        </w:rPr>
        <w:fldChar w:fldCharType="begin"/>
      </w:r>
      <w:r>
        <w:rPr>
          <w:sz w:val="24"/>
        </w:rPr>
        <w:instrText xml:space="preserve"> PAGEREF _Toc100487589 \h </w:instrText>
      </w:r>
      <w:r>
        <w:rPr>
          <w:sz w:val="24"/>
        </w:rPr>
        <w:fldChar w:fldCharType="separate"/>
      </w:r>
      <w:r>
        <w:rPr>
          <w:sz w:val="24"/>
        </w:rPr>
        <w:t>112</w:t>
      </w:r>
      <w:r>
        <w:rPr>
          <w:sz w:val="24"/>
        </w:rPr>
        <w:fldChar w:fldCharType="end"/>
      </w:r>
      <w:r>
        <w:rPr>
          <w:rStyle w:val="53"/>
          <w:sz w:val="24"/>
        </w:rPr>
        <w:fldChar w:fldCharType="end"/>
      </w:r>
    </w:p>
    <w:p w14:paraId="7F6D5AC1">
      <w:pPr>
        <w:pStyle w:val="36"/>
        <w:tabs>
          <w:tab w:val="right" w:leader="dot" w:pos="9061"/>
        </w:tabs>
        <w:spacing w:line="360" w:lineRule="auto"/>
        <w:rPr>
          <w:rFonts w:ascii="Calibri" w:hAnsi="Calibri"/>
          <w:sz w:val="24"/>
        </w:rPr>
      </w:pPr>
      <w:r>
        <w:rPr>
          <w:rStyle w:val="53"/>
          <w:sz w:val="24"/>
        </w:rPr>
        <w:fldChar w:fldCharType="begin"/>
      </w:r>
      <w:r>
        <w:rPr>
          <w:rStyle w:val="53"/>
          <w:sz w:val="24"/>
        </w:rPr>
        <w:instrText xml:space="preserve"> </w:instrText>
      </w:r>
      <w:r>
        <w:rPr>
          <w:sz w:val="24"/>
        </w:rPr>
        <w:instrText xml:space="preserve">HYPERLINK \l "_Toc100487590"</w:instrText>
      </w:r>
      <w:r>
        <w:rPr>
          <w:rStyle w:val="53"/>
          <w:sz w:val="24"/>
        </w:rPr>
        <w:instrText xml:space="preserve"> </w:instrText>
      </w:r>
      <w:r>
        <w:rPr>
          <w:rStyle w:val="53"/>
          <w:sz w:val="24"/>
        </w:rPr>
        <w:fldChar w:fldCharType="separate"/>
      </w:r>
      <w:r>
        <w:rPr>
          <w:rStyle w:val="53"/>
          <w:rFonts w:hint="eastAsia"/>
          <w:sz w:val="24"/>
        </w:rPr>
        <w:t>一、投标函</w:t>
      </w:r>
      <w:r>
        <w:rPr>
          <w:rStyle w:val="53"/>
          <w:rFonts w:hint="eastAsia"/>
          <w:sz w:val="24"/>
          <w:lang w:val="en-US" w:eastAsia="zh-CN"/>
        </w:rPr>
        <w:t>及投标函附录</w:t>
      </w:r>
      <w:r>
        <w:rPr>
          <w:sz w:val="24"/>
        </w:rPr>
        <w:tab/>
      </w:r>
      <w:r>
        <w:rPr>
          <w:sz w:val="24"/>
        </w:rPr>
        <w:fldChar w:fldCharType="begin"/>
      </w:r>
      <w:r>
        <w:rPr>
          <w:sz w:val="24"/>
        </w:rPr>
        <w:instrText xml:space="preserve"> PAGEREF _Toc100487590 \h </w:instrText>
      </w:r>
      <w:r>
        <w:rPr>
          <w:sz w:val="24"/>
        </w:rPr>
        <w:fldChar w:fldCharType="separate"/>
      </w:r>
      <w:r>
        <w:rPr>
          <w:sz w:val="24"/>
        </w:rPr>
        <w:t>114</w:t>
      </w:r>
      <w:r>
        <w:rPr>
          <w:sz w:val="24"/>
        </w:rPr>
        <w:fldChar w:fldCharType="end"/>
      </w:r>
      <w:r>
        <w:rPr>
          <w:rStyle w:val="53"/>
          <w:sz w:val="24"/>
        </w:rPr>
        <w:fldChar w:fldCharType="end"/>
      </w:r>
    </w:p>
    <w:p w14:paraId="755DEF92">
      <w:pPr>
        <w:pStyle w:val="36"/>
        <w:tabs>
          <w:tab w:val="right" w:leader="dot" w:pos="9061"/>
        </w:tabs>
        <w:spacing w:line="360" w:lineRule="auto"/>
        <w:rPr>
          <w:rFonts w:ascii="Calibri" w:hAnsi="Calibri"/>
          <w:sz w:val="24"/>
        </w:rPr>
      </w:pPr>
      <w:r>
        <w:rPr>
          <w:rStyle w:val="53"/>
          <w:sz w:val="24"/>
        </w:rPr>
        <w:fldChar w:fldCharType="begin"/>
      </w:r>
      <w:r>
        <w:rPr>
          <w:rStyle w:val="53"/>
          <w:sz w:val="24"/>
        </w:rPr>
        <w:instrText xml:space="preserve"> </w:instrText>
      </w:r>
      <w:r>
        <w:rPr>
          <w:sz w:val="24"/>
        </w:rPr>
        <w:instrText xml:space="preserve">HYPERLINK \l "_Toc100487591"</w:instrText>
      </w:r>
      <w:r>
        <w:rPr>
          <w:rStyle w:val="53"/>
          <w:sz w:val="24"/>
        </w:rPr>
        <w:instrText xml:space="preserve"> </w:instrText>
      </w:r>
      <w:r>
        <w:rPr>
          <w:rStyle w:val="53"/>
          <w:sz w:val="24"/>
        </w:rPr>
        <w:fldChar w:fldCharType="separate"/>
      </w:r>
      <w:r>
        <w:rPr>
          <w:rStyle w:val="53"/>
          <w:rFonts w:hint="eastAsia"/>
          <w:sz w:val="24"/>
        </w:rPr>
        <w:t>二、法定代表人身份证明</w:t>
      </w:r>
      <w:r>
        <w:rPr>
          <w:sz w:val="24"/>
        </w:rPr>
        <w:tab/>
      </w:r>
      <w:r>
        <w:rPr>
          <w:sz w:val="24"/>
        </w:rPr>
        <w:fldChar w:fldCharType="begin"/>
      </w:r>
      <w:r>
        <w:rPr>
          <w:sz w:val="24"/>
        </w:rPr>
        <w:instrText xml:space="preserve"> PAGEREF _Toc100487591 \h </w:instrText>
      </w:r>
      <w:r>
        <w:rPr>
          <w:sz w:val="24"/>
        </w:rPr>
        <w:fldChar w:fldCharType="separate"/>
      </w:r>
      <w:r>
        <w:rPr>
          <w:sz w:val="24"/>
        </w:rPr>
        <w:t>116</w:t>
      </w:r>
      <w:r>
        <w:rPr>
          <w:sz w:val="24"/>
        </w:rPr>
        <w:fldChar w:fldCharType="end"/>
      </w:r>
      <w:r>
        <w:rPr>
          <w:rStyle w:val="53"/>
          <w:sz w:val="24"/>
        </w:rPr>
        <w:fldChar w:fldCharType="end"/>
      </w:r>
    </w:p>
    <w:p w14:paraId="09CDB7F2">
      <w:pPr>
        <w:pStyle w:val="36"/>
        <w:tabs>
          <w:tab w:val="right" w:leader="dot" w:pos="9061"/>
        </w:tabs>
        <w:spacing w:line="360" w:lineRule="auto"/>
        <w:rPr>
          <w:rFonts w:ascii="Calibri" w:hAnsi="Calibri"/>
          <w:sz w:val="24"/>
        </w:rPr>
      </w:pPr>
      <w:r>
        <w:rPr>
          <w:rStyle w:val="53"/>
          <w:sz w:val="24"/>
        </w:rPr>
        <w:fldChar w:fldCharType="begin"/>
      </w:r>
      <w:r>
        <w:rPr>
          <w:rStyle w:val="53"/>
          <w:sz w:val="24"/>
        </w:rPr>
        <w:instrText xml:space="preserve"> </w:instrText>
      </w:r>
      <w:r>
        <w:rPr>
          <w:sz w:val="24"/>
        </w:rPr>
        <w:instrText xml:space="preserve">HYPERLINK \l "_Toc100487592"</w:instrText>
      </w:r>
      <w:r>
        <w:rPr>
          <w:rStyle w:val="53"/>
          <w:sz w:val="24"/>
        </w:rPr>
        <w:instrText xml:space="preserve"> </w:instrText>
      </w:r>
      <w:r>
        <w:rPr>
          <w:rStyle w:val="53"/>
          <w:sz w:val="24"/>
        </w:rPr>
        <w:fldChar w:fldCharType="separate"/>
      </w:r>
      <w:r>
        <w:rPr>
          <w:rStyle w:val="53"/>
          <w:rFonts w:hint="eastAsia"/>
          <w:sz w:val="24"/>
        </w:rPr>
        <w:t>三、授权委托书</w:t>
      </w:r>
      <w:r>
        <w:rPr>
          <w:sz w:val="24"/>
        </w:rPr>
        <w:tab/>
      </w:r>
      <w:r>
        <w:rPr>
          <w:sz w:val="24"/>
        </w:rPr>
        <w:fldChar w:fldCharType="begin"/>
      </w:r>
      <w:r>
        <w:rPr>
          <w:sz w:val="24"/>
        </w:rPr>
        <w:instrText xml:space="preserve"> PAGEREF _Toc100487592 \h </w:instrText>
      </w:r>
      <w:r>
        <w:rPr>
          <w:sz w:val="24"/>
        </w:rPr>
        <w:fldChar w:fldCharType="separate"/>
      </w:r>
      <w:r>
        <w:rPr>
          <w:sz w:val="24"/>
        </w:rPr>
        <w:t>117</w:t>
      </w:r>
      <w:r>
        <w:rPr>
          <w:sz w:val="24"/>
        </w:rPr>
        <w:fldChar w:fldCharType="end"/>
      </w:r>
      <w:r>
        <w:rPr>
          <w:rStyle w:val="53"/>
          <w:sz w:val="24"/>
        </w:rPr>
        <w:fldChar w:fldCharType="end"/>
      </w:r>
    </w:p>
    <w:p w14:paraId="0C7FE858">
      <w:pPr>
        <w:pStyle w:val="36"/>
        <w:tabs>
          <w:tab w:val="right" w:leader="dot" w:pos="9061"/>
        </w:tabs>
        <w:spacing w:line="360" w:lineRule="auto"/>
        <w:rPr>
          <w:rFonts w:ascii="Calibri" w:hAnsi="Calibri"/>
          <w:sz w:val="24"/>
        </w:rPr>
      </w:pPr>
      <w:r>
        <w:rPr>
          <w:rStyle w:val="53"/>
          <w:sz w:val="24"/>
        </w:rPr>
        <w:fldChar w:fldCharType="begin"/>
      </w:r>
      <w:r>
        <w:rPr>
          <w:rStyle w:val="53"/>
          <w:sz w:val="24"/>
        </w:rPr>
        <w:instrText xml:space="preserve"> </w:instrText>
      </w:r>
      <w:r>
        <w:rPr>
          <w:sz w:val="24"/>
        </w:rPr>
        <w:instrText xml:space="preserve">HYPERLINK \l "_Toc100487593"</w:instrText>
      </w:r>
      <w:r>
        <w:rPr>
          <w:rStyle w:val="53"/>
          <w:sz w:val="24"/>
        </w:rPr>
        <w:instrText xml:space="preserve"> </w:instrText>
      </w:r>
      <w:r>
        <w:rPr>
          <w:rStyle w:val="53"/>
          <w:sz w:val="24"/>
        </w:rPr>
        <w:fldChar w:fldCharType="separate"/>
      </w:r>
      <w:r>
        <w:rPr>
          <w:rStyle w:val="53"/>
          <w:rFonts w:hint="eastAsia"/>
          <w:sz w:val="24"/>
        </w:rPr>
        <w:t>五、已标价的工程量清单</w:t>
      </w:r>
      <w:r>
        <w:rPr>
          <w:sz w:val="24"/>
        </w:rPr>
        <w:tab/>
      </w:r>
      <w:r>
        <w:rPr>
          <w:sz w:val="24"/>
        </w:rPr>
        <w:fldChar w:fldCharType="begin"/>
      </w:r>
      <w:r>
        <w:rPr>
          <w:sz w:val="24"/>
        </w:rPr>
        <w:instrText xml:space="preserve"> PAGEREF _Toc100487593 \h </w:instrText>
      </w:r>
      <w:r>
        <w:rPr>
          <w:sz w:val="24"/>
        </w:rPr>
        <w:fldChar w:fldCharType="separate"/>
      </w:r>
      <w:r>
        <w:rPr>
          <w:sz w:val="24"/>
        </w:rPr>
        <w:t>119</w:t>
      </w:r>
      <w:r>
        <w:rPr>
          <w:sz w:val="24"/>
        </w:rPr>
        <w:fldChar w:fldCharType="end"/>
      </w:r>
      <w:r>
        <w:rPr>
          <w:rStyle w:val="53"/>
          <w:sz w:val="24"/>
        </w:rPr>
        <w:fldChar w:fldCharType="end"/>
      </w:r>
    </w:p>
    <w:p w14:paraId="44977A50">
      <w:pPr>
        <w:pStyle w:val="36"/>
        <w:tabs>
          <w:tab w:val="right" w:leader="dot" w:pos="9061"/>
        </w:tabs>
        <w:spacing w:line="360" w:lineRule="auto"/>
        <w:rPr>
          <w:rFonts w:ascii="Calibri" w:hAnsi="Calibri"/>
          <w:sz w:val="24"/>
        </w:rPr>
      </w:pPr>
      <w:r>
        <w:rPr>
          <w:rStyle w:val="53"/>
          <w:sz w:val="24"/>
        </w:rPr>
        <w:fldChar w:fldCharType="begin"/>
      </w:r>
      <w:r>
        <w:rPr>
          <w:rStyle w:val="53"/>
          <w:sz w:val="24"/>
        </w:rPr>
        <w:instrText xml:space="preserve"> </w:instrText>
      </w:r>
      <w:r>
        <w:rPr>
          <w:sz w:val="24"/>
        </w:rPr>
        <w:instrText xml:space="preserve">HYPERLINK \l "_Toc100487594"</w:instrText>
      </w:r>
      <w:r>
        <w:rPr>
          <w:rStyle w:val="53"/>
          <w:sz w:val="24"/>
        </w:rPr>
        <w:instrText xml:space="preserve"> </w:instrText>
      </w:r>
      <w:r>
        <w:rPr>
          <w:rStyle w:val="53"/>
          <w:sz w:val="24"/>
        </w:rPr>
        <w:fldChar w:fldCharType="separate"/>
      </w:r>
      <w:r>
        <w:rPr>
          <w:rStyle w:val="53"/>
          <w:rFonts w:hint="eastAsia"/>
          <w:sz w:val="24"/>
        </w:rPr>
        <w:t>六、施工组织设计</w:t>
      </w:r>
      <w:r>
        <w:rPr>
          <w:sz w:val="24"/>
        </w:rPr>
        <w:tab/>
      </w:r>
      <w:r>
        <w:rPr>
          <w:sz w:val="24"/>
        </w:rPr>
        <w:fldChar w:fldCharType="begin"/>
      </w:r>
      <w:r>
        <w:rPr>
          <w:sz w:val="24"/>
        </w:rPr>
        <w:instrText xml:space="preserve"> PAGEREF _Toc100487594 \h </w:instrText>
      </w:r>
      <w:r>
        <w:rPr>
          <w:sz w:val="24"/>
        </w:rPr>
        <w:fldChar w:fldCharType="separate"/>
      </w:r>
      <w:r>
        <w:rPr>
          <w:sz w:val="24"/>
        </w:rPr>
        <w:t>120</w:t>
      </w:r>
      <w:r>
        <w:rPr>
          <w:sz w:val="24"/>
        </w:rPr>
        <w:fldChar w:fldCharType="end"/>
      </w:r>
      <w:r>
        <w:rPr>
          <w:rStyle w:val="53"/>
          <w:sz w:val="24"/>
        </w:rPr>
        <w:fldChar w:fldCharType="end"/>
      </w:r>
    </w:p>
    <w:p w14:paraId="68B341B0">
      <w:pPr>
        <w:pStyle w:val="22"/>
        <w:tabs>
          <w:tab w:val="right" w:leader="dot" w:pos="9061"/>
        </w:tabs>
        <w:spacing w:line="360" w:lineRule="auto"/>
        <w:rPr>
          <w:rFonts w:ascii="Calibri" w:hAnsi="Calibri"/>
          <w:sz w:val="24"/>
        </w:rPr>
      </w:pPr>
      <w:r>
        <w:rPr>
          <w:rStyle w:val="53"/>
          <w:sz w:val="24"/>
        </w:rPr>
        <w:fldChar w:fldCharType="begin"/>
      </w:r>
      <w:r>
        <w:rPr>
          <w:rStyle w:val="53"/>
          <w:sz w:val="24"/>
        </w:rPr>
        <w:instrText xml:space="preserve"> </w:instrText>
      </w:r>
      <w:r>
        <w:rPr>
          <w:sz w:val="24"/>
        </w:rPr>
        <w:instrText xml:space="preserve">HYPERLINK \l "_Toc100487595"</w:instrText>
      </w:r>
      <w:r>
        <w:rPr>
          <w:rStyle w:val="53"/>
          <w:sz w:val="24"/>
        </w:rPr>
        <w:instrText xml:space="preserve"> </w:instrText>
      </w:r>
      <w:r>
        <w:rPr>
          <w:rStyle w:val="53"/>
          <w:sz w:val="24"/>
        </w:rPr>
        <w:fldChar w:fldCharType="separate"/>
      </w:r>
      <w:r>
        <w:rPr>
          <w:rStyle w:val="53"/>
          <w:rFonts w:hint="eastAsia"/>
          <w:sz w:val="24"/>
        </w:rPr>
        <w:t>附表一：拟投入本标段的主要施工设备表</w:t>
      </w:r>
      <w:r>
        <w:rPr>
          <w:sz w:val="24"/>
        </w:rPr>
        <w:tab/>
      </w:r>
      <w:r>
        <w:rPr>
          <w:sz w:val="24"/>
        </w:rPr>
        <w:fldChar w:fldCharType="begin"/>
      </w:r>
      <w:r>
        <w:rPr>
          <w:sz w:val="24"/>
        </w:rPr>
        <w:instrText xml:space="preserve"> PAGEREF _Toc100487595 \h </w:instrText>
      </w:r>
      <w:r>
        <w:rPr>
          <w:sz w:val="24"/>
        </w:rPr>
        <w:fldChar w:fldCharType="separate"/>
      </w:r>
      <w:r>
        <w:rPr>
          <w:sz w:val="24"/>
        </w:rPr>
        <w:t>121</w:t>
      </w:r>
      <w:r>
        <w:rPr>
          <w:sz w:val="24"/>
        </w:rPr>
        <w:fldChar w:fldCharType="end"/>
      </w:r>
      <w:r>
        <w:rPr>
          <w:rStyle w:val="53"/>
          <w:sz w:val="24"/>
        </w:rPr>
        <w:fldChar w:fldCharType="end"/>
      </w:r>
    </w:p>
    <w:p w14:paraId="41C7E4A7">
      <w:pPr>
        <w:pStyle w:val="22"/>
        <w:tabs>
          <w:tab w:val="right" w:leader="dot" w:pos="9061"/>
        </w:tabs>
        <w:spacing w:line="360" w:lineRule="auto"/>
        <w:rPr>
          <w:rFonts w:ascii="Calibri" w:hAnsi="Calibri"/>
          <w:sz w:val="24"/>
        </w:rPr>
      </w:pPr>
      <w:r>
        <w:rPr>
          <w:rStyle w:val="53"/>
          <w:sz w:val="24"/>
        </w:rPr>
        <w:fldChar w:fldCharType="begin"/>
      </w:r>
      <w:r>
        <w:rPr>
          <w:rStyle w:val="53"/>
          <w:sz w:val="24"/>
        </w:rPr>
        <w:instrText xml:space="preserve"> </w:instrText>
      </w:r>
      <w:r>
        <w:rPr>
          <w:sz w:val="24"/>
        </w:rPr>
        <w:instrText xml:space="preserve">HYPERLINK \l "_Toc100487596"</w:instrText>
      </w:r>
      <w:r>
        <w:rPr>
          <w:rStyle w:val="53"/>
          <w:sz w:val="24"/>
        </w:rPr>
        <w:instrText xml:space="preserve"> </w:instrText>
      </w:r>
      <w:r>
        <w:rPr>
          <w:rStyle w:val="53"/>
          <w:sz w:val="24"/>
        </w:rPr>
        <w:fldChar w:fldCharType="separate"/>
      </w:r>
      <w:r>
        <w:rPr>
          <w:rStyle w:val="53"/>
          <w:rFonts w:hint="eastAsia"/>
          <w:sz w:val="24"/>
        </w:rPr>
        <w:t>附表二：拟配备本标段的试验和检测仪器设备表</w:t>
      </w:r>
      <w:r>
        <w:rPr>
          <w:sz w:val="24"/>
        </w:rPr>
        <w:tab/>
      </w:r>
      <w:r>
        <w:rPr>
          <w:sz w:val="24"/>
        </w:rPr>
        <w:fldChar w:fldCharType="begin"/>
      </w:r>
      <w:r>
        <w:rPr>
          <w:sz w:val="24"/>
        </w:rPr>
        <w:instrText xml:space="preserve"> PAGEREF _Toc100487596 \h </w:instrText>
      </w:r>
      <w:r>
        <w:rPr>
          <w:sz w:val="24"/>
        </w:rPr>
        <w:fldChar w:fldCharType="separate"/>
      </w:r>
      <w:r>
        <w:rPr>
          <w:sz w:val="24"/>
        </w:rPr>
        <w:t>122</w:t>
      </w:r>
      <w:r>
        <w:rPr>
          <w:sz w:val="24"/>
        </w:rPr>
        <w:fldChar w:fldCharType="end"/>
      </w:r>
      <w:r>
        <w:rPr>
          <w:rStyle w:val="53"/>
          <w:sz w:val="24"/>
        </w:rPr>
        <w:fldChar w:fldCharType="end"/>
      </w:r>
    </w:p>
    <w:p w14:paraId="2C9575DF">
      <w:pPr>
        <w:pStyle w:val="22"/>
        <w:tabs>
          <w:tab w:val="right" w:leader="dot" w:pos="9061"/>
        </w:tabs>
        <w:spacing w:line="360" w:lineRule="auto"/>
        <w:rPr>
          <w:rFonts w:ascii="Calibri" w:hAnsi="Calibri"/>
          <w:sz w:val="24"/>
        </w:rPr>
      </w:pPr>
      <w:r>
        <w:rPr>
          <w:rStyle w:val="53"/>
          <w:sz w:val="24"/>
        </w:rPr>
        <w:fldChar w:fldCharType="begin"/>
      </w:r>
      <w:r>
        <w:rPr>
          <w:rStyle w:val="53"/>
          <w:sz w:val="24"/>
        </w:rPr>
        <w:instrText xml:space="preserve"> </w:instrText>
      </w:r>
      <w:r>
        <w:rPr>
          <w:sz w:val="24"/>
        </w:rPr>
        <w:instrText xml:space="preserve">HYPERLINK \l "_Toc100487597"</w:instrText>
      </w:r>
      <w:r>
        <w:rPr>
          <w:rStyle w:val="53"/>
          <w:sz w:val="24"/>
        </w:rPr>
        <w:instrText xml:space="preserve"> </w:instrText>
      </w:r>
      <w:r>
        <w:rPr>
          <w:rStyle w:val="53"/>
          <w:sz w:val="24"/>
        </w:rPr>
        <w:fldChar w:fldCharType="separate"/>
      </w:r>
      <w:r>
        <w:rPr>
          <w:rStyle w:val="53"/>
          <w:rFonts w:hint="eastAsia"/>
          <w:sz w:val="24"/>
        </w:rPr>
        <w:t>附表三：劳动力计划表</w:t>
      </w:r>
      <w:r>
        <w:rPr>
          <w:sz w:val="24"/>
        </w:rPr>
        <w:tab/>
      </w:r>
      <w:r>
        <w:rPr>
          <w:sz w:val="24"/>
        </w:rPr>
        <w:fldChar w:fldCharType="begin"/>
      </w:r>
      <w:r>
        <w:rPr>
          <w:sz w:val="24"/>
        </w:rPr>
        <w:instrText xml:space="preserve"> PAGEREF _Toc100487597 \h </w:instrText>
      </w:r>
      <w:r>
        <w:rPr>
          <w:sz w:val="24"/>
        </w:rPr>
        <w:fldChar w:fldCharType="separate"/>
      </w:r>
      <w:r>
        <w:rPr>
          <w:sz w:val="24"/>
        </w:rPr>
        <w:t>123</w:t>
      </w:r>
      <w:r>
        <w:rPr>
          <w:sz w:val="24"/>
        </w:rPr>
        <w:fldChar w:fldCharType="end"/>
      </w:r>
      <w:r>
        <w:rPr>
          <w:rStyle w:val="53"/>
          <w:sz w:val="24"/>
        </w:rPr>
        <w:fldChar w:fldCharType="end"/>
      </w:r>
    </w:p>
    <w:p w14:paraId="4056A366">
      <w:pPr>
        <w:pStyle w:val="22"/>
        <w:tabs>
          <w:tab w:val="right" w:leader="dot" w:pos="9061"/>
        </w:tabs>
        <w:spacing w:line="360" w:lineRule="auto"/>
        <w:rPr>
          <w:rFonts w:ascii="Calibri" w:hAnsi="Calibri"/>
          <w:sz w:val="24"/>
        </w:rPr>
      </w:pPr>
      <w:r>
        <w:rPr>
          <w:rStyle w:val="53"/>
          <w:sz w:val="24"/>
        </w:rPr>
        <w:fldChar w:fldCharType="begin"/>
      </w:r>
      <w:r>
        <w:rPr>
          <w:rStyle w:val="53"/>
          <w:sz w:val="24"/>
        </w:rPr>
        <w:instrText xml:space="preserve"> </w:instrText>
      </w:r>
      <w:r>
        <w:rPr>
          <w:sz w:val="24"/>
        </w:rPr>
        <w:instrText xml:space="preserve">HYPERLINK \l "_Toc100487598"</w:instrText>
      </w:r>
      <w:r>
        <w:rPr>
          <w:rStyle w:val="53"/>
          <w:sz w:val="24"/>
        </w:rPr>
        <w:instrText xml:space="preserve"> </w:instrText>
      </w:r>
      <w:r>
        <w:rPr>
          <w:rStyle w:val="53"/>
          <w:sz w:val="24"/>
        </w:rPr>
        <w:fldChar w:fldCharType="separate"/>
      </w:r>
      <w:r>
        <w:rPr>
          <w:rStyle w:val="53"/>
          <w:rFonts w:hint="eastAsia"/>
          <w:sz w:val="24"/>
        </w:rPr>
        <w:t>附表四：计划开、竣工日期和施工进度网络图</w:t>
      </w:r>
      <w:r>
        <w:rPr>
          <w:sz w:val="24"/>
        </w:rPr>
        <w:tab/>
      </w:r>
      <w:r>
        <w:rPr>
          <w:sz w:val="24"/>
        </w:rPr>
        <w:fldChar w:fldCharType="begin"/>
      </w:r>
      <w:r>
        <w:rPr>
          <w:sz w:val="24"/>
        </w:rPr>
        <w:instrText xml:space="preserve"> PAGEREF _Toc100487598 \h </w:instrText>
      </w:r>
      <w:r>
        <w:rPr>
          <w:sz w:val="24"/>
        </w:rPr>
        <w:fldChar w:fldCharType="separate"/>
      </w:r>
      <w:r>
        <w:rPr>
          <w:sz w:val="24"/>
        </w:rPr>
        <w:t>124</w:t>
      </w:r>
      <w:r>
        <w:rPr>
          <w:sz w:val="24"/>
        </w:rPr>
        <w:fldChar w:fldCharType="end"/>
      </w:r>
      <w:r>
        <w:rPr>
          <w:rStyle w:val="53"/>
          <w:sz w:val="24"/>
        </w:rPr>
        <w:fldChar w:fldCharType="end"/>
      </w:r>
    </w:p>
    <w:p w14:paraId="7C725C14">
      <w:pPr>
        <w:pStyle w:val="36"/>
        <w:tabs>
          <w:tab w:val="right" w:leader="dot" w:pos="9061"/>
        </w:tabs>
        <w:spacing w:line="360" w:lineRule="auto"/>
        <w:rPr>
          <w:rFonts w:ascii="Calibri" w:hAnsi="Calibri"/>
          <w:sz w:val="24"/>
        </w:rPr>
      </w:pPr>
      <w:r>
        <w:rPr>
          <w:rStyle w:val="53"/>
          <w:sz w:val="24"/>
        </w:rPr>
        <w:fldChar w:fldCharType="begin"/>
      </w:r>
      <w:r>
        <w:rPr>
          <w:rStyle w:val="53"/>
          <w:sz w:val="24"/>
        </w:rPr>
        <w:instrText xml:space="preserve"> </w:instrText>
      </w:r>
      <w:r>
        <w:rPr>
          <w:sz w:val="24"/>
        </w:rPr>
        <w:instrText xml:space="preserve">HYPERLINK \l "_Toc100487599"</w:instrText>
      </w:r>
      <w:r>
        <w:rPr>
          <w:rStyle w:val="53"/>
          <w:sz w:val="24"/>
        </w:rPr>
        <w:instrText xml:space="preserve"> </w:instrText>
      </w:r>
      <w:r>
        <w:rPr>
          <w:rStyle w:val="53"/>
          <w:sz w:val="24"/>
        </w:rPr>
        <w:fldChar w:fldCharType="separate"/>
      </w:r>
      <w:r>
        <w:rPr>
          <w:rStyle w:val="53"/>
          <w:rFonts w:hint="eastAsia"/>
          <w:sz w:val="24"/>
        </w:rPr>
        <w:t>七、项目管理机构</w:t>
      </w:r>
      <w:r>
        <w:rPr>
          <w:sz w:val="24"/>
        </w:rPr>
        <w:tab/>
      </w:r>
      <w:r>
        <w:rPr>
          <w:sz w:val="24"/>
        </w:rPr>
        <w:fldChar w:fldCharType="begin"/>
      </w:r>
      <w:r>
        <w:rPr>
          <w:sz w:val="24"/>
        </w:rPr>
        <w:instrText xml:space="preserve"> PAGEREF _Toc100487599 \h </w:instrText>
      </w:r>
      <w:r>
        <w:rPr>
          <w:sz w:val="24"/>
        </w:rPr>
        <w:fldChar w:fldCharType="separate"/>
      </w:r>
      <w:r>
        <w:rPr>
          <w:sz w:val="24"/>
        </w:rPr>
        <w:t>125</w:t>
      </w:r>
      <w:r>
        <w:rPr>
          <w:sz w:val="24"/>
        </w:rPr>
        <w:fldChar w:fldCharType="end"/>
      </w:r>
      <w:r>
        <w:rPr>
          <w:rStyle w:val="53"/>
          <w:sz w:val="24"/>
        </w:rPr>
        <w:fldChar w:fldCharType="end"/>
      </w:r>
    </w:p>
    <w:p w14:paraId="47FDEC7A">
      <w:pPr>
        <w:pStyle w:val="22"/>
        <w:tabs>
          <w:tab w:val="right" w:leader="dot" w:pos="9061"/>
        </w:tabs>
        <w:spacing w:line="360" w:lineRule="auto"/>
        <w:rPr>
          <w:rFonts w:ascii="Calibri" w:hAnsi="Calibri"/>
          <w:sz w:val="24"/>
        </w:rPr>
      </w:pPr>
      <w:r>
        <w:rPr>
          <w:rStyle w:val="53"/>
          <w:sz w:val="24"/>
        </w:rPr>
        <w:fldChar w:fldCharType="begin"/>
      </w:r>
      <w:r>
        <w:rPr>
          <w:rStyle w:val="53"/>
          <w:sz w:val="24"/>
        </w:rPr>
        <w:instrText xml:space="preserve"> </w:instrText>
      </w:r>
      <w:r>
        <w:rPr>
          <w:sz w:val="24"/>
        </w:rPr>
        <w:instrText xml:space="preserve">HYPERLINK \l "_Toc100487600"</w:instrText>
      </w:r>
      <w:r>
        <w:rPr>
          <w:rStyle w:val="53"/>
          <w:sz w:val="24"/>
        </w:rPr>
        <w:instrText xml:space="preserve"> </w:instrText>
      </w:r>
      <w:r>
        <w:rPr>
          <w:rStyle w:val="53"/>
          <w:sz w:val="24"/>
        </w:rPr>
        <w:fldChar w:fldCharType="separate"/>
      </w:r>
      <w:r>
        <w:rPr>
          <w:rStyle w:val="53"/>
          <w:rFonts w:hint="eastAsia"/>
          <w:sz w:val="24"/>
        </w:rPr>
        <w:t>（一）项目管理机构组成表</w:t>
      </w:r>
      <w:r>
        <w:rPr>
          <w:sz w:val="24"/>
        </w:rPr>
        <w:tab/>
      </w:r>
      <w:r>
        <w:rPr>
          <w:sz w:val="24"/>
        </w:rPr>
        <w:fldChar w:fldCharType="begin"/>
      </w:r>
      <w:r>
        <w:rPr>
          <w:sz w:val="24"/>
        </w:rPr>
        <w:instrText xml:space="preserve"> PAGEREF _Toc100487600 \h </w:instrText>
      </w:r>
      <w:r>
        <w:rPr>
          <w:sz w:val="24"/>
        </w:rPr>
        <w:fldChar w:fldCharType="separate"/>
      </w:r>
      <w:r>
        <w:rPr>
          <w:sz w:val="24"/>
        </w:rPr>
        <w:t>125</w:t>
      </w:r>
      <w:r>
        <w:rPr>
          <w:sz w:val="24"/>
        </w:rPr>
        <w:fldChar w:fldCharType="end"/>
      </w:r>
      <w:r>
        <w:rPr>
          <w:rStyle w:val="53"/>
          <w:sz w:val="24"/>
        </w:rPr>
        <w:fldChar w:fldCharType="end"/>
      </w:r>
    </w:p>
    <w:p w14:paraId="2648AAF9">
      <w:pPr>
        <w:pStyle w:val="22"/>
        <w:tabs>
          <w:tab w:val="right" w:leader="dot" w:pos="9061"/>
        </w:tabs>
        <w:spacing w:line="360" w:lineRule="auto"/>
        <w:rPr>
          <w:rFonts w:ascii="Calibri" w:hAnsi="Calibri"/>
          <w:sz w:val="24"/>
        </w:rPr>
      </w:pPr>
      <w:r>
        <w:rPr>
          <w:rStyle w:val="53"/>
          <w:sz w:val="24"/>
        </w:rPr>
        <w:fldChar w:fldCharType="begin"/>
      </w:r>
      <w:r>
        <w:rPr>
          <w:rStyle w:val="53"/>
          <w:sz w:val="24"/>
        </w:rPr>
        <w:instrText xml:space="preserve"> </w:instrText>
      </w:r>
      <w:r>
        <w:rPr>
          <w:sz w:val="24"/>
        </w:rPr>
        <w:instrText xml:space="preserve">HYPERLINK \l "_Toc100487601"</w:instrText>
      </w:r>
      <w:r>
        <w:rPr>
          <w:rStyle w:val="53"/>
          <w:sz w:val="24"/>
        </w:rPr>
        <w:instrText xml:space="preserve"> </w:instrText>
      </w:r>
      <w:r>
        <w:rPr>
          <w:rStyle w:val="53"/>
          <w:sz w:val="24"/>
        </w:rPr>
        <w:fldChar w:fldCharType="separate"/>
      </w:r>
      <w:r>
        <w:rPr>
          <w:rStyle w:val="53"/>
          <w:rFonts w:hint="eastAsia"/>
          <w:sz w:val="24"/>
        </w:rPr>
        <w:t>（二）主要人员简历表</w:t>
      </w:r>
      <w:r>
        <w:rPr>
          <w:sz w:val="24"/>
        </w:rPr>
        <w:tab/>
      </w:r>
      <w:r>
        <w:rPr>
          <w:sz w:val="24"/>
        </w:rPr>
        <w:fldChar w:fldCharType="begin"/>
      </w:r>
      <w:r>
        <w:rPr>
          <w:sz w:val="24"/>
        </w:rPr>
        <w:instrText xml:space="preserve"> PAGEREF _Toc100487601 \h </w:instrText>
      </w:r>
      <w:r>
        <w:rPr>
          <w:sz w:val="24"/>
        </w:rPr>
        <w:fldChar w:fldCharType="separate"/>
      </w:r>
      <w:r>
        <w:rPr>
          <w:sz w:val="24"/>
        </w:rPr>
        <w:t>126</w:t>
      </w:r>
      <w:r>
        <w:rPr>
          <w:sz w:val="24"/>
        </w:rPr>
        <w:fldChar w:fldCharType="end"/>
      </w:r>
      <w:r>
        <w:rPr>
          <w:rStyle w:val="53"/>
          <w:sz w:val="24"/>
        </w:rPr>
        <w:fldChar w:fldCharType="end"/>
      </w:r>
    </w:p>
    <w:p w14:paraId="28D5C92B">
      <w:pPr>
        <w:pStyle w:val="36"/>
        <w:tabs>
          <w:tab w:val="right" w:leader="dot" w:pos="9061"/>
        </w:tabs>
        <w:spacing w:line="360" w:lineRule="auto"/>
        <w:rPr>
          <w:rFonts w:ascii="Calibri" w:hAnsi="Calibri"/>
          <w:sz w:val="24"/>
        </w:rPr>
      </w:pPr>
      <w:r>
        <w:rPr>
          <w:rStyle w:val="53"/>
          <w:sz w:val="24"/>
        </w:rPr>
        <w:fldChar w:fldCharType="begin"/>
      </w:r>
      <w:r>
        <w:rPr>
          <w:rStyle w:val="53"/>
          <w:sz w:val="24"/>
        </w:rPr>
        <w:instrText xml:space="preserve"> </w:instrText>
      </w:r>
      <w:r>
        <w:rPr>
          <w:sz w:val="24"/>
        </w:rPr>
        <w:instrText xml:space="preserve">HYPERLINK \l "_Toc100487602"</w:instrText>
      </w:r>
      <w:r>
        <w:rPr>
          <w:rStyle w:val="53"/>
          <w:sz w:val="24"/>
        </w:rPr>
        <w:instrText xml:space="preserve"> </w:instrText>
      </w:r>
      <w:r>
        <w:rPr>
          <w:rStyle w:val="53"/>
          <w:sz w:val="24"/>
        </w:rPr>
        <w:fldChar w:fldCharType="separate"/>
      </w:r>
      <w:r>
        <w:rPr>
          <w:rStyle w:val="53"/>
          <w:rFonts w:hint="eastAsia"/>
          <w:sz w:val="24"/>
        </w:rPr>
        <w:t>八、拟分包项目情况表</w:t>
      </w:r>
      <w:r>
        <w:rPr>
          <w:sz w:val="24"/>
        </w:rPr>
        <w:tab/>
      </w:r>
      <w:r>
        <w:rPr>
          <w:sz w:val="24"/>
        </w:rPr>
        <w:fldChar w:fldCharType="begin"/>
      </w:r>
      <w:r>
        <w:rPr>
          <w:sz w:val="24"/>
        </w:rPr>
        <w:instrText xml:space="preserve"> PAGEREF _Toc100487602 \h </w:instrText>
      </w:r>
      <w:r>
        <w:rPr>
          <w:sz w:val="24"/>
        </w:rPr>
        <w:fldChar w:fldCharType="separate"/>
      </w:r>
      <w:r>
        <w:rPr>
          <w:sz w:val="24"/>
        </w:rPr>
        <w:t>127</w:t>
      </w:r>
      <w:r>
        <w:rPr>
          <w:sz w:val="24"/>
        </w:rPr>
        <w:fldChar w:fldCharType="end"/>
      </w:r>
      <w:r>
        <w:rPr>
          <w:rStyle w:val="53"/>
          <w:sz w:val="24"/>
        </w:rPr>
        <w:fldChar w:fldCharType="end"/>
      </w:r>
    </w:p>
    <w:p w14:paraId="61235708">
      <w:pPr>
        <w:pStyle w:val="36"/>
        <w:tabs>
          <w:tab w:val="right" w:leader="dot" w:pos="9061"/>
        </w:tabs>
        <w:spacing w:line="360" w:lineRule="auto"/>
        <w:rPr>
          <w:rFonts w:ascii="Calibri" w:hAnsi="Calibri"/>
          <w:sz w:val="24"/>
        </w:rPr>
      </w:pPr>
      <w:r>
        <w:rPr>
          <w:rStyle w:val="53"/>
          <w:sz w:val="24"/>
        </w:rPr>
        <w:fldChar w:fldCharType="begin"/>
      </w:r>
      <w:r>
        <w:rPr>
          <w:rStyle w:val="53"/>
          <w:sz w:val="24"/>
        </w:rPr>
        <w:instrText xml:space="preserve"> </w:instrText>
      </w:r>
      <w:r>
        <w:rPr>
          <w:sz w:val="24"/>
        </w:rPr>
        <w:instrText xml:space="preserve">HYPERLINK \l "_Toc100487603"</w:instrText>
      </w:r>
      <w:r>
        <w:rPr>
          <w:rStyle w:val="53"/>
          <w:sz w:val="24"/>
        </w:rPr>
        <w:instrText xml:space="preserve"> </w:instrText>
      </w:r>
      <w:r>
        <w:rPr>
          <w:rStyle w:val="53"/>
          <w:sz w:val="24"/>
        </w:rPr>
        <w:fldChar w:fldCharType="separate"/>
      </w:r>
      <w:r>
        <w:rPr>
          <w:rStyle w:val="53"/>
          <w:rFonts w:hint="eastAsia"/>
          <w:sz w:val="24"/>
        </w:rPr>
        <w:t>九、资格审查资料</w:t>
      </w:r>
      <w:r>
        <w:rPr>
          <w:sz w:val="24"/>
        </w:rPr>
        <w:tab/>
      </w:r>
      <w:r>
        <w:rPr>
          <w:sz w:val="24"/>
        </w:rPr>
        <w:fldChar w:fldCharType="begin"/>
      </w:r>
      <w:r>
        <w:rPr>
          <w:sz w:val="24"/>
        </w:rPr>
        <w:instrText xml:space="preserve"> PAGEREF _Toc100487603 \h </w:instrText>
      </w:r>
      <w:r>
        <w:rPr>
          <w:sz w:val="24"/>
        </w:rPr>
        <w:fldChar w:fldCharType="separate"/>
      </w:r>
      <w:r>
        <w:rPr>
          <w:sz w:val="24"/>
        </w:rPr>
        <w:t>128</w:t>
      </w:r>
      <w:r>
        <w:rPr>
          <w:sz w:val="24"/>
        </w:rPr>
        <w:fldChar w:fldCharType="end"/>
      </w:r>
      <w:r>
        <w:rPr>
          <w:rStyle w:val="53"/>
          <w:sz w:val="24"/>
        </w:rPr>
        <w:fldChar w:fldCharType="end"/>
      </w:r>
    </w:p>
    <w:p w14:paraId="5633AAFD">
      <w:pPr>
        <w:pStyle w:val="22"/>
        <w:tabs>
          <w:tab w:val="right" w:leader="dot" w:pos="9061"/>
        </w:tabs>
        <w:spacing w:line="360" w:lineRule="auto"/>
        <w:rPr>
          <w:rFonts w:ascii="Calibri" w:hAnsi="Calibri"/>
          <w:sz w:val="24"/>
        </w:rPr>
      </w:pPr>
      <w:r>
        <w:rPr>
          <w:rStyle w:val="53"/>
          <w:sz w:val="24"/>
        </w:rPr>
        <w:fldChar w:fldCharType="begin"/>
      </w:r>
      <w:r>
        <w:rPr>
          <w:rStyle w:val="53"/>
          <w:sz w:val="24"/>
        </w:rPr>
        <w:instrText xml:space="preserve"> </w:instrText>
      </w:r>
      <w:r>
        <w:rPr>
          <w:sz w:val="24"/>
        </w:rPr>
        <w:instrText xml:space="preserve">HYPERLINK \l "_Toc100487604"</w:instrText>
      </w:r>
      <w:r>
        <w:rPr>
          <w:rStyle w:val="53"/>
          <w:sz w:val="24"/>
        </w:rPr>
        <w:instrText xml:space="preserve"> </w:instrText>
      </w:r>
      <w:r>
        <w:rPr>
          <w:rStyle w:val="53"/>
          <w:sz w:val="24"/>
        </w:rPr>
        <w:fldChar w:fldCharType="separate"/>
      </w:r>
      <w:r>
        <w:rPr>
          <w:rStyle w:val="53"/>
          <w:rFonts w:hint="eastAsia"/>
          <w:sz w:val="24"/>
        </w:rPr>
        <w:t>（一）投标人基本情况表</w:t>
      </w:r>
      <w:r>
        <w:rPr>
          <w:sz w:val="24"/>
        </w:rPr>
        <w:tab/>
      </w:r>
      <w:r>
        <w:rPr>
          <w:sz w:val="24"/>
        </w:rPr>
        <w:fldChar w:fldCharType="begin"/>
      </w:r>
      <w:r>
        <w:rPr>
          <w:sz w:val="24"/>
        </w:rPr>
        <w:instrText xml:space="preserve"> PAGEREF _Toc100487604 \h </w:instrText>
      </w:r>
      <w:r>
        <w:rPr>
          <w:sz w:val="24"/>
        </w:rPr>
        <w:fldChar w:fldCharType="separate"/>
      </w:r>
      <w:r>
        <w:rPr>
          <w:sz w:val="24"/>
        </w:rPr>
        <w:t>128</w:t>
      </w:r>
      <w:r>
        <w:rPr>
          <w:sz w:val="24"/>
        </w:rPr>
        <w:fldChar w:fldCharType="end"/>
      </w:r>
      <w:r>
        <w:rPr>
          <w:rStyle w:val="53"/>
          <w:sz w:val="24"/>
        </w:rPr>
        <w:fldChar w:fldCharType="end"/>
      </w:r>
    </w:p>
    <w:p w14:paraId="5D8DE36B">
      <w:pPr>
        <w:pStyle w:val="22"/>
        <w:tabs>
          <w:tab w:val="right" w:leader="dot" w:pos="9061"/>
        </w:tabs>
        <w:spacing w:line="360" w:lineRule="auto"/>
        <w:rPr>
          <w:rFonts w:ascii="Calibri" w:hAnsi="Calibri"/>
          <w:sz w:val="24"/>
        </w:rPr>
      </w:pPr>
      <w:r>
        <w:rPr>
          <w:rStyle w:val="53"/>
          <w:sz w:val="24"/>
        </w:rPr>
        <w:fldChar w:fldCharType="begin"/>
      </w:r>
      <w:r>
        <w:rPr>
          <w:rStyle w:val="53"/>
          <w:sz w:val="24"/>
        </w:rPr>
        <w:instrText xml:space="preserve"> </w:instrText>
      </w:r>
      <w:r>
        <w:rPr>
          <w:sz w:val="24"/>
        </w:rPr>
        <w:instrText xml:space="preserve">HYPERLINK \l "_Toc100487605"</w:instrText>
      </w:r>
      <w:r>
        <w:rPr>
          <w:rStyle w:val="53"/>
          <w:sz w:val="24"/>
        </w:rPr>
        <w:instrText xml:space="preserve"> </w:instrText>
      </w:r>
      <w:r>
        <w:rPr>
          <w:rStyle w:val="53"/>
          <w:sz w:val="24"/>
        </w:rPr>
        <w:fldChar w:fldCharType="separate"/>
      </w:r>
      <w:r>
        <w:rPr>
          <w:rStyle w:val="53"/>
          <w:rFonts w:hint="eastAsia"/>
          <w:sz w:val="24"/>
        </w:rPr>
        <w:t>（二）近年财务状况表</w:t>
      </w:r>
      <w:r>
        <w:rPr>
          <w:sz w:val="24"/>
        </w:rPr>
        <w:tab/>
      </w:r>
      <w:r>
        <w:rPr>
          <w:sz w:val="24"/>
        </w:rPr>
        <w:fldChar w:fldCharType="begin"/>
      </w:r>
      <w:r>
        <w:rPr>
          <w:sz w:val="24"/>
        </w:rPr>
        <w:instrText xml:space="preserve"> PAGEREF _Toc100487605 \h </w:instrText>
      </w:r>
      <w:r>
        <w:rPr>
          <w:sz w:val="24"/>
        </w:rPr>
        <w:fldChar w:fldCharType="separate"/>
      </w:r>
      <w:r>
        <w:rPr>
          <w:sz w:val="24"/>
        </w:rPr>
        <w:t>129</w:t>
      </w:r>
      <w:r>
        <w:rPr>
          <w:sz w:val="24"/>
        </w:rPr>
        <w:fldChar w:fldCharType="end"/>
      </w:r>
      <w:r>
        <w:rPr>
          <w:rStyle w:val="53"/>
          <w:sz w:val="24"/>
        </w:rPr>
        <w:fldChar w:fldCharType="end"/>
      </w:r>
    </w:p>
    <w:p w14:paraId="7F4F38A5">
      <w:pPr>
        <w:pStyle w:val="22"/>
        <w:tabs>
          <w:tab w:val="right" w:leader="dot" w:pos="9061"/>
        </w:tabs>
        <w:spacing w:line="360" w:lineRule="auto"/>
        <w:rPr>
          <w:rFonts w:ascii="Calibri" w:hAnsi="Calibri"/>
          <w:sz w:val="24"/>
        </w:rPr>
      </w:pPr>
      <w:r>
        <w:rPr>
          <w:rStyle w:val="53"/>
          <w:sz w:val="24"/>
        </w:rPr>
        <w:fldChar w:fldCharType="begin"/>
      </w:r>
      <w:r>
        <w:rPr>
          <w:rStyle w:val="53"/>
          <w:sz w:val="24"/>
        </w:rPr>
        <w:instrText xml:space="preserve"> </w:instrText>
      </w:r>
      <w:r>
        <w:rPr>
          <w:sz w:val="24"/>
        </w:rPr>
        <w:instrText xml:space="preserve">HYPERLINK \l "_Toc100487606"</w:instrText>
      </w:r>
      <w:r>
        <w:rPr>
          <w:rStyle w:val="53"/>
          <w:sz w:val="24"/>
        </w:rPr>
        <w:instrText xml:space="preserve"> </w:instrText>
      </w:r>
      <w:r>
        <w:rPr>
          <w:rStyle w:val="53"/>
          <w:sz w:val="24"/>
        </w:rPr>
        <w:fldChar w:fldCharType="separate"/>
      </w:r>
      <w:r>
        <w:rPr>
          <w:rStyle w:val="53"/>
          <w:rFonts w:hint="eastAsia"/>
          <w:sz w:val="24"/>
        </w:rPr>
        <w:t>（三）近年承担过的类似项目情况表</w:t>
      </w:r>
      <w:r>
        <w:rPr>
          <w:sz w:val="24"/>
        </w:rPr>
        <w:tab/>
      </w:r>
      <w:r>
        <w:rPr>
          <w:sz w:val="24"/>
        </w:rPr>
        <w:fldChar w:fldCharType="begin"/>
      </w:r>
      <w:r>
        <w:rPr>
          <w:sz w:val="24"/>
        </w:rPr>
        <w:instrText xml:space="preserve"> PAGEREF _Toc100487606 \h </w:instrText>
      </w:r>
      <w:r>
        <w:rPr>
          <w:sz w:val="24"/>
        </w:rPr>
        <w:fldChar w:fldCharType="separate"/>
      </w:r>
      <w:r>
        <w:rPr>
          <w:sz w:val="24"/>
        </w:rPr>
        <w:t>130</w:t>
      </w:r>
      <w:r>
        <w:rPr>
          <w:sz w:val="24"/>
        </w:rPr>
        <w:fldChar w:fldCharType="end"/>
      </w:r>
      <w:r>
        <w:rPr>
          <w:rStyle w:val="53"/>
          <w:sz w:val="24"/>
        </w:rPr>
        <w:fldChar w:fldCharType="end"/>
      </w:r>
    </w:p>
    <w:p w14:paraId="5B4E7BA7">
      <w:pPr>
        <w:pStyle w:val="22"/>
        <w:tabs>
          <w:tab w:val="right" w:leader="dot" w:pos="9061"/>
        </w:tabs>
        <w:spacing w:line="360" w:lineRule="auto"/>
        <w:rPr>
          <w:rFonts w:ascii="Calibri" w:hAnsi="Calibri"/>
          <w:sz w:val="24"/>
        </w:rPr>
      </w:pPr>
      <w:r>
        <w:rPr>
          <w:rStyle w:val="53"/>
          <w:sz w:val="24"/>
        </w:rPr>
        <w:fldChar w:fldCharType="begin"/>
      </w:r>
      <w:r>
        <w:rPr>
          <w:rStyle w:val="53"/>
          <w:sz w:val="24"/>
        </w:rPr>
        <w:instrText xml:space="preserve"> </w:instrText>
      </w:r>
      <w:r>
        <w:rPr>
          <w:sz w:val="24"/>
        </w:rPr>
        <w:instrText xml:space="preserve">HYPERLINK \l "_Toc100487607"</w:instrText>
      </w:r>
      <w:r>
        <w:rPr>
          <w:rStyle w:val="53"/>
          <w:sz w:val="24"/>
        </w:rPr>
        <w:instrText xml:space="preserve"> </w:instrText>
      </w:r>
      <w:r>
        <w:rPr>
          <w:rStyle w:val="53"/>
          <w:sz w:val="24"/>
        </w:rPr>
        <w:fldChar w:fldCharType="separate"/>
      </w:r>
      <w:r>
        <w:rPr>
          <w:rStyle w:val="53"/>
          <w:rFonts w:hint="eastAsia"/>
          <w:sz w:val="24"/>
        </w:rPr>
        <w:t>（五）近年发生的诉讼及仲裁情况</w:t>
      </w:r>
      <w:r>
        <w:rPr>
          <w:sz w:val="24"/>
        </w:rPr>
        <w:tab/>
      </w:r>
      <w:r>
        <w:rPr>
          <w:sz w:val="24"/>
        </w:rPr>
        <w:fldChar w:fldCharType="begin"/>
      </w:r>
      <w:r>
        <w:rPr>
          <w:sz w:val="24"/>
        </w:rPr>
        <w:instrText xml:space="preserve"> PAGEREF _Toc100487607 \h </w:instrText>
      </w:r>
      <w:r>
        <w:rPr>
          <w:sz w:val="24"/>
        </w:rPr>
        <w:fldChar w:fldCharType="separate"/>
      </w:r>
      <w:r>
        <w:rPr>
          <w:sz w:val="24"/>
        </w:rPr>
        <w:t>131</w:t>
      </w:r>
      <w:r>
        <w:rPr>
          <w:sz w:val="24"/>
        </w:rPr>
        <w:fldChar w:fldCharType="end"/>
      </w:r>
      <w:r>
        <w:rPr>
          <w:rStyle w:val="53"/>
          <w:sz w:val="24"/>
        </w:rPr>
        <w:fldChar w:fldCharType="end"/>
      </w:r>
    </w:p>
    <w:p w14:paraId="47A876C4">
      <w:pPr>
        <w:pStyle w:val="36"/>
        <w:tabs>
          <w:tab w:val="right" w:leader="dot" w:pos="9061"/>
        </w:tabs>
        <w:spacing w:line="360" w:lineRule="auto"/>
        <w:rPr>
          <w:rFonts w:ascii="Calibri" w:hAnsi="Calibri"/>
          <w:sz w:val="24"/>
        </w:rPr>
      </w:pPr>
      <w:r>
        <w:rPr>
          <w:rStyle w:val="53"/>
          <w:sz w:val="24"/>
        </w:rPr>
        <w:fldChar w:fldCharType="begin"/>
      </w:r>
      <w:r>
        <w:rPr>
          <w:rStyle w:val="53"/>
          <w:sz w:val="24"/>
        </w:rPr>
        <w:instrText xml:space="preserve"> </w:instrText>
      </w:r>
      <w:r>
        <w:rPr>
          <w:sz w:val="24"/>
        </w:rPr>
        <w:instrText xml:space="preserve">HYPERLINK \l "_Toc100487608"</w:instrText>
      </w:r>
      <w:r>
        <w:rPr>
          <w:rStyle w:val="53"/>
          <w:sz w:val="24"/>
        </w:rPr>
        <w:instrText xml:space="preserve"> </w:instrText>
      </w:r>
      <w:r>
        <w:rPr>
          <w:rStyle w:val="53"/>
          <w:sz w:val="24"/>
        </w:rPr>
        <w:fldChar w:fldCharType="separate"/>
      </w:r>
      <w:r>
        <w:rPr>
          <w:rStyle w:val="53"/>
          <w:rFonts w:hint="eastAsia"/>
          <w:sz w:val="24"/>
        </w:rPr>
        <w:t>十、其他材料</w:t>
      </w:r>
      <w:r>
        <w:rPr>
          <w:sz w:val="24"/>
        </w:rPr>
        <w:tab/>
      </w:r>
      <w:r>
        <w:rPr>
          <w:sz w:val="24"/>
        </w:rPr>
        <w:fldChar w:fldCharType="begin"/>
      </w:r>
      <w:r>
        <w:rPr>
          <w:sz w:val="24"/>
        </w:rPr>
        <w:instrText xml:space="preserve"> PAGEREF _Toc100487608 \h </w:instrText>
      </w:r>
      <w:r>
        <w:rPr>
          <w:sz w:val="24"/>
        </w:rPr>
        <w:fldChar w:fldCharType="separate"/>
      </w:r>
      <w:r>
        <w:rPr>
          <w:sz w:val="24"/>
        </w:rPr>
        <w:t>132</w:t>
      </w:r>
      <w:r>
        <w:rPr>
          <w:sz w:val="24"/>
        </w:rPr>
        <w:fldChar w:fldCharType="end"/>
      </w:r>
      <w:r>
        <w:rPr>
          <w:rStyle w:val="53"/>
          <w:sz w:val="24"/>
        </w:rPr>
        <w:fldChar w:fldCharType="end"/>
      </w:r>
    </w:p>
    <w:p w14:paraId="37A523ED">
      <w:pPr>
        <w:pStyle w:val="36"/>
        <w:tabs>
          <w:tab w:val="right" w:leader="dot" w:pos="8296"/>
        </w:tabs>
        <w:spacing w:line="360" w:lineRule="auto"/>
        <w:rPr>
          <w:rFonts w:hint="eastAsia"/>
        </w:rPr>
        <w:sectPr>
          <w:headerReference r:id="rId3" w:type="default"/>
          <w:footerReference r:id="rId4" w:type="default"/>
          <w:pgSz w:w="11906" w:h="16838"/>
          <w:pgMar w:top="1418" w:right="1247" w:bottom="1418" w:left="1588" w:header="851" w:footer="992" w:gutter="0"/>
          <w:pgNumType w:fmt="decimal" w:start="1"/>
          <w:cols w:space="720" w:num="1"/>
          <w:titlePg/>
          <w:docGrid w:type="linesAndChars" w:linePitch="312" w:charSpace="0"/>
        </w:sectPr>
      </w:pPr>
      <w:r>
        <w:rPr>
          <w:rFonts w:ascii="宋体" w:hAnsi="宋体"/>
          <w:sz w:val="24"/>
        </w:rPr>
        <w:fldChar w:fldCharType="end"/>
      </w:r>
    </w:p>
    <w:p w14:paraId="464A2785">
      <w:pPr>
        <w:pStyle w:val="3"/>
        <w:pageBreakBefore w:val="0"/>
        <w:kinsoku/>
        <w:wordWrap/>
        <w:overflowPunct/>
        <w:topLinePunct w:val="0"/>
        <w:autoSpaceDE/>
        <w:autoSpaceDN/>
        <w:bidi w:val="0"/>
        <w:adjustRightInd/>
        <w:spacing w:before="0" w:after="0" w:line="336" w:lineRule="auto"/>
        <w:jc w:val="center"/>
        <w:textAlignment w:val="auto"/>
        <w:rPr>
          <w:rFonts w:hint="eastAsia" w:ascii="黑体" w:hAnsi="黑体" w:eastAsia="黑体"/>
          <w:b/>
          <w:bCs/>
          <w:sz w:val="32"/>
        </w:rPr>
      </w:pPr>
      <w:bookmarkStart w:id="2" w:name="_Toc100487467"/>
      <w:bookmarkStart w:id="3" w:name="_Toc144974479"/>
      <w:bookmarkStart w:id="4" w:name="_Toc152045511"/>
      <w:bookmarkStart w:id="5" w:name="_Toc152042287"/>
      <w:r>
        <w:rPr>
          <w:rFonts w:hint="eastAsia" w:ascii="黑体" w:hAnsi="黑体" w:eastAsia="黑体"/>
          <w:b/>
          <w:bCs/>
          <w:sz w:val="32"/>
        </w:rPr>
        <w:t>第一章   招标公告</w:t>
      </w:r>
      <w:bookmarkEnd w:id="2"/>
    </w:p>
    <w:bookmarkEnd w:id="3"/>
    <w:bookmarkEnd w:id="4"/>
    <w:bookmarkEnd w:id="5"/>
    <w:p w14:paraId="75991F2C">
      <w:bookmarkStart w:id="6" w:name="OLE_LINK10"/>
      <w:bookmarkStart w:id="7" w:name="OLE_LINK9"/>
    </w:p>
    <w:p w14:paraId="2A0EDFDE">
      <w:pPr>
        <w:pageBreakBefore w:val="0"/>
        <w:kinsoku/>
        <w:wordWrap/>
        <w:overflowPunct/>
        <w:topLinePunct w:val="0"/>
        <w:autoSpaceDE/>
        <w:autoSpaceDN/>
        <w:bidi w:val="0"/>
        <w:adjustRightInd/>
        <w:spacing w:line="360" w:lineRule="auto"/>
        <w:jc w:val="center"/>
        <w:textAlignment w:val="auto"/>
        <w:rPr>
          <w:rFonts w:hint="eastAsia" w:ascii="宋体" w:hAnsi="宋体" w:eastAsia="宋体"/>
          <w:b/>
          <w:sz w:val="36"/>
          <w:szCs w:val="36"/>
          <w:lang w:eastAsia="zh-CN"/>
        </w:rPr>
      </w:pPr>
      <w:bookmarkStart w:id="8" w:name="OLE_LINK5"/>
      <w:r>
        <w:rPr>
          <w:rFonts w:hint="eastAsia" w:ascii="宋体" w:hAnsi="宋体"/>
          <w:b/>
          <w:sz w:val="36"/>
          <w:szCs w:val="36"/>
          <w:lang w:eastAsia="zh-CN"/>
        </w:rPr>
        <w:t>太康县2024年第二批农村公路建设项目</w:t>
      </w:r>
    </w:p>
    <w:p w14:paraId="3008D3E5">
      <w:pPr>
        <w:pageBreakBefore w:val="0"/>
        <w:kinsoku/>
        <w:wordWrap/>
        <w:overflowPunct/>
        <w:topLinePunct w:val="0"/>
        <w:autoSpaceDE/>
        <w:autoSpaceDN/>
        <w:bidi w:val="0"/>
        <w:adjustRightInd/>
        <w:spacing w:line="360" w:lineRule="auto"/>
        <w:jc w:val="center"/>
        <w:textAlignment w:val="auto"/>
        <w:rPr>
          <w:rFonts w:hint="eastAsia" w:ascii="宋体" w:hAnsi="宋体"/>
          <w:b/>
          <w:sz w:val="24"/>
        </w:rPr>
      </w:pPr>
      <w:bookmarkStart w:id="9" w:name="OLE_LINK1"/>
      <w:bookmarkStart w:id="10" w:name="OLE_LINK6"/>
      <w:bookmarkStart w:id="11" w:name="OLE_LINK2"/>
      <w:bookmarkStart w:id="12" w:name="OLE_LINK3"/>
      <w:bookmarkStart w:id="13" w:name="OLE_LINK8"/>
      <w:bookmarkStart w:id="14" w:name="OLE_LINK4"/>
      <w:r>
        <w:rPr>
          <w:rFonts w:hint="eastAsia" w:ascii="宋体" w:hAnsi="宋体" w:eastAsia="宋体" w:cs="Times New Roman"/>
          <w:b/>
          <w:sz w:val="36"/>
          <w:szCs w:val="36"/>
          <w:lang w:eastAsia="zh-CN"/>
        </w:rPr>
        <w:t>招标公告</w:t>
      </w:r>
      <w:bookmarkEnd w:id="9"/>
      <w:bookmarkStart w:id="15" w:name="OLE_LINK7"/>
    </w:p>
    <w:bookmarkEnd w:id="8"/>
    <w:bookmarkEnd w:id="10"/>
    <w:bookmarkEnd w:id="11"/>
    <w:bookmarkEnd w:id="12"/>
    <w:bookmarkEnd w:id="13"/>
    <w:bookmarkEnd w:id="14"/>
    <w:bookmarkEnd w:id="15"/>
    <w:p w14:paraId="7455B377">
      <w:pPr>
        <w:keepNext w:val="0"/>
        <w:keepLines w:val="0"/>
        <w:pageBreakBefore w:val="0"/>
        <w:kinsoku/>
        <w:wordWrap/>
        <w:overflowPunct/>
        <w:topLinePunct w:val="0"/>
        <w:autoSpaceDE/>
        <w:autoSpaceDN/>
        <w:bidi w:val="0"/>
        <w:adjustRightInd/>
        <w:spacing w:line="480" w:lineRule="exact"/>
        <w:jc w:val="left"/>
        <w:textAlignment w:val="auto"/>
        <w:rPr>
          <w:rFonts w:ascii="宋体" w:hAnsi="宋体"/>
          <w:spacing w:val="0"/>
          <w:sz w:val="21"/>
          <w:szCs w:val="21"/>
          <w:highlight w:val="none"/>
        </w:rPr>
      </w:pPr>
      <w:r>
        <w:rPr>
          <w:rFonts w:hint="eastAsia" w:ascii="黑体" w:hAnsi="黑体" w:eastAsia="黑体" w:cs="黑体"/>
          <w:b/>
          <w:spacing w:val="0"/>
          <w:sz w:val="21"/>
          <w:szCs w:val="21"/>
        </w:rPr>
        <w:t>1</w:t>
      </w:r>
      <w:r>
        <w:rPr>
          <w:rFonts w:hint="eastAsia" w:ascii="宋体" w:hAnsi="宋体" w:eastAsia="黑体"/>
          <w:b/>
          <w:spacing w:val="0"/>
          <w:sz w:val="21"/>
          <w:szCs w:val="21"/>
          <w:lang w:eastAsia="zh-CN"/>
        </w:rPr>
        <w:t>、</w:t>
      </w:r>
      <w:r>
        <w:rPr>
          <w:rFonts w:ascii="宋体" w:hAnsi="宋体"/>
          <w:b/>
          <w:spacing w:val="0"/>
          <w:sz w:val="21"/>
          <w:szCs w:val="21"/>
        </w:rPr>
        <w:t xml:space="preserve"> </w:t>
      </w:r>
      <w:r>
        <w:rPr>
          <w:rFonts w:hint="eastAsia" w:ascii="宋体" w:hAnsi="宋体"/>
          <w:b/>
          <w:spacing w:val="0"/>
          <w:sz w:val="21"/>
          <w:szCs w:val="21"/>
        </w:rPr>
        <w:t>招标条件</w:t>
      </w:r>
    </w:p>
    <w:p w14:paraId="3BF2A86D">
      <w:pPr>
        <w:keepNext w:val="0"/>
        <w:keepLines w:val="0"/>
        <w:pageBreakBefore w:val="0"/>
        <w:kinsoku/>
        <w:wordWrap/>
        <w:overflowPunct/>
        <w:topLinePunct w:val="0"/>
        <w:autoSpaceDE/>
        <w:autoSpaceDN/>
        <w:bidi w:val="0"/>
        <w:adjustRightInd/>
        <w:spacing w:line="480" w:lineRule="exact"/>
        <w:ind w:firstLine="420" w:firstLineChars="200"/>
        <w:jc w:val="left"/>
        <w:textAlignment w:val="auto"/>
        <w:rPr>
          <w:rFonts w:ascii="宋体" w:hAnsi="宋体"/>
          <w:spacing w:val="0"/>
          <w:sz w:val="21"/>
          <w:szCs w:val="21"/>
          <w:highlight w:val="none"/>
        </w:rPr>
      </w:pPr>
      <w:r>
        <w:rPr>
          <w:rFonts w:hint="eastAsia" w:ascii="宋体" w:hAnsi="宋体"/>
          <w:spacing w:val="0"/>
          <w:sz w:val="21"/>
          <w:szCs w:val="21"/>
          <w:highlight w:val="none"/>
        </w:rPr>
        <w:t>本招标项目</w:t>
      </w:r>
      <w:r>
        <w:rPr>
          <w:rFonts w:hint="eastAsia" w:ascii="宋体" w:hAnsi="宋体"/>
          <w:spacing w:val="0"/>
          <w:sz w:val="21"/>
          <w:szCs w:val="21"/>
          <w:highlight w:val="none"/>
          <w:lang w:eastAsia="zh-CN"/>
        </w:rPr>
        <w:t>太康县2024年第二批农村公路建设项目</w:t>
      </w:r>
      <w:r>
        <w:rPr>
          <w:rFonts w:hint="eastAsia" w:ascii="宋体" w:hAnsi="宋体"/>
          <w:spacing w:val="0"/>
          <w:sz w:val="21"/>
          <w:szCs w:val="21"/>
          <w:highlight w:val="none"/>
        </w:rPr>
        <w:t>已由太康县发展和改革委员会以太发改审字【2024】1</w:t>
      </w:r>
      <w:r>
        <w:rPr>
          <w:rFonts w:hint="eastAsia" w:ascii="宋体" w:hAnsi="宋体"/>
          <w:spacing w:val="0"/>
          <w:sz w:val="21"/>
          <w:szCs w:val="21"/>
          <w:highlight w:val="none"/>
          <w:lang w:val="en-US" w:eastAsia="zh-CN"/>
        </w:rPr>
        <w:t>75</w:t>
      </w:r>
      <w:r>
        <w:rPr>
          <w:rFonts w:hint="eastAsia" w:ascii="宋体" w:hAnsi="宋体"/>
          <w:spacing w:val="0"/>
          <w:sz w:val="21"/>
          <w:szCs w:val="21"/>
          <w:highlight w:val="none"/>
        </w:rPr>
        <w:t>号文批准建设，</w:t>
      </w:r>
      <w:r>
        <w:rPr>
          <w:rFonts w:hint="eastAsia" w:ascii="宋体" w:hAnsi="宋体"/>
          <w:spacing w:val="0"/>
          <w:sz w:val="21"/>
          <w:szCs w:val="21"/>
          <w:highlight w:val="none"/>
          <w:lang w:val="en-US" w:eastAsia="zh-CN"/>
        </w:rPr>
        <w:t>项目代码：2408-411627-04-01-649651，招标人为太康县交通运输局，建设资金来源为省补助资金和县财政配套，出资比例为100%。项目已具备招标条件，现对该项目的施工、监理进行公开招标。</w:t>
      </w:r>
    </w:p>
    <w:p w14:paraId="485B87A3">
      <w:pPr>
        <w:keepNext w:val="0"/>
        <w:keepLines w:val="0"/>
        <w:pageBreakBefore w:val="0"/>
        <w:kinsoku/>
        <w:wordWrap/>
        <w:overflowPunct/>
        <w:topLinePunct w:val="0"/>
        <w:autoSpaceDE/>
        <w:autoSpaceDN/>
        <w:bidi w:val="0"/>
        <w:adjustRightInd/>
        <w:spacing w:line="480" w:lineRule="exact"/>
        <w:jc w:val="left"/>
        <w:textAlignment w:val="auto"/>
        <w:rPr>
          <w:rFonts w:ascii="宋体" w:hAnsi="宋体"/>
          <w:b/>
          <w:spacing w:val="0"/>
          <w:sz w:val="21"/>
          <w:szCs w:val="21"/>
          <w:highlight w:val="none"/>
        </w:rPr>
      </w:pPr>
      <w:r>
        <w:rPr>
          <w:rFonts w:hint="eastAsia" w:ascii="黑体" w:hAnsi="黑体" w:eastAsia="黑体" w:cs="黑体"/>
          <w:b/>
          <w:spacing w:val="0"/>
          <w:sz w:val="21"/>
          <w:szCs w:val="21"/>
          <w:highlight w:val="none"/>
          <w:lang w:val="en-US" w:eastAsia="zh-CN"/>
        </w:rPr>
        <w:t>2、</w:t>
      </w:r>
      <w:r>
        <w:rPr>
          <w:rFonts w:hint="eastAsia" w:ascii="宋体" w:hAnsi="宋体"/>
          <w:b/>
          <w:spacing w:val="0"/>
          <w:sz w:val="21"/>
          <w:szCs w:val="21"/>
          <w:highlight w:val="none"/>
        </w:rPr>
        <w:t>项目概况与招标范围</w:t>
      </w:r>
    </w:p>
    <w:p w14:paraId="0DCF9454">
      <w:pPr>
        <w:keepNext w:val="0"/>
        <w:keepLines w:val="0"/>
        <w:pageBreakBefore w:val="0"/>
        <w:kinsoku/>
        <w:wordWrap/>
        <w:overflowPunct/>
        <w:topLinePunct w:val="0"/>
        <w:autoSpaceDE/>
        <w:autoSpaceDN/>
        <w:bidi w:val="0"/>
        <w:adjustRightInd/>
        <w:spacing w:line="480" w:lineRule="exact"/>
        <w:ind w:firstLine="420" w:firstLineChars="200"/>
        <w:jc w:val="left"/>
        <w:textAlignment w:val="auto"/>
        <w:rPr>
          <w:rFonts w:hint="eastAsia" w:ascii="宋体" w:hAnsi="宋体"/>
          <w:spacing w:val="0"/>
          <w:sz w:val="21"/>
          <w:szCs w:val="21"/>
          <w:highlight w:val="none"/>
        </w:rPr>
      </w:pPr>
      <w:r>
        <w:rPr>
          <w:rFonts w:ascii="宋体" w:hAnsi="宋体"/>
          <w:spacing w:val="0"/>
          <w:sz w:val="21"/>
          <w:szCs w:val="21"/>
          <w:highlight w:val="none"/>
        </w:rPr>
        <w:t>2.</w:t>
      </w:r>
      <w:r>
        <w:rPr>
          <w:rFonts w:hint="eastAsia" w:ascii="宋体" w:hAnsi="宋体"/>
          <w:spacing w:val="0"/>
          <w:sz w:val="21"/>
          <w:szCs w:val="21"/>
          <w:highlight w:val="none"/>
          <w:lang w:val="en-US" w:eastAsia="zh-CN"/>
        </w:rPr>
        <w:t>1</w:t>
      </w:r>
      <w:r>
        <w:rPr>
          <w:rFonts w:ascii="宋体" w:hAnsi="宋体"/>
          <w:spacing w:val="0"/>
          <w:sz w:val="21"/>
          <w:szCs w:val="21"/>
          <w:highlight w:val="none"/>
        </w:rPr>
        <w:t xml:space="preserve"> </w:t>
      </w:r>
      <w:r>
        <w:rPr>
          <w:rFonts w:hint="eastAsia" w:ascii="宋体" w:hAnsi="宋体"/>
          <w:spacing w:val="0"/>
          <w:sz w:val="21"/>
          <w:szCs w:val="21"/>
          <w:highlight w:val="none"/>
        </w:rPr>
        <w:t>建设地点：</w:t>
      </w:r>
      <w:r>
        <w:rPr>
          <w:rFonts w:hint="eastAsia" w:ascii="宋体" w:hAnsi="宋体"/>
          <w:spacing w:val="0"/>
          <w:sz w:val="21"/>
          <w:szCs w:val="21"/>
          <w:highlight w:val="none"/>
          <w:lang w:val="en-US" w:eastAsia="zh-CN"/>
        </w:rPr>
        <w:t>太康</w:t>
      </w:r>
      <w:r>
        <w:rPr>
          <w:rFonts w:hint="eastAsia" w:ascii="宋体" w:hAnsi="宋体"/>
          <w:spacing w:val="0"/>
          <w:sz w:val="21"/>
          <w:szCs w:val="21"/>
          <w:highlight w:val="none"/>
        </w:rPr>
        <w:t>县境内。</w:t>
      </w:r>
    </w:p>
    <w:p w14:paraId="6057B37D">
      <w:pPr>
        <w:keepNext w:val="0"/>
        <w:keepLines w:val="0"/>
        <w:pageBreakBefore w:val="0"/>
        <w:kinsoku/>
        <w:wordWrap/>
        <w:overflowPunct/>
        <w:topLinePunct w:val="0"/>
        <w:autoSpaceDE/>
        <w:autoSpaceDN/>
        <w:bidi w:val="0"/>
        <w:adjustRightInd/>
        <w:spacing w:line="480" w:lineRule="exact"/>
        <w:ind w:firstLine="420" w:firstLineChars="200"/>
        <w:jc w:val="left"/>
        <w:textAlignment w:val="auto"/>
        <w:rPr>
          <w:rFonts w:hint="eastAsia" w:ascii="宋体" w:hAnsi="宋体" w:eastAsia="宋体"/>
          <w:spacing w:val="0"/>
          <w:sz w:val="21"/>
          <w:szCs w:val="21"/>
          <w:highlight w:val="none"/>
          <w:lang w:val="en-US" w:eastAsia="zh-CN"/>
        </w:rPr>
      </w:pPr>
      <w:r>
        <w:rPr>
          <w:rFonts w:ascii="宋体" w:hAnsi="宋体"/>
          <w:spacing w:val="0"/>
          <w:sz w:val="21"/>
          <w:szCs w:val="21"/>
          <w:highlight w:val="none"/>
        </w:rPr>
        <w:t>2.</w:t>
      </w:r>
      <w:r>
        <w:rPr>
          <w:rFonts w:hint="eastAsia" w:ascii="宋体" w:hAnsi="宋体"/>
          <w:spacing w:val="0"/>
          <w:sz w:val="21"/>
          <w:szCs w:val="21"/>
          <w:highlight w:val="none"/>
          <w:lang w:val="en-US" w:eastAsia="zh-CN"/>
        </w:rPr>
        <w:t>2</w:t>
      </w:r>
      <w:r>
        <w:rPr>
          <w:rFonts w:ascii="宋体" w:hAnsi="宋体"/>
          <w:spacing w:val="0"/>
          <w:sz w:val="21"/>
          <w:szCs w:val="21"/>
          <w:highlight w:val="none"/>
        </w:rPr>
        <w:t xml:space="preserve"> </w:t>
      </w:r>
      <w:r>
        <w:rPr>
          <w:rFonts w:hint="eastAsia" w:ascii="宋体" w:hAnsi="宋体"/>
          <w:spacing w:val="0"/>
          <w:sz w:val="21"/>
          <w:szCs w:val="21"/>
          <w:highlight w:val="none"/>
        </w:rPr>
        <w:t>项目总投资：约</w:t>
      </w:r>
      <w:r>
        <w:rPr>
          <w:rFonts w:hint="eastAsia" w:ascii="宋体" w:hAnsi="宋体"/>
          <w:spacing w:val="0"/>
          <w:sz w:val="21"/>
          <w:szCs w:val="21"/>
          <w:highlight w:val="none"/>
          <w:lang w:val="en-US" w:eastAsia="zh-CN"/>
        </w:rPr>
        <w:t>2941.44</w:t>
      </w:r>
      <w:r>
        <w:rPr>
          <w:rFonts w:hint="eastAsia" w:ascii="宋体" w:hAnsi="宋体"/>
          <w:spacing w:val="0"/>
          <w:sz w:val="21"/>
          <w:szCs w:val="21"/>
          <w:highlight w:val="none"/>
        </w:rPr>
        <w:t>万元</w:t>
      </w:r>
      <w:r>
        <w:rPr>
          <w:rFonts w:hint="eastAsia" w:ascii="宋体" w:hAnsi="宋体"/>
          <w:spacing w:val="0"/>
          <w:sz w:val="21"/>
          <w:szCs w:val="21"/>
          <w:highlight w:val="none"/>
          <w:lang w:eastAsia="zh-CN"/>
        </w:rPr>
        <w:t>。</w:t>
      </w:r>
    </w:p>
    <w:p w14:paraId="335D0A13">
      <w:pPr>
        <w:keepNext w:val="0"/>
        <w:keepLines w:val="0"/>
        <w:pageBreakBefore w:val="0"/>
        <w:kinsoku/>
        <w:wordWrap/>
        <w:overflowPunct/>
        <w:topLinePunct w:val="0"/>
        <w:autoSpaceDE/>
        <w:autoSpaceDN/>
        <w:bidi w:val="0"/>
        <w:adjustRightInd/>
        <w:spacing w:line="480" w:lineRule="exact"/>
        <w:ind w:firstLine="420" w:firstLineChars="200"/>
        <w:jc w:val="left"/>
        <w:textAlignment w:val="auto"/>
        <w:rPr>
          <w:rFonts w:hint="eastAsia" w:ascii="宋体" w:hAnsi="宋体"/>
          <w:spacing w:val="0"/>
          <w:sz w:val="21"/>
          <w:szCs w:val="21"/>
          <w:highlight w:val="none"/>
        </w:rPr>
      </w:pPr>
      <w:r>
        <w:rPr>
          <w:rFonts w:ascii="宋体" w:hAnsi="宋体"/>
          <w:spacing w:val="0"/>
          <w:sz w:val="21"/>
          <w:szCs w:val="21"/>
          <w:highlight w:val="none"/>
        </w:rPr>
        <w:t>2.</w:t>
      </w:r>
      <w:r>
        <w:rPr>
          <w:rFonts w:hint="eastAsia" w:ascii="宋体" w:hAnsi="宋体"/>
          <w:spacing w:val="0"/>
          <w:sz w:val="21"/>
          <w:szCs w:val="21"/>
          <w:highlight w:val="none"/>
          <w:lang w:val="en-US" w:eastAsia="zh-CN"/>
        </w:rPr>
        <w:t>3</w:t>
      </w:r>
      <w:r>
        <w:rPr>
          <w:rFonts w:ascii="宋体" w:hAnsi="宋体"/>
          <w:spacing w:val="0"/>
          <w:sz w:val="21"/>
          <w:szCs w:val="21"/>
          <w:highlight w:val="none"/>
        </w:rPr>
        <w:t xml:space="preserve"> </w:t>
      </w:r>
      <w:r>
        <w:rPr>
          <w:rFonts w:hint="eastAsia" w:ascii="宋体" w:hAnsi="宋体"/>
          <w:spacing w:val="0"/>
          <w:sz w:val="21"/>
          <w:szCs w:val="21"/>
          <w:highlight w:val="none"/>
        </w:rPr>
        <w:t>计划工期：</w:t>
      </w:r>
      <w:r>
        <w:rPr>
          <w:rFonts w:hint="eastAsia" w:ascii="宋体" w:hAnsi="宋体"/>
          <w:spacing w:val="0"/>
          <w:sz w:val="21"/>
          <w:szCs w:val="21"/>
          <w:highlight w:val="none"/>
          <w:lang w:val="en-US" w:eastAsia="zh-CN"/>
        </w:rPr>
        <w:t>90</w:t>
      </w:r>
      <w:r>
        <w:rPr>
          <w:rFonts w:hint="eastAsia" w:ascii="宋体" w:hAnsi="宋体"/>
          <w:spacing w:val="0"/>
          <w:sz w:val="21"/>
          <w:szCs w:val="21"/>
          <w:highlight w:val="none"/>
        </w:rPr>
        <w:t>日历天。</w:t>
      </w:r>
    </w:p>
    <w:p w14:paraId="7608FD8D">
      <w:pPr>
        <w:pStyle w:val="60"/>
        <w:keepNext w:val="0"/>
        <w:keepLines w:val="0"/>
        <w:pageBreakBefore w:val="0"/>
        <w:kinsoku/>
        <w:wordWrap/>
        <w:overflowPunct/>
        <w:topLinePunct w:val="0"/>
        <w:autoSpaceDE/>
        <w:autoSpaceDN/>
        <w:bidi w:val="0"/>
        <w:adjustRightInd/>
        <w:spacing w:line="480" w:lineRule="exact"/>
        <w:textAlignment w:val="auto"/>
        <w:rPr>
          <w:rFonts w:hint="default" w:eastAsia="宋体"/>
          <w:spacing w:val="0"/>
          <w:sz w:val="21"/>
          <w:szCs w:val="21"/>
          <w:lang w:val="en-US" w:eastAsia="zh-CN"/>
        </w:rPr>
      </w:pPr>
      <w:r>
        <w:rPr>
          <w:rFonts w:hint="eastAsia" w:ascii="宋体" w:hAnsi="宋体"/>
          <w:spacing w:val="0"/>
          <w:sz w:val="21"/>
          <w:szCs w:val="21"/>
          <w:highlight w:val="none"/>
          <w:lang w:val="en-US" w:eastAsia="zh-CN"/>
        </w:rPr>
        <w:t xml:space="preserve">    2.4 质量要求：合格</w:t>
      </w:r>
    </w:p>
    <w:p w14:paraId="0ADB9925">
      <w:pPr>
        <w:keepNext w:val="0"/>
        <w:keepLines w:val="0"/>
        <w:pageBreakBefore w:val="0"/>
        <w:kinsoku/>
        <w:wordWrap/>
        <w:overflowPunct/>
        <w:topLinePunct w:val="0"/>
        <w:autoSpaceDE/>
        <w:autoSpaceDN/>
        <w:bidi w:val="0"/>
        <w:adjustRightInd/>
        <w:spacing w:line="480" w:lineRule="exact"/>
        <w:ind w:firstLine="420" w:firstLineChars="200"/>
        <w:jc w:val="left"/>
        <w:textAlignment w:val="auto"/>
        <w:rPr>
          <w:rFonts w:hint="eastAsia" w:ascii="宋体" w:hAnsi="宋体"/>
          <w:spacing w:val="0"/>
          <w:sz w:val="21"/>
          <w:szCs w:val="21"/>
          <w:highlight w:val="none"/>
          <w:lang w:eastAsia="zh-CN"/>
        </w:rPr>
      </w:pPr>
      <w:r>
        <w:rPr>
          <w:rFonts w:ascii="宋体" w:hAnsi="宋体"/>
          <w:spacing w:val="0"/>
          <w:sz w:val="21"/>
          <w:szCs w:val="21"/>
          <w:highlight w:val="none"/>
        </w:rPr>
        <w:t xml:space="preserve">2.5 </w:t>
      </w:r>
      <w:r>
        <w:rPr>
          <w:rFonts w:hint="eastAsia" w:ascii="宋体" w:hAnsi="宋体"/>
          <w:spacing w:val="0"/>
          <w:sz w:val="21"/>
          <w:szCs w:val="21"/>
          <w:highlight w:val="none"/>
        </w:rPr>
        <w:t>招标范围：工程量清单包含的</w:t>
      </w:r>
      <w:r>
        <w:rPr>
          <w:rFonts w:hint="eastAsia" w:ascii="宋体" w:hAnsi="宋体"/>
          <w:spacing w:val="0"/>
          <w:sz w:val="21"/>
          <w:szCs w:val="21"/>
          <w:highlight w:val="none"/>
          <w:lang w:val="en-US" w:eastAsia="zh-CN"/>
        </w:rPr>
        <w:t>全部</w:t>
      </w:r>
      <w:r>
        <w:rPr>
          <w:rFonts w:hint="eastAsia" w:ascii="宋体" w:hAnsi="宋体"/>
          <w:spacing w:val="0"/>
          <w:sz w:val="21"/>
          <w:szCs w:val="21"/>
          <w:highlight w:val="none"/>
        </w:rPr>
        <w:t>内容</w:t>
      </w:r>
      <w:r>
        <w:rPr>
          <w:rFonts w:hint="eastAsia" w:ascii="宋体" w:hAnsi="宋体"/>
          <w:spacing w:val="0"/>
          <w:sz w:val="21"/>
          <w:szCs w:val="21"/>
          <w:highlight w:val="none"/>
          <w:lang w:eastAsia="zh-CN"/>
        </w:rPr>
        <w:t>、</w:t>
      </w:r>
      <w:r>
        <w:rPr>
          <w:rFonts w:hint="eastAsia" w:ascii="宋体" w:hAnsi="宋体"/>
          <w:spacing w:val="0"/>
          <w:sz w:val="21"/>
          <w:szCs w:val="21"/>
          <w:highlight w:val="none"/>
        </w:rPr>
        <w:t>本项目施工及保修</w:t>
      </w:r>
      <w:r>
        <w:rPr>
          <w:rFonts w:hint="eastAsia" w:ascii="宋体" w:hAnsi="宋体"/>
          <w:spacing w:val="0"/>
          <w:sz w:val="21"/>
          <w:szCs w:val="21"/>
          <w:highlight w:val="none"/>
          <w:lang w:val="en-US" w:eastAsia="zh-CN"/>
        </w:rPr>
        <w:t xml:space="preserve"> </w:t>
      </w:r>
      <w:r>
        <w:rPr>
          <w:rFonts w:hint="eastAsia" w:ascii="宋体" w:hAnsi="宋体"/>
          <w:spacing w:val="0"/>
          <w:sz w:val="21"/>
          <w:szCs w:val="21"/>
          <w:highlight w:val="none"/>
        </w:rPr>
        <w:t>阶段全过程监理。</w:t>
      </w:r>
    </w:p>
    <w:p w14:paraId="6CA6AC12">
      <w:pPr>
        <w:keepNext w:val="0"/>
        <w:keepLines w:val="0"/>
        <w:pageBreakBefore w:val="0"/>
        <w:kinsoku/>
        <w:wordWrap/>
        <w:overflowPunct/>
        <w:topLinePunct w:val="0"/>
        <w:autoSpaceDE/>
        <w:autoSpaceDN/>
        <w:bidi w:val="0"/>
        <w:adjustRightInd/>
        <w:spacing w:line="480" w:lineRule="exact"/>
        <w:ind w:firstLine="420" w:firstLineChars="200"/>
        <w:jc w:val="left"/>
        <w:textAlignment w:val="auto"/>
        <w:rPr>
          <w:rFonts w:hint="eastAsia" w:ascii="宋体" w:hAnsi="宋体"/>
          <w:spacing w:val="0"/>
          <w:sz w:val="21"/>
          <w:szCs w:val="21"/>
          <w:highlight w:val="none"/>
        </w:rPr>
      </w:pPr>
      <w:r>
        <w:rPr>
          <w:rFonts w:ascii="宋体" w:hAnsi="宋体"/>
          <w:spacing w:val="0"/>
          <w:sz w:val="21"/>
          <w:szCs w:val="21"/>
          <w:highlight w:val="none"/>
        </w:rPr>
        <w:t xml:space="preserve">2.6 </w:t>
      </w:r>
      <w:r>
        <w:rPr>
          <w:rFonts w:hint="eastAsia" w:ascii="宋体" w:hAnsi="宋体"/>
          <w:spacing w:val="0"/>
          <w:sz w:val="21"/>
          <w:szCs w:val="21"/>
          <w:highlight w:val="none"/>
        </w:rPr>
        <w:t>标段划分：本项目共划分为</w:t>
      </w:r>
      <w:r>
        <w:rPr>
          <w:rFonts w:hint="eastAsia" w:ascii="宋体" w:hAnsi="宋体"/>
          <w:spacing w:val="0"/>
          <w:sz w:val="21"/>
          <w:szCs w:val="21"/>
          <w:highlight w:val="none"/>
          <w:lang w:val="en-US" w:eastAsia="zh-CN"/>
        </w:rPr>
        <w:t>4</w:t>
      </w:r>
      <w:r>
        <w:rPr>
          <w:rFonts w:hint="eastAsia" w:ascii="宋体" w:hAnsi="宋体"/>
          <w:spacing w:val="0"/>
          <w:sz w:val="21"/>
          <w:szCs w:val="21"/>
          <w:highlight w:val="none"/>
        </w:rPr>
        <w:t>个标段，具体划分为：</w:t>
      </w:r>
    </w:p>
    <w:p w14:paraId="00FC3F49">
      <w:pPr>
        <w:keepNext w:val="0"/>
        <w:keepLines w:val="0"/>
        <w:pageBreakBefore w:val="0"/>
        <w:kinsoku/>
        <w:wordWrap/>
        <w:overflowPunct/>
        <w:topLinePunct w:val="0"/>
        <w:autoSpaceDE/>
        <w:autoSpaceDN/>
        <w:bidi w:val="0"/>
        <w:adjustRightInd/>
        <w:spacing w:line="480" w:lineRule="exact"/>
        <w:ind w:leftChars="100" w:firstLine="420" w:firstLineChars="200"/>
        <w:jc w:val="left"/>
        <w:textAlignment w:val="auto"/>
        <w:rPr>
          <w:rFonts w:hint="eastAsia" w:ascii="宋体" w:hAnsi="宋体"/>
          <w:b/>
          <w:bCs/>
          <w:spacing w:val="0"/>
          <w:sz w:val="21"/>
          <w:szCs w:val="21"/>
          <w:highlight w:val="none"/>
        </w:rPr>
      </w:pPr>
      <w:r>
        <w:rPr>
          <w:rFonts w:hint="eastAsia" w:ascii="宋体" w:hAnsi="宋体"/>
          <w:b/>
          <w:bCs/>
          <w:spacing w:val="0"/>
          <w:sz w:val="21"/>
          <w:szCs w:val="21"/>
          <w:highlight w:val="none"/>
        </w:rPr>
        <w:t>1</w:t>
      </w:r>
      <w:r>
        <w:rPr>
          <w:rFonts w:hint="eastAsia" w:ascii="宋体" w:hAnsi="宋体"/>
          <w:b/>
          <w:bCs/>
          <w:spacing w:val="0"/>
          <w:sz w:val="21"/>
          <w:szCs w:val="21"/>
          <w:highlight w:val="none"/>
          <w:lang w:val="en-US" w:eastAsia="zh-CN"/>
        </w:rPr>
        <w:t>-3</w:t>
      </w:r>
      <w:r>
        <w:rPr>
          <w:rFonts w:hint="eastAsia" w:ascii="宋体" w:hAnsi="宋体"/>
          <w:b/>
          <w:bCs/>
          <w:spacing w:val="0"/>
          <w:sz w:val="21"/>
          <w:szCs w:val="21"/>
          <w:highlight w:val="none"/>
        </w:rPr>
        <w:t>标段：施工标；</w:t>
      </w:r>
    </w:p>
    <w:p w14:paraId="2A6FC515">
      <w:pPr>
        <w:keepNext w:val="0"/>
        <w:keepLines w:val="0"/>
        <w:pageBreakBefore w:val="0"/>
        <w:kinsoku/>
        <w:wordWrap/>
        <w:overflowPunct/>
        <w:topLinePunct w:val="0"/>
        <w:autoSpaceDE/>
        <w:autoSpaceDN/>
        <w:bidi w:val="0"/>
        <w:adjustRightInd/>
        <w:spacing w:line="480" w:lineRule="exact"/>
        <w:ind w:leftChars="100" w:firstLine="420" w:firstLineChars="200"/>
        <w:jc w:val="left"/>
        <w:textAlignment w:val="auto"/>
        <w:rPr>
          <w:rFonts w:hint="eastAsia"/>
          <w:spacing w:val="0"/>
          <w:sz w:val="21"/>
          <w:szCs w:val="21"/>
        </w:rPr>
      </w:pPr>
      <w:r>
        <w:rPr>
          <w:rFonts w:hint="eastAsia" w:ascii="宋体" w:hAnsi="宋体"/>
          <w:b/>
          <w:bCs/>
          <w:spacing w:val="0"/>
          <w:sz w:val="21"/>
          <w:szCs w:val="21"/>
          <w:highlight w:val="none"/>
          <w:lang w:val="en-US" w:eastAsia="zh-CN"/>
        </w:rPr>
        <w:t>4</w:t>
      </w:r>
      <w:r>
        <w:rPr>
          <w:rFonts w:hint="eastAsia" w:ascii="宋体" w:hAnsi="宋体"/>
          <w:b/>
          <w:bCs/>
          <w:spacing w:val="0"/>
          <w:sz w:val="21"/>
          <w:szCs w:val="21"/>
          <w:highlight w:val="none"/>
        </w:rPr>
        <w:t>标段：</w:t>
      </w:r>
      <w:r>
        <w:rPr>
          <w:rFonts w:hint="eastAsia" w:ascii="宋体" w:hAnsi="宋体"/>
          <w:b/>
          <w:bCs/>
          <w:spacing w:val="0"/>
          <w:sz w:val="21"/>
          <w:szCs w:val="21"/>
          <w:highlight w:val="none"/>
          <w:lang w:val="en-US" w:eastAsia="zh-CN"/>
        </w:rPr>
        <w:t>监理</w:t>
      </w:r>
      <w:r>
        <w:rPr>
          <w:rFonts w:hint="eastAsia" w:ascii="宋体" w:hAnsi="宋体"/>
          <w:b/>
          <w:bCs/>
          <w:spacing w:val="0"/>
          <w:sz w:val="21"/>
          <w:szCs w:val="21"/>
          <w:highlight w:val="none"/>
        </w:rPr>
        <w:t>标；</w:t>
      </w:r>
    </w:p>
    <w:p w14:paraId="729B31D3">
      <w:pPr>
        <w:keepNext w:val="0"/>
        <w:keepLines w:val="0"/>
        <w:pageBreakBefore w:val="0"/>
        <w:kinsoku/>
        <w:wordWrap/>
        <w:overflowPunct/>
        <w:topLinePunct w:val="0"/>
        <w:autoSpaceDE/>
        <w:autoSpaceDN/>
        <w:bidi w:val="0"/>
        <w:adjustRightInd/>
        <w:spacing w:line="480" w:lineRule="exact"/>
        <w:ind w:firstLine="420" w:firstLineChars="200"/>
        <w:jc w:val="left"/>
        <w:textAlignment w:val="auto"/>
        <w:rPr>
          <w:rFonts w:ascii="宋体" w:hAnsi="宋体"/>
          <w:spacing w:val="0"/>
          <w:sz w:val="21"/>
          <w:szCs w:val="21"/>
          <w:highlight w:val="none"/>
        </w:rPr>
      </w:pPr>
      <w:r>
        <w:rPr>
          <w:rFonts w:ascii="宋体" w:hAnsi="宋体"/>
          <w:spacing w:val="0"/>
          <w:sz w:val="21"/>
          <w:szCs w:val="21"/>
          <w:highlight w:val="none"/>
        </w:rPr>
        <w:t xml:space="preserve">2.7 </w:t>
      </w:r>
      <w:r>
        <w:rPr>
          <w:rFonts w:hint="eastAsia" w:ascii="宋体" w:hAnsi="宋体"/>
          <w:spacing w:val="0"/>
          <w:sz w:val="21"/>
          <w:szCs w:val="21"/>
          <w:highlight w:val="none"/>
        </w:rPr>
        <w:t>本次招标实行资格后审。</w:t>
      </w:r>
    </w:p>
    <w:p w14:paraId="20195D98">
      <w:pPr>
        <w:keepNext w:val="0"/>
        <w:keepLines w:val="0"/>
        <w:pageBreakBefore w:val="0"/>
        <w:kinsoku/>
        <w:wordWrap/>
        <w:overflowPunct/>
        <w:topLinePunct w:val="0"/>
        <w:autoSpaceDE/>
        <w:autoSpaceDN/>
        <w:bidi w:val="0"/>
        <w:adjustRightInd/>
        <w:spacing w:line="480" w:lineRule="exact"/>
        <w:ind w:firstLine="420" w:firstLineChars="200"/>
        <w:jc w:val="left"/>
        <w:textAlignment w:val="auto"/>
        <w:rPr>
          <w:rFonts w:ascii="宋体" w:hAnsi="宋体"/>
          <w:spacing w:val="0"/>
          <w:sz w:val="21"/>
          <w:szCs w:val="21"/>
          <w:highlight w:val="none"/>
        </w:rPr>
      </w:pPr>
      <w:r>
        <w:rPr>
          <w:rFonts w:ascii="宋体" w:hAnsi="宋体"/>
          <w:spacing w:val="0"/>
          <w:sz w:val="21"/>
          <w:szCs w:val="21"/>
          <w:highlight w:val="none"/>
        </w:rPr>
        <w:t xml:space="preserve">2.8 </w:t>
      </w:r>
      <w:r>
        <w:rPr>
          <w:rFonts w:hint="eastAsia" w:ascii="宋体" w:hAnsi="宋体"/>
          <w:spacing w:val="0"/>
          <w:sz w:val="21"/>
          <w:szCs w:val="21"/>
          <w:highlight w:val="none"/>
        </w:rPr>
        <w:t>本次招标实行电子招标。</w:t>
      </w:r>
    </w:p>
    <w:p w14:paraId="49941166">
      <w:pPr>
        <w:keepNext w:val="0"/>
        <w:keepLines w:val="0"/>
        <w:pageBreakBefore w:val="0"/>
        <w:kinsoku/>
        <w:wordWrap/>
        <w:overflowPunct/>
        <w:topLinePunct w:val="0"/>
        <w:autoSpaceDE/>
        <w:autoSpaceDN/>
        <w:bidi w:val="0"/>
        <w:adjustRightInd/>
        <w:spacing w:line="480" w:lineRule="exact"/>
        <w:jc w:val="left"/>
        <w:textAlignment w:val="auto"/>
        <w:rPr>
          <w:rFonts w:ascii="宋体" w:hAnsi="宋体"/>
          <w:b/>
          <w:spacing w:val="0"/>
          <w:sz w:val="21"/>
          <w:szCs w:val="21"/>
          <w:highlight w:val="none"/>
        </w:rPr>
      </w:pPr>
      <w:r>
        <w:rPr>
          <w:rFonts w:hint="eastAsia" w:ascii="黑体" w:hAnsi="黑体" w:eastAsia="黑体" w:cs="黑体"/>
          <w:b/>
          <w:spacing w:val="0"/>
          <w:sz w:val="21"/>
          <w:szCs w:val="21"/>
          <w:highlight w:val="none"/>
          <w:lang w:val="en-US" w:eastAsia="zh-CN"/>
        </w:rPr>
        <w:t>3、</w:t>
      </w:r>
      <w:r>
        <w:rPr>
          <w:rFonts w:hint="eastAsia" w:ascii="宋体" w:hAnsi="宋体"/>
          <w:b/>
          <w:spacing w:val="0"/>
          <w:sz w:val="21"/>
          <w:szCs w:val="21"/>
          <w:highlight w:val="none"/>
        </w:rPr>
        <w:t>投标人资格要求</w:t>
      </w:r>
    </w:p>
    <w:p w14:paraId="50C2AF46">
      <w:pPr>
        <w:keepNext w:val="0"/>
        <w:keepLines w:val="0"/>
        <w:pageBreakBefore w:val="0"/>
        <w:kinsoku/>
        <w:wordWrap/>
        <w:overflowPunct/>
        <w:topLinePunct w:val="0"/>
        <w:autoSpaceDE/>
        <w:autoSpaceDN/>
        <w:bidi w:val="0"/>
        <w:adjustRightInd/>
        <w:spacing w:line="480" w:lineRule="exact"/>
        <w:ind w:firstLine="420" w:firstLineChars="200"/>
        <w:jc w:val="left"/>
        <w:textAlignment w:val="auto"/>
        <w:rPr>
          <w:rFonts w:hint="default" w:ascii="宋体" w:hAnsi="宋体" w:eastAsia="宋体"/>
          <w:spacing w:val="0"/>
          <w:sz w:val="21"/>
          <w:szCs w:val="21"/>
          <w:highlight w:val="none"/>
          <w:lang w:val="en-US" w:eastAsia="zh-CN"/>
        </w:rPr>
      </w:pPr>
      <w:r>
        <w:rPr>
          <w:rFonts w:hint="eastAsia" w:ascii="黑体" w:hAnsi="黑体" w:eastAsia="黑体" w:cs="黑体"/>
          <w:spacing w:val="0"/>
          <w:sz w:val="21"/>
          <w:szCs w:val="21"/>
          <w:highlight w:val="none"/>
        </w:rPr>
        <w:t>3.1</w:t>
      </w:r>
      <w:r>
        <w:rPr>
          <w:rFonts w:hint="eastAsia" w:ascii="宋体" w:hAnsi="宋体"/>
          <w:spacing w:val="0"/>
          <w:sz w:val="21"/>
          <w:szCs w:val="21"/>
          <w:highlight w:val="none"/>
        </w:rPr>
        <w:t>本次招标要求：</w:t>
      </w:r>
    </w:p>
    <w:p w14:paraId="0E143DBF">
      <w:pPr>
        <w:keepNext w:val="0"/>
        <w:keepLines w:val="0"/>
        <w:pageBreakBefore w:val="0"/>
        <w:numPr>
          <w:ilvl w:val="0"/>
          <w:numId w:val="0"/>
        </w:numPr>
        <w:kinsoku/>
        <w:wordWrap/>
        <w:overflowPunct/>
        <w:topLinePunct w:val="0"/>
        <w:autoSpaceDE/>
        <w:autoSpaceDN/>
        <w:bidi w:val="0"/>
        <w:adjustRightInd/>
        <w:spacing w:line="480" w:lineRule="exact"/>
        <w:ind w:firstLine="420" w:firstLineChars="200"/>
        <w:jc w:val="left"/>
        <w:textAlignment w:val="auto"/>
        <w:rPr>
          <w:rFonts w:hint="eastAsia" w:ascii="宋体" w:hAnsi="宋体"/>
          <w:spacing w:val="0"/>
          <w:sz w:val="21"/>
          <w:szCs w:val="21"/>
          <w:highlight w:val="none"/>
          <w:lang w:eastAsia="zh-CN"/>
        </w:rPr>
      </w:pPr>
      <w:r>
        <w:rPr>
          <w:rFonts w:hint="eastAsia" w:ascii="宋体" w:hAnsi="宋体" w:eastAsia="宋体" w:cs="Times New Roman"/>
          <w:b/>
          <w:bCs/>
          <w:spacing w:val="0"/>
          <w:sz w:val="21"/>
          <w:szCs w:val="21"/>
          <w:highlight w:val="none"/>
          <w:lang w:val="en-US" w:eastAsia="zh-CN"/>
        </w:rPr>
        <w:t>1-</w:t>
      </w:r>
      <w:r>
        <w:rPr>
          <w:rFonts w:hint="eastAsia" w:ascii="宋体" w:hAnsi="宋体" w:cs="Times New Roman"/>
          <w:b/>
          <w:bCs/>
          <w:spacing w:val="0"/>
          <w:sz w:val="21"/>
          <w:szCs w:val="21"/>
          <w:highlight w:val="none"/>
          <w:lang w:val="en-US" w:eastAsia="zh-CN"/>
        </w:rPr>
        <w:t>3</w:t>
      </w:r>
      <w:r>
        <w:rPr>
          <w:rFonts w:hint="eastAsia" w:ascii="宋体" w:hAnsi="宋体"/>
          <w:b/>
          <w:bCs/>
          <w:spacing w:val="0"/>
          <w:sz w:val="21"/>
          <w:szCs w:val="21"/>
          <w:highlight w:val="none"/>
        </w:rPr>
        <w:t>标</w:t>
      </w:r>
      <w:r>
        <w:rPr>
          <w:rFonts w:hint="eastAsia" w:ascii="宋体" w:hAnsi="宋体"/>
          <w:b/>
          <w:bCs/>
          <w:spacing w:val="0"/>
          <w:sz w:val="21"/>
          <w:szCs w:val="21"/>
          <w:highlight w:val="none"/>
          <w:lang w:val="en-US" w:eastAsia="zh-CN"/>
        </w:rPr>
        <w:t>段</w:t>
      </w:r>
      <w:r>
        <w:rPr>
          <w:rFonts w:hint="eastAsia" w:ascii="宋体" w:hAnsi="宋体"/>
          <w:b/>
          <w:bCs/>
          <w:spacing w:val="0"/>
          <w:sz w:val="21"/>
          <w:szCs w:val="21"/>
          <w:highlight w:val="none"/>
          <w:lang w:eastAsia="zh-CN"/>
        </w:rPr>
        <w:t>：</w:t>
      </w:r>
      <w:r>
        <w:rPr>
          <w:rFonts w:hint="eastAsia" w:ascii="宋体" w:hAnsi="宋体"/>
          <w:spacing w:val="0"/>
          <w:sz w:val="21"/>
          <w:szCs w:val="21"/>
          <w:highlight w:val="none"/>
        </w:rPr>
        <w:t>投标人须具备公路工程施工总承包叁级及以上资质，并在人员、设备、资金等方面具有相应的施工能力，其中，投标人拟派项目负责人须具备公路工程专业贰级(含以上)注册建造师执业资格，并持有有效的安全生产考核合格证书，且未担任其他在施建设工程项目的项目经理。</w:t>
      </w:r>
    </w:p>
    <w:p w14:paraId="39F6202A">
      <w:pPr>
        <w:keepNext w:val="0"/>
        <w:keepLines w:val="0"/>
        <w:pageBreakBefore w:val="0"/>
        <w:kinsoku/>
        <w:wordWrap/>
        <w:overflowPunct/>
        <w:topLinePunct w:val="0"/>
        <w:autoSpaceDE/>
        <w:autoSpaceDN/>
        <w:bidi w:val="0"/>
        <w:adjustRightInd/>
        <w:spacing w:line="480" w:lineRule="exact"/>
        <w:ind w:firstLine="420" w:firstLineChars="200"/>
        <w:jc w:val="left"/>
        <w:textAlignment w:val="auto"/>
        <w:rPr>
          <w:rFonts w:hint="eastAsia" w:ascii="宋体" w:hAnsi="宋体"/>
          <w:spacing w:val="0"/>
          <w:sz w:val="21"/>
          <w:szCs w:val="21"/>
        </w:rPr>
      </w:pPr>
      <w:r>
        <w:rPr>
          <w:rFonts w:hint="eastAsia" w:ascii="宋体" w:hAnsi="宋体"/>
          <w:b/>
          <w:bCs/>
          <w:spacing w:val="0"/>
          <w:sz w:val="21"/>
          <w:szCs w:val="21"/>
          <w:lang w:val="en-US" w:eastAsia="zh-CN"/>
        </w:rPr>
        <w:t>4</w:t>
      </w:r>
      <w:r>
        <w:rPr>
          <w:rFonts w:hint="eastAsia" w:ascii="宋体" w:hAnsi="宋体"/>
          <w:b/>
          <w:bCs/>
          <w:spacing w:val="0"/>
          <w:sz w:val="21"/>
          <w:szCs w:val="21"/>
        </w:rPr>
        <w:t>标</w:t>
      </w:r>
      <w:r>
        <w:rPr>
          <w:rFonts w:hint="eastAsia" w:ascii="宋体" w:hAnsi="宋体"/>
          <w:b/>
          <w:bCs/>
          <w:spacing w:val="0"/>
          <w:sz w:val="21"/>
          <w:szCs w:val="21"/>
          <w:lang w:eastAsia="zh-CN"/>
        </w:rPr>
        <w:t>：</w:t>
      </w:r>
      <w:r>
        <w:rPr>
          <w:rFonts w:hint="eastAsia" w:ascii="宋体" w:hAnsi="宋体"/>
          <w:spacing w:val="0"/>
          <w:sz w:val="21"/>
          <w:szCs w:val="21"/>
        </w:rPr>
        <w:t>投标人须具备独立法人</w:t>
      </w:r>
      <w:r>
        <w:rPr>
          <w:rFonts w:hint="eastAsia" w:ascii="宋体" w:hAnsi="宋体"/>
          <w:color w:val="auto"/>
          <w:spacing w:val="0"/>
          <w:sz w:val="21"/>
          <w:szCs w:val="21"/>
        </w:rPr>
        <w:t>资格</w:t>
      </w:r>
      <w:r>
        <w:rPr>
          <w:rFonts w:hint="eastAsia" w:ascii="宋体" w:hAnsi="宋体"/>
          <w:color w:val="auto"/>
          <w:spacing w:val="0"/>
          <w:sz w:val="21"/>
          <w:szCs w:val="21"/>
          <w:lang w:eastAsia="zh-CN"/>
        </w:rPr>
        <w:t>，</w:t>
      </w:r>
      <w:r>
        <w:rPr>
          <w:rFonts w:hint="eastAsia" w:ascii="宋体" w:hAnsi="宋体"/>
          <w:color w:val="auto"/>
          <w:spacing w:val="0"/>
          <w:sz w:val="21"/>
          <w:szCs w:val="21"/>
          <w:lang w:val="en-US" w:eastAsia="zh-CN"/>
        </w:rPr>
        <w:t>具有有效的营业执照。</w:t>
      </w:r>
      <w:r>
        <w:rPr>
          <w:rFonts w:hint="eastAsia" w:ascii="宋体" w:hAnsi="宋体"/>
          <w:color w:val="auto"/>
          <w:spacing w:val="0"/>
          <w:sz w:val="21"/>
          <w:szCs w:val="21"/>
        </w:rPr>
        <w:t>投标人须具备主管部门颁发的</w:t>
      </w:r>
      <w:r>
        <w:rPr>
          <w:rFonts w:hint="eastAsia" w:ascii="宋体" w:hAnsi="宋体"/>
          <w:b w:val="0"/>
          <w:bCs w:val="0"/>
          <w:color w:val="auto"/>
          <w:spacing w:val="0"/>
          <w:sz w:val="21"/>
          <w:szCs w:val="21"/>
        </w:rPr>
        <w:t>公路工程监理</w:t>
      </w:r>
      <w:r>
        <w:rPr>
          <w:rFonts w:hint="eastAsia" w:ascii="宋体" w:hAnsi="宋体"/>
          <w:b w:val="0"/>
          <w:bCs w:val="0"/>
          <w:color w:val="auto"/>
          <w:spacing w:val="0"/>
          <w:sz w:val="21"/>
          <w:szCs w:val="21"/>
          <w:lang w:val="en-US" w:eastAsia="zh-CN"/>
        </w:rPr>
        <w:t>乙级</w:t>
      </w:r>
      <w:r>
        <w:rPr>
          <w:rFonts w:hint="eastAsia" w:ascii="宋体" w:hAnsi="宋体"/>
          <w:b w:val="0"/>
          <w:bCs w:val="0"/>
          <w:color w:val="auto"/>
          <w:spacing w:val="0"/>
          <w:sz w:val="21"/>
          <w:szCs w:val="21"/>
        </w:rPr>
        <w:t>及以上资质</w:t>
      </w:r>
      <w:r>
        <w:rPr>
          <w:rFonts w:hint="eastAsia" w:ascii="宋体" w:hAnsi="宋体"/>
          <w:b w:val="0"/>
          <w:bCs w:val="0"/>
          <w:color w:val="auto"/>
          <w:spacing w:val="0"/>
          <w:sz w:val="21"/>
          <w:szCs w:val="21"/>
          <w:lang w:val="en-US" w:eastAsia="zh-CN"/>
        </w:rPr>
        <w:t>或工程监理综合资质</w:t>
      </w:r>
      <w:r>
        <w:rPr>
          <w:rFonts w:hint="eastAsia" w:ascii="宋体" w:hAnsi="宋体"/>
          <w:color w:val="auto"/>
          <w:spacing w:val="0"/>
          <w:sz w:val="21"/>
          <w:szCs w:val="21"/>
        </w:rPr>
        <w:t>，并在人员、设备、资金等方面具有相应的监理能力；拟派项目总监须具备公路工程专业</w:t>
      </w:r>
      <w:r>
        <w:rPr>
          <w:rFonts w:hint="eastAsia" w:ascii="宋体" w:hAnsi="宋体"/>
          <w:color w:val="auto"/>
          <w:spacing w:val="0"/>
          <w:sz w:val="21"/>
          <w:szCs w:val="21"/>
          <w:lang w:val="en-US" w:eastAsia="zh-CN"/>
        </w:rPr>
        <w:t>注册监理</w:t>
      </w:r>
      <w:r>
        <w:rPr>
          <w:rFonts w:hint="eastAsia" w:ascii="宋体" w:hAnsi="宋体"/>
          <w:spacing w:val="0"/>
          <w:sz w:val="21"/>
          <w:szCs w:val="21"/>
        </w:rPr>
        <w:t>工程师执业资格。</w:t>
      </w:r>
    </w:p>
    <w:p w14:paraId="6FA3A491">
      <w:pPr>
        <w:keepNext w:val="0"/>
        <w:keepLines w:val="0"/>
        <w:pageBreakBefore w:val="0"/>
        <w:widowControl w:val="0"/>
        <w:kinsoku/>
        <w:wordWrap/>
        <w:overflowPunct/>
        <w:topLinePunct w:val="0"/>
        <w:autoSpaceDE/>
        <w:autoSpaceDN/>
        <w:bidi w:val="0"/>
        <w:adjustRightInd/>
        <w:snapToGrid w:val="0"/>
        <w:spacing w:line="480" w:lineRule="exact"/>
        <w:ind w:firstLine="420" w:firstLineChars="200"/>
        <w:jc w:val="left"/>
        <w:textAlignment w:val="auto"/>
        <w:rPr>
          <w:rFonts w:hint="eastAsia" w:ascii="宋体" w:hAnsi="宋体" w:eastAsia="宋体" w:cs="宋体"/>
          <w:spacing w:val="0"/>
          <w:kern w:val="0"/>
          <w:sz w:val="21"/>
          <w:szCs w:val="21"/>
          <w:highlight w:val="none"/>
        </w:rPr>
      </w:pPr>
      <w:r>
        <w:rPr>
          <w:rFonts w:hint="eastAsia" w:ascii="黑体" w:hAnsi="黑体" w:eastAsia="黑体" w:cs="黑体"/>
          <w:b w:val="0"/>
          <w:bCs w:val="0"/>
          <w:spacing w:val="0"/>
          <w:sz w:val="21"/>
          <w:szCs w:val="21"/>
          <w:highlight w:val="none"/>
        </w:rPr>
        <w:t xml:space="preserve">3.2 </w:t>
      </w:r>
      <w:r>
        <w:rPr>
          <w:rFonts w:hint="eastAsia" w:ascii="宋体" w:hAnsi="宋体" w:eastAsia="宋体" w:cs="宋体"/>
          <w:spacing w:val="0"/>
          <w:kern w:val="0"/>
          <w:sz w:val="21"/>
          <w:szCs w:val="21"/>
          <w:highlight w:val="none"/>
        </w:rPr>
        <w:t>本次招标不接受联合体投标。</w:t>
      </w:r>
    </w:p>
    <w:p w14:paraId="58B12DE8">
      <w:pPr>
        <w:keepNext w:val="0"/>
        <w:keepLines w:val="0"/>
        <w:pageBreakBefore w:val="0"/>
        <w:widowControl w:val="0"/>
        <w:kinsoku/>
        <w:wordWrap/>
        <w:overflowPunct/>
        <w:topLinePunct w:val="0"/>
        <w:autoSpaceDE/>
        <w:autoSpaceDN/>
        <w:bidi w:val="0"/>
        <w:adjustRightInd/>
        <w:snapToGrid w:val="0"/>
        <w:spacing w:line="480" w:lineRule="exact"/>
        <w:ind w:firstLine="420" w:firstLineChars="200"/>
        <w:jc w:val="left"/>
        <w:textAlignment w:val="auto"/>
        <w:rPr>
          <w:rFonts w:ascii="宋体" w:hAnsi="宋体" w:eastAsia="宋体" w:cs="宋体"/>
          <w:spacing w:val="0"/>
          <w:kern w:val="0"/>
          <w:sz w:val="21"/>
          <w:szCs w:val="21"/>
          <w:highlight w:val="none"/>
        </w:rPr>
      </w:pPr>
      <w:r>
        <w:rPr>
          <w:rFonts w:hint="eastAsia" w:ascii="黑体" w:hAnsi="黑体" w:eastAsia="黑体" w:cs="黑体"/>
          <w:b w:val="0"/>
          <w:bCs w:val="0"/>
          <w:spacing w:val="0"/>
          <w:sz w:val="21"/>
          <w:szCs w:val="21"/>
          <w:highlight w:val="none"/>
        </w:rPr>
        <w:t>3.3</w:t>
      </w:r>
      <w:r>
        <w:rPr>
          <w:rFonts w:hint="eastAsia" w:ascii="黑体" w:hAnsi="黑体" w:eastAsia="黑体" w:cs="黑体"/>
          <w:spacing w:val="0"/>
          <w:sz w:val="21"/>
          <w:szCs w:val="21"/>
          <w:highlight w:val="none"/>
        </w:rPr>
        <w:t xml:space="preserve"> </w:t>
      </w:r>
      <w:r>
        <w:rPr>
          <w:rFonts w:hint="eastAsia" w:ascii="宋体" w:hAnsi="宋体" w:eastAsia="宋体" w:cs="宋体"/>
          <w:spacing w:val="0"/>
          <w:kern w:val="0"/>
          <w:sz w:val="21"/>
          <w:szCs w:val="21"/>
          <w:highlight w:val="none"/>
        </w:rPr>
        <w:t>各投标人均可就本招标项目上述标段中的1个标段投标，最多允许中标1个标段。</w:t>
      </w:r>
    </w:p>
    <w:p w14:paraId="477EB2DB">
      <w:pPr>
        <w:keepNext w:val="0"/>
        <w:keepLines w:val="0"/>
        <w:pageBreakBefore w:val="0"/>
        <w:widowControl w:val="0"/>
        <w:kinsoku/>
        <w:wordWrap/>
        <w:overflowPunct/>
        <w:topLinePunct w:val="0"/>
        <w:autoSpaceDE/>
        <w:autoSpaceDN/>
        <w:bidi w:val="0"/>
        <w:adjustRightInd/>
        <w:snapToGrid w:val="0"/>
        <w:spacing w:line="480" w:lineRule="exact"/>
        <w:ind w:firstLine="420" w:firstLineChars="200"/>
        <w:jc w:val="left"/>
        <w:textAlignment w:val="auto"/>
        <w:rPr>
          <w:rFonts w:hint="eastAsia" w:ascii="宋体" w:hAnsi="宋体" w:eastAsia="宋体" w:cs="宋体"/>
          <w:spacing w:val="0"/>
          <w:kern w:val="0"/>
          <w:sz w:val="21"/>
          <w:szCs w:val="21"/>
          <w:highlight w:val="none"/>
        </w:rPr>
      </w:pPr>
      <w:r>
        <w:rPr>
          <w:rFonts w:hint="eastAsia" w:ascii="黑体" w:hAnsi="黑体" w:eastAsia="黑体" w:cs="黑体"/>
          <w:spacing w:val="0"/>
          <w:sz w:val="21"/>
          <w:szCs w:val="21"/>
          <w:highlight w:val="none"/>
        </w:rPr>
        <w:t xml:space="preserve">3.4 </w:t>
      </w:r>
      <w:r>
        <w:rPr>
          <w:rFonts w:hint="eastAsia" w:ascii="宋体" w:hAnsi="宋体" w:eastAsia="宋体" w:cs="宋体"/>
          <w:spacing w:val="0"/>
          <w:kern w:val="0"/>
          <w:sz w:val="21"/>
          <w:szCs w:val="21"/>
          <w:highlight w:val="none"/>
        </w:rPr>
        <w:t>投标人必须申请注册加入周口市公共资源交易中心会员诚信库后，才能参与本市公共资源交易项目网上电子招投标活动。</w:t>
      </w:r>
    </w:p>
    <w:p w14:paraId="75630A2E">
      <w:pPr>
        <w:keepNext w:val="0"/>
        <w:keepLines w:val="0"/>
        <w:pageBreakBefore w:val="0"/>
        <w:widowControl w:val="0"/>
        <w:kinsoku/>
        <w:wordWrap/>
        <w:overflowPunct/>
        <w:topLinePunct w:val="0"/>
        <w:autoSpaceDE/>
        <w:autoSpaceDN/>
        <w:bidi w:val="0"/>
        <w:adjustRightInd/>
        <w:snapToGrid w:val="0"/>
        <w:spacing w:line="480" w:lineRule="exact"/>
        <w:ind w:firstLine="420" w:firstLineChars="200"/>
        <w:jc w:val="left"/>
        <w:textAlignment w:val="auto"/>
        <w:rPr>
          <w:rFonts w:ascii="宋体" w:hAnsi="宋体" w:eastAsia="宋体" w:cs="宋体"/>
          <w:spacing w:val="0"/>
          <w:kern w:val="0"/>
          <w:sz w:val="21"/>
          <w:szCs w:val="21"/>
          <w:highlight w:val="none"/>
          <w:lang w:val="en-US" w:eastAsia="zh-CN"/>
        </w:rPr>
      </w:pPr>
      <w:r>
        <w:rPr>
          <w:rFonts w:hint="eastAsia" w:ascii="黑体" w:hAnsi="黑体" w:eastAsia="黑体" w:cs="黑体"/>
          <w:spacing w:val="0"/>
          <w:sz w:val="21"/>
          <w:szCs w:val="21"/>
          <w:highlight w:val="none"/>
          <w:lang w:val="en-US" w:eastAsia="zh-CN"/>
        </w:rPr>
        <w:t>3.5</w:t>
      </w:r>
      <w:r>
        <w:rPr>
          <w:rFonts w:hint="eastAsia" w:ascii="宋体" w:hAnsi="宋体" w:eastAsia="宋体" w:cs="宋体"/>
          <w:spacing w:val="0"/>
          <w:kern w:val="0"/>
          <w:sz w:val="21"/>
          <w:szCs w:val="21"/>
          <w:highlight w:val="none"/>
          <w:lang w:val="en-US" w:eastAsia="zh-CN"/>
        </w:rPr>
        <w:t>投标人应通过“信用中国”查询“失信被执行人、重大税收违法失信主体、政府采购严重违法失信行为记录名单”和“中国政府采购网”查询“政府采购严重违法失信行为记录”进行信用查询，对列入上述名单的投标人将被拒绝参加投标活动。（提供查询截图，查询时间：招标公告发布后至投标截止时间前)。</w:t>
      </w:r>
    </w:p>
    <w:p w14:paraId="241991B1">
      <w:pPr>
        <w:keepNext w:val="0"/>
        <w:keepLines w:val="0"/>
        <w:pageBreakBefore w:val="0"/>
        <w:kinsoku/>
        <w:wordWrap/>
        <w:overflowPunct/>
        <w:topLinePunct w:val="0"/>
        <w:autoSpaceDE/>
        <w:autoSpaceDN/>
        <w:bidi w:val="0"/>
        <w:adjustRightInd/>
        <w:spacing w:line="480" w:lineRule="exact"/>
        <w:jc w:val="left"/>
        <w:textAlignment w:val="auto"/>
        <w:rPr>
          <w:rFonts w:ascii="宋体" w:hAnsi="宋体"/>
          <w:b/>
          <w:spacing w:val="0"/>
          <w:sz w:val="21"/>
          <w:szCs w:val="21"/>
          <w:highlight w:val="none"/>
        </w:rPr>
      </w:pPr>
      <w:r>
        <w:rPr>
          <w:rFonts w:hint="eastAsia" w:ascii="黑体" w:hAnsi="黑体" w:eastAsia="黑体" w:cs="黑体"/>
          <w:spacing w:val="0"/>
          <w:sz w:val="21"/>
          <w:szCs w:val="21"/>
          <w:highlight w:val="none"/>
        </w:rPr>
        <w:t>4.</w:t>
      </w:r>
      <w:r>
        <w:rPr>
          <w:rFonts w:ascii="宋体" w:hAnsi="宋体"/>
          <w:b/>
          <w:spacing w:val="0"/>
          <w:sz w:val="21"/>
          <w:szCs w:val="21"/>
          <w:highlight w:val="none"/>
        </w:rPr>
        <w:t xml:space="preserve"> </w:t>
      </w:r>
      <w:r>
        <w:rPr>
          <w:rFonts w:hint="eastAsia" w:ascii="宋体" w:hAnsi="宋体"/>
          <w:b/>
          <w:spacing w:val="0"/>
          <w:sz w:val="21"/>
          <w:szCs w:val="21"/>
          <w:highlight w:val="none"/>
        </w:rPr>
        <w:t>招标文件的获取</w:t>
      </w:r>
    </w:p>
    <w:p w14:paraId="5A86DF07">
      <w:pPr>
        <w:keepNext w:val="0"/>
        <w:keepLines w:val="0"/>
        <w:pageBreakBefore w:val="0"/>
        <w:kinsoku/>
        <w:wordWrap/>
        <w:overflowPunct/>
        <w:topLinePunct w:val="0"/>
        <w:autoSpaceDE/>
        <w:autoSpaceDN/>
        <w:bidi w:val="0"/>
        <w:adjustRightInd/>
        <w:spacing w:line="480" w:lineRule="exact"/>
        <w:ind w:firstLine="420" w:firstLineChars="200"/>
        <w:jc w:val="left"/>
        <w:textAlignment w:val="auto"/>
        <w:rPr>
          <w:rFonts w:ascii="宋体" w:hAnsi="宋体"/>
          <w:spacing w:val="0"/>
          <w:sz w:val="21"/>
          <w:szCs w:val="21"/>
          <w:highlight w:val="none"/>
        </w:rPr>
      </w:pPr>
      <w:r>
        <w:rPr>
          <w:rFonts w:hint="eastAsia" w:ascii="黑体" w:hAnsi="黑体" w:eastAsia="黑体" w:cs="黑体"/>
          <w:spacing w:val="0"/>
          <w:sz w:val="21"/>
          <w:szCs w:val="21"/>
          <w:highlight w:val="none"/>
        </w:rPr>
        <w:t>4.1</w:t>
      </w:r>
      <w:r>
        <w:rPr>
          <w:rFonts w:hint="eastAsia" w:ascii="宋体" w:hAnsi="宋体"/>
          <w:spacing w:val="0"/>
          <w:sz w:val="21"/>
          <w:szCs w:val="21"/>
          <w:highlight w:val="none"/>
        </w:rPr>
        <w:t>企业诚信库注册</w:t>
      </w:r>
    </w:p>
    <w:p w14:paraId="302FD1CD">
      <w:pPr>
        <w:keepNext w:val="0"/>
        <w:keepLines w:val="0"/>
        <w:pageBreakBefore w:val="0"/>
        <w:kinsoku/>
        <w:wordWrap/>
        <w:overflowPunct/>
        <w:topLinePunct w:val="0"/>
        <w:autoSpaceDE/>
        <w:autoSpaceDN/>
        <w:bidi w:val="0"/>
        <w:adjustRightInd/>
        <w:spacing w:line="480" w:lineRule="exact"/>
        <w:ind w:firstLine="420" w:firstLineChars="200"/>
        <w:jc w:val="left"/>
        <w:textAlignment w:val="auto"/>
        <w:rPr>
          <w:rFonts w:ascii="宋体" w:hAnsi="宋体"/>
          <w:spacing w:val="0"/>
          <w:sz w:val="21"/>
          <w:szCs w:val="21"/>
          <w:highlight w:val="none"/>
        </w:rPr>
      </w:pPr>
      <w:r>
        <w:rPr>
          <w:rFonts w:hint="eastAsia" w:ascii="宋体" w:hAnsi="宋体"/>
          <w:spacing w:val="0"/>
          <w:sz w:val="21"/>
          <w:szCs w:val="21"/>
          <w:highlight w:val="none"/>
        </w:rPr>
        <w:t>凡有意参加本项目的投标人，请登陆周口市公共资源交易中心网站进行自主注册，按网站公告通知有关要求填报企业信息并上传有关原件扫描件至诚信库，不需携带原件到周口市公共资源交易中心进行审核。投标人应对所上传材料的真实性、合法性、有效性负责，其上传的信息将全部对外公示，接受社会监督。</w:t>
      </w:r>
    </w:p>
    <w:p w14:paraId="4A48A0DE">
      <w:pPr>
        <w:keepNext w:val="0"/>
        <w:keepLines w:val="0"/>
        <w:pageBreakBefore w:val="0"/>
        <w:widowControl/>
        <w:kinsoku/>
        <w:wordWrap/>
        <w:overflowPunct/>
        <w:topLinePunct w:val="0"/>
        <w:autoSpaceDE/>
        <w:autoSpaceDN/>
        <w:bidi w:val="0"/>
        <w:adjustRightInd/>
        <w:snapToGrid w:val="0"/>
        <w:spacing w:line="480" w:lineRule="exact"/>
        <w:ind w:firstLine="482"/>
        <w:textAlignment w:val="auto"/>
        <w:rPr>
          <w:rFonts w:hint="eastAsia" w:ascii="宋体" w:hAnsi="宋体" w:eastAsia="宋体" w:cs="宋体"/>
          <w:color w:val="auto"/>
          <w:spacing w:val="0"/>
          <w:kern w:val="0"/>
          <w:sz w:val="21"/>
          <w:szCs w:val="21"/>
        </w:rPr>
      </w:pPr>
      <w:r>
        <w:rPr>
          <w:rFonts w:hint="eastAsia" w:ascii="宋体" w:hAnsi="宋体" w:cs="宋体"/>
          <w:color w:val="auto"/>
          <w:spacing w:val="0"/>
          <w:kern w:val="0"/>
          <w:sz w:val="21"/>
          <w:szCs w:val="21"/>
          <w:highlight w:val="none"/>
          <w:lang w:val="en-US" w:eastAsia="zh-CN"/>
        </w:rPr>
        <w:t>其他注意事项：1、</w:t>
      </w:r>
      <w:r>
        <w:rPr>
          <w:rFonts w:hint="eastAsia" w:ascii="宋体" w:hAnsi="宋体" w:eastAsia="宋体" w:cs="宋体"/>
          <w:color w:val="auto"/>
          <w:spacing w:val="0"/>
          <w:kern w:val="0"/>
          <w:sz w:val="21"/>
          <w:szCs w:val="21"/>
          <w:highlight w:val="none"/>
        </w:rPr>
        <w:t>投标文件</w:t>
      </w:r>
      <w:r>
        <w:rPr>
          <w:rFonts w:hint="eastAsia" w:ascii="宋体" w:hAnsi="宋体" w:cs="宋体"/>
          <w:color w:val="auto"/>
          <w:spacing w:val="0"/>
          <w:kern w:val="0"/>
          <w:sz w:val="21"/>
          <w:szCs w:val="21"/>
          <w:highlight w:val="none"/>
          <w:lang w:val="en-US" w:eastAsia="zh-CN"/>
        </w:rPr>
        <w:t>中</w:t>
      </w:r>
      <w:r>
        <w:rPr>
          <w:rFonts w:hint="eastAsia" w:ascii="宋体" w:hAnsi="宋体" w:eastAsia="宋体" w:cs="宋体"/>
          <w:color w:val="auto"/>
          <w:spacing w:val="0"/>
          <w:kern w:val="0"/>
          <w:sz w:val="21"/>
          <w:szCs w:val="21"/>
          <w:highlight w:val="none"/>
        </w:rPr>
        <w:t>涉及营业执照、资质、业绩、获奖、人员、财务、社保、纳税、各类证书等内容</w:t>
      </w:r>
      <w:r>
        <w:rPr>
          <w:rFonts w:hint="eastAsia" w:ascii="宋体" w:hAnsi="宋体" w:eastAsia="宋体" w:cs="宋体"/>
          <w:color w:val="auto"/>
          <w:spacing w:val="0"/>
          <w:kern w:val="0"/>
          <w:sz w:val="21"/>
          <w:szCs w:val="21"/>
        </w:rPr>
        <w:t>，必须在周口市公共资源交易中心诚信库中已登记的信息中选取。未在诚信库中登记的上述内容，不得作为评标（或评审）依据。投标人应及时在投标截止时间前对主体诚信库的相关内容进行补充、更新，过期更改的诚信库信息不作为本项目评审依据。</w:t>
      </w:r>
    </w:p>
    <w:p w14:paraId="68DACC91">
      <w:pPr>
        <w:keepNext w:val="0"/>
        <w:keepLines w:val="0"/>
        <w:pageBreakBefore w:val="0"/>
        <w:widowControl/>
        <w:kinsoku/>
        <w:wordWrap/>
        <w:overflowPunct/>
        <w:topLinePunct w:val="0"/>
        <w:autoSpaceDE/>
        <w:autoSpaceDN/>
        <w:bidi w:val="0"/>
        <w:adjustRightInd/>
        <w:snapToGrid w:val="0"/>
        <w:spacing w:line="480" w:lineRule="exact"/>
        <w:ind w:firstLine="482"/>
        <w:textAlignment w:val="auto"/>
        <w:rPr>
          <w:spacing w:val="0"/>
          <w:sz w:val="21"/>
          <w:szCs w:val="21"/>
          <w:highlight w:val="none"/>
        </w:rPr>
      </w:pPr>
      <w:r>
        <w:rPr>
          <w:rFonts w:hint="eastAsia" w:ascii="宋体" w:hAnsi="宋体" w:eastAsia="宋体" w:cs="宋体"/>
          <w:color w:val="auto"/>
          <w:spacing w:val="0"/>
          <w:kern w:val="0"/>
          <w:sz w:val="21"/>
          <w:szCs w:val="21"/>
        </w:rPr>
        <w:t>2本项目评标结果公示时，接受社会监督。因入库信息不合法、不真实、不清晰、不准确</w:t>
      </w:r>
      <w:r>
        <w:rPr>
          <w:rFonts w:hint="eastAsia" w:ascii="宋体" w:hAnsi="宋体" w:eastAsia="宋体" w:cs="宋体"/>
          <w:color w:val="auto"/>
          <w:spacing w:val="0"/>
          <w:kern w:val="0"/>
          <w:sz w:val="21"/>
          <w:szCs w:val="21"/>
          <w:highlight w:val="none"/>
        </w:rPr>
        <w:t>、不完整、无效、错误或信息处于编辑中、待验证状态等对交易活动所造成的一切后果，由信息提供主体自行负责。</w:t>
      </w:r>
    </w:p>
    <w:p w14:paraId="26FAC542">
      <w:pPr>
        <w:keepNext w:val="0"/>
        <w:keepLines w:val="0"/>
        <w:pageBreakBefore w:val="0"/>
        <w:kinsoku/>
        <w:wordWrap/>
        <w:overflowPunct/>
        <w:topLinePunct w:val="0"/>
        <w:autoSpaceDE/>
        <w:autoSpaceDN/>
        <w:bidi w:val="0"/>
        <w:adjustRightInd/>
        <w:spacing w:line="480" w:lineRule="exact"/>
        <w:ind w:firstLine="420" w:firstLineChars="200"/>
        <w:jc w:val="left"/>
        <w:textAlignment w:val="auto"/>
        <w:rPr>
          <w:rFonts w:ascii="宋体" w:hAnsi="宋体"/>
          <w:spacing w:val="0"/>
          <w:sz w:val="21"/>
          <w:szCs w:val="21"/>
          <w:highlight w:val="none"/>
        </w:rPr>
      </w:pPr>
      <w:r>
        <w:rPr>
          <w:rFonts w:hint="eastAsia" w:ascii="黑体" w:hAnsi="黑体" w:eastAsia="黑体" w:cs="黑体"/>
          <w:spacing w:val="0"/>
          <w:sz w:val="21"/>
          <w:szCs w:val="21"/>
          <w:highlight w:val="none"/>
        </w:rPr>
        <w:t>4.2</w:t>
      </w:r>
      <w:r>
        <w:rPr>
          <w:rFonts w:hint="eastAsia" w:ascii="宋体" w:hAnsi="宋体"/>
          <w:spacing w:val="0"/>
          <w:sz w:val="21"/>
          <w:szCs w:val="21"/>
          <w:highlight w:val="none"/>
        </w:rPr>
        <w:t>办理CA数字证书</w:t>
      </w:r>
    </w:p>
    <w:p w14:paraId="09FB1C53">
      <w:pPr>
        <w:keepNext w:val="0"/>
        <w:keepLines w:val="0"/>
        <w:pageBreakBefore w:val="0"/>
        <w:kinsoku/>
        <w:wordWrap/>
        <w:overflowPunct/>
        <w:topLinePunct w:val="0"/>
        <w:autoSpaceDE/>
        <w:autoSpaceDN/>
        <w:bidi w:val="0"/>
        <w:adjustRightInd/>
        <w:spacing w:line="480" w:lineRule="exact"/>
        <w:ind w:firstLine="420" w:firstLineChars="200"/>
        <w:jc w:val="left"/>
        <w:textAlignment w:val="auto"/>
        <w:rPr>
          <w:rFonts w:ascii="宋体" w:hAnsi="宋体"/>
          <w:spacing w:val="0"/>
          <w:sz w:val="21"/>
          <w:szCs w:val="21"/>
          <w:highlight w:val="none"/>
        </w:rPr>
      </w:pPr>
      <w:r>
        <w:rPr>
          <w:rFonts w:hint="eastAsia" w:ascii="宋体" w:hAnsi="宋体"/>
          <w:spacing w:val="0"/>
          <w:sz w:val="21"/>
          <w:szCs w:val="21"/>
          <w:highlight w:val="none"/>
        </w:rPr>
        <w:t>投标人完成企业诚信库注册后，必须办理CA数字证书方可在网上办理招投标相关业务。CA数字证书办理请参见周口市公共资源交易中心网站“下载中心”《CA办理所需资料》。</w:t>
      </w:r>
    </w:p>
    <w:p w14:paraId="1DBCA393">
      <w:pPr>
        <w:keepNext w:val="0"/>
        <w:keepLines w:val="0"/>
        <w:pageBreakBefore w:val="0"/>
        <w:kinsoku/>
        <w:wordWrap/>
        <w:overflowPunct/>
        <w:topLinePunct w:val="0"/>
        <w:autoSpaceDE/>
        <w:autoSpaceDN/>
        <w:bidi w:val="0"/>
        <w:adjustRightInd/>
        <w:spacing w:line="480" w:lineRule="exact"/>
        <w:ind w:firstLine="420" w:firstLineChars="200"/>
        <w:jc w:val="left"/>
        <w:textAlignment w:val="auto"/>
        <w:rPr>
          <w:rFonts w:ascii="宋体" w:hAnsi="宋体"/>
          <w:spacing w:val="0"/>
          <w:sz w:val="21"/>
          <w:szCs w:val="21"/>
          <w:highlight w:val="none"/>
        </w:rPr>
      </w:pPr>
      <w:r>
        <w:rPr>
          <w:rFonts w:hint="eastAsia" w:ascii="黑体" w:hAnsi="黑体" w:eastAsia="黑体" w:cs="黑体"/>
          <w:spacing w:val="0"/>
          <w:sz w:val="21"/>
          <w:szCs w:val="21"/>
          <w:highlight w:val="none"/>
        </w:rPr>
        <w:t>4.3</w:t>
      </w:r>
      <w:r>
        <w:rPr>
          <w:rFonts w:hint="eastAsia" w:ascii="宋体" w:hAnsi="宋体"/>
          <w:spacing w:val="0"/>
          <w:sz w:val="21"/>
          <w:szCs w:val="21"/>
          <w:highlight w:val="none"/>
        </w:rPr>
        <w:t>招标文件获取方式</w:t>
      </w:r>
    </w:p>
    <w:p w14:paraId="056A5119">
      <w:pPr>
        <w:keepNext w:val="0"/>
        <w:keepLines w:val="0"/>
        <w:pageBreakBefore w:val="0"/>
        <w:kinsoku/>
        <w:wordWrap/>
        <w:overflowPunct/>
        <w:topLinePunct w:val="0"/>
        <w:autoSpaceDE/>
        <w:autoSpaceDN/>
        <w:bidi w:val="0"/>
        <w:adjustRightInd/>
        <w:spacing w:line="480" w:lineRule="exact"/>
        <w:ind w:firstLine="396" w:firstLineChars="200"/>
        <w:jc w:val="left"/>
        <w:textAlignment w:val="auto"/>
        <w:rPr>
          <w:rFonts w:hint="eastAsia" w:ascii="宋体" w:hAnsi="宋体"/>
          <w:color w:val="auto"/>
          <w:spacing w:val="-6"/>
          <w:sz w:val="21"/>
          <w:szCs w:val="21"/>
          <w:highlight w:val="none"/>
        </w:rPr>
      </w:pPr>
      <w:r>
        <w:rPr>
          <w:rFonts w:hint="eastAsia" w:ascii="宋体" w:hAnsi="宋体"/>
          <w:spacing w:val="-6"/>
          <w:sz w:val="21"/>
          <w:szCs w:val="21"/>
          <w:highlight w:val="none"/>
        </w:rPr>
        <w:t>投标人凭CA数字证书登陆会员系统后，按网上提示下载招标文件及资料（操作程序参见周口市公共资源交易中心网站“下载中心”栏目</w:t>
      </w:r>
      <w:r>
        <w:rPr>
          <w:rFonts w:hint="eastAsia" w:ascii="宋体" w:hAnsi="宋体"/>
          <w:color w:val="auto"/>
          <w:spacing w:val="-6"/>
          <w:sz w:val="21"/>
          <w:szCs w:val="21"/>
          <w:highlight w:val="none"/>
        </w:rPr>
        <w:t>内投标人操作手册）。招标文件(*.zkzf)下载</w:t>
      </w:r>
    </w:p>
    <w:p w14:paraId="6B417534">
      <w:pPr>
        <w:keepNext w:val="0"/>
        <w:keepLines w:val="0"/>
        <w:pageBreakBefore w:val="0"/>
        <w:kinsoku/>
        <w:wordWrap/>
        <w:overflowPunct/>
        <w:topLinePunct w:val="0"/>
        <w:autoSpaceDE/>
        <w:autoSpaceDN/>
        <w:bidi w:val="0"/>
        <w:adjustRightInd/>
        <w:snapToGrid/>
        <w:spacing w:line="520" w:lineRule="exact"/>
        <w:jc w:val="left"/>
        <w:textAlignment w:val="auto"/>
        <w:rPr>
          <w:rFonts w:ascii="宋体" w:hAnsi="宋体"/>
          <w:color w:val="auto"/>
          <w:spacing w:val="0"/>
          <w:sz w:val="21"/>
          <w:szCs w:val="21"/>
          <w:highlight w:val="none"/>
        </w:rPr>
      </w:pPr>
      <w:r>
        <w:rPr>
          <w:rFonts w:hint="eastAsia" w:ascii="宋体" w:hAnsi="宋体"/>
          <w:color w:val="auto"/>
          <w:spacing w:val="0"/>
          <w:sz w:val="21"/>
          <w:szCs w:val="21"/>
          <w:highlight w:val="none"/>
        </w:rPr>
        <w:br w:type="page"/>
      </w:r>
      <w:r>
        <w:rPr>
          <w:rFonts w:hint="eastAsia" w:ascii="宋体" w:hAnsi="宋体"/>
          <w:color w:val="auto"/>
          <w:spacing w:val="0"/>
          <w:sz w:val="21"/>
          <w:szCs w:val="21"/>
          <w:highlight w:val="none"/>
        </w:rPr>
        <w:t>后需使用“投标文件制作软件”打开（该工具软件可在周口市公共资源交易中心网站“下载中心”栏目内下载或在招标文件领取页面下载）。</w:t>
      </w:r>
    </w:p>
    <w:p w14:paraId="2AAC6D99">
      <w:pPr>
        <w:keepNext w:val="0"/>
        <w:keepLines w:val="0"/>
        <w:pageBreakBefore w:val="0"/>
        <w:kinsoku/>
        <w:wordWrap/>
        <w:overflowPunct/>
        <w:topLinePunct w:val="0"/>
        <w:autoSpaceDE/>
        <w:autoSpaceDN/>
        <w:bidi w:val="0"/>
        <w:adjustRightInd/>
        <w:snapToGrid/>
        <w:spacing w:line="520" w:lineRule="exact"/>
        <w:ind w:firstLine="420" w:firstLineChars="200"/>
        <w:jc w:val="left"/>
        <w:textAlignment w:val="auto"/>
        <w:rPr>
          <w:rFonts w:ascii="宋体" w:hAnsi="宋体"/>
          <w:color w:val="auto"/>
          <w:spacing w:val="0"/>
          <w:sz w:val="21"/>
          <w:szCs w:val="21"/>
          <w:highlight w:val="none"/>
        </w:rPr>
      </w:pPr>
      <w:r>
        <w:rPr>
          <w:rFonts w:hint="eastAsia" w:ascii="宋体" w:hAnsi="宋体"/>
          <w:color w:val="auto"/>
          <w:spacing w:val="0"/>
          <w:sz w:val="21"/>
          <w:szCs w:val="21"/>
          <w:highlight w:val="none"/>
        </w:rPr>
        <w:t>4.4招标文件的获取时间：</w:t>
      </w:r>
    </w:p>
    <w:p w14:paraId="5CB68DC9">
      <w:pPr>
        <w:keepNext w:val="0"/>
        <w:keepLines w:val="0"/>
        <w:pageBreakBefore w:val="0"/>
        <w:kinsoku/>
        <w:wordWrap/>
        <w:overflowPunct/>
        <w:topLinePunct w:val="0"/>
        <w:autoSpaceDE/>
        <w:autoSpaceDN/>
        <w:bidi w:val="0"/>
        <w:adjustRightInd/>
        <w:snapToGrid/>
        <w:spacing w:line="520" w:lineRule="exact"/>
        <w:ind w:firstLine="420" w:firstLineChars="200"/>
        <w:jc w:val="left"/>
        <w:textAlignment w:val="auto"/>
        <w:rPr>
          <w:rFonts w:hint="eastAsia" w:ascii="宋体" w:hAnsi="宋体"/>
          <w:color w:val="auto"/>
          <w:spacing w:val="0"/>
          <w:sz w:val="21"/>
          <w:szCs w:val="21"/>
          <w:highlight w:val="none"/>
        </w:rPr>
      </w:pPr>
      <w:r>
        <w:rPr>
          <w:rFonts w:hint="eastAsia" w:ascii="宋体" w:hAnsi="宋体"/>
          <w:color w:val="auto"/>
          <w:spacing w:val="0"/>
          <w:sz w:val="21"/>
          <w:szCs w:val="21"/>
          <w:highlight w:val="none"/>
        </w:rPr>
        <w:t>20</w:t>
      </w:r>
      <w:r>
        <w:rPr>
          <w:rFonts w:hint="eastAsia" w:ascii="宋体" w:hAnsi="宋体"/>
          <w:color w:val="auto"/>
          <w:spacing w:val="0"/>
          <w:sz w:val="21"/>
          <w:szCs w:val="21"/>
          <w:highlight w:val="none"/>
          <w:lang w:val="en-US" w:eastAsia="zh-CN"/>
        </w:rPr>
        <w:t>24</w:t>
      </w:r>
      <w:r>
        <w:rPr>
          <w:rFonts w:hint="eastAsia" w:ascii="宋体" w:hAnsi="宋体"/>
          <w:color w:val="auto"/>
          <w:spacing w:val="0"/>
          <w:sz w:val="21"/>
          <w:szCs w:val="21"/>
          <w:highlight w:val="none"/>
        </w:rPr>
        <w:t>年</w:t>
      </w:r>
      <w:r>
        <w:rPr>
          <w:rFonts w:hint="eastAsia" w:ascii="宋体" w:hAnsi="宋体"/>
          <w:color w:val="auto"/>
          <w:spacing w:val="0"/>
          <w:sz w:val="21"/>
          <w:szCs w:val="21"/>
          <w:highlight w:val="none"/>
          <w:lang w:val="en-US" w:eastAsia="zh-CN"/>
        </w:rPr>
        <w:t>12</w:t>
      </w:r>
      <w:r>
        <w:rPr>
          <w:rFonts w:hint="eastAsia" w:ascii="宋体" w:hAnsi="宋体"/>
          <w:color w:val="auto"/>
          <w:spacing w:val="0"/>
          <w:sz w:val="21"/>
          <w:szCs w:val="21"/>
          <w:highlight w:val="none"/>
        </w:rPr>
        <w:t>月</w:t>
      </w:r>
      <w:r>
        <w:rPr>
          <w:rFonts w:hint="eastAsia" w:ascii="宋体" w:hAnsi="宋体"/>
          <w:color w:val="auto"/>
          <w:spacing w:val="0"/>
          <w:sz w:val="21"/>
          <w:szCs w:val="21"/>
          <w:highlight w:val="none"/>
          <w:lang w:val="en-US" w:eastAsia="zh-CN"/>
        </w:rPr>
        <w:t>3</w:t>
      </w:r>
      <w:r>
        <w:rPr>
          <w:rFonts w:hint="eastAsia" w:ascii="宋体" w:hAnsi="宋体"/>
          <w:color w:val="auto"/>
          <w:spacing w:val="0"/>
          <w:sz w:val="21"/>
          <w:szCs w:val="21"/>
          <w:highlight w:val="none"/>
        </w:rPr>
        <w:t>日8时00分至20</w:t>
      </w:r>
      <w:r>
        <w:rPr>
          <w:rFonts w:hint="eastAsia" w:ascii="宋体" w:hAnsi="宋体"/>
          <w:color w:val="auto"/>
          <w:spacing w:val="0"/>
          <w:sz w:val="21"/>
          <w:szCs w:val="21"/>
          <w:highlight w:val="none"/>
          <w:lang w:val="en-US" w:eastAsia="zh-CN"/>
        </w:rPr>
        <w:t>24</w:t>
      </w:r>
      <w:r>
        <w:rPr>
          <w:rFonts w:hint="eastAsia" w:ascii="宋体" w:hAnsi="宋体"/>
          <w:color w:val="auto"/>
          <w:spacing w:val="0"/>
          <w:sz w:val="21"/>
          <w:szCs w:val="21"/>
          <w:highlight w:val="none"/>
        </w:rPr>
        <w:t>年</w:t>
      </w:r>
      <w:r>
        <w:rPr>
          <w:rFonts w:hint="eastAsia" w:ascii="宋体" w:hAnsi="宋体"/>
          <w:color w:val="auto"/>
          <w:spacing w:val="0"/>
          <w:sz w:val="21"/>
          <w:szCs w:val="21"/>
          <w:highlight w:val="none"/>
          <w:lang w:val="en-US" w:eastAsia="zh-CN"/>
        </w:rPr>
        <w:t>12</w:t>
      </w:r>
      <w:r>
        <w:rPr>
          <w:rFonts w:hint="eastAsia" w:ascii="宋体" w:hAnsi="宋体"/>
          <w:color w:val="auto"/>
          <w:spacing w:val="0"/>
          <w:sz w:val="21"/>
          <w:szCs w:val="21"/>
          <w:highlight w:val="none"/>
        </w:rPr>
        <w:t>月</w:t>
      </w:r>
      <w:r>
        <w:rPr>
          <w:rFonts w:hint="eastAsia" w:ascii="宋体" w:hAnsi="宋体"/>
          <w:color w:val="auto"/>
          <w:spacing w:val="0"/>
          <w:sz w:val="21"/>
          <w:szCs w:val="21"/>
          <w:highlight w:val="none"/>
          <w:lang w:val="en-US" w:eastAsia="zh-CN"/>
        </w:rPr>
        <w:t>9</w:t>
      </w:r>
      <w:r>
        <w:rPr>
          <w:rFonts w:hint="eastAsia" w:ascii="宋体" w:hAnsi="宋体"/>
          <w:color w:val="auto"/>
          <w:spacing w:val="0"/>
          <w:sz w:val="21"/>
          <w:szCs w:val="21"/>
          <w:highlight w:val="none"/>
        </w:rPr>
        <w:t>日17时00分；</w:t>
      </w:r>
    </w:p>
    <w:p w14:paraId="285F87CF">
      <w:pPr>
        <w:keepNext w:val="0"/>
        <w:keepLines w:val="0"/>
        <w:pageBreakBefore w:val="0"/>
        <w:kinsoku/>
        <w:wordWrap/>
        <w:overflowPunct/>
        <w:topLinePunct w:val="0"/>
        <w:autoSpaceDE/>
        <w:autoSpaceDN/>
        <w:bidi w:val="0"/>
        <w:adjustRightInd/>
        <w:snapToGrid/>
        <w:spacing w:line="520" w:lineRule="exact"/>
        <w:ind w:firstLine="420" w:firstLineChars="200"/>
        <w:jc w:val="left"/>
        <w:textAlignment w:val="auto"/>
        <w:rPr>
          <w:rFonts w:ascii="宋体" w:hAnsi="宋体"/>
          <w:color w:val="auto"/>
          <w:spacing w:val="0"/>
          <w:sz w:val="21"/>
          <w:szCs w:val="21"/>
          <w:highlight w:val="none"/>
        </w:rPr>
      </w:pPr>
      <w:r>
        <w:rPr>
          <w:rFonts w:hint="eastAsia" w:ascii="宋体" w:hAnsi="宋体"/>
          <w:color w:val="auto"/>
          <w:spacing w:val="0"/>
          <w:sz w:val="21"/>
          <w:szCs w:val="21"/>
          <w:highlight w:val="none"/>
        </w:rPr>
        <w:t>请投标人下载招标文件后，及时关注交易系统业务菜单内该项目是否有新的答疑澄清文件或控制价文件，（如有）请直接下载，不再另行通知。</w:t>
      </w:r>
    </w:p>
    <w:p w14:paraId="4C3C6A8A">
      <w:pPr>
        <w:keepNext w:val="0"/>
        <w:keepLines w:val="0"/>
        <w:pageBreakBefore w:val="0"/>
        <w:kinsoku/>
        <w:wordWrap/>
        <w:overflowPunct/>
        <w:topLinePunct w:val="0"/>
        <w:autoSpaceDE/>
        <w:autoSpaceDN/>
        <w:bidi w:val="0"/>
        <w:adjustRightInd/>
        <w:snapToGrid/>
        <w:spacing w:line="520" w:lineRule="exact"/>
        <w:jc w:val="left"/>
        <w:textAlignment w:val="auto"/>
        <w:rPr>
          <w:rFonts w:ascii="宋体" w:hAnsi="宋体"/>
          <w:b/>
          <w:color w:val="auto"/>
          <w:spacing w:val="0"/>
          <w:sz w:val="21"/>
          <w:szCs w:val="21"/>
          <w:highlight w:val="none"/>
        </w:rPr>
      </w:pPr>
      <w:r>
        <w:rPr>
          <w:rFonts w:hint="eastAsia" w:ascii="宋体" w:hAnsi="宋体"/>
          <w:b/>
          <w:color w:val="auto"/>
          <w:spacing w:val="0"/>
          <w:sz w:val="21"/>
          <w:szCs w:val="21"/>
          <w:highlight w:val="none"/>
        </w:rPr>
        <w:t>5</w:t>
      </w:r>
      <w:r>
        <w:rPr>
          <w:rFonts w:ascii="宋体" w:hAnsi="宋体"/>
          <w:b/>
          <w:color w:val="auto"/>
          <w:spacing w:val="0"/>
          <w:sz w:val="21"/>
          <w:szCs w:val="21"/>
          <w:highlight w:val="none"/>
        </w:rPr>
        <w:t xml:space="preserve">. </w:t>
      </w:r>
      <w:r>
        <w:rPr>
          <w:rFonts w:hint="eastAsia" w:ascii="宋体" w:hAnsi="宋体"/>
          <w:b/>
          <w:color w:val="auto"/>
          <w:spacing w:val="0"/>
          <w:sz w:val="21"/>
          <w:szCs w:val="21"/>
          <w:highlight w:val="none"/>
        </w:rPr>
        <w:t>投标文件的递交</w:t>
      </w:r>
    </w:p>
    <w:p w14:paraId="1EE509AF">
      <w:pPr>
        <w:keepNext w:val="0"/>
        <w:keepLines w:val="0"/>
        <w:pageBreakBefore w:val="0"/>
        <w:kinsoku/>
        <w:wordWrap/>
        <w:overflowPunct/>
        <w:topLinePunct w:val="0"/>
        <w:autoSpaceDE/>
        <w:autoSpaceDN/>
        <w:bidi w:val="0"/>
        <w:adjustRightInd/>
        <w:snapToGrid/>
        <w:spacing w:line="520" w:lineRule="exact"/>
        <w:ind w:firstLine="420" w:firstLineChars="200"/>
        <w:jc w:val="left"/>
        <w:textAlignment w:val="auto"/>
        <w:rPr>
          <w:rFonts w:ascii="宋体" w:hAnsi="宋体"/>
          <w:color w:val="auto"/>
          <w:spacing w:val="0"/>
          <w:sz w:val="21"/>
          <w:szCs w:val="21"/>
          <w:highlight w:val="none"/>
        </w:rPr>
      </w:pPr>
      <w:r>
        <w:rPr>
          <w:rFonts w:hint="eastAsia" w:ascii="宋体" w:hAnsi="宋体"/>
          <w:color w:val="auto"/>
          <w:spacing w:val="0"/>
          <w:sz w:val="21"/>
          <w:szCs w:val="21"/>
          <w:highlight w:val="none"/>
        </w:rPr>
        <w:t>5.1 投标文件递交的截止时间：20</w:t>
      </w:r>
      <w:r>
        <w:rPr>
          <w:rFonts w:hint="eastAsia" w:ascii="宋体" w:hAnsi="宋体"/>
          <w:color w:val="auto"/>
          <w:spacing w:val="0"/>
          <w:sz w:val="21"/>
          <w:szCs w:val="21"/>
          <w:highlight w:val="none"/>
          <w:lang w:val="en-US" w:eastAsia="zh-CN"/>
        </w:rPr>
        <w:t>24</w:t>
      </w:r>
      <w:r>
        <w:rPr>
          <w:rFonts w:hint="eastAsia" w:ascii="宋体" w:hAnsi="宋体"/>
          <w:color w:val="auto"/>
          <w:spacing w:val="0"/>
          <w:sz w:val="21"/>
          <w:szCs w:val="21"/>
          <w:highlight w:val="none"/>
        </w:rPr>
        <w:t>年</w:t>
      </w:r>
      <w:r>
        <w:rPr>
          <w:rFonts w:hint="eastAsia" w:ascii="宋体" w:hAnsi="宋体"/>
          <w:color w:val="auto"/>
          <w:spacing w:val="0"/>
          <w:sz w:val="21"/>
          <w:szCs w:val="21"/>
          <w:highlight w:val="none"/>
          <w:lang w:val="en-US" w:eastAsia="zh-CN"/>
        </w:rPr>
        <w:t xml:space="preserve"> 12 </w:t>
      </w:r>
      <w:r>
        <w:rPr>
          <w:rFonts w:hint="eastAsia" w:ascii="宋体" w:hAnsi="宋体"/>
          <w:color w:val="auto"/>
          <w:spacing w:val="0"/>
          <w:sz w:val="21"/>
          <w:szCs w:val="21"/>
          <w:highlight w:val="none"/>
        </w:rPr>
        <w:t>月</w:t>
      </w:r>
      <w:r>
        <w:rPr>
          <w:rFonts w:hint="eastAsia" w:ascii="宋体" w:hAnsi="宋体"/>
          <w:color w:val="auto"/>
          <w:spacing w:val="0"/>
          <w:sz w:val="21"/>
          <w:szCs w:val="21"/>
          <w:highlight w:val="none"/>
          <w:lang w:val="en-US" w:eastAsia="zh-CN"/>
        </w:rPr>
        <w:t xml:space="preserve"> 25 </w:t>
      </w:r>
      <w:r>
        <w:rPr>
          <w:rFonts w:hint="eastAsia" w:ascii="宋体" w:hAnsi="宋体"/>
          <w:color w:val="auto"/>
          <w:spacing w:val="0"/>
          <w:sz w:val="21"/>
          <w:szCs w:val="21"/>
          <w:highlight w:val="none"/>
        </w:rPr>
        <w:t>日</w:t>
      </w:r>
      <w:r>
        <w:rPr>
          <w:rFonts w:hint="eastAsia" w:ascii="宋体" w:hAnsi="宋体" w:eastAsia="宋体" w:cs="宋体"/>
          <w:i w:val="0"/>
          <w:iCs w:val="0"/>
          <w:caps w:val="0"/>
          <w:color w:val="auto"/>
          <w:spacing w:val="0"/>
          <w:sz w:val="21"/>
          <w:szCs w:val="21"/>
          <w:highlight w:val="none"/>
          <w:shd w:val="clear" w:color="auto" w:fill="FFFFFF"/>
          <w:lang w:val="en-US" w:eastAsia="zh-CN"/>
        </w:rPr>
        <w:t xml:space="preserve"> </w:t>
      </w:r>
      <w:r>
        <w:rPr>
          <w:rFonts w:hint="eastAsia" w:ascii="宋体" w:hAnsi="宋体" w:cs="宋体"/>
          <w:i w:val="0"/>
          <w:iCs w:val="0"/>
          <w:caps w:val="0"/>
          <w:color w:val="auto"/>
          <w:spacing w:val="0"/>
          <w:sz w:val="21"/>
          <w:szCs w:val="21"/>
          <w:highlight w:val="none"/>
          <w:shd w:val="clear" w:color="auto" w:fill="FFFFFF"/>
          <w:lang w:val="en-US" w:eastAsia="zh-CN"/>
        </w:rPr>
        <w:t>10</w:t>
      </w:r>
      <w:r>
        <w:rPr>
          <w:rFonts w:hint="eastAsia" w:ascii="宋体" w:hAnsi="宋体" w:eastAsia="宋体" w:cs="宋体"/>
          <w:i w:val="0"/>
          <w:iCs w:val="0"/>
          <w:caps w:val="0"/>
          <w:color w:val="auto"/>
          <w:spacing w:val="0"/>
          <w:sz w:val="21"/>
          <w:szCs w:val="21"/>
          <w:highlight w:val="none"/>
          <w:shd w:val="clear" w:color="auto" w:fill="FFFFFF"/>
          <w:lang w:val="en-US" w:eastAsia="zh-CN"/>
        </w:rPr>
        <w:t xml:space="preserve"> </w:t>
      </w:r>
      <w:r>
        <w:rPr>
          <w:rFonts w:hint="eastAsia" w:ascii="宋体" w:hAnsi="宋体" w:eastAsia="宋体" w:cs="宋体"/>
          <w:i w:val="0"/>
          <w:iCs w:val="0"/>
          <w:caps w:val="0"/>
          <w:color w:val="auto"/>
          <w:spacing w:val="0"/>
          <w:sz w:val="21"/>
          <w:szCs w:val="21"/>
          <w:highlight w:val="none"/>
          <w:shd w:val="clear" w:color="auto" w:fill="FFFFFF"/>
        </w:rPr>
        <w:t>时</w:t>
      </w:r>
      <w:r>
        <w:rPr>
          <w:rFonts w:hint="eastAsia" w:ascii="宋体" w:hAnsi="宋体" w:cs="宋体"/>
          <w:i w:val="0"/>
          <w:iCs w:val="0"/>
          <w:caps w:val="0"/>
          <w:color w:val="auto"/>
          <w:spacing w:val="0"/>
          <w:sz w:val="21"/>
          <w:szCs w:val="21"/>
          <w:highlight w:val="none"/>
          <w:shd w:val="clear" w:color="auto" w:fill="FFFFFF"/>
          <w:lang w:val="en-US" w:eastAsia="zh-CN"/>
        </w:rPr>
        <w:t xml:space="preserve"> 30 </w:t>
      </w:r>
      <w:r>
        <w:rPr>
          <w:rFonts w:hint="eastAsia" w:ascii="宋体" w:hAnsi="宋体" w:eastAsia="宋体" w:cs="宋体"/>
          <w:i w:val="0"/>
          <w:iCs w:val="0"/>
          <w:caps w:val="0"/>
          <w:color w:val="auto"/>
          <w:spacing w:val="0"/>
          <w:sz w:val="21"/>
          <w:szCs w:val="21"/>
          <w:highlight w:val="none"/>
          <w:shd w:val="clear" w:color="auto" w:fill="FFFFFF"/>
          <w:lang w:val="en-US" w:eastAsia="zh-CN"/>
        </w:rPr>
        <w:t xml:space="preserve"> </w:t>
      </w:r>
      <w:r>
        <w:rPr>
          <w:rFonts w:hint="eastAsia" w:ascii="宋体" w:hAnsi="宋体" w:eastAsia="宋体" w:cs="宋体"/>
          <w:i w:val="0"/>
          <w:iCs w:val="0"/>
          <w:caps w:val="0"/>
          <w:color w:val="auto"/>
          <w:spacing w:val="0"/>
          <w:sz w:val="21"/>
          <w:szCs w:val="21"/>
          <w:highlight w:val="none"/>
          <w:shd w:val="clear" w:color="auto" w:fill="FFFFFF"/>
        </w:rPr>
        <w:t xml:space="preserve">分 </w:t>
      </w:r>
      <w:r>
        <w:rPr>
          <w:rFonts w:hint="eastAsia" w:ascii="宋体" w:hAnsi="宋体"/>
          <w:color w:val="auto"/>
          <w:spacing w:val="0"/>
          <w:sz w:val="21"/>
          <w:szCs w:val="21"/>
          <w:highlight w:val="none"/>
        </w:rPr>
        <w:t>。</w:t>
      </w:r>
    </w:p>
    <w:p w14:paraId="16E557A7">
      <w:pPr>
        <w:keepNext w:val="0"/>
        <w:keepLines w:val="0"/>
        <w:pageBreakBefore w:val="0"/>
        <w:kinsoku/>
        <w:wordWrap/>
        <w:overflowPunct/>
        <w:topLinePunct w:val="0"/>
        <w:autoSpaceDE/>
        <w:autoSpaceDN/>
        <w:bidi w:val="0"/>
        <w:adjustRightInd/>
        <w:snapToGrid/>
        <w:spacing w:line="520" w:lineRule="exact"/>
        <w:ind w:firstLine="420" w:firstLineChars="200"/>
        <w:jc w:val="left"/>
        <w:textAlignment w:val="auto"/>
        <w:rPr>
          <w:rFonts w:ascii="宋体" w:hAnsi="宋体"/>
          <w:spacing w:val="0"/>
          <w:sz w:val="21"/>
          <w:szCs w:val="21"/>
          <w:highlight w:val="none"/>
        </w:rPr>
      </w:pPr>
      <w:r>
        <w:rPr>
          <w:rFonts w:hint="eastAsia" w:ascii="宋体" w:hAnsi="宋体"/>
          <w:color w:val="auto"/>
          <w:spacing w:val="0"/>
          <w:sz w:val="21"/>
          <w:szCs w:val="21"/>
          <w:highlight w:val="none"/>
        </w:rPr>
        <w:t>5.2投标人必须在投标截止时间前通过周口市公共</w:t>
      </w:r>
      <w:r>
        <w:rPr>
          <w:rFonts w:hint="eastAsia" w:ascii="宋体" w:hAnsi="宋体"/>
          <w:spacing w:val="0"/>
          <w:sz w:val="21"/>
          <w:szCs w:val="21"/>
          <w:highlight w:val="none"/>
        </w:rPr>
        <w:t>资源交易中心电子招投标系统上传电子投标文件(*.zktf格式)。上传的电子投标文件应使用投标人CA数字证书认证并加密。</w:t>
      </w:r>
    </w:p>
    <w:p w14:paraId="0418B907">
      <w:pPr>
        <w:keepNext w:val="0"/>
        <w:keepLines w:val="0"/>
        <w:pageBreakBefore w:val="0"/>
        <w:kinsoku/>
        <w:wordWrap/>
        <w:overflowPunct/>
        <w:topLinePunct w:val="0"/>
        <w:autoSpaceDE/>
        <w:autoSpaceDN/>
        <w:bidi w:val="0"/>
        <w:adjustRightInd/>
        <w:snapToGrid/>
        <w:spacing w:line="520" w:lineRule="exact"/>
        <w:ind w:firstLine="420" w:firstLineChars="200"/>
        <w:jc w:val="left"/>
        <w:textAlignment w:val="auto"/>
        <w:rPr>
          <w:rFonts w:ascii="宋体" w:hAnsi="宋体"/>
          <w:spacing w:val="0"/>
          <w:sz w:val="21"/>
          <w:szCs w:val="21"/>
          <w:highlight w:val="none"/>
        </w:rPr>
      </w:pPr>
      <w:r>
        <w:rPr>
          <w:rFonts w:hint="eastAsia" w:ascii="宋体" w:hAnsi="宋体"/>
          <w:spacing w:val="0"/>
          <w:sz w:val="21"/>
          <w:szCs w:val="21"/>
          <w:highlight w:val="none"/>
        </w:rPr>
        <w:t>5.3加密电子投标文件逾期上传的招标人不予受理。</w:t>
      </w:r>
    </w:p>
    <w:p w14:paraId="32BF1597">
      <w:pPr>
        <w:keepNext w:val="0"/>
        <w:keepLines w:val="0"/>
        <w:pageBreakBefore w:val="0"/>
        <w:kinsoku/>
        <w:wordWrap/>
        <w:overflowPunct/>
        <w:topLinePunct w:val="0"/>
        <w:autoSpaceDE/>
        <w:autoSpaceDN/>
        <w:bidi w:val="0"/>
        <w:adjustRightInd/>
        <w:snapToGrid/>
        <w:spacing w:line="520" w:lineRule="exact"/>
        <w:ind w:firstLine="420" w:firstLineChars="200"/>
        <w:jc w:val="left"/>
        <w:textAlignment w:val="auto"/>
        <w:rPr>
          <w:rFonts w:hint="eastAsia" w:ascii="宋体" w:hAnsi="宋体" w:eastAsia="宋体"/>
          <w:spacing w:val="0"/>
          <w:sz w:val="21"/>
          <w:szCs w:val="21"/>
          <w:highlight w:val="none"/>
          <w:lang w:eastAsia="zh-CN"/>
        </w:rPr>
      </w:pPr>
      <w:r>
        <w:rPr>
          <w:rFonts w:hint="eastAsia" w:ascii="宋体" w:hAnsi="宋体"/>
          <w:spacing w:val="0"/>
          <w:sz w:val="21"/>
          <w:szCs w:val="21"/>
          <w:highlight w:val="none"/>
        </w:rPr>
        <w:t>5.</w:t>
      </w:r>
      <w:r>
        <w:rPr>
          <w:rFonts w:hint="eastAsia" w:ascii="宋体" w:hAnsi="宋体"/>
          <w:spacing w:val="0"/>
          <w:sz w:val="21"/>
          <w:szCs w:val="21"/>
          <w:highlight w:val="none"/>
          <w:lang w:val="en-US" w:eastAsia="zh-CN"/>
        </w:rPr>
        <w:t>4</w:t>
      </w:r>
      <w:r>
        <w:rPr>
          <w:rFonts w:hint="eastAsia" w:ascii="宋体" w:hAnsi="宋体"/>
          <w:spacing w:val="0"/>
          <w:sz w:val="21"/>
          <w:szCs w:val="21"/>
          <w:highlight w:val="none"/>
        </w:rPr>
        <w:t>开标地点：周口市公共资源交易中心第</w:t>
      </w:r>
      <w:r>
        <w:rPr>
          <w:rFonts w:hint="eastAsia" w:ascii="宋体" w:hAnsi="宋体"/>
          <w:spacing w:val="0"/>
          <w:sz w:val="21"/>
          <w:szCs w:val="21"/>
          <w:highlight w:val="none"/>
          <w:u w:val="single"/>
          <w:lang w:val="en-US" w:eastAsia="zh-CN"/>
        </w:rPr>
        <w:t xml:space="preserve">   七(405)   </w:t>
      </w:r>
      <w:r>
        <w:rPr>
          <w:rFonts w:hint="eastAsia" w:ascii="宋体" w:hAnsi="宋体"/>
          <w:spacing w:val="0"/>
          <w:sz w:val="21"/>
          <w:szCs w:val="21"/>
          <w:highlight w:val="none"/>
        </w:rPr>
        <w:t>开标室</w:t>
      </w:r>
      <w:r>
        <w:rPr>
          <w:rFonts w:hint="eastAsia" w:ascii="宋体" w:hAnsi="宋体"/>
          <w:spacing w:val="0"/>
          <w:sz w:val="21"/>
          <w:szCs w:val="21"/>
          <w:highlight w:val="none"/>
          <w:lang w:eastAsia="zh-CN"/>
        </w:rPr>
        <w:t>。</w:t>
      </w:r>
    </w:p>
    <w:p w14:paraId="15A0501F">
      <w:pPr>
        <w:keepNext w:val="0"/>
        <w:keepLines w:val="0"/>
        <w:pageBreakBefore w:val="0"/>
        <w:kinsoku/>
        <w:wordWrap/>
        <w:overflowPunct/>
        <w:topLinePunct w:val="0"/>
        <w:autoSpaceDE/>
        <w:autoSpaceDN/>
        <w:bidi w:val="0"/>
        <w:adjustRightInd/>
        <w:snapToGrid/>
        <w:spacing w:line="520" w:lineRule="exact"/>
        <w:ind w:firstLine="420" w:firstLineChars="200"/>
        <w:jc w:val="left"/>
        <w:textAlignment w:val="auto"/>
        <w:rPr>
          <w:rFonts w:ascii="宋体" w:hAnsi="宋体"/>
          <w:spacing w:val="0"/>
          <w:sz w:val="21"/>
          <w:szCs w:val="21"/>
          <w:highlight w:val="none"/>
        </w:rPr>
      </w:pPr>
      <w:r>
        <w:rPr>
          <w:rFonts w:hint="eastAsia" w:ascii="宋体" w:hAnsi="宋体"/>
          <w:spacing w:val="0"/>
          <w:sz w:val="21"/>
          <w:szCs w:val="21"/>
          <w:highlight w:val="none"/>
        </w:rPr>
        <w:t>本项目采用“不见面开标”远程解密方式， 投标人无需寄送和递交非加密的电子投标文件，无需到现场参加开标会议，无需到达现场提交原件资料。</w:t>
      </w:r>
    </w:p>
    <w:p w14:paraId="60B17A2C">
      <w:pPr>
        <w:keepNext w:val="0"/>
        <w:keepLines w:val="0"/>
        <w:pageBreakBefore w:val="0"/>
        <w:kinsoku/>
        <w:wordWrap/>
        <w:overflowPunct/>
        <w:topLinePunct w:val="0"/>
        <w:autoSpaceDE/>
        <w:autoSpaceDN/>
        <w:bidi w:val="0"/>
        <w:adjustRightInd/>
        <w:snapToGrid/>
        <w:spacing w:line="520" w:lineRule="exact"/>
        <w:ind w:firstLine="420" w:firstLineChars="200"/>
        <w:jc w:val="left"/>
        <w:textAlignment w:val="auto"/>
        <w:rPr>
          <w:rFonts w:ascii="宋体" w:hAnsi="宋体"/>
          <w:spacing w:val="0"/>
          <w:sz w:val="21"/>
          <w:szCs w:val="21"/>
          <w:highlight w:val="none"/>
        </w:rPr>
      </w:pPr>
      <w:r>
        <w:rPr>
          <w:rFonts w:hint="eastAsia" w:ascii="宋体" w:hAnsi="宋体"/>
          <w:spacing w:val="0"/>
          <w:sz w:val="21"/>
          <w:szCs w:val="21"/>
          <w:highlight w:val="none"/>
        </w:rPr>
        <w:t>投标人应当在投标截止时间前，使用投标人CA数字证书登录会员系统，准时参加开标活动，并在规定时间内完成投标文件解密。</w:t>
      </w:r>
    </w:p>
    <w:p w14:paraId="6B0852A2">
      <w:pPr>
        <w:keepNext w:val="0"/>
        <w:keepLines w:val="0"/>
        <w:pageBreakBefore w:val="0"/>
        <w:kinsoku/>
        <w:wordWrap/>
        <w:overflowPunct/>
        <w:topLinePunct w:val="0"/>
        <w:autoSpaceDE/>
        <w:autoSpaceDN/>
        <w:bidi w:val="0"/>
        <w:adjustRightInd/>
        <w:snapToGrid/>
        <w:spacing w:line="520" w:lineRule="exact"/>
        <w:ind w:firstLine="420" w:firstLineChars="200"/>
        <w:jc w:val="left"/>
        <w:textAlignment w:val="auto"/>
        <w:rPr>
          <w:rFonts w:ascii="宋体" w:hAnsi="宋体"/>
          <w:spacing w:val="0"/>
          <w:sz w:val="21"/>
          <w:szCs w:val="21"/>
          <w:highlight w:val="none"/>
        </w:rPr>
      </w:pPr>
      <w:r>
        <w:rPr>
          <w:rFonts w:hint="eastAsia" w:ascii="宋体" w:hAnsi="宋体"/>
          <w:spacing w:val="0"/>
          <w:sz w:val="21"/>
          <w:szCs w:val="21"/>
          <w:highlight w:val="none"/>
        </w:rPr>
        <w:t>逾期解密或者没有准时在线参加开标活动导致的一切后果投标人自行承担。</w:t>
      </w:r>
    </w:p>
    <w:p w14:paraId="418E118D">
      <w:pPr>
        <w:keepNext w:val="0"/>
        <w:keepLines w:val="0"/>
        <w:pageBreakBefore w:val="0"/>
        <w:kinsoku/>
        <w:wordWrap/>
        <w:overflowPunct/>
        <w:topLinePunct w:val="0"/>
        <w:autoSpaceDE/>
        <w:autoSpaceDN/>
        <w:bidi w:val="0"/>
        <w:adjustRightInd/>
        <w:snapToGrid/>
        <w:spacing w:line="520" w:lineRule="exact"/>
        <w:ind w:firstLine="420" w:firstLineChars="200"/>
        <w:jc w:val="left"/>
        <w:textAlignment w:val="auto"/>
        <w:rPr>
          <w:rFonts w:hint="eastAsia" w:ascii="宋体" w:hAnsi="宋体"/>
          <w:spacing w:val="0"/>
          <w:sz w:val="21"/>
          <w:szCs w:val="21"/>
          <w:highlight w:val="none"/>
        </w:rPr>
      </w:pPr>
      <w:r>
        <w:rPr>
          <w:rFonts w:hint="eastAsia" w:ascii="宋体" w:hAnsi="宋体"/>
          <w:spacing w:val="0"/>
          <w:sz w:val="21"/>
          <w:szCs w:val="21"/>
          <w:highlight w:val="none"/>
        </w:rPr>
        <w:t>远程解密方式，请参见周口市公共资源交易中心网站“下载中心”《 远程在线解密操作手册》。</w:t>
      </w:r>
    </w:p>
    <w:p w14:paraId="32EF1AFC">
      <w:pPr>
        <w:keepNext w:val="0"/>
        <w:keepLines w:val="0"/>
        <w:pageBreakBefore w:val="0"/>
        <w:kinsoku/>
        <w:wordWrap/>
        <w:overflowPunct/>
        <w:topLinePunct w:val="0"/>
        <w:autoSpaceDE/>
        <w:autoSpaceDN/>
        <w:bidi w:val="0"/>
        <w:adjustRightInd/>
        <w:snapToGrid/>
        <w:spacing w:line="520" w:lineRule="exact"/>
        <w:jc w:val="left"/>
        <w:textAlignment w:val="auto"/>
        <w:rPr>
          <w:rFonts w:ascii="宋体" w:hAnsi="宋体"/>
          <w:b/>
          <w:spacing w:val="0"/>
          <w:sz w:val="21"/>
          <w:szCs w:val="21"/>
          <w:highlight w:val="none"/>
        </w:rPr>
      </w:pPr>
      <w:r>
        <w:rPr>
          <w:rFonts w:hint="eastAsia" w:ascii="宋体" w:hAnsi="宋体"/>
          <w:b/>
          <w:spacing w:val="0"/>
          <w:sz w:val="21"/>
          <w:szCs w:val="21"/>
          <w:highlight w:val="none"/>
          <w:lang w:val="en-US" w:eastAsia="zh-CN"/>
        </w:rPr>
        <w:t>6</w:t>
      </w:r>
      <w:r>
        <w:rPr>
          <w:rFonts w:ascii="宋体" w:hAnsi="宋体"/>
          <w:b/>
          <w:spacing w:val="0"/>
          <w:sz w:val="21"/>
          <w:szCs w:val="21"/>
          <w:highlight w:val="none"/>
        </w:rPr>
        <w:t>.</w:t>
      </w:r>
      <w:r>
        <w:rPr>
          <w:rFonts w:hint="eastAsia" w:ascii="宋体" w:hAnsi="宋体"/>
          <w:b/>
          <w:spacing w:val="0"/>
          <w:sz w:val="21"/>
          <w:szCs w:val="21"/>
          <w:highlight w:val="none"/>
        </w:rPr>
        <w:t>发布公告的媒介</w:t>
      </w:r>
    </w:p>
    <w:p w14:paraId="11EE4DFB">
      <w:pPr>
        <w:keepNext w:val="0"/>
        <w:keepLines w:val="0"/>
        <w:pageBreakBefore w:val="0"/>
        <w:kinsoku/>
        <w:wordWrap/>
        <w:overflowPunct/>
        <w:topLinePunct w:val="0"/>
        <w:autoSpaceDE/>
        <w:autoSpaceDN/>
        <w:bidi w:val="0"/>
        <w:adjustRightInd/>
        <w:snapToGrid/>
        <w:spacing w:line="520" w:lineRule="exact"/>
        <w:ind w:firstLine="420" w:firstLineChars="200"/>
        <w:jc w:val="left"/>
        <w:textAlignment w:val="auto"/>
        <w:rPr>
          <w:rFonts w:ascii="宋体" w:hAnsi="宋体"/>
          <w:spacing w:val="0"/>
          <w:sz w:val="21"/>
          <w:szCs w:val="21"/>
          <w:highlight w:val="none"/>
        </w:rPr>
      </w:pPr>
      <w:r>
        <w:rPr>
          <w:rFonts w:hint="eastAsia" w:ascii="宋体" w:hAnsi="宋体"/>
          <w:spacing w:val="0"/>
          <w:sz w:val="21"/>
          <w:szCs w:val="21"/>
          <w:highlight w:val="none"/>
        </w:rPr>
        <w:t>本招标公告在《中国</w:t>
      </w:r>
      <w:r>
        <w:rPr>
          <w:rFonts w:hint="eastAsia" w:ascii="宋体" w:hAnsi="宋体"/>
          <w:spacing w:val="0"/>
          <w:sz w:val="21"/>
          <w:szCs w:val="21"/>
          <w:highlight w:val="none"/>
          <w:lang w:val="en-US" w:eastAsia="zh-CN"/>
        </w:rPr>
        <w:t>采购与招标网</w:t>
      </w:r>
      <w:r>
        <w:rPr>
          <w:rFonts w:hint="eastAsia" w:ascii="宋体" w:hAnsi="宋体"/>
          <w:spacing w:val="0"/>
          <w:sz w:val="21"/>
          <w:szCs w:val="21"/>
          <w:highlight w:val="none"/>
        </w:rPr>
        <w:t>》</w:t>
      </w:r>
      <w:r>
        <w:rPr>
          <w:rFonts w:hint="eastAsia" w:ascii="宋体" w:hAnsi="宋体"/>
          <w:spacing w:val="0"/>
          <w:sz w:val="21"/>
          <w:szCs w:val="21"/>
          <w:highlight w:val="none"/>
          <w:lang w:eastAsia="zh-CN"/>
        </w:rPr>
        <w:t>、</w:t>
      </w:r>
      <w:r>
        <w:rPr>
          <w:rFonts w:hint="eastAsia" w:ascii="宋体" w:hAnsi="宋体"/>
          <w:spacing w:val="0"/>
          <w:sz w:val="21"/>
          <w:szCs w:val="21"/>
          <w:highlight w:val="none"/>
        </w:rPr>
        <w:t>《周口市公共资源交易中心》上发布。</w:t>
      </w:r>
    </w:p>
    <w:p w14:paraId="68C4C772">
      <w:pPr>
        <w:keepNext w:val="0"/>
        <w:keepLines w:val="0"/>
        <w:pageBreakBefore w:val="0"/>
        <w:kinsoku/>
        <w:wordWrap/>
        <w:overflowPunct/>
        <w:topLinePunct w:val="0"/>
        <w:autoSpaceDE/>
        <w:autoSpaceDN/>
        <w:bidi w:val="0"/>
        <w:adjustRightInd/>
        <w:snapToGrid/>
        <w:spacing w:line="520" w:lineRule="exact"/>
        <w:jc w:val="left"/>
        <w:textAlignment w:val="auto"/>
        <w:rPr>
          <w:rFonts w:ascii="宋体" w:hAnsi="宋体"/>
          <w:b/>
          <w:spacing w:val="0"/>
          <w:sz w:val="21"/>
          <w:szCs w:val="21"/>
          <w:highlight w:val="none"/>
        </w:rPr>
      </w:pPr>
      <w:r>
        <w:rPr>
          <w:rFonts w:hint="eastAsia" w:ascii="宋体" w:hAnsi="宋体"/>
          <w:b/>
          <w:spacing w:val="0"/>
          <w:sz w:val="21"/>
          <w:szCs w:val="21"/>
          <w:highlight w:val="none"/>
          <w:lang w:val="en-US" w:eastAsia="zh-CN"/>
        </w:rPr>
        <w:t>7</w:t>
      </w:r>
      <w:r>
        <w:rPr>
          <w:rFonts w:ascii="宋体" w:hAnsi="宋体"/>
          <w:b/>
          <w:spacing w:val="0"/>
          <w:sz w:val="21"/>
          <w:szCs w:val="21"/>
          <w:highlight w:val="none"/>
        </w:rPr>
        <w:t xml:space="preserve"> </w:t>
      </w:r>
      <w:r>
        <w:rPr>
          <w:rFonts w:hint="eastAsia" w:ascii="宋体" w:hAnsi="宋体"/>
          <w:b/>
          <w:spacing w:val="0"/>
          <w:sz w:val="21"/>
          <w:szCs w:val="21"/>
          <w:highlight w:val="none"/>
        </w:rPr>
        <w:t>联系方式</w:t>
      </w:r>
    </w:p>
    <w:p w14:paraId="4FA0D890">
      <w:pPr>
        <w:keepNext w:val="0"/>
        <w:keepLines w:val="0"/>
        <w:pageBreakBefore w:val="0"/>
        <w:widowControl/>
        <w:kinsoku/>
        <w:wordWrap/>
        <w:overflowPunct/>
        <w:topLinePunct w:val="0"/>
        <w:autoSpaceDE/>
        <w:autoSpaceDN/>
        <w:bidi w:val="0"/>
        <w:adjustRightInd/>
        <w:snapToGrid/>
        <w:spacing w:line="520" w:lineRule="exact"/>
        <w:ind w:firstLine="420" w:firstLineChars="200"/>
        <w:jc w:val="left"/>
        <w:textAlignment w:val="auto"/>
        <w:rPr>
          <w:rFonts w:hint="eastAsia" w:ascii="宋体" w:hAnsi="宋体" w:eastAsia="宋体" w:cs="宋体"/>
          <w:spacing w:val="0"/>
          <w:kern w:val="0"/>
          <w:sz w:val="21"/>
          <w:szCs w:val="21"/>
        </w:rPr>
      </w:pPr>
      <w:r>
        <w:rPr>
          <w:rFonts w:hint="eastAsia" w:ascii="宋体" w:hAnsi="宋体" w:eastAsia="宋体" w:cs="宋体"/>
          <w:spacing w:val="0"/>
          <w:kern w:val="0"/>
          <w:sz w:val="21"/>
          <w:szCs w:val="21"/>
        </w:rPr>
        <w:t>招 标 人：太康县交通运输局</w:t>
      </w:r>
    </w:p>
    <w:p w14:paraId="6D434E8A">
      <w:pPr>
        <w:keepNext w:val="0"/>
        <w:keepLines w:val="0"/>
        <w:pageBreakBefore w:val="0"/>
        <w:widowControl/>
        <w:kinsoku/>
        <w:wordWrap/>
        <w:overflowPunct/>
        <w:topLinePunct w:val="0"/>
        <w:autoSpaceDE/>
        <w:autoSpaceDN/>
        <w:bidi w:val="0"/>
        <w:adjustRightInd/>
        <w:snapToGrid/>
        <w:spacing w:line="520" w:lineRule="exact"/>
        <w:ind w:firstLine="420" w:firstLineChars="200"/>
        <w:jc w:val="left"/>
        <w:textAlignment w:val="auto"/>
        <w:rPr>
          <w:rFonts w:hint="eastAsia" w:ascii="宋体" w:hAnsi="宋体" w:eastAsia="宋体" w:cs="宋体"/>
          <w:spacing w:val="0"/>
          <w:kern w:val="0"/>
          <w:sz w:val="21"/>
          <w:szCs w:val="21"/>
          <w:lang w:val="en-US" w:eastAsia="zh-CN"/>
        </w:rPr>
      </w:pPr>
      <w:r>
        <w:rPr>
          <w:rFonts w:hint="eastAsia" w:ascii="宋体" w:hAnsi="宋体" w:eastAsia="宋体" w:cs="宋体"/>
          <w:spacing w:val="0"/>
          <w:kern w:val="0"/>
          <w:sz w:val="21"/>
          <w:szCs w:val="21"/>
        </w:rPr>
        <w:t>地  址：太康县</w:t>
      </w:r>
      <w:r>
        <w:rPr>
          <w:rFonts w:hint="eastAsia" w:ascii="宋体" w:hAnsi="宋体" w:cs="宋体"/>
          <w:spacing w:val="0"/>
          <w:kern w:val="0"/>
          <w:sz w:val="21"/>
          <w:szCs w:val="21"/>
          <w:lang w:val="en-US" w:eastAsia="zh-CN"/>
        </w:rPr>
        <w:t>境内</w:t>
      </w:r>
    </w:p>
    <w:p w14:paraId="0FCEA6E3">
      <w:pPr>
        <w:keepNext w:val="0"/>
        <w:keepLines w:val="0"/>
        <w:pageBreakBefore w:val="0"/>
        <w:widowControl/>
        <w:kinsoku/>
        <w:wordWrap/>
        <w:overflowPunct/>
        <w:topLinePunct w:val="0"/>
        <w:autoSpaceDE/>
        <w:autoSpaceDN/>
        <w:bidi w:val="0"/>
        <w:adjustRightInd/>
        <w:snapToGrid/>
        <w:spacing w:line="520" w:lineRule="exact"/>
        <w:ind w:firstLine="420" w:firstLineChars="200"/>
        <w:jc w:val="left"/>
        <w:textAlignment w:val="auto"/>
        <w:rPr>
          <w:rFonts w:hint="eastAsia" w:ascii="宋体" w:hAnsi="宋体" w:eastAsia="宋体" w:cs="宋体"/>
          <w:spacing w:val="0"/>
          <w:kern w:val="0"/>
          <w:sz w:val="21"/>
          <w:szCs w:val="21"/>
        </w:rPr>
      </w:pPr>
      <w:r>
        <w:rPr>
          <w:rFonts w:hint="eastAsia" w:ascii="宋体" w:hAnsi="宋体" w:eastAsia="宋体" w:cs="宋体"/>
          <w:spacing w:val="0"/>
          <w:kern w:val="0"/>
          <w:sz w:val="21"/>
          <w:szCs w:val="21"/>
        </w:rPr>
        <w:t>联 系 人：</w:t>
      </w:r>
      <w:r>
        <w:rPr>
          <w:rFonts w:hint="eastAsia" w:ascii="宋体" w:hAnsi="宋体" w:cs="宋体"/>
          <w:spacing w:val="0"/>
          <w:kern w:val="0"/>
          <w:sz w:val="21"/>
          <w:szCs w:val="21"/>
          <w:lang w:val="en-US" w:eastAsia="zh-CN"/>
        </w:rPr>
        <w:t>韩</w:t>
      </w:r>
      <w:r>
        <w:rPr>
          <w:rFonts w:hint="eastAsia" w:ascii="宋体" w:hAnsi="宋体" w:eastAsia="宋体" w:cs="宋体"/>
          <w:spacing w:val="0"/>
          <w:kern w:val="0"/>
          <w:sz w:val="21"/>
          <w:szCs w:val="21"/>
        </w:rPr>
        <w:t>先生</w:t>
      </w:r>
    </w:p>
    <w:p w14:paraId="09068FCF">
      <w:pPr>
        <w:keepNext w:val="0"/>
        <w:keepLines w:val="0"/>
        <w:pageBreakBefore w:val="0"/>
        <w:widowControl/>
        <w:kinsoku/>
        <w:wordWrap/>
        <w:overflowPunct/>
        <w:topLinePunct w:val="0"/>
        <w:autoSpaceDE/>
        <w:autoSpaceDN/>
        <w:bidi w:val="0"/>
        <w:adjustRightInd/>
        <w:snapToGrid/>
        <w:spacing w:line="520" w:lineRule="exact"/>
        <w:ind w:firstLine="420" w:firstLineChars="200"/>
        <w:jc w:val="left"/>
        <w:textAlignment w:val="auto"/>
        <w:rPr>
          <w:rFonts w:hint="eastAsia" w:ascii="宋体" w:hAnsi="宋体" w:eastAsia="宋体" w:cs="宋体"/>
          <w:spacing w:val="0"/>
          <w:kern w:val="0"/>
          <w:sz w:val="21"/>
          <w:szCs w:val="21"/>
        </w:rPr>
      </w:pPr>
      <w:r>
        <w:rPr>
          <w:rFonts w:hint="eastAsia" w:ascii="宋体" w:hAnsi="宋体" w:eastAsia="宋体" w:cs="宋体"/>
          <w:spacing w:val="0"/>
          <w:kern w:val="0"/>
          <w:sz w:val="21"/>
          <w:szCs w:val="21"/>
          <w:lang w:val="en-US" w:eastAsia="zh-CN" w:bidi="ar-SA"/>
        </w:rPr>
        <w:t>联系电话</w:t>
      </w:r>
      <w:r>
        <w:rPr>
          <w:rFonts w:hint="eastAsia" w:ascii="宋体" w:hAnsi="宋体" w:eastAsia="宋体" w:cs="宋体"/>
          <w:spacing w:val="0"/>
          <w:kern w:val="0"/>
          <w:sz w:val="21"/>
          <w:szCs w:val="21"/>
        </w:rPr>
        <w:t>：0394-6</w:t>
      </w:r>
      <w:r>
        <w:rPr>
          <w:rFonts w:hint="eastAsia" w:ascii="宋体" w:hAnsi="宋体" w:cs="宋体"/>
          <w:spacing w:val="0"/>
          <w:kern w:val="0"/>
          <w:sz w:val="21"/>
          <w:szCs w:val="21"/>
          <w:lang w:val="en-US" w:eastAsia="zh-CN"/>
        </w:rPr>
        <w:t>9</w:t>
      </w:r>
      <w:r>
        <w:rPr>
          <w:rFonts w:hint="eastAsia" w:ascii="宋体" w:hAnsi="宋体" w:eastAsia="宋体" w:cs="宋体"/>
          <w:spacing w:val="0"/>
          <w:kern w:val="0"/>
          <w:sz w:val="21"/>
          <w:szCs w:val="21"/>
        </w:rPr>
        <w:t>28868</w:t>
      </w:r>
    </w:p>
    <w:p w14:paraId="2245AFE9">
      <w:pPr>
        <w:keepNext w:val="0"/>
        <w:keepLines w:val="0"/>
        <w:pageBreakBefore w:val="0"/>
        <w:widowControl/>
        <w:kinsoku/>
        <w:wordWrap/>
        <w:overflowPunct/>
        <w:topLinePunct w:val="0"/>
        <w:autoSpaceDE/>
        <w:autoSpaceDN/>
        <w:bidi w:val="0"/>
        <w:adjustRightInd/>
        <w:spacing w:line="360" w:lineRule="auto"/>
        <w:ind w:firstLine="420" w:firstLineChars="200"/>
        <w:jc w:val="left"/>
        <w:textAlignment w:val="auto"/>
        <w:rPr>
          <w:rFonts w:hint="eastAsia" w:ascii="宋体" w:hAnsi="宋体" w:eastAsia="宋体" w:cs="宋体"/>
          <w:kern w:val="0"/>
          <w:sz w:val="21"/>
          <w:szCs w:val="21"/>
        </w:rPr>
      </w:pPr>
      <w:r>
        <w:rPr>
          <w:rFonts w:hint="eastAsia" w:ascii="宋体" w:hAnsi="宋体" w:eastAsia="宋体" w:cs="宋体"/>
          <w:kern w:val="0"/>
          <w:sz w:val="21"/>
          <w:szCs w:val="21"/>
        </w:rPr>
        <w:br w:type="page"/>
      </w:r>
      <w:r>
        <w:rPr>
          <w:rFonts w:hint="eastAsia" w:ascii="宋体" w:hAnsi="宋体" w:eastAsia="宋体" w:cs="宋体"/>
          <w:kern w:val="0"/>
          <w:sz w:val="21"/>
          <w:szCs w:val="21"/>
        </w:rPr>
        <w:t xml:space="preserve">代理机构：河南东晟嘉文工程咨询有限公司 </w:t>
      </w:r>
    </w:p>
    <w:p w14:paraId="3E6B4DBE">
      <w:pPr>
        <w:keepNext w:val="0"/>
        <w:keepLines w:val="0"/>
        <w:pageBreakBefore w:val="0"/>
        <w:widowControl/>
        <w:kinsoku/>
        <w:wordWrap/>
        <w:overflowPunct/>
        <w:topLinePunct w:val="0"/>
        <w:autoSpaceDE/>
        <w:autoSpaceDN/>
        <w:bidi w:val="0"/>
        <w:adjustRightInd/>
        <w:spacing w:line="360" w:lineRule="auto"/>
        <w:ind w:firstLine="420" w:firstLineChars="200"/>
        <w:jc w:val="left"/>
        <w:textAlignment w:val="auto"/>
        <w:rPr>
          <w:rFonts w:hint="eastAsia" w:ascii="宋体" w:hAnsi="宋体" w:eastAsia="宋体" w:cs="宋体"/>
          <w:kern w:val="0"/>
          <w:sz w:val="21"/>
          <w:szCs w:val="21"/>
          <w:lang w:val="en-US" w:eastAsia="zh-CN"/>
        </w:rPr>
      </w:pPr>
      <w:r>
        <w:rPr>
          <w:rFonts w:hint="eastAsia" w:ascii="宋体" w:hAnsi="宋体" w:eastAsia="宋体" w:cs="宋体"/>
          <w:kern w:val="0"/>
          <w:sz w:val="21"/>
          <w:szCs w:val="21"/>
        </w:rPr>
        <w:t>地址：河南省郑州市高新技术产业开发区枫香街173号天健湖智联网产业园3号楼3楼A304号</w:t>
      </w:r>
    </w:p>
    <w:p w14:paraId="60268DAC">
      <w:pPr>
        <w:pStyle w:val="38"/>
        <w:keepNext w:val="0"/>
        <w:keepLines w:val="0"/>
        <w:widowControl/>
        <w:suppressLineNumbers w:val="0"/>
        <w:spacing w:before="0" w:beforeAutospacing="0" w:after="0" w:afterAutospacing="0" w:line="23" w:lineRule="atLeast"/>
        <w:ind w:left="0" w:right="0" w:firstLine="480"/>
        <w:jc w:val="left"/>
        <w:rPr>
          <w:rFonts w:hint="eastAsia" w:ascii="宋体" w:hAnsi="宋体" w:eastAsia="宋体" w:cs="宋体"/>
          <w:kern w:val="0"/>
          <w:sz w:val="21"/>
          <w:szCs w:val="21"/>
          <w:lang w:val="en-US" w:eastAsia="zh-CN" w:bidi="ar-SA"/>
        </w:rPr>
      </w:pPr>
      <w:r>
        <w:rPr>
          <w:rFonts w:hint="eastAsia" w:ascii="宋体" w:hAnsi="宋体" w:eastAsia="宋体" w:cs="宋体"/>
          <w:kern w:val="0"/>
          <w:sz w:val="21"/>
          <w:szCs w:val="21"/>
          <w:lang w:val="en-US" w:eastAsia="zh-CN" w:bidi="ar-SA"/>
        </w:rPr>
        <w:t>联 系 人：周瑞</w:t>
      </w:r>
    </w:p>
    <w:p w14:paraId="20E5E34E">
      <w:pPr>
        <w:keepNext w:val="0"/>
        <w:keepLines w:val="0"/>
        <w:pageBreakBefore w:val="0"/>
        <w:kinsoku/>
        <w:wordWrap/>
        <w:overflowPunct/>
        <w:topLinePunct w:val="0"/>
        <w:autoSpaceDE/>
        <w:autoSpaceDN/>
        <w:bidi w:val="0"/>
        <w:adjustRightInd/>
        <w:spacing w:line="360" w:lineRule="auto"/>
        <w:ind w:firstLine="420" w:firstLineChars="200"/>
        <w:jc w:val="left"/>
        <w:textAlignment w:val="auto"/>
        <w:rPr>
          <w:rFonts w:hint="eastAsia" w:ascii="宋体" w:hAnsi="宋体" w:eastAsia="宋体" w:cs="宋体"/>
          <w:kern w:val="0"/>
          <w:sz w:val="21"/>
          <w:szCs w:val="21"/>
          <w:lang w:val="en-US" w:eastAsia="zh-CN" w:bidi="ar-SA"/>
        </w:rPr>
      </w:pPr>
      <w:r>
        <w:rPr>
          <w:rFonts w:hint="eastAsia" w:ascii="宋体" w:hAnsi="宋体" w:eastAsia="宋体" w:cs="宋体"/>
          <w:kern w:val="0"/>
          <w:sz w:val="21"/>
          <w:szCs w:val="21"/>
          <w:lang w:val="en-US" w:eastAsia="zh-CN" w:bidi="ar-SA"/>
        </w:rPr>
        <w:t>联系电话：15515943575</w:t>
      </w:r>
    </w:p>
    <w:p w14:paraId="1863AC4D">
      <w:pPr>
        <w:keepNext w:val="0"/>
        <w:keepLines w:val="0"/>
        <w:pageBreakBefore w:val="0"/>
        <w:numPr>
          <w:ilvl w:val="0"/>
          <w:numId w:val="0"/>
        </w:numPr>
        <w:kinsoku/>
        <w:wordWrap/>
        <w:overflowPunct/>
        <w:topLinePunct w:val="0"/>
        <w:autoSpaceDE/>
        <w:autoSpaceDN/>
        <w:bidi w:val="0"/>
        <w:adjustRightInd/>
        <w:spacing w:line="360" w:lineRule="auto"/>
        <w:jc w:val="left"/>
        <w:textAlignment w:val="auto"/>
        <w:rPr>
          <w:rFonts w:ascii="宋体" w:hAnsi="宋体"/>
          <w:sz w:val="21"/>
          <w:szCs w:val="21"/>
        </w:rPr>
      </w:pPr>
      <w:r>
        <w:rPr>
          <w:rFonts w:hint="eastAsia" w:ascii="黑体" w:hAnsi="黑体" w:eastAsia="黑体" w:cs="黑体"/>
          <w:b/>
          <w:sz w:val="21"/>
          <w:szCs w:val="21"/>
          <w:lang w:val="en-US" w:eastAsia="zh-CN"/>
        </w:rPr>
        <w:t>8、</w:t>
      </w:r>
      <w:r>
        <w:rPr>
          <w:rFonts w:hint="eastAsia" w:ascii="宋体" w:hAnsi="宋体"/>
          <w:b/>
          <w:sz w:val="21"/>
          <w:szCs w:val="21"/>
          <w:lang w:val="en-US" w:eastAsia="zh-CN"/>
        </w:rPr>
        <w:t xml:space="preserve"> </w:t>
      </w:r>
      <w:r>
        <w:rPr>
          <w:rFonts w:hint="eastAsia" w:ascii="宋体" w:hAnsi="宋体"/>
          <w:b/>
          <w:sz w:val="21"/>
          <w:szCs w:val="21"/>
        </w:rPr>
        <w:t>监督人</w:t>
      </w:r>
    </w:p>
    <w:p w14:paraId="4081F7ED">
      <w:pPr>
        <w:keepNext w:val="0"/>
        <w:keepLines w:val="0"/>
        <w:pageBreakBefore w:val="0"/>
        <w:widowControl/>
        <w:kinsoku/>
        <w:wordWrap/>
        <w:overflowPunct/>
        <w:topLinePunct w:val="0"/>
        <w:autoSpaceDE/>
        <w:autoSpaceDN/>
        <w:bidi w:val="0"/>
        <w:adjustRightInd/>
        <w:spacing w:line="360" w:lineRule="auto"/>
        <w:ind w:firstLine="420" w:firstLineChars="200"/>
        <w:jc w:val="left"/>
        <w:textAlignment w:val="auto"/>
        <w:rPr>
          <w:rFonts w:hint="eastAsia" w:ascii="宋体" w:hAnsi="宋体" w:eastAsia="宋体" w:cs="宋体"/>
          <w:kern w:val="0"/>
          <w:sz w:val="21"/>
          <w:szCs w:val="21"/>
        </w:rPr>
      </w:pPr>
      <w:r>
        <w:rPr>
          <w:rFonts w:hint="eastAsia" w:ascii="宋体" w:hAnsi="宋体" w:eastAsia="宋体" w:cs="宋体"/>
          <w:kern w:val="0"/>
          <w:sz w:val="21"/>
          <w:szCs w:val="21"/>
        </w:rPr>
        <w:t>监督单位：太康县发展和改革委员会</w:t>
      </w:r>
    </w:p>
    <w:p w14:paraId="4D20D2EC">
      <w:pPr>
        <w:keepNext w:val="0"/>
        <w:keepLines w:val="0"/>
        <w:pageBreakBefore w:val="0"/>
        <w:widowControl/>
        <w:kinsoku/>
        <w:wordWrap/>
        <w:overflowPunct/>
        <w:topLinePunct w:val="0"/>
        <w:autoSpaceDE/>
        <w:autoSpaceDN/>
        <w:bidi w:val="0"/>
        <w:adjustRightInd/>
        <w:spacing w:line="360" w:lineRule="auto"/>
        <w:ind w:firstLine="420" w:firstLineChars="200"/>
        <w:jc w:val="left"/>
        <w:textAlignment w:val="auto"/>
      </w:pPr>
      <w:r>
        <w:rPr>
          <w:rFonts w:hint="eastAsia" w:ascii="宋体" w:hAnsi="宋体" w:eastAsia="宋体" w:cs="宋体"/>
          <w:kern w:val="0"/>
          <w:sz w:val="21"/>
          <w:szCs w:val="21"/>
        </w:rPr>
        <w:t>联系</w:t>
      </w:r>
      <w:r>
        <w:rPr>
          <w:rFonts w:hint="eastAsia" w:ascii="宋体" w:hAnsi="宋体" w:eastAsia="宋体" w:cs="宋体"/>
          <w:kern w:val="0"/>
          <w:sz w:val="21"/>
          <w:szCs w:val="21"/>
          <w:lang w:val="en-US" w:eastAsia="zh-CN" w:bidi="ar-SA"/>
        </w:rPr>
        <w:t>电话：</w:t>
      </w:r>
      <w:r>
        <w:rPr>
          <w:rFonts w:hint="eastAsia" w:ascii="宋体" w:hAnsi="宋体" w:eastAsia="宋体" w:cs="宋体"/>
          <w:kern w:val="0"/>
          <w:sz w:val="21"/>
          <w:szCs w:val="21"/>
        </w:rPr>
        <w:t xml:space="preserve">0394-6816911   </w:t>
      </w:r>
      <w:r>
        <w:rPr>
          <w:rFonts w:ascii="宋体" w:hAnsi="宋体"/>
          <w:sz w:val="21"/>
          <w:szCs w:val="21"/>
        </w:rPr>
        <w:t xml:space="preserve">  </w:t>
      </w:r>
      <w:r>
        <w:rPr>
          <w:rFonts w:ascii="宋体" w:hAnsi="宋体"/>
          <w:sz w:val="28"/>
          <w:szCs w:val="28"/>
        </w:rPr>
        <w:t xml:space="preserve">    </w:t>
      </w:r>
    </w:p>
    <w:p w14:paraId="38C3DC17"/>
    <w:p w14:paraId="7DF2A54D"/>
    <w:p w14:paraId="15251D03"/>
    <w:p w14:paraId="0F052BAE">
      <w:pPr>
        <w:rPr>
          <w:rFonts w:hint="eastAsia" w:ascii="黑体" w:hAnsi="黑体" w:eastAsia="黑体"/>
          <w:b/>
          <w:bCs/>
          <w:sz w:val="32"/>
        </w:rPr>
      </w:pPr>
      <w:r>
        <w:rPr>
          <w:rFonts w:hint="eastAsia" w:ascii="黑体" w:hAnsi="黑体" w:eastAsia="黑体"/>
          <w:b/>
          <w:bCs/>
          <w:sz w:val="32"/>
        </w:rPr>
        <w:br w:type="page"/>
      </w:r>
    </w:p>
    <w:p w14:paraId="7AE03E2A"/>
    <w:bookmarkEnd w:id="6"/>
    <w:bookmarkEnd w:id="7"/>
    <w:p w14:paraId="77EBD40B">
      <w:pPr>
        <w:pStyle w:val="3"/>
        <w:spacing w:before="0" w:after="0" w:line="400" w:lineRule="exact"/>
        <w:jc w:val="center"/>
        <w:rPr>
          <w:rFonts w:hint="eastAsia" w:ascii="黑体" w:hAnsi="黑体" w:eastAsia="黑体"/>
          <w:b w:val="0"/>
          <w:bCs w:val="0"/>
          <w:sz w:val="32"/>
        </w:rPr>
      </w:pPr>
      <w:bookmarkStart w:id="16" w:name="_Toc144974495"/>
      <w:bookmarkStart w:id="17" w:name="_Toc152042303"/>
      <w:bookmarkStart w:id="18" w:name="_Toc100487468"/>
      <w:bookmarkStart w:id="19" w:name="_Toc152045527"/>
      <w:r>
        <w:rPr>
          <w:rFonts w:hint="eastAsia" w:ascii="黑体" w:hAnsi="黑体" w:eastAsia="黑体"/>
          <w:b w:val="0"/>
          <w:bCs w:val="0"/>
          <w:sz w:val="32"/>
        </w:rPr>
        <w:t>第二章 投标人须知</w:t>
      </w:r>
      <w:bookmarkEnd w:id="16"/>
      <w:bookmarkEnd w:id="17"/>
      <w:bookmarkEnd w:id="18"/>
      <w:bookmarkEnd w:id="19"/>
    </w:p>
    <w:p w14:paraId="10DD3D08">
      <w:pPr>
        <w:spacing w:line="400" w:lineRule="exact"/>
      </w:pPr>
    </w:p>
    <w:p w14:paraId="6C66A4B8">
      <w:pPr>
        <w:pStyle w:val="85"/>
        <w:spacing w:before="0"/>
        <w:rPr>
          <w:rFonts w:hint="eastAsia"/>
        </w:rPr>
      </w:pPr>
      <w:bookmarkStart w:id="20" w:name="_Toc152042304"/>
      <w:bookmarkStart w:id="21" w:name="_Toc152045528"/>
      <w:bookmarkStart w:id="22" w:name="_Toc100487469"/>
      <w:bookmarkStart w:id="23" w:name="_Toc144974496"/>
      <w:r>
        <w:rPr>
          <w:rFonts w:hint="eastAsia"/>
        </w:rPr>
        <w:t>投标人须知前附表</w:t>
      </w:r>
      <w:bookmarkEnd w:id="20"/>
      <w:bookmarkEnd w:id="21"/>
      <w:bookmarkEnd w:id="22"/>
      <w:bookmarkEnd w:id="23"/>
    </w:p>
    <w:tbl>
      <w:tblPr>
        <w:tblStyle w:val="42"/>
        <w:tblW w:w="9828" w:type="dxa"/>
        <w:tblInd w:w="0" w:type="dxa"/>
        <w:tblLayout w:type="fixed"/>
        <w:tblCellMar>
          <w:top w:w="0" w:type="dxa"/>
          <w:left w:w="108" w:type="dxa"/>
          <w:bottom w:w="0" w:type="dxa"/>
          <w:right w:w="108" w:type="dxa"/>
        </w:tblCellMar>
      </w:tblPr>
      <w:tblGrid>
        <w:gridCol w:w="1004"/>
        <w:gridCol w:w="3338"/>
        <w:gridCol w:w="5486"/>
      </w:tblGrid>
      <w:tr w14:paraId="1F20C68C">
        <w:tblPrEx>
          <w:tblCellMar>
            <w:top w:w="0" w:type="dxa"/>
            <w:left w:w="108" w:type="dxa"/>
            <w:bottom w:w="0" w:type="dxa"/>
            <w:right w:w="108" w:type="dxa"/>
          </w:tblCellMar>
        </w:tblPrEx>
        <w:tc>
          <w:tcPr>
            <w:tcW w:w="1004" w:type="dxa"/>
            <w:tcBorders>
              <w:top w:val="single" w:color="auto" w:sz="4" w:space="0"/>
              <w:left w:val="single" w:color="auto" w:sz="4" w:space="0"/>
              <w:bottom w:val="single" w:color="auto" w:sz="4" w:space="0"/>
              <w:right w:val="single" w:color="auto" w:sz="4" w:space="0"/>
            </w:tcBorders>
            <w:noWrap w:val="0"/>
            <w:vAlign w:val="center"/>
          </w:tcPr>
          <w:p w14:paraId="27C5B97F">
            <w:pPr>
              <w:spacing w:line="440" w:lineRule="exact"/>
              <w:jc w:val="center"/>
              <w:textAlignment w:val="center"/>
              <w:rPr>
                <w:rFonts w:hint="eastAsia" w:ascii="宋体" w:hAnsi="宋体" w:eastAsia="宋体" w:cs="宋体"/>
                <w:b/>
                <w:sz w:val="24"/>
              </w:rPr>
            </w:pPr>
            <w:r>
              <w:rPr>
                <w:rFonts w:hint="eastAsia" w:ascii="宋体" w:hAnsi="宋体" w:eastAsia="宋体" w:cs="宋体"/>
                <w:b/>
                <w:sz w:val="24"/>
              </w:rPr>
              <w:t>条款号</w:t>
            </w:r>
          </w:p>
        </w:tc>
        <w:tc>
          <w:tcPr>
            <w:tcW w:w="3338" w:type="dxa"/>
            <w:tcBorders>
              <w:top w:val="single" w:color="auto" w:sz="4" w:space="0"/>
              <w:left w:val="single" w:color="auto" w:sz="4" w:space="0"/>
              <w:bottom w:val="single" w:color="auto" w:sz="4" w:space="0"/>
              <w:right w:val="single" w:color="auto" w:sz="4" w:space="0"/>
            </w:tcBorders>
            <w:noWrap w:val="0"/>
            <w:vAlign w:val="center"/>
          </w:tcPr>
          <w:p w14:paraId="61A16EB2">
            <w:pPr>
              <w:spacing w:line="440" w:lineRule="exact"/>
              <w:jc w:val="center"/>
              <w:textAlignment w:val="center"/>
              <w:rPr>
                <w:rFonts w:hint="eastAsia" w:ascii="宋体" w:hAnsi="宋体" w:eastAsia="宋体" w:cs="宋体"/>
                <w:b/>
                <w:sz w:val="24"/>
              </w:rPr>
            </w:pPr>
            <w:r>
              <w:rPr>
                <w:rFonts w:hint="eastAsia" w:ascii="宋体" w:hAnsi="宋体" w:eastAsia="宋体" w:cs="宋体"/>
                <w:b/>
                <w:sz w:val="24"/>
              </w:rPr>
              <w:t>条  款  名  称</w:t>
            </w:r>
          </w:p>
        </w:tc>
        <w:tc>
          <w:tcPr>
            <w:tcW w:w="5486" w:type="dxa"/>
            <w:tcBorders>
              <w:top w:val="single" w:color="auto" w:sz="4" w:space="0"/>
              <w:left w:val="single" w:color="auto" w:sz="4" w:space="0"/>
              <w:bottom w:val="single" w:color="auto" w:sz="4" w:space="0"/>
              <w:right w:val="single" w:color="auto" w:sz="4" w:space="0"/>
            </w:tcBorders>
            <w:noWrap w:val="0"/>
            <w:vAlign w:val="center"/>
          </w:tcPr>
          <w:p w14:paraId="1EFDB23F">
            <w:pPr>
              <w:spacing w:line="440" w:lineRule="exact"/>
              <w:jc w:val="center"/>
              <w:textAlignment w:val="center"/>
              <w:rPr>
                <w:rFonts w:hint="eastAsia" w:ascii="宋体" w:hAnsi="宋体" w:eastAsia="宋体" w:cs="宋体"/>
                <w:b/>
                <w:sz w:val="24"/>
              </w:rPr>
            </w:pPr>
            <w:r>
              <w:rPr>
                <w:rFonts w:hint="eastAsia" w:ascii="宋体" w:hAnsi="宋体" w:eastAsia="宋体" w:cs="宋体"/>
                <w:b/>
                <w:sz w:val="24"/>
              </w:rPr>
              <w:t>编  列  内  容</w:t>
            </w:r>
          </w:p>
        </w:tc>
      </w:tr>
      <w:tr w14:paraId="5CBA9417">
        <w:tblPrEx>
          <w:tblCellMar>
            <w:top w:w="0" w:type="dxa"/>
            <w:left w:w="108" w:type="dxa"/>
            <w:bottom w:w="0" w:type="dxa"/>
            <w:right w:w="108" w:type="dxa"/>
          </w:tblCellMar>
        </w:tblPrEx>
        <w:trPr>
          <w:trHeight w:val="1463" w:hRule="atLeast"/>
        </w:trPr>
        <w:tc>
          <w:tcPr>
            <w:tcW w:w="1004" w:type="dxa"/>
            <w:tcBorders>
              <w:top w:val="single" w:color="auto" w:sz="4" w:space="0"/>
              <w:left w:val="single" w:color="auto" w:sz="4" w:space="0"/>
              <w:bottom w:val="single" w:color="auto" w:sz="4" w:space="0"/>
              <w:right w:val="single" w:color="auto" w:sz="4" w:space="0"/>
            </w:tcBorders>
            <w:noWrap w:val="0"/>
            <w:vAlign w:val="center"/>
          </w:tcPr>
          <w:p w14:paraId="7CDD26F1">
            <w:pPr>
              <w:spacing w:line="440" w:lineRule="exact"/>
              <w:jc w:val="center"/>
              <w:textAlignment w:val="center"/>
              <w:rPr>
                <w:rFonts w:hint="eastAsia" w:ascii="宋体" w:hAnsi="宋体" w:eastAsia="宋体" w:cs="宋体"/>
                <w:sz w:val="24"/>
              </w:rPr>
            </w:pPr>
            <w:r>
              <w:rPr>
                <w:rFonts w:hint="eastAsia" w:ascii="宋体" w:hAnsi="宋体" w:eastAsia="宋体" w:cs="宋体"/>
                <w:sz w:val="24"/>
              </w:rPr>
              <w:t>1.1.2</w:t>
            </w:r>
          </w:p>
        </w:tc>
        <w:tc>
          <w:tcPr>
            <w:tcW w:w="3338" w:type="dxa"/>
            <w:tcBorders>
              <w:top w:val="single" w:color="auto" w:sz="4" w:space="0"/>
              <w:left w:val="single" w:color="auto" w:sz="4" w:space="0"/>
              <w:bottom w:val="single" w:color="auto" w:sz="4" w:space="0"/>
              <w:right w:val="single" w:color="auto" w:sz="4" w:space="0"/>
            </w:tcBorders>
            <w:noWrap w:val="0"/>
            <w:vAlign w:val="center"/>
          </w:tcPr>
          <w:p w14:paraId="16FB9C9A">
            <w:pPr>
              <w:spacing w:line="440" w:lineRule="exact"/>
              <w:jc w:val="center"/>
              <w:textAlignment w:val="center"/>
              <w:rPr>
                <w:rFonts w:hint="eastAsia" w:ascii="宋体" w:hAnsi="宋体" w:eastAsia="宋体" w:cs="宋体"/>
                <w:color w:val="auto"/>
                <w:sz w:val="24"/>
                <w:highlight w:val="none"/>
              </w:rPr>
            </w:pPr>
            <w:r>
              <w:rPr>
                <w:rFonts w:hint="eastAsia" w:ascii="宋体" w:hAnsi="宋体" w:eastAsia="宋体" w:cs="宋体"/>
                <w:color w:val="auto"/>
                <w:sz w:val="24"/>
                <w:highlight w:val="none"/>
              </w:rPr>
              <w:t>招标人</w:t>
            </w:r>
          </w:p>
        </w:tc>
        <w:tc>
          <w:tcPr>
            <w:tcW w:w="5486" w:type="dxa"/>
            <w:tcBorders>
              <w:top w:val="single" w:color="auto" w:sz="4" w:space="0"/>
              <w:left w:val="single" w:color="auto" w:sz="4" w:space="0"/>
              <w:bottom w:val="single" w:color="auto" w:sz="4" w:space="0"/>
              <w:right w:val="single" w:color="auto" w:sz="4" w:space="0"/>
            </w:tcBorders>
            <w:noWrap w:val="0"/>
            <w:vAlign w:val="center"/>
          </w:tcPr>
          <w:p w14:paraId="06C1FCFC">
            <w:pPr>
              <w:pageBreakBefore w:val="0"/>
              <w:widowControl/>
              <w:kinsoku/>
              <w:wordWrap/>
              <w:overflowPunct/>
              <w:topLinePunct w:val="0"/>
              <w:autoSpaceDE/>
              <w:autoSpaceDN/>
              <w:bidi w:val="0"/>
              <w:adjustRightInd/>
              <w:spacing w:line="336" w:lineRule="auto"/>
              <w:jc w:val="left"/>
              <w:textAlignment w:val="auto"/>
              <w:rPr>
                <w:rFonts w:hint="eastAsia" w:ascii="宋体" w:hAnsi="宋体" w:eastAsia="宋体" w:cs="宋体"/>
                <w:kern w:val="0"/>
                <w:sz w:val="24"/>
              </w:rPr>
            </w:pPr>
            <w:r>
              <w:rPr>
                <w:rFonts w:hint="eastAsia" w:ascii="宋体" w:hAnsi="宋体" w:eastAsia="宋体" w:cs="宋体"/>
                <w:kern w:val="0"/>
                <w:sz w:val="24"/>
              </w:rPr>
              <w:t>招 标 人：太康县交通运输局</w:t>
            </w:r>
          </w:p>
          <w:p w14:paraId="4B4ABD29">
            <w:pPr>
              <w:pageBreakBefore w:val="0"/>
              <w:widowControl/>
              <w:kinsoku/>
              <w:wordWrap/>
              <w:overflowPunct/>
              <w:topLinePunct w:val="0"/>
              <w:autoSpaceDE/>
              <w:autoSpaceDN/>
              <w:bidi w:val="0"/>
              <w:adjustRightInd/>
              <w:spacing w:line="336" w:lineRule="auto"/>
              <w:jc w:val="left"/>
              <w:textAlignment w:val="auto"/>
              <w:rPr>
                <w:rFonts w:hint="eastAsia" w:ascii="宋体" w:hAnsi="宋体" w:eastAsia="宋体" w:cs="宋体"/>
                <w:kern w:val="0"/>
                <w:sz w:val="24"/>
                <w:lang w:val="en-US" w:eastAsia="zh-CN"/>
              </w:rPr>
            </w:pPr>
            <w:r>
              <w:rPr>
                <w:rFonts w:hint="eastAsia" w:ascii="宋体" w:hAnsi="宋体" w:eastAsia="宋体" w:cs="宋体"/>
                <w:kern w:val="0"/>
                <w:sz w:val="24"/>
              </w:rPr>
              <w:t>地  址：太康县</w:t>
            </w:r>
            <w:r>
              <w:rPr>
                <w:rFonts w:hint="eastAsia" w:ascii="宋体" w:hAnsi="宋体" w:eastAsia="宋体" w:cs="宋体"/>
                <w:kern w:val="0"/>
                <w:sz w:val="24"/>
                <w:lang w:val="en-US" w:eastAsia="zh-CN"/>
              </w:rPr>
              <w:t>境内</w:t>
            </w:r>
          </w:p>
          <w:p w14:paraId="36604D19">
            <w:pPr>
              <w:pageBreakBefore w:val="0"/>
              <w:widowControl/>
              <w:kinsoku/>
              <w:wordWrap/>
              <w:overflowPunct/>
              <w:topLinePunct w:val="0"/>
              <w:autoSpaceDE/>
              <w:autoSpaceDN/>
              <w:bidi w:val="0"/>
              <w:adjustRightInd/>
              <w:spacing w:line="336" w:lineRule="auto"/>
              <w:jc w:val="left"/>
              <w:textAlignment w:val="auto"/>
              <w:rPr>
                <w:rFonts w:hint="eastAsia" w:ascii="宋体" w:hAnsi="宋体" w:eastAsia="宋体" w:cs="宋体"/>
                <w:kern w:val="0"/>
                <w:sz w:val="24"/>
              </w:rPr>
            </w:pPr>
            <w:r>
              <w:rPr>
                <w:rFonts w:hint="eastAsia" w:ascii="宋体" w:hAnsi="宋体" w:eastAsia="宋体" w:cs="宋体"/>
                <w:kern w:val="0"/>
                <w:sz w:val="24"/>
              </w:rPr>
              <w:t>联 系 人：</w:t>
            </w:r>
            <w:r>
              <w:rPr>
                <w:rFonts w:hint="eastAsia" w:ascii="宋体" w:hAnsi="宋体" w:eastAsia="宋体" w:cs="宋体"/>
                <w:kern w:val="0"/>
                <w:sz w:val="24"/>
                <w:lang w:val="en-US" w:eastAsia="zh-CN"/>
              </w:rPr>
              <w:t>韩</w:t>
            </w:r>
            <w:r>
              <w:rPr>
                <w:rFonts w:hint="eastAsia" w:ascii="宋体" w:hAnsi="宋体" w:eastAsia="宋体" w:cs="宋体"/>
                <w:kern w:val="0"/>
                <w:sz w:val="24"/>
              </w:rPr>
              <w:t>先生</w:t>
            </w:r>
          </w:p>
          <w:p w14:paraId="11AF1E3C">
            <w:pPr>
              <w:pageBreakBefore w:val="0"/>
              <w:widowControl/>
              <w:kinsoku/>
              <w:wordWrap/>
              <w:overflowPunct/>
              <w:topLinePunct w:val="0"/>
              <w:autoSpaceDE/>
              <w:autoSpaceDN/>
              <w:bidi w:val="0"/>
              <w:adjustRightInd/>
              <w:spacing w:line="336" w:lineRule="auto"/>
              <w:jc w:val="left"/>
              <w:textAlignment w:val="auto"/>
              <w:rPr>
                <w:rFonts w:hint="eastAsia" w:ascii="宋体" w:hAnsi="宋体" w:eastAsia="宋体" w:cs="宋体"/>
                <w:color w:val="auto"/>
                <w:sz w:val="24"/>
                <w:highlight w:val="none"/>
              </w:rPr>
            </w:pPr>
            <w:r>
              <w:rPr>
                <w:rFonts w:hint="eastAsia" w:ascii="宋体" w:hAnsi="宋体" w:eastAsia="宋体" w:cs="宋体"/>
                <w:kern w:val="0"/>
                <w:sz w:val="24"/>
                <w:lang w:val="en-US" w:eastAsia="zh-CN"/>
              </w:rPr>
              <w:t>联系电话</w:t>
            </w:r>
            <w:r>
              <w:rPr>
                <w:rFonts w:hint="eastAsia" w:ascii="宋体" w:hAnsi="宋体" w:eastAsia="宋体" w:cs="宋体"/>
                <w:kern w:val="0"/>
                <w:sz w:val="24"/>
              </w:rPr>
              <w:t>：0394-6</w:t>
            </w:r>
            <w:r>
              <w:rPr>
                <w:rFonts w:hint="eastAsia" w:ascii="宋体" w:hAnsi="宋体" w:eastAsia="宋体" w:cs="宋体"/>
                <w:kern w:val="0"/>
                <w:sz w:val="24"/>
                <w:lang w:val="en-US" w:eastAsia="zh-CN"/>
              </w:rPr>
              <w:t>9</w:t>
            </w:r>
            <w:r>
              <w:rPr>
                <w:rFonts w:hint="eastAsia" w:ascii="宋体" w:hAnsi="宋体" w:eastAsia="宋体" w:cs="宋体"/>
                <w:kern w:val="0"/>
                <w:sz w:val="24"/>
              </w:rPr>
              <w:t>28868</w:t>
            </w:r>
          </w:p>
        </w:tc>
      </w:tr>
      <w:tr w14:paraId="666268B3">
        <w:tblPrEx>
          <w:tblCellMar>
            <w:top w:w="0" w:type="dxa"/>
            <w:left w:w="108" w:type="dxa"/>
            <w:bottom w:w="0" w:type="dxa"/>
            <w:right w:w="108" w:type="dxa"/>
          </w:tblCellMar>
        </w:tblPrEx>
        <w:tc>
          <w:tcPr>
            <w:tcW w:w="1004" w:type="dxa"/>
            <w:tcBorders>
              <w:top w:val="single" w:color="auto" w:sz="4" w:space="0"/>
              <w:left w:val="single" w:color="auto" w:sz="4" w:space="0"/>
              <w:bottom w:val="single" w:color="auto" w:sz="4" w:space="0"/>
              <w:right w:val="single" w:color="auto" w:sz="4" w:space="0"/>
            </w:tcBorders>
            <w:noWrap w:val="0"/>
            <w:vAlign w:val="center"/>
          </w:tcPr>
          <w:p w14:paraId="3570792E">
            <w:pPr>
              <w:spacing w:line="440" w:lineRule="exact"/>
              <w:jc w:val="center"/>
              <w:textAlignment w:val="center"/>
              <w:rPr>
                <w:rFonts w:hint="eastAsia" w:ascii="宋体" w:hAnsi="宋体" w:eastAsia="宋体" w:cs="宋体"/>
                <w:sz w:val="24"/>
              </w:rPr>
            </w:pPr>
            <w:r>
              <w:rPr>
                <w:rFonts w:hint="eastAsia" w:ascii="宋体" w:hAnsi="宋体" w:eastAsia="宋体" w:cs="宋体"/>
                <w:sz w:val="24"/>
              </w:rPr>
              <w:t>1.1.3</w:t>
            </w:r>
          </w:p>
        </w:tc>
        <w:tc>
          <w:tcPr>
            <w:tcW w:w="3338" w:type="dxa"/>
            <w:tcBorders>
              <w:top w:val="single" w:color="auto" w:sz="4" w:space="0"/>
              <w:left w:val="single" w:color="auto" w:sz="4" w:space="0"/>
              <w:bottom w:val="single" w:color="auto" w:sz="4" w:space="0"/>
              <w:right w:val="single" w:color="auto" w:sz="4" w:space="0"/>
            </w:tcBorders>
            <w:noWrap w:val="0"/>
            <w:vAlign w:val="center"/>
          </w:tcPr>
          <w:p w14:paraId="6B483270">
            <w:pPr>
              <w:spacing w:line="440" w:lineRule="exact"/>
              <w:jc w:val="center"/>
              <w:textAlignment w:val="center"/>
              <w:rPr>
                <w:rFonts w:hint="eastAsia" w:ascii="宋体" w:hAnsi="宋体" w:eastAsia="宋体" w:cs="宋体"/>
                <w:sz w:val="24"/>
                <w:lang w:val="en-US" w:eastAsia="zh-CN"/>
              </w:rPr>
            </w:pPr>
            <w:r>
              <w:rPr>
                <w:rFonts w:hint="eastAsia" w:ascii="宋体" w:hAnsi="宋体" w:eastAsia="宋体" w:cs="宋体"/>
                <w:sz w:val="24"/>
              </w:rPr>
              <w:t>招标代理机构</w:t>
            </w:r>
            <w:r>
              <w:rPr>
                <w:rFonts w:hint="eastAsia" w:ascii="宋体" w:hAnsi="宋体" w:eastAsia="宋体" w:cs="宋体"/>
                <w:sz w:val="24"/>
                <w:lang w:val="en-US" w:eastAsia="zh-CN"/>
              </w:rPr>
              <w:t xml:space="preserve"> </w:t>
            </w:r>
          </w:p>
        </w:tc>
        <w:tc>
          <w:tcPr>
            <w:tcW w:w="5486" w:type="dxa"/>
            <w:tcBorders>
              <w:top w:val="single" w:color="auto" w:sz="4" w:space="0"/>
              <w:left w:val="single" w:color="auto" w:sz="4" w:space="0"/>
              <w:bottom w:val="single" w:color="auto" w:sz="4" w:space="0"/>
              <w:right w:val="single" w:color="auto" w:sz="4" w:space="0"/>
            </w:tcBorders>
            <w:noWrap w:val="0"/>
            <w:vAlign w:val="center"/>
          </w:tcPr>
          <w:p w14:paraId="07589CC4">
            <w:pPr>
              <w:pageBreakBefore w:val="0"/>
              <w:widowControl/>
              <w:kinsoku/>
              <w:wordWrap/>
              <w:overflowPunct/>
              <w:topLinePunct w:val="0"/>
              <w:autoSpaceDE/>
              <w:autoSpaceDN/>
              <w:bidi w:val="0"/>
              <w:adjustRightInd/>
              <w:spacing w:line="336" w:lineRule="auto"/>
              <w:jc w:val="left"/>
              <w:textAlignment w:val="auto"/>
              <w:rPr>
                <w:rFonts w:hint="eastAsia" w:ascii="宋体" w:hAnsi="宋体" w:eastAsia="宋体" w:cs="宋体"/>
                <w:kern w:val="0"/>
                <w:sz w:val="24"/>
              </w:rPr>
            </w:pPr>
            <w:r>
              <w:rPr>
                <w:rFonts w:hint="eastAsia" w:ascii="宋体" w:hAnsi="宋体" w:eastAsia="宋体" w:cs="宋体"/>
                <w:kern w:val="0"/>
                <w:sz w:val="24"/>
              </w:rPr>
              <w:t xml:space="preserve">代理机构：河南东晟嘉文工程咨询有限公司 </w:t>
            </w:r>
          </w:p>
          <w:p w14:paraId="54CB04A9">
            <w:pPr>
              <w:pageBreakBefore w:val="0"/>
              <w:widowControl/>
              <w:kinsoku/>
              <w:wordWrap/>
              <w:overflowPunct/>
              <w:topLinePunct w:val="0"/>
              <w:autoSpaceDE/>
              <w:autoSpaceDN/>
              <w:bidi w:val="0"/>
              <w:adjustRightInd/>
              <w:spacing w:line="336" w:lineRule="auto"/>
              <w:jc w:val="left"/>
              <w:textAlignment w:val="auto"/>
              <w:rPr>
                <w:rFonts w:hint="eastAsia" w:ascii="宋体" w:hAnsi="宋体" w:eastAsia="宋体" w:cs="宋体"/>
                <w:kern w:val="0"/>
                <w:sz w:val="24"/>
                <w:lang w:val="en-US" w:eastAsia="zh-CN"/>
              </w:rPr>
            </w:pPr>
            <w:r>
              <w:rPr>
                <w:rFonts w:hint="eastAsia" w:ascii="宋体" w:hAnsi="宋体" w:eastAsia="宋体" w:cs="宋体"/>
                <w:kern w:val="0"/>
                <w:sz w:val="24"/>
              </w:rPr>
              <w:t>地址：河南省郑州市高新技术产业开发区枫香街173号天健湖智联网产业园3号楼3楼A304号</w:t>
            </w:r>
          </w:p>
          <w:p w14:paraId="71F08D3A">
            <w:pPr>
              <w:pageBreakBefore w:val="0"/>
              <w:widowControl/>
              <w:kinsoku/>
              <w:wordWrap/>
              <w:overflowPunct/>
              <w:topLinePunct w:val="0"/>
              <w:autoSpaceDE/>
              <w:autoSpaceDN/>
              <w:bidi w:val="0"/>
              <w:adjustRightInd/>
              <w:spacing w:line="336" w:lineRule="auto"/>
              <w:jc w:val="left"/>
              <w:textAlignment w:val="auto"/>
              <w:rPr>
                <w:rFonts w:hint="eastAsia" w:ascii="宋体" w:hAnsi="宋体" w:eastAsia="宋体" w:cs="宋体"/>
                <w:kern w:val="0"/>
                <w:sz w:val="24"/>
                <w:lang w:val="en-US" w:eastAsia="zh-CN"/>
              </w:rPr>
            </w:pPr>
            <w:r>
              <w:rPr>
                <w:rFonts w:hint="eastAsia" w:ascii="宋体" w:hAnsi="宋体" w:eastAsia="宋体" w:cs="宋体"/>
                <w:kern w:val="0"/>
                <w:sz w:val="24"/>
                <w:lang w:val="en-US" w:eastAsia="zh-CN"/>
              </w:rPr>
              <w:t>联 系 人：周瑞</w:t>
            </w:r>
          </w:p>
          <w:p w14:paraId="26EB2909">
            <w:pPr>
              <w:pageBreakBefore w:val="0"/>
              <w:widowControl/>
              <w:kinsoku/>
              <w:wordWrap/>
              <w:overflowPunct/>
              <w:topLinePunct w:val="0"/>
              <w:autoSpaceDE/>
              <w:autoSpaceDN/>
              <w:bidi w:val="0"/>
              <w:adjustRightInd/>
              <w:spacing w:line="336" w:lineRule="auto"/>
              <w:jc w:val="left"/>
              <w:textAlignment w:val="auto"/>
              <w:rPr>
                <w:rFonts w:hint="eastAsia" w:ascii="宋体" w:hAnsi="宋体" w:eastAsia="宋体" w:cs="宋体"/>
                <w:sz w:val="24"/>
              </w:rPr>
            </w:pPr>
            <w:r>
              <w:rPr>
                <w:rFonts w:hint="eastAsia" w:ascii="宋体" w:hAnsi="宋体" w:eastAsia="宋体" w:cs="宋体"/>
                <w:kern w:val="0"/>
                <w:sz w:val="24"/>
                <w:lang w:val="en-US" w:eastAsia="zh-CN"/>
              </w:rPr>
              <w:t>联系电话：15515943575</w:t>
            </w:r>
          </w:p>
        </w:tc>
      </w:tr>
      <w:tr w14:paraId="3F555633">
        <w:tblPrEx>
          <w:tblCellMar>
            <w:top w:w="0" w:type="dxa"/>
            <w:left w:w="108" w:type="dxa"/>
            <w:bottom w:w="0" w:type="dxa"/>
            <w:right w:w="108" w:type="dxa"/>
          </w:tblCellMar>
        </w:tblPrEx>
        <w:tc>
          <w:tcPr>
            <w:tcW w:w="1004" w:type="dxa"/>
            <w:tcBorders>
              <w:top w:val="single" w:color="auto" w:sz="4" w:space="0"/>
              <w:left w:val="single" w:color="auto" w:sz="4" w:space="0"/>
              <w:bottom w:val="single" w:color="auto" w:sz="4" w:space="0"/>
              <w:right w:val="single" w:color="auto" w:sz="4" w:space="0"/>
            </w:tcBorders>
            <w:noWrap w:val="0"/>
            <w:vAlign w:val="center"/>
          </w:tcPr>
          <w:p w14:paraId="74DEF2E5">
            <w:pPr>
              <w:spacing w:line="440" w:lineRule="exact"/>
              <w:jc w:val="center"/>
              <w:textAlignment w:val="center"/>
              <w:rPr>
                <w:rFonts w:hint="eastAsia" w:ascii="宋体" w:hAnsi="宋体" w:eastAsia="宋体" w:cs="宋体"/>
                <w:sz w:val="24"/>
              </w:rPr>
            </w:pPr>
            <w:r>
              <w:rPr>
                <w:rFonts w:hint="eastAsia" w:ascii="宋体" w:hAnsi="宋体" w:eastAsia="宋体" w:cs="宋体"/>
                <w:sz w:val="24"/>
              </w:rPr>
              <w:t>1.1.4</w:t>
            </w:r>
          </w:p>
        </w:tc>
        <w:tc>
          <w:tcPr>
            <w:tcW w:w="3338" w:type="dxa"/>
            <w:tcBorders>
              <w:top w:val="single" w:color="auto" w:sz="4" w:space="0"/>
              <w:left w:val="single" w:color="auto" w:sz="4" w:space="0"/>
              <w:bottom w:val="single" w:color="auto" w:sz="4" w:space="0"/>
              <w:right w:val="single" w:color="auto" w:sz="4" w:space="0"/>
            </w:tcBorders>
            <w:noWrap w:val="0"/>
            <w:vAlign w:val="center"/>
          </w:tcPr>
          <w:p w14:paraId="0492C558">
            <w:pPr>
              <w:spacing w:line="440" w:lineRule="exact"/>
              <w:jc w:val="center"/>
              <w:textAlignment w:val="center"/>
              <w:rPr>
                <w:rFonts w:hint="eastAsia" w:ascii="宋体" w:hAnsi="宋体" w:eastAsia="宋体" w:cs="宋体"/>
                <w:sz w:val="24"/>
              </w:rPr>
            </w:pPr>
            <w:r>
              <w:rPr>
                <w:rFonts w:hint="eastAsia" w:ascii="宋体" w:hAnsi="宋体" w:eastAsia="宋体" w:cs="宋体"/>
                <w:sz w:val="24"/>
              </w:rPr>
              <w:t>项目名称</w:t>
            </w:r>
          </w:p>
        </w:tc>
        <w:tc>
          <w:tcPr>
            <w:tcW w:w="5486" w:type="dxa"/>
            <w:tcBorders>
              <w:top w:val="single" w:color="auto" w:sz="4" w:space="0"/>
              <w:left w:val="single" w:color="auto" w:sz="4" w:space="0"/>
              <w:bottom w:val="single" w:color="auto" w:sz="4" w:space="0"/>
              <w:right w:val="single" w:color="auto" w:sz="4" w:space="0"/>
            </w:tcBorders>
            <w:noWrap w:val="0"/>
            <w:vAlign w:val="center"/>
          </w:tcPr>
          <w:p w14:paraId="10B291B6">
            <w:pPr>
              <w:spacing w:line="440" w:lineRule="exact"/>
              <w:jc w:val="left"/>
              <w:textAlignment w:val="center"/>
              <w:rPr>
                <w:rFonts w:hint="eastAsia" w:ascii="宋体" w:hAnsi="宋体" w:eastAsia="宋体" w:cs="宋体"/>
                <w:sz w:val="24"/>
                <w:lang w:eastAsia="zh-CN"/>
              </w:rPr>
            </w:pPr>
            <w:r>
              <w:rPr>
                <w:rFonts w:hint="eastAsia" w:ascii="宋体" w:hAnsi="宋体" w:eastAsia="宋体" w:cs="宋体"/>
                <w:sz w:val="24"/>
                <w:lang w:eastAsia="zh-CN"/>
              </w:rPr>
              <w:t>太康县2024年第二批农村公路建设项目</w:t>
            </w:r>
          </w:p>
        </w:tc>
      </w:tr>
      <w:tr w14:paraId="7EA146DD">
        <w:tblPrEx>
          <w:tblCellMar>
            <w:top w:w="0" w:type="dxa"/>
            <w:left w:w="108" w:type="dxa"/>
            <w:bottom w:w="0" w:type="dxa"/>
            <w:right w:w="108" w:type="dxa"/>
          </w:tblCellMar>
        </w:tblPrEx>
        <w:tc>
          <w:tcPr>
            <w:tcW w:w="1004" w:type="dxa"/>
            <w:tcBorders>
              <w:top w:val="single" w:color="auto" w:sz="4" w:space="0"/>
              <w:left w:val="single" w:color="auto" w:sz="4" w:space="0"/>
              <w:bottom w:val="single" w:color="auto" w:sz="4" w:space="0"/>
              <w:right w:val="single" w:color="auto" w:sz="4" w:space="0"/>
            </w:tcBorders>
            <w:noWrap w:val="0"/>
            <w:vAlign w:val="center"/>
          </w:tcPr>
          <w:p w14:paraId="64C458B2">
            <w:pPr>
              <w:spacing w:line="440" w:lineRule="exact"/>
              <w:jc w:val="center"/>
              <w:textAlignment w:val="center"/>
              <w:rPr>
                <w:rFonts w:hint="eastAsia" w:ascii="宋体" w:hAnsi="宋体" w:eastAsia="宋体" w:cs="宋体"/>
                <w:sz w:val="24"/>
              </w:rPr>
            </w:pPr>
            <w:r>
              <w:rPr>
                <w:rFonts w:hint="eastAsia" w:ascii="宋体" w:hAnsi="宋体" w:eastAsia="宋体" w:cs="宋体"/>
                <w:sz w:val="24"/>
              </w:rPr>
              <w:t>1.1.5</w:t>
            </w:r>
          </w:p>
        </w:tc>
        <w:tc>
          <w:tcPr>
            <w:tcW w:w="3338" w:type="dxa"/>
            <w:tcBorders>
              <w:top w:val="single" w:color="auto" w:sz="4" w:space="0"/>
              <w:left w:val="single" w:color="auto" w:sz="4" w:space="0"/>
              <w:bottom w:val="single" w:color="auto" w:sz="4" w:space="0"/>
              <w:right w:val="single" w:color="auto" w:sz="4" w:space="0"/>
            </w:tcBorders>
            <w:noWrap w:val="0"/>
            <w:vAlign w:val="center"/>
          </w:tcPr>
          <w:p w14:paraId="3A327C2F">
            <w:pPr>
              <w:spacing w:line="440" w:lineRule="exact"/>
              <w:jc w:val="center"/>
              <w:textAlignment w:val="center"/>
              <w:rPr>
                <w:rFonts w:hint="eastAsia" w:ascii="宋体" w:hAnsi="宋体" w:eastAsia="宋体" w:cs="宋体"/>
                <w:sz w:val="24"/>
              </w:rPr>
            </w:pPr>
            <w:r>
              <w:rPr>
                <w:rFonts w:hint="eastAsia" w:ascii="宋体" w:hAnsi="宋体" w:eastAsia="宋体" w:cs="宋体"/>
                <w:sz w:val="24"/>
              </w:rPr>
              <w:t>建设地点</w:t>
            </w:r>
          </w:p>
        </w:tc>
        <w:tc>
          <w:tcPr>
            <w:tcW w:w="5486" w:type="dxa"/>
            <w:tcBorders>
              <w:top w:val="single" w:color="auto" w:sz="4" w:space="0"/>
              <w:left w:val="single" w:color="auto" w:sz="4" w:space="0"/>
              <w:bottom w:val="single" w:color="auto" w:sz="4" w:space="0"/>
              <w:right w:val="single" w:color="auto" w:sz="4" w:space="0"/>
            </w:tcBorders>
            <w:noWrap w:val="0"/>
            <w:vAlign w:val="center"/>
          </w:tcPr>
          <w:p w14:paraId="15348316">
            <w:pPr>
              <w:spacing w:line="440" w:lineRule="exact"/>
              <w:jc w:val="left"/>
              <w:textAlignment w:val="center"/>
              <w:rPr>
                <w:rFonts w:hint="eastAsia" w:ascii="宋体" w:hAnsi="宋体" w:eastAsia="宋体" w:cs="宋体"/>
                <w:sz w:val="24"/>
              </w:rPr>
            </w:pPr>
            <w:r>
              <w:rPr>
                <w:rFonts w:hint="eastAsia" w:ascii="宋体" w:hAnsi="宋体" w:eastAsia="宋体" w:cs="宋体"/>
                <w:sz w:val="24"/>
                <w:lang w:eastAsia="zh-CN"/>
              </w:rPr>
              <w:t>太康</w:t>
            </w:r>
            <w:r>
              <w:rPr>
                <w:rFonts w:hint="eastAsia" w:ascii="宋体" w:hAnsi="宋体" w:eastAsia="宋体" w:cs="宋体"/>
                <w:sz w:val="24"/>
              </w:rPr>
              <w:t>县境内</w:t>
            </w:r>
          </w:p>
        </w:tc>
      </w:tr>
      <w:tr w14:paraId="1C22B449">
        <w:tblPrEx>
          <w:tblCellMar>
            <w:top w:w="0" w:type="dxa"/>
            <w:left w:w="108" w:type="dxa"/>
            <w:bottom w:w="0" w:type="dxa"/>
            <w:right w:w="108" w:type="dxa"/>
          </w:tblCellMar>
        </w:tblPrEx>
        <w:tc>
          <w:tcPr>
            <w:tcW w:w="1004" w:type="dxa"/>
            <w:tcBorders>
              <w:top w:val="single" w:color="auto" w:sz="4" w:space="0"/>
              <w:left w:val="single" w:color="auto" w:sz="4" w:space="0"/>
              <w:bottom w:val="single" w:color="auto" w:sz="4" w:space="0"/>
              <w:right w:val="single" w:color="auto" w:sz="4" w:space="0"/>
            </w:tcBorders>
            <w:noWrap w:val="0"/>
            <w:vAlign w:val="center"/>
          </w:tcPr>
          <w:p w14:paraId="41C6BDE9">
            <w:pPr>
              <w:spacing w:line="440" w:lineRule="exact"/>
              <w:jc w:val="center"/>
              <w:textAlignment w:val="center"/>
              <w:rPr>
                <w:rFonts w:hint="eastAsia" w:ascii="宋体" w:hAnsi="宋体" w:eastAsia="宋体" w:cs="宋体"/>
                <w:sz w:val="24"/>
              </w:rPr>
            </w:pPr>
            <w:r>
              <w:rPr>
                <w:rFonts w:hint="eastAsia" w:ascii="宋体" w:hAnsi="宋体" w:eastAsia="宋体" w:cs="宋体"/>
                <w:sz w:val="24"/>
              </w:rPr>
              <w:t>1.2.1</w:t>
            </w:r>
          </w:p>
        </w:tc>
        <w:tc>
          <w:tcPr>
            <w:tcW w:w="3338" w:type="dxa"/>
            <w:tcBorders>
              <w:top w:val="single" w:color="auto" w:sz="4" w:space="0"/>
              <w:left w:val="single" w:color="auto" w:sz="4" w:space="0"/>
              <w:bottom w:val="single" w:color="auto" w:sz="4" w:space="0"/>
              <w:right w:val="single" w:color="auto" w:sz="4" w:space="0"/>
            </w:tcBorders>
            <w:noWrap w:val="0"/>
            <w:vAlign w:val="center"/>
          </w:tcPr>
          <w:p w14:paraId="7B3073B7">
            <w:pPr>
              <w:spacing w:line="440" w:lineRule="exact"/>
              <w:jc w:val="center"/>
              <w:textAlignment w:val="center"/>
              <w:rPr>
                <w:rFonts w:hint="eastAsia" w:ascii="宋体" w:hAnsi="宋体" w:eastAsia="宋体" w:cs="宋体"/>
                <w:sz w:val="24"/>
                <w:highlight w:val="none"/>
              </w:rPr>
            </w:pPr>
            <w:r>
              <w:rPr>
                <w:rFonts w:hint="eastAsia" w:ascii="宋体" w:hAnsi="宋体" w:eastAsia="宋体" w:cs="宋体"/>
                <w:sz w:val="24"/>
                <w:highlight w:val="none"/>
              </w:rPr>
              <w:t>资金来源</w:t>
            </w:r>
          </w:p>
        </w:tc>
        <w:tc>
          <w:tcPr>
            <w:tcW w:w="5486" w:type="dxa"/>
            <w:tcBorders>
              <w:top w:val="single" w:color="auto" w:sz="4" w:space="0"/>
              <w:left w:val="single" w:color="auto" w:sz="4" w:space="0"/>
              <w:bottom w:val="single" w:color="auto" w:sz="4" w:space="0"/>
              <w:right w:val="single" w:color="auto" w:sz="4" w:space="0"/>
            </w:tcBorders>
            <w:noWrap w:val="0"/>
            <w:vAlign w:val="center"/>
          </w:tcPr>
          <w:p w14:paraId="6DFFA8B2">
            <w:pPr>
              <w:spacing w:line="440" w:lineRule="exact"/>
              <w:textAlignment w:val="center"/>
              <w:rPr>
                <w:rFonts w:hint="eastAsia" w:ascii="宋体" w:hAnsi="宋体" w:eastAsia="宋体" w:cs="宋体"/>
                <w:sz w:val="24"/>
                <w:highlight w:val="none"/>
              </w:rPr>
            </w:pPr>
            <w:r>
              <w:rPr>
                <w:rFonts w:hint="eastAsia" w:ascii="宋体" w:hAnsi="宋体" w:eastAsia="宋体" w:cs="宋体"/>
                <w:spacing w:val="-6"/>
                <w:sz w:val="24"/>
                <w:highlight w:val="none"/>
                <w:lang w:val="en-US" w:eastAsia="zh-CN"/>
              </w:rPr>
              <w:t>省补助资金和</w:t>
            </w:r>
            <w:r>
              <w:rPr>
                <w:rFonts w:hint="eastAsia" w:ascii="宋体" w:hAnsi="宋体" w:cs="宋体"/>
                <w:spacing w:val="-6"/>
                <w:sz w:val="24"/>
                <w:highlight w:val="none"/>
                <w:lang w:val="en-US" w:eastAsia="zh-CN"/>
              </w:rPr>
              <w:t>县</w:t>
            </w:r>
            <w:r>
              <w:rPr>
                <w:rFonts w:hint="eastAsia" w:ascii="宋体" w:hAnsi="宋体" w:eastAsia="宋体" w:cs="宋体"/>
                <w:spacing w:val="-6"/>
                <w:sz w:val="24"/>
                <w:highlight w:val="none"/>
                <w:lang w:val="en-US" w:eastAsia="zh-CN"/>
              </w:rPr>
              <w:t>财政配套</w:t>
            </w:r>
          </w:p>
        </w:tc>
      </w:tr>
      <w:tr w14:paraId="126CEB91">
        <w:tblPrEx>
          <w:tblCellMar>
            <w:top w:w="0" w:type="dxa"/>
            <w:left w:w="108" w:type="dxa"/>
            <w:bottom w:w="0" w:type="dxa"/>
            <w:right w:w="108" w:type="dxa"/>
          </w:tblCellMar>
        </w:tblPrEx>
        <w:tc>
          <w:tcPr>
            <w:tcW w:w="1004" w:type="dxa"/>
            <w:tcBorders>
              <w:top w:val="single" w:color="auto" w:sz="4" w:space="0"/>
              <w:left w:val="single" w:color="auto" w:sz="4" w:space="0"/>
              <w:bottom w:val="single" w:color="auto" w:sz="4" w:space="0"/>
              <w:right w:val="single" w:color="auto" w:sz="4" w:space="0"/>
            </w:tcBorders>
            <w:noWrap w:val="0"/>
            <w:vAlign w:val="center"/>
          </w:tcPr>
          <w:p w14:paraId="12F55DD4">
            <w:pPr>
              <w:spacing w:line="440" w:lineRule="exact"/>
              <w:jc w:val="center"/>
              <w:textAlignment w:val="center"/>
              <w:rPr>
                <w:rFonts w:hint="eastAsia" w:ascii="宋体" w:hAnsi="宋体" w:eastAsia="宋体" w:cs="宋体"/>
                <w:sz w:val="24"/>
              </w:rPr>
            </w:pPr>
            <w:r>
              <w:rPr>
                <w:rFonts w:hint="eastAsia" w:ascii="宋体" w:hAnsi="宋体" w:eastAsia="宋体" w:cs="宋体"/>
                <w:sz w:val="24"/>
              </w:rPr>
              <w:t>1.2.2</w:t>
            </w:r>
          </w:p>
        </w:tc>
        <w:tc>
          <w:tcPr>
            <w:tcW w:w="3338" w:type="dxa"/>
            <w:tcBorders>
              <w:top w:val="single" w:color="auto" w:sz="4" w:space="0"/>
              <w:left w:val="single" w:color="auto" w:sz="4" w:space="0"/>
              <w:bottom w:val="single" w:color="auto" w:sz="4" w:space="0"/>
              <w:right w:val="single" w:color="auto" w:sz="4" w:space="0"/>
            </w:tcBorders>
            <w:noWrap w:val="0"/>
            <w:vAlign w:val="center"/>
          </w:tcPr>
          <w:p w14:paraId="624FD204">
            <w:pPr>
              <w:spacing w:line="440" w:lineRule="exact"/>
              <w:jc w:val="center"/>
              <w:textAlignment w:val="center"/>
              <w:rPr>
                <w:rFonts w:hint="eastAsia" w:ascii="宋体" w:hAnsi="宋体" w:eastAsia="宋体" w:cs="宋体"/>
                <w:sz w:val="24"/>
              </w:rPr>
            </w:pPr>
            <w:r>
              <w:rPr>
                <w:rFonts w:hint="eastAsia" w:ascii="宋体" w:hAnsi="宋体" w:eastAsia="宋体" w:cs="宋体"/>
                <w:sz w:val="24"/>
              </w:rPr>
              <w:t>出资比例</w:t>
            </w:r>
          </w:p>
        </w:tc>
        <w:tc>
          <w:tcPr>
            <w:tcW w:w="5486" w:type="dxa"/>
            <w:tcBorders>
              <w:top w:val="single" w:color="auto" w:sz="4" w:space="0"/>
              <w:left w:val="single" w:color="auto" w:sz="4" w:space="0"/>
              <w:bottom w:val="single" w:color="auto" w:sz="4" w:space="0"/>
              <w:right w:val="single" w:color="auto" w:sz="4" w:space="0"/>
            </w:tcBorders>
            <w:noWrap w:val="0"/>
            <w:vAlign w:val="center"/>
          </w:tcPr>
          <w:p w14:paraId="03DCEDF9">
            <w:pPr>
              <w:spacing w:line="440" w:lineRule="exact"/>
              <w:jc w:val="left"/>
              <w:textAlignment w:val="center"/>
              <w:rPr>
                <w:rFonts w:hint="eastAsia" w:ascii="宋体" w:hAnsi="宋体" w:eastAsia="宋体" w:cs="宋体"/>
                <w:sz w:val="24"/>
                <w:lang w:val="en-US" w:eastAsia="zh-CN"/>
              </w:rPr>
            </w:pPr>
            <w:r>
              <w:rPr>
                <w:rFonts w:hint="eastAsia" w:ascii="宋体" w:hAnsi="宋体" w:eastAsia="宋体" w:cs="宋体"/>
                <w:sz w:val="24"/>
                <w:lang w:val="en-US" w:eastAsia="zh-CN"/>
              </w:rPr>
              <w:t>100%</w:t>
            </w:r>
          </w:p>
        </w:tc>
      </w:tr>
      <w:tr w14:paraId="54DEE2E7">
        <w:tblPrEx>
          <w:tblCellMar>
            <w:top w:w="0" w:type="dxa"/>
            <w:left w:w="108" w:type="dxa"/>
            <w:bottom w:w="0" w:type="dxa"/>
            <w:right w:w="108" w:type="dxa"/>
          </w:tblCellMar>
        </w:tblPrEx>
        <w:trPr>
          <w:trHeight w:val="450" w:hRule="atLeast"/>
        </w:trPr>
        <w:tc>
          <w:tcPr>
            <w:tcW w:w="1004" w:type="dxa"/>
            <w:tcBorders>
              <w:top w:val="single" w:color="auto" w:sz="4" w:space="0"/>
              <w:left w:val="single" w:color="auto" w:sz="4" w:space="0"/>
              <w:bottom w:val="single" w:color="auto" w:sz="4" w:space="0"/>
              <w:right w:val="single" w:color="auto" w:sz="4" w:space="0"/>
            </w:tcBorders>
            <w:noWrap w:val="0"/>
            <w:vAlign w:val="center"/>
          </w:tcPr>
          <w:p w14:paraId="4DC4E872">
            <w:pPr>
              <w:spacing w:line="440" w:lineRule="exact"/>
              <w:jc w:val="center"/>
              <w:textAlignment w:val="center"/>
              <w:rPr>
                <w:rFonts w:hint="eastAsia" w:ascii="宋体" w:hAnsi="宋体" w:eastAsia="宋体" w:cs="宋体"/>
                <w:sz w:val="24"/>
              </w:rPr>
            </w:pPr>
            <w:r>
              <w:rPr>
                <w:rFonts w:hint="eastAsia" w:ascii="宋体" w:hAnsi="宋体" w:eastAsia="宋体" w:cs="宋体"/>
                <w:sz w:val="24"/>
              </w:rPr>
              <w:t>1.2.3</w:t>
            </w:r>
          </w:p>
        </w:tc>
        <w:tc>
          <w:tcPr>
            <w:tcW w:w="3338" w:type="dxa"/>
            <w:tcBorders>
              <w:top w:val="single" w:color="auto" w:sz="4" w:space="0"/>
              <w:left w:val="single" w:color="auto" w:sz="4" w:space="0"/>
              <w:bottom w:val="single" w:color="auto" w:sz="4" w:space="0"/>
              <w:right w:val="single" w:color="auto" w:sz="4" w:space="0"/>
            </w:tcBorders>
            <w:noWrap w:val="0"/>
            <w:vAlign w:val="center"/>
          </w:tcPr>
          <w:p w14:paraId="279DB763">
            <w:pPr>
              <w:spacing w:line="440" w:lineRule="exact"/>
              <w:jc w:val="center"/>
              <w:textAlignment w:val="center"/>
              <w:rPr>
                <w:rFonts w:hint="eastAsia" w:ascii="宋体" w:hAnsi="宋体" w:eastAsia="宋体" w:cs="宋体"/>
                <w:sz w:val="24"/>
              </w:rPr>
            </w:pPr>
            <w:r>
              <w:rPr>
                <w:rFonts w:hint="eastAsia" w:ascii="宋体" w:hAnsi="宋体" w:eastAsia="宋体" w:cs="宋体"/>
                <w:sz w:val="24"/>
              </w:rPr>
              <w:t>资金落实情况</w:t>
            </w:r>
          </w:p>
        </w:tc>
        <w:tc>
          <w:tcPr>
            <w:tcW w:w="5486" w:type="dxa"/>
            <w:tcBorders>
              <w:top w:val="single" w:color="auto" w:sz="4" w:space="0"/>
              <w:left w:val="single" w:color="auto" w:sz="4" w:space="0"/>
              <w:bottom w:val="single" w:color="auto" w:sz="4" w:space="0"/>
              <w:right w:val="single" w:color="auto" w:sz="4" w:space="0"/>
            </w:tcBorders>
            <w:noWrap w:val="0"/>
            <w:vAlign w:val="center"/>
          </w:tcPr>
          <w:p w14:paraId="5B70B76D">
            <w:pPr>
              <w:spacing w:line="440" w:lineRule="exact"/>
              <w:jc w:val="left"/>
              <w:textAlignment w:val="center"/>
              <w:rPr>
                <w:rFonts w:hint="eastAsia" w:ascii="宋体" w:hAnsi="宋体" w:eastAsia="宋体" w:cs="宋体"/>
                <w:color w:val="auto"/>
                <w:sz w:val="24"/>
              </w:rPr>
            </w:pPr>
            <w:r>
              <w:rPr>
                <w:rFonts w:hint="eastAsia" w:ascii="宋体" w:hAnsi="宋体" w:eastAsia="宋体" w:cs="宋体"/>
                <w:color w:val="auto"/>
                <w:sz w:val="24"/>
              </w:rPr>
              <w:t>已落实</w:t>
            </w:r>
          </w:p>
        </w:tc>
      </w:tr>
      <w:tr w14:paraId="54520505">
        <w:tblPrEx>
          <w:tblCellMar>
            <w:top w:w="0" w:type="dxa"/>
            <w:left w:w="108" w:type="dxa"/>
            <w:bottom w:w="0" w:type="dxa"/>
            <w:right w:w="108" w:type="dxa"/>
          </w:tblCellMar>
        </w:tblPrEx>
        <w:tc>
          <w:tcPr>
            <w:tcW w:w="1004" w:type="dxa"/>
            <w:tcBorders>
              <w:top w:val="single" w:color="auto" w:sz="4" w:space="0"/>
              <w:left w:val="single" w:color="auto" w:sz="4" w:space="0"/>
              <w:bottom w:val="single" w:color="auto" w:sz="4" w:space="0"/>
              <w:right w:val="single" w:color="auto" w:sz="4" w:space="0"/>
            </w:tcBorders>
            <w:noWrap w:val="0"/>
            <w:vAlign w:val="center"/>
          </w:tcPr>
          <w:p w14:paraId="7007F2B4">
            <w:pPr>
              <w:spacing w:line="440" w:lineRule="exact"/>
              <w:jc w:val="center"/>
              <w:textAlignment w:val="center"/>
              <w:rPr>
                <w:rFonts w:hint="eastAsia" w:ascii="宋体" w:hAnsi="宋体" w:eastAsia="宋体" w:cs="宋体"/>
                <w:sz w:val="24"/>
              </w:rPr>
            </w:pPr>
            <w:r>
              <w:rPr>
                <w:rFonts w:hint="eastAsia" w:ascii="宋体" w:hAnsi="宋体" w:eastAsia="宋体" w:cs="宋体"/>
                <w:sz w:val="24"/>
              </w:rPr>
              <w:t>1.3.1</w:t>
            </w:r>
          </w:p>
        </w:tc>
        <w:tc>
          <w:tcPr>
            <w:tcW w:w="3338" w:type="dxa"/>
            <w:tcBorders>
              <w:top w:val="single" w:color="auto" w:sz="4" w:space="0"/>
              <w:left w:val="single" w:color="auto" w:sz="4" w:space="0"/>
              <w:bottom w:val="single" w:color="auto" w:sz="4" w:space="0"/>
              <w:right w:val="single" w:color="auto" w:sz="4" w:space="0"/>
            </w:tcBorders>
            <w:noWrap w:val="0"/>
            <w:vAlign w:val="center"/>
          </w:tcPr>
          <w:p w14:paraId="2FD08BDC">
            <w:pPr>
              <w:spacing w:line="440" w:lineRule="exact"/>
              <w:jc w:val="center"/>
              <w:textAlignment w:val="center"/>
              <w:rPr>
                <w:rFonts w:hint="eastAsia" w:ascii="宋体" w:hAnsi="宋体" w:eastAsia="宋体" w:cs="宋体"/>
                <w:sz w:val="24"/>
              </w:rPr>
            </w:pPr>
            <w:r>
              <w:rPr>
                <w:rFonts w:hint="eastAsia" w:ascii="宋体" w:hAnsi="宋体" w:eastAsia="宋体" w:cs="宋体"/>
                <w:sz w:val="24"/>
              </w:rPr>
              <w:t>招标范围</w:t>
            </w:r>
          </w:p>
        </w:tc>
        <w:tc>
          <w:tcPr>
            <w:tcW w:w="5486" w:type="dxa"/>
            <w:tcBorders>
              <w:top w:val="single" w:color="auto" w:sz="4" w:space="0"/>
              <w:left w:val="single" w:color="auto" w:sz="4" w:space="0"/>
              <w:bottom w:val="single" w:color="auto" w:sz="4" w:space="0"/>
              <w:right w:val="single" w:color="auto" w:sz="4" w:space="0"/>
            </w:tcBorders>
            <w:noWrap w:val="0"/>
            <w:vAlign w:val="center"/>
          </w:tcPr>
          <w:p w14:paraId="43D4060C">
            <w:pPr>
              <w:spacing w:line="440" w:lineRule="exact"/>
              <w:textAlignment w:val="center"/>
              <w:rPr>
                <w:rFonts w:hint="eastAsia" w:ascii="宋体" w:hAnsi="宋体" w:eastAsia="宋体" w:cs="宋体"/>
                <w:color w:val="auto"/>
                <w:sz w:val="24"/>
              </w:rPr>
            </w:pPr>
            <w:r>
              <w:rPr>
                <w:rFonts w:hint="eastAsia" w:ascii="宋体" w:hAnsi="宋体" w:eastAsia="宋体" w:cs="宋体"/>
                <w:sz w:val="24"/>
                <w:highlight w:val="none"/>
              </w:rPr>
              <w:t>工程量清单包含的</w:t>
            </w:r>
            <w:r>
              <w:rPr>
                <w:rFonts w:hint="eastAsia" w:ascii="宋体" w:hAnsi="宋体" w:eastAsia="宋体" w:cs="宋体"/>
                <w:sz w:val="24"/>
                <w:highlight w:val="none"/>
                <w:lang w:val="en-US" w:eastAsia="zh-CN"/>
              </w:rPr>
              <w:t>全部</w:t>
            </w:r>
            <w:r>
              <w:rPr>
                <w:rFonts w:hint="eastAsia" w:ascii="宋体" w:hAnsi="宋体" w:eastAsia="宋体" w:cs="宋体"/>
                <w:sz w:val="24"/>
                <w:highlight w:val="none"/>
              </w:rPr>
              <w:t>内容</w:t>
            </w:r>
          </w:p>
        </w:tc>
      </w:tr>
      <w:tr w14:paraId="66E12D1B">
        <w:tblPrEx>
          <w:tblCellMar>
            <w:top w:w="0" w:type="dxa"/>
            <w:left w:w="108" w:type="dxa"/>
            <w:bottom w:w="0" w:type="dxa"/>
            <w:right w:w="108" w:type="dxa"/>
          </w:tblCellMar>
        </w:tblPrEx>
        <w:tc>
          <w:tcPr>
            <w:tcW w:w="1004" w:type="dxa"/>
            <w:tcBorders>
              <w:top w:val="single" w:color="auto" w:sz="4" w:space="0"/>
              <w:left w:val="single" w:color="auto" w:sz="4" w:space="0"/>
              <w:bottom w:val="single" w:color="auto" w:sz="4" w:space="0"/>
              <w:right w:val="single" w:color="auto" w:sz="4" w:space="0"/>
            </w:tcBorders>
            <w:noWrap w:val="0"/>
            <w:vAlign w:val="center"/>
          </w:tcPr>
          <w:p w14:paraId="7A9BFF6D">
            <w:pPr>
              <w:spacing w:line="440" w:lineRule="exact"/>
              <w:jc w:val="center"/>
              <w:textAlignment w:val="center"/>
              <w:rPr>
                <w:rFonts w:hint="eastAsia" w:ascii="宋体" w:hAnsi="宋体" w:eastAsia="宋体" w:cs="宋体"/>
                <w:sz w:val="24"/>
              </w:rPr>
            </w:pPr>
            <w:r>
              <w:rPr>
                <w:rFonts w:hint="eastAsia" w:ascii="宋体" w:hAnsi="宋体" w:eastAsia="宋体" w:cs="宋体"/>
                <w:sz w:val="24"/>
              </w:rPr>
              <w:t>1.3.2</w:t>
            </w:r>
          </w:p>
        </w:tc>
        <w:tc>
          <w:tcPr>
            <w:tcW w:w="3338" w:type="dxa"/>
            <w:tcBorders>
              <w:top w:val="single" w:color="auto" w:sz="4" w:space="0"/>
              <w:left w:val="single" w:color="auto" w:sz="4" w:space="0"/>
              <w:bottom w:val="single" w:color="auto" w:sz="4" w:space="0"/>
              <w:right w:val="single" w:color="auto" w:sz="4" w:space="0"/>
            </w:tcBorders>
            <w:noWrap w:val="0"/>
            <w:vAlign w:val="center"/>
          </w:tcPr>
          <w:p w14:paraId="1FBE1402">
            <w:pPr>
              <w:spacing w:line="440" w:lineRule="exact"/>
              <w:jc w:val="center"/>
              <w:textAlignment w:val="center"/>
              <w:rPr>
                <w:rFonts w:hint="eastAsia" w:ascii="宋体" w:hAnsi="宋体" w:eastAsia="宋体" w:cs="宋体"/>
                <w:sz w:val="24"/>
                <w:highlight w:val="none"/>
              </w:rPr>
            </w:pPr>
            <w:r>
              <w:rPr>
                <w:rFonts w:hint="eastAsia" w:ascii="宋体" w:hAnsi="宋体" w:eastAsia="宋体" w:cs="宋体"/>
                <w:sz w:val="24"/>
                <w:highlight w:val="none"/>
              </w:rPr>
              <w:t>计划工期</w:t>
            </w:r>
          </w:p>
        </w:tc>
        <w:tc>
          <w:tcPr>
            <w:tcW w:w="5486" w:type="dxa"/>
            <w:tcBorders>
              <w:top w:val="single" w:color="auto" w:sz="4" w:space="0"/>
              <w:left w:val="single" w:color="auto" w:sz="4" w:space="0"/>
              <w:bottom w:val="single" w:color="auto" w:sz="4" w:space="0"/>
              <w:right w:val="single" w:color="auto" w:sz="4" w:space="0"/>
            </w:tcBorders>
            <w:noWrap w:val="0"/>
            <w:vAlign w:val="center"/>
          </w:tcPr>
          <w:p w14:paraId="7FEFCA2A">
            <w:pPr>
              <w:spacing w:line="440" w:lineRule="exact"/>
              <w:textAlignment w:val="center"/>
              <w:rPr>
                <w:rFonts w:hint="eastAsia" w:ascii="宋体" w:hAnsi="宋体" w:eastAsia="宋体" w:cs="宋体"/>
                <w:color w:val="auto"/>
                <w:sz w:val="24"/>
                <w:highlight w:val="none"/>
              </w:rPr>
            </w:pPr>
            <w:r>
              <w:rPr>
                <w:rFonts w:hint="eastAsia" w:ascii="宋体" w:hAnsi="宋体" w:eastAsia="宋体" w:cs="宋体"/>
                <w:color w:val="auto"/>
                <w:sz w:val="24"/>
                <w:highlight w:val="none"/>
                <w:u w:val="single"/>
                <w:lang w:val="en-US" w:eastAsia="zh-CN"/>
              </w:rPr>
              <w:t xml:space="preserve"> 90 </w:t>
            </w:r>
            <w:r>
              <w:rPr>
                <w:rFonts w:hint="eastAsia" w:ascii="宋体" w:hAnsi="宋体" w:eastAsia="宋体" w:cs="宋体"/>
                <w:color w:val="auto"/>
                <w:sz w:val="24"/>
                <w:highlight w:val="none"/>
              </w:rPr>
              <w:t>日历天</w:t>
            </w:r>
          </w:p>
        </w:tc>
      </w:tr>
      <w:tr w14:paraId="16BF7CB0">
        <w:tblPrEx>
          <w:tblCellMar>
            <w:top w:w="0" w:type="dxa"/>
            <w:left w:w="108" w:type="dxa"/>
            <w:bottom w:w="0" w:type="dxa"/>
            <w:right w:w="108" w:type="dxa"/>
          </w:tblCellMar>
        </w:tblPrEx>
        <w:tc>
          <w:tcPr>
            <w:tcW w:w="1004" w:type="dxa"/>
            <w:tcBorders>
              <w:top w:val="single" w:color="auto" w:sz="4" w:space="0"/>
              <w:left w:val="single" w:color="auto" w:sz="4" w:space="0"/>
              <w:bottom w:val="single" w:color="auto" w:sz="4" w:space="0"/>
              <w:right w:val="single" w:color="auto" w:sz="4" w:space="0"/>
            </w:tcBorders>
            <w:noWrap w:val="0"/>
            <w:vAlign w:val="center"/>
          </w:tcPr>
          <w:p w14:paraId="3576DA3C">
            <w:pPr>
              <w:spacing w:line="440" w:lineRule="exact"/>
              <w:jc w:val="center"/>
              <w:textAlignment w:val="center"/>
              <w:rPr>
                <w:rFonts w:hint="eastAsia" w:ascii="宋体" w:hAnsi="宋体" w:eastAsia="宋体" w:cs="宋体"/>
                <w:sz w:val="24"/>
              </w:rPr>
            </w:pPr>
            <w:r>
              <w:rPr>
                <w:rFonts w:hint="eastAsia" w:ascii="宋体" w:hAnsi="宋体" w:eastAsia="宋体" w:cs="宋体"/>
                <w:sz w:val="24"/>
              </w:rPr>
              <w:t>1.3.3</w:t>
            </w:r>
          </w:p>
        </w:tc>
        <w:tc>
          <w:tcPr>
            <w:tcW w:w="3338" w:type="dxa"/>
            <w:tcBorders>
              <w:top w:val="single" w:color="auto" w:sz="4" w:space="0"/>
              <w:left w:val="single" w:color="auto" w:sz="4" w:space="0"/>
              <w:bottom w:val="single" w:color="auto" w:sz="4" w:space="0"/>
              <w:right w:val="single" w:color="auto" w:sz="4" w:space="0"/>
            </w:tcBorders>
            <w:noWrap w:val="0"/>
            <w:vAlign w:val="center"/>
          </w:tcPr>
          <w:p w14:paraId="02479295">
            <w:pPr>
              <w:spacing w:line="440" w:lineRule="exact"/>
              <w:jc w:val="center"/>
              <w:textAlignment w:val="center"/>
              <w:rPr>
                <w:rFonts w:hint="eastAsia" w:ascii="宋体" w:hAnsi="宋体" w:eastAsia="宋体" w:cs="宋体"/>
                <w:sz w:val="24"/>
              </w:rPr>
            </w:pPr>
            <w:r>
              <w:rPr>
                <w:rFonts w:hint="eastAsia" w:ascii="宋体" w:hAnsi="宋体" w:eastAsia="宋体" w:cs="宋体"/>
                <w:sz w:val="24"/>
              </w:rPr>
              <w:t>质量要求</w:t>
            </w:r>
          </w:p>
        </w:tc>
        <w:tc>
          <w:tcPr>
            <w:tcW w:w="5486" w:type="dxa"/>
            <w:tcBorders>
              <w:top w:val="single" w:color="auto" w:sz="4" w:space="0"/>
              <w:left w:val="single" w:color="auto" w:sz="4" w:space="0"/>
              <w:bottom w:val="single" w:color="auto" w:sz="4" w:space="0"/>
              <w:right w:val="single" w:color="auto" w:sz="4" w:space="0"/>
            </w:tcBorders>
            <w:noWrap w:val="0"/>
            <w:vAlign w:val="center"/>
          </w:tcPr>
          <w:p w14:paraId="0B8429BF">
            <w:pPr>
              <w:spacing w:line="440" w:lineRule="exact"/>
              <w:textAlignment w:val="center"/>
              <w:rPr>
                <w:rFonts w:hint="eastAsia" w:ascii="宋体" w:hAnsi="宋体" w:eastAsia="宋体" w:cs="宋体"/>
                <w:sz w:val="24"/>
              </w:rPr>
            </w:pPr>
            <w:r>
              <w:rPr>
                <w:rFonts w:hint="eastAsia" w:ascii="宋体" w:hAnsi="宋体" w:eastAsia="宋体" w:cs="宋体"/>
                <w:sz w:val="24"/>
              </w:rPr>
              <w:t>合格</w:t>
            </w:r>
          </w:p>
        </w:tc>
      </w:tr>
      <w:tr w14:paraId="7F97868B">
        <w:tblPrEx>
          <w:tblCellMar>
            <w:top w:w="0" w:type="dxa"/>
            <w:left w:w="108" w:type="dxa"/>
            <w:bottom w:w="0" w:type="dxa"/>
            <w:right w:w="108" w:type="dxa"/>
          </w:tblCellMar>
        </w:tblPrEx>
        <w:tc>
          <w:tcPr>
            <w:tcW w:w="1004" w:type="dxa"/>
            <w:tcBorders>
              <w:top w:val="single" w:color="auto" w:sz="4" w:space="0"/>
              <w:left w:val="single" w:color="auto" w:sz="4" w:space="0"/>
              <w:bottom w:val="single" w:color="auto" w:sz="4" w:space="0"/>
              <w:right w:val="single" w:color="auto" w:sz="4" w:space="0"/>
            </w:tcBorders>
            <w:noWrap w:val="0"/>
            <w:vAlign w:val="center"/>
          </w:tcPr>
          <w:p w14:paraId="524F63FC">
            <w:pPr>
              <w:spacing w:line="440" w:lineRule="exact"/>
              <w:jc w:val="center"/>
              <w:textAlignment w:val="center"/>
              <w:rPr>
                <w:rFonts w:hint="eastAsia" w:ascii="宋体" w:hAnsi="宋体" w:eastAsia="宋体" w:cs="宋体"/>
                <w:sz w:val="24"/>
              </w:rPr>
            </w:pPr>
            <w:r>
              <w:rPr>
                <w:rFonts w:hint="eastAsia" w:ascii="宋体" w:hAnsi="宋体" w:eastAsia="宋体" w:cs="宋体"/>
                <w:sz w:val="24"/>
              </w:rPr>
              <w:t>1.4.1</w:t>
            </w:r>
          </w:p>
        </w:tc>
        <w:tc>
          <w:tcPr>
            <w:tcW w:w="3338" w:type="dxa"/>
            <w:tcBorders>
              <w:top w:val="single" w:color="auto" w:sz="4" w:space="0"/>
              <w:left w:val="single" w:color="auto" w:sz="4" w:space="0"/>
              <w:bottom w:val="single" w:color="auto" w:sz="4" w:space="0"/>
              <w:right w:val="single" w:color="auto" w:sz="4" w:space="0"/>
            </w:tcBorders>
            <w:noWrap w:val="0"/>
            <w:vAlign w:val="center"/>
          </w:tcPr>
          <w:p w14:paraId="21510CBB">
            <w:pPr>
              <w:spacing w:line="440" w:lineRule="exact"/>
              <w:jc w:val="center"/>
              <w:textAlignment w:val="center"/>
              <w:rPr>
                <w:rFonts w:hint="eastAsia" w:ascii="宋体" w:hAnsi="宋体" w:eastAsia="宋体" w:cs="宋体"/>
                <w:sz w:val="24"/>
              </w:rPr>
            </w:pPr>
            <w:r>
              <w:rPr>
                <w:rFonts w:hint="eastAsia" w:ascii="宋体" w:hAnsi="宋体" w:eastAsia="宋体" w:cs="宋体"/>
                <w:sz w:val="24"/>
              </w:rPr>
              <w:t>投标人资质条件、能力</w:t>
            </w:r>
          </w:p>
        </w:tc>
        <w:tc>
          <w:tcPr>
            <w:tcW w:w="5486" w:type="dxa"/>
            <w:tcBorders>
              <w:top w:val="single" w:color="auto" w:sz="4" w:space="0"/>
              <w:left w:val="single" w:color="auto" w:sz="4" w:space="0"/>
              <w:bottom w:val="single" w:color="auto" w:sz="4" w:space="0"/>
              <w:right w:val="single" w:color="auto" w:sz="4" w:space="0"/>
            </w:tcBorders>
            <w:noWrap w:val="0"/>
            <w:vAlign w:val="center"/>
          </w:tcPr>
          <w:p w14:paraId="7745370A">
            <w:pPr>
              <w:keepNext w:val="0"/>
              <w:keepLines w:val="0"/>
              <w:pageBreakBefore w:val="0"/>
              <w:numPr>
                <w:ilvl w:val="0"/>
                <w:numId w:val="0"/>
              </w:numPr>
              <w:kinsoku/>
              <w:wordWrap/>
              <w:overflowPunct/>
              <w:topLinePunct w:val="0"/>
              <w:autoSpaceDE/>
              <w:autoSpaceDN/>
              <w:bidi w:val="0"/>
              <w:adjustRightInd/>
              <w:spacing w:line="360" w:lineRule="auto"/>
              <w:jc w:val="left"/>
              <w:textAlignment w:val="auto"/>
              <w:rPr>
                <w:rFonts w:hint="eastAsia" w:ascii="宋体" w:hAnsi="宋体" w:eastAsia="宋体" w:cs="宋体"/>
                <w:sz w:val="24"/>
                <w:highlight w:val="none"/>
                <w:lang w:eastAsia="zh-CN"/>
              </w:rPr>
            </w:pPr>
            <w:r>
              <w:rPr>
                <w:rFonts w:hint="eastAsia" w:ascii="宋体" w:hAnsi="宋体" w:eastAsia="宋体" w:cs="宋体"/>
                <w:b/>
                <w:bCs/>
                <w:sz w:val="24"/>
                <w:lang w:val="en-US" w:eastAsia="zh-CN"/>
              </w:rPr>
              <w:t>1-3</w:t>
            </w:r>
            <w:r>
              <w:rPr>
                <w:rFonts w:hint="eastAsia" w:ascii="宋体" w:hAnsi="宋体" w:eastAsia="宋体" w:cs="宋体"/>
                <w:b/>
                <w:bCs/>
                <w:sz w:val="24"/>
              </w:rPr>
              <w:t>标资质条件</w:t>
            </w:r>
            <w:r>
              <w:rPr>
                <w:rFonts w:hint="eastAsia" w:ascii="宋体" w:hAnsi="宋体" w:eastAsia="宋体" w:cs="宋体"/>
                <w:b/>
                <w:bCs/>
                <w:sz w:val="24"/>
                <w:lang w:eastAsia="zh-CN"/>
              </w:rPr>
              <w:t>：</w:t>
            </w:r>
            <w:r>
              <w:rPr>
                <w:rFonts w:hint="eastAsia" w:ascii="宋体" w:hAnsi="宋体" w:eastAsia="宋体" w:cs="宋体"/>
                <w:sz w:val="24"/>
                <w:highlight w:val="none"/>
              </w:rPr>
              <w:t>投标人须具备公路工程施工总承包叁级及以上，并在人员、设备、资金等方面具有相应的施工能力。</w:t>
            </w:r>
          </w:p>
          <w:p w14:paraId="208DED90">
            <w:pPr>
              <w:keepNext w:val="0"/>
              <w:keepLines w:val="0"/>
              <w:pageBreakBefore w:val="0"/>
              <w:numPr>
                <w:ilvl w:val="0"/>
                <w:numId w:val="0"/>
              </w:numPr>
              <w:kinsoku/>
              <w:wordWrap/>
              <w:overflowPunct/>
              <w:topLinePunct w:val="0"/>
              <w:autoSpaceDE/>
              <w:autoSpaceDN/>
              <w:bidi w:val="0"/>
              <w:adjustRightInd/>
              <w:spacing w:line="360" w:lineRule="auto"/>
              <w:jc w:val="left"/>
              <w:textAlignment w:val="auto"/>
              <w:rPr>
                <w:rFonts w:hint="eastAsia" w:ascii="宋体" w:hAnsi="宋体" w:eastAsia="宋体" w:cs="宋体"/>
                <w:lang w:eastAsia="zh-CN"/>
              </w:rPr>
            </w:pPr>
            <w:r>
              <w:rPr>
                <w:rFonts w:hint="eastAsia" w:ascii="宋体" w:hAnsi="宋体" w:eastAsia="宋体" w:cs="宋体"/>
                <w:b/>
                <w:bCs/>
                <w:sz w:val="24"/>
              </w:rPr>
              <w:t>项目经理资格：</w:t>
            </w:r>
            <w:r>
              <w:rPr>
                <w:rFonts w:hint="eastAsia" w:ascii="宋体" w:hAnsi="宋体" w:eastAsia="宋体" w:cs="宋体"/>
                <w:sz w:val="24"/>
                <w:highlight w:val="none"/>
              </w:rPr>
              <w:t>投标人拟派项目负责人须具备公路工程专业贰级(含以上)注册建造师执业资格，并持有有效的安全生产考核合格证书，且未担任其他在施建设工程项目的项目经理。</w:t>
            </w:r>
          </w:p>
          <w:p w14:paraId="5C4E6380">
            <w:pPr>
              <w:keepNext w:val="0"/>
              <w:keepLines w:val="0"/>
              <w:pageBreakBefore w:val="0"/>
              <w:kinsoku/>
              <w:wordWrap/>
              <w:overflowPunct/>
              <w:topLinePunct w:val="0"/>
              <w:autoSpaceDE/>
              <w:autoSpaceDN/>
              <w:bidi w:val="0"/>
              <w:adjustRightInd/>
              <w:snapToGrid/>
              <w:spacing w:line="460" w:lineRule="exact"/>
              <w:textAlignment w:val="auto"/>
              <w:rPr>
                <w:rFonts w:hint="eastAsia" w:ascii="宋体" w:hAnsi="宋体" w:eastAsia="宋体" w:cs="宋体"/>
                <w:color w:val="auto"/>
                <w:sz w:val="24"/>
                <w:szCs w:val="24"/>
                <w:highlight w:val="none"/>
              </w:rPr>
            </w:pPr>
            <w:r>
              <w:rPr>
                <w:rFonts w:hint="eastAsia" w:ascii="宋体" w:hAnsi="宋体" w:eastAsia="宋体" w:cs="宋体"/>
                <w:b/>
                <w:bCs/>
                <w:sz w:val="24"/>
              </w:rPr>
              <w:t>财务要求：</w:t>
            </w:r>
            <w:r>
              <w:rPr>
                <w:rFonts w:hint="eastAsia" w:ascii="宋体" w:hAnsi="宋体" w:eastAsia="宋体" w:cs="宋体"/>
                <w:color w:val="auto"/>
                <w:sz w:val="24"/>
                <w:szCs w:val="24"/>
                <w:highlight w:val="none"/>
              </w:rPr>
              <w:t>近</w:t>
            </w:r>
            <w:r>
              <w:rPr>
                <w:rFonts w:hint="eastAsia" w:ascii="宋体" w:hAnsi="宋体" w:eastAsia="宋体" w:cs="宋体"/>
                <w:color w:val="auto"/>
                <w:sz w:val="24"/>
                <w:szCs w:val="24"/>
                <w:highlight w:val="none"/>
                <w:lang w:val="en-US" w:eastAsia="zh-CN"/>
              </w:rPr>
              <w:t>3</w:t>
            </w:r>
            <w:r>
              <w:rPr>
                <w:rFonts w:hint="eastAsia" w:ascii="宋体" w:hAnsi="宋体" w:eastAsia="宋体" w:cs="宋体"/>
                <w:color w:val="auto"/>
                <w:sz w:val="24"/>
                <w:szCs w:val="24"/>
                <w:highlight w:val="none"/>
              </w:rPr>
              <w:t>年</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lang w:val="en-US" w:eastAsia="zh-CN"/>
              </w:rPr>
              <w:t>2021年度、2022年度、2023年度</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rPr>
              <w:t>若企业成立年限不足三年，则从企业成立之日起计算）</w:t>
            </w:r>
            <w:r>
              <w:rPr>
                <w:rFonts w:hint="eastAsia" w:ascii="宋体" w:hAnsi="宋体" w:eastAsia="宋体" w:cs="宋体"/>
                <w:color w:val="auto"/>
                <w:sz w:val="24"/>
                <w:szCs w:val="24"/>
                <w:highlight w:val="none"/>
              </w:rPr>
              <w:t>。</w:t>
            </w:r>
          </w:p>
          <w:p w14:paraId="5599AB5A">
            <w:pPr>
              <w:spacing w:line="440" w:lineRule="exact"/>
              <w:textAlignment w:val="center"/>
              <w:rPr>
                <w:rFonts w:hint="eastAsia" w:ascii="宋体" w:hAnsi="宋体" w:eastAsia="宋体" w:cs="宋体"/>
                <w:sz w:val="24"/>
              </w:rPr>
            </w:pPr>
            <w:r>
              <w:rPr>
                <w:rFonts w:hint="eastAsia" w:ascii="宋体" w:hAnsi="宋体" w:eastAsia="宋体" w:cs="宋体"/>
                <w:b/>
                <w:bCs/>
                <w:sz w:val="24"/>
                <w:lang w:val="en-US" w:eastAsia="zh-CN"/>
              </w:rPr>
              <w:t>信誉要求</w:t>
            </w:r>
            <w:r>
              <w:rPr>
                <w:rFonts w:hint="eastAsia" w:ascii="宋体" w:hAnsi="宋体" w:eastAsia="宋体" w:cs="宋体"/>
                <w:b/>
                <w:bCs/>
                <w:sz w:val="24"/>
              </w:rPr>
              <w:t>：</w:t>
            </w:r>
            <w:r>
              <w:rPr>
                <w:rFonts w:hint="eastAsia" w:ascii="宋体" w:hAnsi="宋体" w:eastAsia="宋体" w:cs="宋体"/>
                <w:kern w:val="0"/>
                <w:sz w:val="24"/>
                <w:highlight w:val="none"/>
                <w:lang w:val="en-US" w:eastAsia="zh-CN"/>
              </w:rPr>
              <w:t>投标人应通过“信用中国”查询“失信被执行人、重大税收违法失信主体、政府采购严重违法失信行为记录名单”和“中国政府采购网”查询“政府采购严重违法失信行为记录”进行信用查询，对列入上述名单的投标人将被拒绝参加投标活动。（提供查询截图，查询时间：招标公告发布后至投标截止时间前)。</w:t>
            </w:r>
          </w:p>
        </w:tc>
      </w:tr>
      <w:tr w14:paraId="0929F506">
        <w:tblPrEx>
          <w:tblCellMar>
            <w:top w:w="0" w:type="dxa"/>
            <w:left w:w="108" w:type="dxa"/>
            <w:bottom w:w="0" w:type="dxa"/>
            <w:right w:w="108" w:type="dxa"/>
          </w:tblCellMar>
        </w:tblPrEx>
        <w:tc>
          <w:tcPr>
            <w:tcW w:w="1004" w:type="dxa"/>
            <w:tcBorders>
              <w:top w:val="single" w:color="auto" w:sz="4" w:space="0"/>
              <w:left w:val="single" w:color="auto" w:sz="4" w:space="0"/>
              <w:bottom w:val="single" w:color="auto" w:sz="4" w:space="0"/>
              <w:right w:val="single" w:color="auto" w:sz="4" w:space="0"/>
            </w:tcBorders>
            <w:noWrap w:val="0"/>
            <w:vAlign w:val="center"/>
          </w:tcPr>
          <w:p w14:paraId="7C7CB271">
            <w:pPr>
              <w:spacing w:line="440" w:lineRule="exact"/>
              <w:jc w:val="center"/>
              <w:textAlignment w:val="center"/>
              <w:rPr>
                <w:rFonts w:hint="eastAsia" w:ascii="宋体" w:hAnsi="宋体" w:eastAsia="宋体" w:cs="宋体"/>
                <w:sz w:val="24"/>
              </w:rPr>
            </w:pPr>
            <w:r>
              <w:rPr>
                <w:rFonts w:hint="eastAsia" w:ascii="宋体" w:hAnsi="宋体" w:eastAsia="宋体" w:cs="宋体"/>
                <w:sz w:val="24"/>
              </w:rPr>
              <w:t>1.4.2</w:t>
            </w:r>
          </w:p>
        </w:tc>
        <w:tc>
          <w:tcPr>
            <w:tcW w:w="3338" w:type="dxa"/>
            <w:tcBorders>
              <w:top w:val="single" w:color="auto" w:sz="4" w:space="0"/>
              <w:left w:val="single" w:color="auto" w:sz="4" w:space="0"/>
              <w:bottom w:val="single" w:color="auto" w:sz="4" w:space="0"/>
              <w:right w:val="single" w:color="auto" w:sz="4" w:space="0"/>
            </w:tcBorders>
            <w:noWrap w:val="0"/>
            <w:vAlign w:val="center"/>
          </w:tcPr>
          <w:p w14:paraId="2A5AD752">
            <w:pPr>
              <w:spacing w:line="440" w:lineRule="exact"/>
              <w:jc w:val="center"/>
              <w:textAlignment w:val="center"/>
              <w:rPr>
                <w:rFonts w:hint="eastAsia" w:ascii="宋体" w:hAnsi="宋体" w:eastAsia="宋体" w:cs="宋体"/>
                <w:sz w:val="24"/>
              </w:rPr>
            </w:pPr>
            <w:r>
              <w:rPr>
                <w:rFonts w:hint="eastAsia" w:ascii="宋体" w:hAnsi="宋体" w:eastAsia="宋体" w:cs="宋体"/>
                <w:sz w:val="24"/>
              </w:rPr>
              <w:t>是否接受联合体投标</w:t>
            </w:r>
          </w:p>
        </w:tc>
        <w:tc>
          <w:tcPr>
            <w:tcW w:w="5486" w:type="dxa"/>
            <w:tcBorders>
              <w:top w:val="single" w:color="auto" w:sz="4" w:space="0"/>
              <w:left w:val="single" w:color="auto" w:sz="4" w:space="0"/>
              <w:bottom w:val="single" w:color="auto" w:sz="4" w:space="0"/>
              <w:right w:val="single" w:color="auto" w:sz="4" w:space="0"/>
            </w:tcBorders>
            <w:noWrap w:val="0"/>
            <w:vAlign w:val="center"/>
          </w:tcPr>
          <w:p w14:paraId="4F8F8F0E">
            <w:pPr>
              <w:spacing w:line="440" w:lineRule="exact"/>
              <w:textAlignment w:val="center"/>
              <w:rPr>
                <w:rFonts w:hint="eastAsia" w:ascii="宋体" w:hAnsi="宋体" w:eastAsia="宋体" w:cs="宋体"/>
                <w:sz w:val="24"/>
              </w:rPr>
            </w:pPr>
            <w:r>
              <w:rPr>
                <w:rFonts w:hint="eastAsia" w:ascii="宋体" w:hAnsi="宋体" w:eastAsia="宋体" w:cs="宋体"/>
                <w:sz w:val="24"/>
              </w:rPr>
              <w:t>不接受</w:t>
            </w:r>
          </w:p>
        </w:tc>
      </w:tr>
      <w:tr w14:paraId="2362A482">
        <w:tblPrEx>
          <w:tblCellMar>
            <w:top w:w="0" w:type="dxa"/>
            <w:left w:w="108" w:type="dxa"/>
            <w:bottom w:w="0" w:type="dxa"/>
            <w:right w:w="108" w:type="dxa"/>
          </w:tblCellMar>
        </w:tblPrEx>
        <w:tc>
          <w:tcPr>
            <w:tcW w:w="1004" w:type="dxa"/>
            <w:tcBorders>
              <w:top w:val="single" w:color="auto" w:sz="4" w:space="0"/>
              <w:left w:val="single" w:color="auto" w:sz="4" w:space="0"/>
              <w:bottom w:val="single" w:color="auto" w:sz="4" w:space="0"/>
              <w:right w:val="single" w:color="auto" w:sz="4" w:space="0"/>
            </w:tcBorders>
            <w:noWrap w:val="0"/>
            <w:vAlign w:val="center"/>
          </w:tcPr>
          <w:p w14:paraId="09A8EF0F">
            <w:pPr>
              <w:spacing w:line="440" w:lineRule="exact"/>
              <w:jc w:val="center"/>
              <w:textAlignment w:val="center"/>
              <w:rPr>
                <w:rFonts w:hint="eastAsia" w:ascii="宋体" w:hAnsi="宋体" w:eastAsia="宋体" w:cs="宋体"/>
                <w:sz w:val="24"/>
              </w:rPr>
            </w:pPr>
            <w:r>
              <w:rPr>
                <w:rFonts w:hint="eastAsia" w:ascii="宋体" w:hAnsi="宋体" w:eastAsia="宋体" w:cs="宋体"/>
                <w:sz w:val="24"/>
              </w:rPr>
              <w:t>1.9.1</w:t>
            </w:r>
          </w:p>
        </w:tc>
        <w:tc>
          <w:tcPr>
            <w:tcW w:w="3338" w:type="dxa"/>
            <w:tcBorders>
              <w:top w:val="single" w:color="auto" w:sz="4" w:space="0"/>
              <w:left w:val="single" w:color="auto" w:sz="4" w:space="0"/>
              <w:bottom w:val="single" w:color="auto" w:sz="4" w:space="0"/>
              <w:right w:val="single" w:color="auto" w:sz="4" w:space="0"/>
            </w:tcBorders>
            <w:noWrap w:val="0"/>
            <w:vAlign w:val="center"/>
          </w:tcPr>
          <w:p w14:paraId="5E527F1F">
            <w:pPr>
              <w:spacing w:line="440" w:lineRule="exact"/>
              <w:jc w:val="center"/>
              <w:textAlignment w:val="center"/>
              <w:rPr>
                <w:rFonts w:hint="eastAsia" w:ascii="宋体" w:hAnsi="宋体" w:eastAsia="宋体" w:cs="宋体"/>
                <w:sz w:val="24"/>
              </w:rPr>
            </w:pPr>
            <w:r>
              <w:rPr>
                <w:rFonts w:hint="eastAsia" w:ascii="宋体" w:hAnsi="宋体" w:eastAsia="宋体" w:cs="宋体"/>
                <w:sz w:val="24"/>
              </w:rPr>
              <w:t>踏勘现场</w:t>
            </w:r>
          </w:p>
        </w:tc>
        <w:tc>
          <w:tcPr>
            <w:tcW w:w="5486" w:type="dxa"/>
            <w:tcBorders>
              <w:top w:val="single" w:color="auto" w:sz="4" w:space="0"/>
              <w:left w:val="single" w:color="auto" w:sz="4" w:space="0"/>
              <w:bottom w:val="single" w:color="auto" w:sz="4" w:space="0"/>
              <w:right w:val="single" w:color="auto" w:sz="4" w:space="0"/>
            </w:tcBorders>
            <w:noWrap w:val="0"/>
            <w:vAlign w:val="center"/>
          </w:tcPr>
          <w:p w14:paraId="2F76D2C0">
            <w:pPr>
              <w:spacing w:line="440" w:lineRule="exact"/>
              <w:textAlignment w:val="center"/>
              <w:rPr>
                <w:rFonts w:hint="eastAsia" w:ascii="宋体" w:hAnsi="宋体" w:eastAsia="宋体" w:cs="宋体"/>
                <w:sz w:val="24"/>
              </w:rPr>
            </w:pPr>
            <w:r>
              <w:rPr>
                <w:rFonts w:hint="eastAsia" w:ascii="宋体" w:hAnsi="宋体" w:eastAsia="宋体" w:cs="宋体"/>
                <w:sz w:val="24"/>
              </w:rPr>
              <w:t>不组织</w:t>
            </w:r>
          </w:p>
        </w:tc>
      </w:tr>
      <w:tr w14:paraId="2789A60E">
        <w:tblPrEx>
          <w:tblCellMar>
            <w:top w:w="0" w:type="dxa"/>
            <w:left w:w="108" w:type="dxa"/>
            <w:bottom w:w="0" w:type="dxa"/>
            <w:right w:w="108" w:type="dxa"/>
          </w:tblCellMar>
        </w:tblPrEx>
        <w:tc>
          <w:tcPr>
            <w:tcW w:w="1004" w:type="dxa"/>
            <w:tcBorders>
              <w:top w:val="single" w:color="auto" w:sz="4" w:space="0"/>
              <w:left w:val="single" w:color="auto" w:sz="4" w:space="0"/>
              <w:bottom w:val="single" w:color="auto" w:sz="4" w:space="0"/>
              <w:right w:val="single" w:color="auto" w:sz="4" w:space="0"/>
            </w:tcBorders>
            <w:noWrap w:val="0"/>
            <w:vAlign w:val="center"/>
          </w:tcPr>
          <w:p w14:paraId="5EE3EDB1">
            <w:pPr>
              <w:spacing w:line="440" w:lineRule="exact"/>
              <w:jc w:val="center"/>
              <w:textAlignment w:val="center"/>
              <w:rPr>
                <w:rFonts w:hint="eastAsia" w:ascii="宋体" w:hAnsi="宋体" w:eastAsia="宋体" w:cs="宋体"/>
                <w:sz w:val="24"/>
              </w:rPr>
            </w:pPr>
            <w:r>
              <w:rPr>
                <w:rFonts w:hint="eastAsia" w:ascii="宋体" w:hAnsi="宋体" w:eastAsia="宋体" w:cs="宋体"/>
                <w:sz w:val="24"/>
              </w:rPr>
              <w:t>1.10</w:t>
            </w:r>
          </w:p>
        </w:tc>
        <w:tc>
          <w:tcPr>
            <w:tcW w:w="3338" w:type="dxa"/>
            <w:tcBorders>
              <w:top w:val="single" w:color="auto" w:sz="4" w:space="0"/>
              <w:left w:val="single" w:color="auto" w:sz="4" w:space="0"/>
              <w:bottom w:val="single" w:color="auto" w:sz="4" w:space="0"/>
              <w:right w:val="single" w:color="auto" w:sz="4" w:space="0"/>
            </w:tcBorders>
            <w:noWrap w:val="0"/>
            <w:vAlign w:val="center"/>
          </w:tcPr>
          <w:p w14:paraId="41073CAB">
            <w:pPr>
              <w:spacing w:line="440" w:lineRule="exact"/>
              <w:jc w:val="center"/>
              <w:textAlignment w:val="center"/>
              <w:rPr>
                <w:rFonts w:hint="eastAsia" w:ascii="宋体" w:hAnsi="宋体" w:eastAsia="宋体" w:cs="宋体"/>
                <w:sz w:val="24"/>
              </w:rPr>
            </w:pPr>
            <w:r>
              <w:rPr>
                <w:rFonts w:hint="eastAsia" w:ascii="宋体" w:hAnsi="宋体" w:eastAsia="宋体" w:cs="宋体"/>
                <w:sz w:val="24"/>
              </w:rPr>
              <w:t>投标预备会</w:t>
            </w:r>
          </w:p>
        </w:tc>
        <w:tc>
          <w:tcPr>
            <w:tcW w:w="5486" w:type="dxa"/>
            <w:tcBorders>
              <w:top w:val="single" w:color="auto" w:sz="4" w:space="0"/>
              <w:left w:val="single" w:color="auto" w:sz="4" w:space="0"/>
              <w:bottom w:val="single" w:color="auto" w:sz="4" w:space="0"/>
              <w:right w:val="single" w:color="auto" w:sz="4" w:space="0"/>
            </w:tcBorders>
            <w:noWrap w:val="0"/>
            <w:vAlign w:val="center"/>
          </w:tcPr>
          <w:p w14:paraId="79A56327">
            <w:pPr>
              <w:pStyle w:val="18"/>
              <w:textAlignment w:val="center"/>
              <w:rPr>
                <w:rFonts w:hint="eastAsia" w:ascii="宋体" w:hAnsi="宋体" w:eastAsia="宋体" w:cs="宋体"/>
                <w:szCs w:val="24"/>
              </w:rPr>
            </w:pPr>
            <w:r>
              <w:rPr>
                <w:rFonts w:hint="eastAsia" w:ascii="宋体" w:hAnsi="宋体" w:eastAsia="宋体" w:cs="宋体"/>
                <w:szCs w:val="24"/>
              </w:rPr>
              <w:t>不召开</w:t>
            </w:r>
          </w:p>
        </w:tc>
      </w:tr>
      <w:tr w14:paraId="31A45B8D">
        <w:tblPrEx>
          <w:tblCellMar>
            <w:top w:w="0" w:type="dxa"/>
            <w:left w:w="108" w:type="dxa"/>
            <w:bottom w:w="0" w:type="dxa"/>
            <w:right w:w="108" w:type="dxa"/>
          </w:tblCellMar>
        </w:tblPrEx>
        <w:tc>
          <w:tcPr>
            <w:tcW w:w="1004" w:type="dxa"/>
            <w:tcBorders>
              <w:top w:val="single" w:color="auto" w:sz="4" w:space="0"/>
              <w:left w:val="single" w:color="auto" w:sz="4" w:space="0"/>
              <w:bottom w:val="single" w:color="auto" w:sz="4" w:space="0"/>
              <w:right w:val="single" w:color="auto" w:sz="4" w:space="0"/>
            </w:tcBorders>
            <w:noWrap w:val="0"/>
            <w:vAlign w:val="center"/>
          </w:tcPr>
          <w:p w14:paraId="6E7163A0">
            <w:pPr>
              <w:spacing w:line="440" w:lineRule="exact"/>
              <w:jc w:val="center"/>
              <w:textAlignment w:val="center"/>
              <w:rPr>
                <w:rFonts w:hint="eastAsia" w:ascii="宋体" w:hAnsi="宋体" w:eastAsia="宋体" w:cs="宋体"/>
                <w:sz w:val="24"/>
              </w:rPr>
            </w:pPr>
            <w:r>
              <w:rPr>
                <w:rFonts w:hint="eastAsia" w:ascii="宋体" w:hAnsi="宋体" w:eastAsia="宋体" w:cs="宋体"/>
                <w:sz w:val="24"/>
              </w:rPr>
              <w:t>1.11</w:t>
            </w:r>
          </w:p>
        </w:tc>
        <w:tc>
          <w:tcPr>
            <w:tcW w:w="3338" w:type="dxa"/>
            <w:tcBorders>
              <w:top w:val="single" w:color="auto" w:sz="4" w:space="0"/>
              <w:left w:val="single" w:color="auto" w:sz="4" w:space="0"/>
              <w:bottom w:val="single" w:color="auto" w:sz="4" w:space="0"/>
              <w:right w:val="single" w:color="auto" w:sz="4" w:space="0"/>
            </w:tcBorders>
            <w:noWrap w:val="0"/>
            <w:vAlign w:val="center"/>
          </w:tcPr>
          <w:p w14:paraId="3BE8950C">
            <w:pPr>
              <w:spacing w:line="440" w:lineRule="exact"/>
              <w:jc w:val="center"/>
              <w:textAlignment w:val="center"/>
              <w:rPr>
                <w:rFonts w:hint="eastAsia" w:ascii="宋体" w:hAnsi="宋体" w:eastAsia="宋体" w:cs="宋体"/>
                <w:sz w:val="24"/>
              </w:rPr>
            </w:pPr>
            <w:r>
              <w:rPr>
                <w:rFonts w:hint="eastAsia" w:ascii="宋体" w:hAnsi="宋体" w:eastAsia="宋体" w:cs="宋体"/>
                <w:sz w:val="24"/>
              </w:rPr>
              <w:t>分包</w:t>
            </w:r>
          </w:p>
        </w:tc>
        <w:tc>
          <w:tcPr>
            <w:tcW w:w="5486" w:type="dxa"/>
            <w:tcBorders>
              <w:top w:val="single" w:color="auto" w:sz="4" w:space="0"/>
              <w:left w:val="single" w:color="auto" w:sz="4" w:space="0"/>
              <w:bottom w:val="single" w:color="auto" w:sz="4" w:space="0"/>
              <w:right w:val="single" w:color="auto" w:sz="4" w:space="0"/>
            </w:tcBorders>
            <w:noWrap w:val="0"/>
            <w:vAlign w:val="center"/>
          </w:tcPr>
          <w:p w14:paraId="4ADB9DFF">
            <w:pPr>
              <w:pStyle w:val="18"/>
              <w:textAlignment w:val="center"/>
              <w:rPr>
                <w:rFonts w:hint="eastAsia" w:ascii="宋体" w:hAnsi="宋体" w:eastAsia="宋体" w:cs="宋体"/>
                <w:szCs w:val="24"/>
              </w:rPr>
            </w:pPr>
            <w:r>
              <w:rPr>
                <w:rFonts w:hint="eastAsia" w:ascii="宋体" w:hAnsi="宋体" w:eastAsia="宋体" w:cs="宋体"/>
                <w:szCs w:val="24"/>
              </w:rPr>
              <w:t>不允许</w:t>
            </w:r>
          </w:p>
        </w:tc>
      </w:tr>
      <w:tr w14:paraId="2E85ACC6">
        <w:tblPrEx>
          <w:tblCellMar>
            <w:top w:w="0" w:type="dxa"/>
            <w:left w:w="108" w:type="dxa"/>
            <w:bottom w:w="0" w:type="dxa"/>
            <w:right w:w="108" w:type="dxa"/>
          </w:tblCellMar>
        </w:tblPrEx>
        <w:tc>
          <w:tcPr>
            <w:tcW w:w="1004" w:type="dxa"/>
            <w:tcBorders>
              <w:top w:val="single" w:color="auto" w:sz="4" w:space="0"/>
              <w:left w:val="single" w:color="auto" w:sz="4" w:space="0"/>
              <w:bottom w:val="single" w:color="auto" w:sz="4" w:space="0"/>
              <w:right w:val="single" w:color="auto" w:sz="4" w:space="0"/>
            </w:tcBorders>
            <w:noWrap w:val="0"/>
            <w:vAlign w:val="center"/>
          </w:tcPr>
          <w:p w14:paraId="74F7E8D5">
            <w:pPr>
              <w:spacing w:line="440" w:lineRule="exact"/>
              <w:jc w:val="center"/>
              <w:textAlignment w:val="center"/>
              <w:rPr>
                <w:rFonts w:hint="eastAsia" w:ascii="宋体" w:hAnsi="宋体" w:eastAsia="宋体" w:cs="宋体"/>
                <w:sz w:val="24"/>
              </w:rPr>
            </w:pPr>
            <w:r>
              <w:rPr>
                <w:rFonts w:hint="eastAsia" w:ascii="宋体" w:hAnsi="宋体" w:eastAsia="宋体" w:cs="宋体"/>
                <w:sz w:val="24"/>
              </w:rPr>
              <w:t>1.12</w:t>
            </w:r>
          </w:p>
        </w:tc>
        <w:tc>
          <w:tcPr>
            <w:tcW w:w="3338" w:type="dxa"/>
            <w:tcBorders>
              <w:top w:val="single" w:color="auto" w:sz="4" w:space="0"/>
              <w:left w:val="single" w:color="auto" w:sz="4" w:space="0"/>
              <w:bottom w:val="single" w:color="auto" w:sz="4" w:space="0"/>
              <w:right w:val="single" w:color="auto" w:sz="4" w:space="0"/>
            </w:tcBorders>
            <w:noWrap w:val="0"/>
            <w:vAlign w:val="center"/>
          </w:tcPr>
          <w:p w14:paraId="22A9B9A0">
            <w:pPr>
              <w:spacing w:line="440" w:lineRule="exact"/>
              <w:jc w:val="center"/>
              <w:textAlignment w:val="center"/>
              <w:rPr>
                <w:rFonts w:hint="eastAsia" w:ascii="宋体" w:hAnsi="宋体" w:eastAsia="宋体" w:cs="宋体"/>
                <w:sz w:val="24"/>
              </w:rPr>
            </w:pPr>
            <w:r>
              <w:rPr>
                <w:rFonts w:hint="eastAsia" w:ascii="宋体" w:hAnsi="宋体" w:eastAsia="宋体" w:cs="宋体"/>
                <w:sz w:val="24"/>
              </w:rPr>
              <w:t>偏离</w:t>
            </w:r>
          </w:p>
        </w:tc>
        <w:tc>
          <w:tcPr>
            <w:tcW w:w="5486" w:type="dxa"/>
            <w:tcBorders>
              <w:top w:val="single" w:color="auto" w:sz="4" w:space="0"/>
              <w:left w:val="single" w:color="auto" w:sz="4" w:space="0"/>
              <w:bottom w:val="single" w:color="auto" w:sz="4" w:space="0"/>
              <w:right w:val="single" w:color="auto" w:sz="4" w:space="0"/>
            </w:tcBorders>
            <w:noWrap w:val="0"/>
            <w:vAlign w:val="center"/>
          </w:tcPr>
          <w:p w14:paraId="0581696F">
            <w:pPr>
              <w:pStyle w:val="18"/>
              <w:topLinePunct/>
              <w:spacing w:line="400" w:lineRule="exact"/>
              <w:textAlignment w:val="center"/>
              <w:rPr>
                <w:rFonts w:hint="eastAsia" w:ascii="宋体" w:hAnsi="宋体" w:eastAsia="宋体" w:cs="宋体"/>
                <w:szCs w:val="24"/>
              </w:rPr>
            </w:pPr>
            <w:r>
              <w:rPr>
                <w:rFonts w:hint="eastAsia" w:ascii="宋体" w:hAnsi="宋体" w:eastAsia="宋体" w:cs="宋体"/>
                <w:szCs w:val="24"/>
              </w:rPr>
              <w:t>不允许</w:t>
            </w:r>
          </w:p>
        </w:tc>
      </w:tr>
      <w:tr w14:paraId="31941573">
        <w:tblPrEx>
          <w:tblCellMar>
            <w:top w:w="0" w:type="dxa"/>
            <w:left w:w="108" w:type="dxa"/>
            <w:bottom w:w="0" w:type="dxa"/>
            <w:right w:w="108" w:type="dxa"/>
          </w:tblCellMar>
        </w:tblPrEx>
        <w:tc>
          <w:tcPr>
            <w:tcW w:w="1004" w:type="dxa"/>
            <w:tcBorders>
              <w:top w:val="single" w:color="auto" w:sz="4" w:space="0"/>
              <w:left w:val="single" w:color="auto" w:sz="4" w:space="0"/>
              <w:bottom w:val="single" w:color="auto" w:sz="4" w:space="0"/>
              <w:right w:val="single" w:color="auto" w:sz="4" w:space="0"/>
            </w:tcBorders>
            <w:noWrap w:val="0"/>
            <w:vAlign w:val="center"/>
          </w:tcPr>
          <w:p w14:paraId="2B77871D">
            <w:pPr>
              <w:spacing w:line="440" w:lineRule="exact"/>
              <w:jc w:val="center"/>
              <w:textAlignment w:val="center"/>
              <w:rPr>
                <w:rFonts w:hint="eastAsia" w:ascii="宋体" w:hAnsi="宋体" w:eastAsia="宋体" w:cs="宋体"/>
                <w:sz w:val="24"/>
              </w:rPr>
            </w:pPr>
            <w:r>
              <w:rPr>
                <w:rFonts w:hint="eastAsia" w:ascii="宋体" w:hAnsi="宋体" w:eastAsia="宋体" w:cs="宋体"/>
                <w:sz w:val="24"/>
              </w:rPr>
              <w:t>2.1</w:t>
            </w:r>
          </w:p>
        </w:tc>
        <w:tc>
          <w:tcPr>
            <w:tcW w:w="3338" w:type="dxa"/>
            <w:tcBorders>
              <w:top w:val="single" w:color="auto" w:sz="4" w:space="0"/>
              <w:left w:val="single" w:color="auto" w:sz="4" w:space="0"/>
              <w:bottom w:val="single" w:color="auto" w:sz="4" w:space="0"/>
              <w:right w:val="single" w:color="auto" w:sz="4" w:space="0"/>
            </w:tcBorders>
            <w:noWrap w:val="0"/>
            <w:vAlign w:val="center"/>
          </w:tcPr>
          <w:p w14:paraId="30884593">
            <w:pPr>
              <w:spacing w:line="440" w:lineRule="exact"/>
              <w:jc w:val="center"/>
              <w:textAlignment w:val="center"/>
              <w:rPr>
                <w:rFonts w:hint="eastAsia" w:ascii="宋体" w:hAnsi="宋体" w:eastAsia="宋体" w:cs="宋体"/>
                <w:sz w:val="24"/>
              </w:rPr>
            </w:pPr>
            <w:r>
              <w:rPr>
                <w:rFonts w:hint="eastAsia" w:ascii="宋体" w:hAnsi="宋体" w:eastAsia="宋体" w:cs="宋体"/>
                <w:sz w:val="24"/>
              </w:rPr>
              <w:t>构成招标文件的其他材料</w:t>
            </w:r>
          </w:p>
        </w:tc>
        <w:tc>
          <w:tcPr>
            <w:tcW w:w="5486" w:type="dxa"/>
            <w:tcBorders>
              <w:top w:val="single" w:color="auto" w:sz="4" w:space="0"/>
              <w:left w:val="single" w:color="auto" w:sz="4" w:space="0"/>
              <w:bottom w:val="single" w:color="auto" w:sz="4" w:space="0"/>
              <w:right w:val="single" w:color="auto" w:sz="4" w:space="0"/>
            </w:tcBorders>
            <w:noWrap w:val="0"/>
            <w:vAlign w:val="center"/>
          </w:tcPr>
          <w:p w14:paraId="765C06A3">
            <w:pPr>
              <w:spacing w:line="440" w:lineRule="exact"/>
              <w:textAlignment w:val="center"/>
              <w:rPr>
                <w:rFonts w:hint="eastAsia" w:ascii="宋体" w:hAnsi="宋体" w:eastAsia="宋体" w:cs="宋体"/>
                <w:sz w:val="24"/>
              </w:rPr>
            </w:pPr>
            <w:r>
              <w:rPr>
                <w:rFonts w:hint="eastAsia" w:ascii="宋体" w:hAnsi="宋体" w:eastAsia="宋体" w:cs="宋体"/>
                <w:sz w:val="24"/>
              </w:rPr>
              <w:t>/</w:t>
            </w:r>
          </w:p>
        </w:tc>
      </w:tr>
      <w:tr w14:paraId="27DB3196">
        <w:tblPrEx>
          <w:tblCellMar>
            <w:top w:w="0" w:type="dxa"/>
            <w:left w:w="108" w:type="dxa"/>
            <w:bottom w:w="0" w:type="dxa"/>
            <w:right w:w="108" w:type="dxa"/>
          </w:tblCellMar>
        </w:tblPrEx>
        <w:tc>
          <w:tcPr>
            <w:tcW w:w="1004" w:type="dxa"/>
            <w:tcBorders>
              <w:top w:val="single" w:color="auto" w:sz="4" w:space="0"/>
              <w:left w:val="single" w:color="auto" w:sz="4" w:space="0"/>
              <w:bottom w:val="single" w:color="auto" w:sz="4" w:space="0"/>
              <w:right w:val="single" w:color="auto" w:sz="4" w:space="0"/>
            </w:tcBorders>
            <w:noWrap w:val="0"/>
            <w:vAlign w:val="center"/>
          </w:tcPr>
          <w:p w14:paraId="2FB730B2">
            <w:pPr>
              <w:spacing w:line="440" w:lineRule="exact"/>
              <w:jc w:val="center"/>
              <w:textAlignment w:val="center"/>
              <w:rPr>
                <w:rFonts w:hint="eastAsia" w:ascii="宋体" w:hAnsi="宋体" w:eastAsia="宋体" w:cs="宋体"/>
                <w:sz w:val="24"/>
              </w:rPr>
            </w:pPr>
            <w:r>
              <w:rPr>
                <w:rFonts w:hint="eastAsia" w:ascii="宋体" w:hAnsi="宋体" w:eastAsia="宋体" w:cs="宋体"/>
                <w:sz w:val="24"/>
              </w:rPr>
              <w:t>2.2.1</w:t>
            </w:r>
          </w:p>
        </w:tc>
        <w:tc>
          <w:tcPr>
            <w:tcW w:w="3338" w:type="dxa"/>
            <w:tcBorders>
              <w:top w:val="single" w:color="auto" w:sz="4" w:space="0"/>
              <w:left w:val="single" w:color="auto" w:sz="4" w:space="0"/>
              <w:bottom w:val="single" w:color="auto" w:sz="4" w:space="0"/>
              <w:right w:val="single" w:color="auto" w:sz="4" w:space="0"/>
            </w:tcBorders>
            <w:noWrap w:val="0"/>
            <w:vAlign w:val="center"/>
          </w:tcPr>
          <w:p w14:paraId="3DB38914">
            <w:pPr>
              <w:spacing w:line="440" w:lineRule="exact"/>
              <w:jc w:val="center"/>
              <w:textAlignment w:val="center"/>
              <w:rPr>
                <w:rFonts w:hint="eastAsia" w:ascii="宋体" w:hAnsi="宋体" w:eastAsia="宋体" w:cs="宋体"/>
                <w:sz w:val="24"/>
              </w:rPr>
            </w:pPr>
            <w:r>
              <w:rPr>
                <w:rFonts w:hint="eastAsia" w:ascii="宋体" w:hAnsi="宋体" w:eastAsia="宋体" w:cs="宋体"/>
                <w:sz w:val="24"/>
              </w:rPr>
              <w:t>投标人要求澄清招标文件的截止时间</w:t>
            </w:r>
          </w:p>
        </w:tc>
        <w:tc>
          <w:tcPr>
            <w:tcW w:w="5486" w:type="dxa"/>
            <w:tcBorders>
              <w:top w:val="single" w:color="auto" w:sz="4" w:space="0"/>
              <w:left w:val="single" w:color="auto" w:sz="4" w:space="0"/>
              <w:bottom w:val="single" w:color="auto" w:sz="4" w:space="0"/>
              <w:right w:val="single" w:color="auto" w:sz="4" w:space="0"/>
            </w:tcBorders>
            <w:noWrap w:val="0"/>
            <w:vAlign w:val="center"/>
          </w:tcPr>
          <w:p w14:paraId="3B2C489D">
            <w:pPr>
              <w:spacing w:line="440" w:lineRule="exact"/>
              <w:textAlignment w:val="center"/>
              <w:rPr>
                <w:rFonts w:hint="eastAsia" w:ascii="宋体" w:hAnsi="宋体" w:eastAsia="宋体" w:cs="宋体"/>
                <w:sz w:val="24"/>
              </w:rPr>
            </w:pPr>
            <w:r>
              <w:rPr>
                <w:rFonts w:hint="eastAsia" w:ascii="宋体" w:hAnsi="宋体" w:eastAsia="宋体" w:cs="宋体"/>
                <w:sz w:val="24"/>
              </w:rPr>
              <w:t>投标文件递交截止时间</w:t>
            </w:r>
            <w:r>
              <w:rPr>
                <w:rFonts w:hint="eastAsia" w:ascii="宋体" w:hAnsi="宋体" w:eastAsia="宋体" w:cs="宋体"/>
                <w:sz w:val="24"/>
                <w:u w:val="single"/>
              </w:rPr>
              <w:t>10</w:t>
            </w:r>
            <w:r>
              <w:rPr>
                <w:rFonts w:hint="eastAsia" w:ascii="宋体" w:hAnsi="宋体" w:eastAsia="宋体" w:cs="宋体"/>
                <w:sz w:val="24"/>
              </w:rPr>
              <w:t>日前</w:t>
            </w:r>
          </w:p>
        </w:tc>
      </w:tr>
      <w:tr w14:paraId="09E3C583">
        <w:tblPrEx>
          <w:tblCellMar>
            <w:top w:w="0" w:type="dxa"/>
            <w:left w:w="108" w:type="dxa"/>
            <w:bottom w:w="0" w:type="dxa"/>
            <w:right w:w="108" w:type="dxa"/>
          </w:tblCellMar>
        </w:tblPrEx>
        <w:trPr>
          <w:trHeight w:val="604" w:hRule="atLeast"/>
        </w:trPr>
        <w:tc>
          <w:tcPr>
            <w:tcW w:w="1004" w:type="dxa"/>
            <w:tcBorders>
              <w:top w:val="single" w:color="auto" w:sz="4" w:space="0"/>
              <w:left w:val="single" w:color="auto" w:sz="4" w:space="0"/>
              <w:bottom w:val="single" w:color="auto" w:sz="4" w:space="0"/>
              <w:right w:val="single" w:color="auto" w:sz="4" w:space="0"/>
            </w:tcBorders>
            <w:noWrap w:val="0"/>
            <w:vAlign w:val="center"/>
          </w:tcPr>
          <w:p w14:paraId="30D1E1B5">
            <w:pPr>
              <w:spacing w:line="440" w:lineRule="exact"/>
              <w:jc w:val="center"/>
              <w:textAlignment w:val="center"/>
              <w:rPr>
                <w:rFonts w:hint="eastAsia" w:ascii="宋体" w:hAnsi="宋体" w:eastAsia="宋体" w:cs="宋体"/>
                <w:sz w:val="24"/>
              </w:rPr>
            </w:pPr>
            <w:r>
              <w:rPr>
                <w:rFonts w:hint="eastAsia" w:ascii="宋体" w:hAnsi="宋体" w:eastAsia="宋体" w:cs="宋体"/>
                <w:sz w:val="24"/>
              </w:rPr>
              <w:t>2.2.2</w:t>
            </w:r>
          </w:p>
        </w:tc>
        <w:tc>
          <w:tcPr>
            <w:tcW w:w="3338" w:type="dxa"/>
            <w:tcBorders>
              <w:top w:val="single" w:color="auto" w:sz="4" w:space="0"/>
              <w:left w:val="single" w:color="auto" w:sz="4" w:space="0"/>
              <w:bottom w:val="single" w:color="auto" w:sz="4" w:space="0"/>
              <w:right w:val="single" w:color="auto" w:sz="4" w:space="0"/>
            </w:tcBorders>
            <w:noWrap w:val="0"/>
            <w:vAlign w:val="center"/>
          </w:tcPr>
          <w:p w14:paraId="65646AEE">
            <w:pPr>
              <w:spacing w:line="440" w:lineRule="exact"/>
              <w:jc w:val="center"/>
              <w:textAlignment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投标截止时间</w:t>
            </w:r>
          </w:p>
        </w:tc>
        <w:tc>
          <w:tcPr>
            <w:tcW w:w="5486" w:type="dxa"/>
            <w:tcBorders>
              <w:top w:val="single" w:color="auto" w:sz="4" w:space="0"/>
              <w:left w:val="single" w:color="auto" w:sz="4" w:space="0"/>
              <w:bottom w:val="single" w:color="auto" w:sz="4" w:space="0"/>
              <w:right w:val="single" w:color="auto" w:sz="4" w:space="0"/>
            </w:tcBorders>
            <w:noWrap w:val="0"/>
            <w:vAlign w:val="center"/>
          </w:tcPr>
          <w:p w14:paraId="2036E730">
            <w:pPr>
              <w:spacing w:line="440" w:lineRule="exact"/>
              <w:textAlignment w:val="center"/>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highlight w:val="none"/>
              </w:rPr>
              <w:t>20</w:t>
            </w:r>
            <w:r>
              <w:rPr>
                <w:rFonts w:hint="eastAsia" w:ascii="宋体" w:hAnsi="宋体" w:eastAsia="宋体" w:cs="宋体"/>
                <w:color w:val="auto"/>
                <w:sz w:val="24"/>
                <w:highlight w:val="none"/>
                <w:lang w:val="en-US" w:eastAsia="zh-CN"/>
              </w:rPr>
              <w:t>24</w:t>
            </w:r>
            <w:r>
              <w:rPr>
                <w:rFonts w:hint="eastAsia" w:ascii="宋体" w:hAnsi="宋体" w:eastAsia="宋体" w:cs="宋体"/>
                <w:color w:val="auto"/>
                <w:sz w:val="24"/>
                <w:highlight w:val="none"/>
              </w:rPr>
              <w:t>年</w:t>
            </w:r>
            <w:r>
              <w:rPr>
                <w:rFonts w:hint="eastAsia" w:ascii="宋体" w:hAnsi="宋体" w:eastAsia="宋体" w:cs="宋体"/>
                <w:color w:val="auto"/>
                <w:sz w:val="24"/>
                <w:highlight w:val="none"/>
                <w:lang w:val="en-US" w:eastAsia="zh-CN"/>
              </w:rPr>
              <w:t xml:space="preserve">  </w:t>
            </w:r>
            <w:r>
              <w:rPr>
                <w:rFonts w:hint="eastAsia" w:ascii="宋体" w:hAnsi="宋体" w:cs="宋体"/>
                <w:color w:val="auto"/>
                <w:sz w:val="24"/>
                <w:highlight w:val="none"/>
                <w:lang w:val="en-US" w:eastAsia="zh-CN"/>
              </w:rPr>
              <w:t>12</w:t>
            </w:r>
            <w:r>
              <w:rPr>
                <w:rFonts w:hint="eastAsia" w:ascii="宋体" w:hAnsi="宋体" w:eastAsia="宋体" w:cs="宋体"/>
                <w:color w:val="auto"/>
                <w:sz w:val="24"/>
                <w:highlight w:val="none"/>
                <w:lang w:val="en-US" w:eastAsia="zh-CN"/>
              </w:rPr>
              <w:t xml:space="preserve"> </w:t>
            </w:r>
            <w:r>
              <w:rPr>
                <w:rFonts w:hint="eastAsia" w:ascii="宋体" w:hAnsi="宋体" w:eastAsia="宋体" w:cs="宋体"/>
                <w:color w:val="auto"/>
                <w:sz w:val="24"/>
                <w:highlight w:val="none"/>
              </w:rPr>
              <w:t>月</w:t>
            </w:r>
            <w:r>
              <w:rPr>
                <w:rFonts w:hint="eastAsia" w:ascii="宋体" w:hAnsi="宋体" w:eastAsia="宋体" w:cs="宋体"/>
                <w:color w:val="auto"/>
                <w:sz w:val="24"/>
                <w:highlight w:val="none"/>
                <w:lang w:val="en-US" w:eastAsia="zh-CN"/>
              </w:rPr>
              <w:t xml:space="preserve"> </w:t>
            </w:r>
            <w:r>
              <w:rPr>
                <w:rFonts w:hint="eastAsia" w:ascii="宋体" w:hAnsi="宋体" w:cs="宋体"/>
                <w:color w:val="auto"/>
                <w:sz w:val="24"/>
                <w:highlight w:val="none"/>
                <w:lang w:val="en-US" w:eastAsia="zh-CN"/>
              </w:rPr>
              <w:t>25</w:t>
            </w:r>
            <w:r>
              <w:rPr>
                <w:rFonts w:hint="eastAsia" w:ascii="宋体" w:hAnsi="宋体" w:eastAsia="宋体" w:cs="宋体"/>
                <w:color w:val="auto"/>
                <w:sz w:val="24"/>
                <w:highlight w:val="none"/>
                <w:lang w:val="en-US" w:eastAsia="zh-CN"/>
              </w:rPr>
              <w:t xml:space="preserve"> </w:t>
            </w:r>
            <w:r>
              <w:rPr>
                <w:rFonts w:hint="eastAsia" w:ascii="宋体" w:hAnsi="宋体" w:eastAsia="宋体" w:cs="宋体"/>
                <w:color w:val="auto"/>
                <w:sz w:val="24"/>
                <w:highlight w:val="none"/>
              </w:rPr>
              <w:t>日</w:t>
            </w:r>
            <w:r>
              <w:rPr>
                <w:rFonts w:hint="eastAsia" w:ascii="宋体" w:hAnsi="宋体" w:eastAsia="宋体" w:cs="宋体"/>
                <w:i w:val="0"/>
                <w:iCs w:val="0"/>
                <w:caps w:val="0"/>
                <w:color w:val="auto"/>
                <w:spacing w:val="0"/>
                <w:sz w:val="24"/>
                <w:szCs w:val="24"/>
                <w:highlight w:val="none"/>
                <w:shd w:val="clear" w:color="auto" w:fill="FFFFFF"/>
                <w:lang w:val="en-US" w:eastAsia="zh-CN"/>
              </w:rPr>
              <w:t xml:space="preserve">  </w:t>
            </w:r>
            <w:r>
              <w:rPr>
                <w:rFonts w:hint="eastAsia" w:ascii="宋体" w:hAnsi="宋体" w:cs="宋体"/>
                <w:i w:val="0"/>
                <w:iCs w:val="0"/>
                <w:caps w:val="0"/>
                <w:color w:val="auto"/>
                <w:spacing w:val="0"/>
                <w:sz w:val="24"/>
                <w:szCs w:val="24"/>
                <w:highlight w:val="none"/>
                <w:shd w:val="clear" w:color="auto" w:fill="FFFFFF"/>
                <w:lang w:val="en-US" w:eastAsia="zh-CN"/>
              </w:rPr>
              <w:t>10</w:t>
            </w:r>
            <w:r>
              <w:rPr>
                <w:rFonts w:hint="eastAsia" w:ascii="宋体" w:hAnsi="宋体" w:eastAsia="宋体" w:cs="宋体"/>
                <w:i w:val="0"/>
                <w:iCs w:val="0"/>
                <w:caps w:val="0"/>
                <w:color w:val="auto"/>
                <w:spacing w:val="0"/>
                <w:sz w:val="24"/>
                <w:szCs w:val="24"/>
                <w:highlight w:val="none"/>
                <w:shd w:val="clear" w:color="auto" w:fill="FFFFFF"/>
                <w:lang w:val="en-US" w:eastAsia="zh-CN"/>
              </w:rPr>
              <w:t xml:space="preserve"> </w:t>
            </w:r>
            <w:r>
              <w:rPr>
                <w:rFonts w:hint="eastAsia" w:ascii="宋体" w:hAnsi="宋体" w:eastAsia="宋体" w:cs="宋体"/>
                <w:i w:val="0"/>
                <w:iCs w:val="0"/>
                <w:caps w:val="0"/>
                <w:color w:val="auto"/>
                <w:spacing w:val="0"/>
                <w:sz w:val="24"/>
                <w:szCs w:val="24"/>
                <w:highlight w:val="none"/>
                <w:shd w:val="clear" w:color="auto" w:fill="FFFFFF"/>
              </w:rPr>
              <w:t>时</w:t>
            </w:r>
            <w:r>
              <w:rPr>
                <w:rFonts w:hint="eastAsia" w:ascii="宋体" w:hAnsi="宋体" w:eastAsia="宋体" w:cs="宋体"/>
                <w:i w:val="0"/>
                <w:iCs w:val="0"/>
                <w:caps w:val="0"/>
                <w:color w:val="auto"/>
                <w:spacing w:val="0"/>
                <w:sz w:val="24"/>
                <w:szCs w:val="24"/>
                <w:highlight w:val="none"/>
                <w:shd w:val="clear" w:color="auto" w:fill="FFFFFF"/>
                <w:lang w:val="en-US" w:eastAsia="zh-CN"/>
              </w:rPr>
              <w:t xml:space="preserve">  </w:t>
            </w:r>
            <w:r>
              <w:rPr>
                <w:rFonts w:hint="eastAsia" w:ascii="宋体" w:hAnsi="宋体" w:cs="宋体"/>
                <w:i w:val="0"/>
                <w:iCs w:val="0"/>
                <w:caps w:val="0"/>
                <w:color w:val="auto"/>
                <w:spacing w:val="0"/>
                <w:sz w:val="24"/>
                <w:szCs w:val="24"/>
                <w:highlight w:val="none"/>
                <w:shd w:val="clear" w:color="auto" w:fill="FFFFFF"/>
                <w:lang w:val="en-US" w:eastAsia="zh-CN"/>
              </w:rPr>
              <w:t>30</w:t>
            </w:r>
            <w:r>
              <w:rPr>
                <w:rFonts w:hint="eastAsia" w:ascii="宋体" w:hAnsi="宋体" w:eastAsia="宋体" w:cs="宋体"/>
                <w:i w:val="0"/>
                <w:iCs w:val="0"/>
                <w:caps w:val="0"/>
                <w:color w:val="auto"/>
                <w:spacing w:val="0"/>
                <w:sz w:val="24"/>
                <w:szCs w:val="24"/>
                <w:highlight w:val="none"/>
                <w:shd w:val="clear" w:color="auto" w:fill="FFFFFF"/>
                <w:lang w:val="en-US" w:eastAsia="zh-CN"/>
              </w:rPr>
              <w:t xml:space="preserve"> </w:t>
            </w:r>
            <w:r>
              <w:rPr>
                <w:rFonts w:hint="eastAsia" w:ascii="宋体" w:hAnsi="宋体" w:eastAsia="宋体" w:cs="宋体"/>
                <w:i w:val="0"/>
                <w:iCs w:val="0"/>
                <w:caps w:val="0"/>
                <w:color w:val="auto"/>
                <w:spacing w:val="0"/>
                <w:sz w:val="24"/>
                <w:szCs w:val="24"/>
                <w:highlight w:val="none"/>
                <w:shd w:val="clear" w:color="auto" w:fill="FFFFFF"/>
              </w:rPr>
              <w:t>分</w:t>
            </w:r>
          </w:p>
        </w:tc>
      </w:tr>
      <w:tr w14:paraId="774DCBFF">
        <w:tblPrEx>
          <w:tblCellMar>
            <w:top w:w="0" w:type="dxa"/>
            <w:left w:w="108" w:type="dxa"/>
            <w:bottom w:w="0" w:type="dxa"/>
            <w:right w:w="108" w:type="dxa"/>
          </w:tblCellMar>
        </w:tblPrEx>
        <w:tc>
          <w:tcPr>
            <w:tcW w:w="1004" w:type="dxa"/>
            <w:tcBorders>
              <w:top w:val="single" w:color="auto" w:sz="4" w:space="0"/>
              <w:left w:val="single" w:color="auto" w:sz="4" w:space="0"/>
              <w:bottom w:val="single" w:color="auto" w:sz="4" w:space="0"/>
              <w:right w:val="single" w:color="auto" w:sz="4" w:space="0"/>
            </w:tcBorders>
            <w:noWrap w:val="0"/>
            <w:vAlign w:val="center"/>
          </w:tcPr>
          <w:p w14:paraId="239F83E9">
            <w:pPr>
              <w:spacing w:line="440" w:lineRule="exact"/>
              <w:jc w:val="center"/>
              <w:textAlignment w:val="center"/>
              <w:rPr>
                <w:rFonts w:hint="eastAsia" w:ascii="宋体" w:hAnsi="宋体" w:eastAsia="宋体" w:cs="宋体"/>
                <w:sz w:val="24"/>
              </w:rPr>
            </w:pPr>
            <w:r>
              <w:rPr>
                <w:rFonts w:hint="eastAsia" w:ascii="宋体" w:hAnsi="宋体" w:eastAsia="宋体" w:cs="宋体"/>
                <w:sz w:val="24"/>
              </w:rPr>
              <w:t>2.2.3</w:t>
            </w:r>
          </w:p>
        </w:tc>
        <w:tc>
          <w:tcPr>
            <w:tcW w:w="3338" w:type="dxa"/>
            <w:tcBorders>
              <w:top w:val="single" w:color="auto" w:sz="4" w:space="0"/>
              <w:left w:val="single" w:color="auto" w:sz="4" w:space="0"/>
              <w:bottom w:val="single" w:color="auto" w:sz="4" w:space="0"/>
              <w:right w:val="single" w:color="auto" w:sz="4" w:space="0"/>
            </w:tcBorders>
            <w:noWrap w:val="0"/>
            <w:vAlign w:val="center"/>
          </w:tcPr>
          <w:p w14:paraId="37B7A0DC">
            <w:pPr>
              <w:spacing w:line="440" w:lineRule="exact"/>
              <w:jc w:val="center"/>
              <w:textAlignment w:val="center"/>
              <w:rPr>
                <w:rFonts w:hint="eastAsia" w:ascii="宋体" w:hAnsi="宋体" w:eastAsia="宋体" w:cs="宋体"/>
                <w:sz w:val="24"/>
              </w:rPr>
            </w:pPr>
            <w:r>
              <w:rPr>
                <w:rFonts w:hint="eastAsia" w:ascii="宋体" w:hAnsi="宋体" w:eastAsia="宋体" w:cs="宋体"/>
                <w:sz w:val="24"/>
              </w:rPr>
              <w:t>投标人确认收到招标文件澄清的时间</w:t>
            </w:r>
          </w:p>
        </w:tc>
        <w:tc>
          <w:tcPr>
            <w:tcW w:w="5486" w:type="dxa"/>
            <w:tcBorders>
              <w:top w:val="single" w:color="auto" w:sz="4" w:space="0"/>
              <w:left w:val="single" w:color="auto" w:sz="4" w:space="0"/>
              <w:bottom w:val="single" w:color="auto" w:sz="4" w:space="0"/>
              <w:right w:val="single" w:color="auto" w:sz="4" w:space="0"/>
            </w:tcBorders>
            <w:noWrap w:val="0"/>
            <w:vAlign w:val="center"/>
          </w:tcPr>
          <w:p w14:paraId="2A8825A1">
            <w:pPr>
              <w:spacing w:line="440" w:lineRule="exact"/>
              <w:textAlignment w:val="center"/>
              <w:rPr>
                <w:rFonts w:hint="eastAsia" w:ascii="宋体" w:hAnsi="宋体" w:eastAsia="宋体" w:cs="宋体"/>
                <w:sz w:val="24"/>
              </w:rPr>
            </w:pPr>
            <w:r>
              <w:rPr>
                <w:rFonts w:hint="eastAsia" w:ascii="宋体" w:hAnsi="宋体" w:eastAsia="宋体" w:cs="宋体"/>
                <w:sz w:val="24"/>
              </w:rPr>
              <w:t>收到澄清后2日内（以发出时间为准</w:t>
            </w:r>
            <w:bookmarkStart w:id="1648" w:name="_GoBack"/>
            <w:bookmarkEnd w:id="1648"/>
            <w:r>
              <w:rPr>
                <w:rFonts w:hint="eastAsia" w:ascii="宋体" w:hAnsi="宋体" w:eastAsia="宋体" w:cs="宋体"/>
                <w:sz w:val="24"/>
              </w:rPr>
              <w:t>）</w:t>
            </w:r>
          </w:p>
        </w:tc>
      </w:tr>
      <w:tr w14:paraId="1609BF9B">
        <w:tblPrEx>
          <w:tblCellMar>
            <w:top w:w="0" w:type="dxa"/>
            <w:left w:w="108" w:type="dxa"/>
            <w:bottom w:w="0" w:type="dxa"/>
            <w:right w:w="108" w:type="dxa"/>
          </w:tblCellMar>
        </w:tblPrEx>
        <w:tc>
          <w:tcPr>
            <w:tcW w:w="1004" w:type="dxa"/>
            <w:tcBorders>
              <w:top w:val="single" w:color="auto" w:sz="4" w:space="0"/>
              <w:left w:val="single" w:color="auto" w:sz="4" w:space="0"/>
              <w:bottom w:val="single" w:color="auto" w:sz="4" w:space="0"/>
              <w:right w:val="single" w:color="auto" w:sz="4" w:space="0"/>
            </w:tcBorders>
            <w:noWrap w:val="0"/>
            <w:vAlign w:val="center"/>
          </w:tcPr>
          <w:p w14:paraId="585CE7A9">
            <w:pPr>
              <w:spacing w:line="440" w:lineRule="exact"/>
              <w:jc w:val="center"/>
              <w:textAlignment w:val="center"/>
              <w:rPr>
                <w:rFonts w:hint="eastAsia" w:ascii="宋体" w:hAnsi="宋体" w:eastAsia="宋体" w:cs="宋体"/>
                <w:sz w:val="24"/>
              </w:rPr>
            </w:pPr>
            <w:r>
              <w:rPr>
                <w:rFonts w:hint="eastAsia" w:ascii="宋体" w:hAnsi="宋体" w:eastAsia="宋体" w:cs="宋体"/>
                <w:sz w:val="24"/>
              </w:rPr>
              <w:t>2.3.2</w:t>
            </w:r>
          </w:p>
        </w:tc>
        <w:tc>
          <w:tcPr>
            <w:tcW w:w="3338" w:type="dxa"/>
            <w:tcBorders>
              <w:top w:val="single" w:color="auto" w:sz="4" w:space="0"/>
              <w:left w:val="single" w:color="auto" w:sz="4" w:space="0"/>
              <w:bottom w:val="single" w:color="auto" w:sz="4" w:space="0"/>
              <w:right w:val="single" w:color="auto" w:sz="4" w:space="0"/>
            </w:tcBorders>
            <w:noWrap w:val="0"/>
            <w:vAlign w:val="center"/>
          </w:tcPr>
          <w:p w14:paraId="73FFE3A1">
            <w:pPr>
              <w:spacing w:line="440" w:lineRule="exact"/>
              <w:jc w:val="center"/>
              <w:textAlignment w:val="center"/>
              <w:rPr>
                <w:rFonts w:hint="eastAsia" w:ascii="宋体" w:hAnsi="宋体" w:eastAsia="宋体" w:cs="宋体"/>
                <w:sz w:val="24"/>
              </w:rPr>
            </w:pPr>
            <w:r>
              <w:rPr>
                <w:rFonts w:hint="eastAsia" w:ascii="宋体" w:hAnsi="宋体" w:eastAsia="宋体" w:cs="宋体"/>
                <w:sz w:val="24"/>
              </w:rPr>
              <w:t>投标人确认收到招标文件修改的时间</w:t>
            </w:r>
          </w:p>
        </w:tc>
        <w:tc>
          <w:tcPr>
            <w:tcW w:w="5486" w:type="dxa"/>
            <w:tcBorders>
              <w:top w:val="single" w:color="auto" w:sz="4" w:space="0"/>
              <w:left w:val="single" w:color="auto" w:sz="4" w:space="0"/>
              <w:bottom w:val="single" w:color="auto" w:sz="4" w:space="0"/>
              <w:right w:val="single" w:color="auto" w:sz="4" w:space="0"/>
            </w:tcBorders>
            <w:noWrap w:val="0"/>
            <w:vAlign w:val="center"/>
          </w:tcPr>
          <w:p w14:paraId="44C3943E">
            <w:pPr>
              <w:spacing w:line="440" w:lineRule="exact"/>
              <w:textAlignment w:val="center"/>
              <w:rPr>
                <w:rFonts w:hint="eastAsia" w:ascii="宋体" w:hAnsi="宋体" w:eastAsia="宋体" w:cs="宋体"/>
                <w:sz w:val="24"/>
              </w:rPr>
            </w:pPr>
            <w:r>
              <w:rPr>
                <w:rFonts w:hint="eastAsia" w:ascii="宋体" w:hAnsi="宋体" w:eastAsia="宋体" w:cs="宋体"/>
                <w:sz w:val="24"/>
              </w:rPr>
              <w:t>收到修改后2日内（以发出时间为准）</w:t>
            </w:r>
          </w:p>
        </w:tc>
      </w:tr>
      <w:tr w14:paraId="1EA53974">
        <w:tblPrEx>
          <w:tblCellMar>
            <w:top w:w="0" w:type="dxa"/>
            <w:left w:w="108" w:type="dxa"/>
            <w:bottom w:w="0" w:type="dxa"/>
            <w:right w:w="108" w:type="dxa"/>
          </w:tblCellMar>
        </w:tblPrEx>
        <w:tc>
          <w:tcPr>
            <w:tcW w:w="1004" w:type="dxa"/>
            <w:tcBorders>
              <w:top w:val="single" w:color="auto" w:sz="4" w:space="0"/>
              <w:left w:val="single" w:color="auto" w:sz="4" w:space="0"/>
              <w:bottom w:val="single" w:color="auto" w:sz="4" w:space="0"/>
              <w:right w:val="single" w:color="auto" w:sz="4" w:space="0"/>
            </w:tcBorders>
            <w:noWrap w:val="0"/>
            <w:vAlign w:val="center"/>
          </w:tcPr>
          <w:p w14:paraId="7978EAE6">
            <w:pPr>
              <w:spacing w:line="440" w:lineRule="exact"/>
              <w:jc w:val="center"/>
              <w:textAlignment w:val="center"/>
              <w:rPr>
                <w:rFonts w:hint="eastAsia" w:ascii="宋体" w:hAnsi="宋体" w:eastAsia="宋体" w:cs="宋体"/>
                <w:sz w:val="24"/>
              </w:rPr>
            </w:pPr>
            <w:r>
              <w:rPr>
                <w:rFonts w:hint="eastAsia" w:ascii="宋体" w:hAnsi="宋体" w:eastAsia="宋体" w:cs="宋体"/>
                <w:sz w:val="24"/>
              </w:rPr>
              <w:t>3.1.1</w:t>
            </w:r>
          </w:p>
        </w:tc>
        <w:tc>
          <w:tcPr>
            <w:tcW w:w="3338" w:type="dxa"/>
            <w:tcBorders>
              <w:top w:val="single" w:color="auto" w:sz="4" w:space="0"/>
              <w:left w:val="single" w:color="auto" w:sz="4" w:space="0"/>
              <w:bottom w:val="single" w:color="auto" w:sz="4" w:space="0"/>
              <w:right w:val="single" w:color="auto" w:sz="4" w:space="0"/>
            </w:tcBorders>
            <w:noWrap w:val="0"/>
            <w:vAlign w:val="center"/>
          </w:tcPr>
          <w:p w14:paraId="4D9D00E1">
            <w:pPr>
              <w:spacing w:line="440" w:lineRule="exact"/>
              <w:jc w:val="center"/>
              <w:textAlignment w:val="center"/>
              <w:rPr>
                <w:rFonts w:hint="eastAsia" w:ascii="宋体" w:hAnsi="宋体" w:eastAsia="宋体" w:cs="宋体"/>
                <w:sz w:val="24"/>
                <w:szCs w:val="24"/>
              </w:rPr>
            </w:pPr>
            <w:r>
              <w:rPr>
                <w:rFonts w:hint="eastAsia" w:ascii="宋体" w:hAnsi="宋体" w:eastAsia="宋体" w:cs="宋体"/>
                <w:sz w:val="24"/>
                <w:szCs w:val="24"/>
              </w:rPr>
              <w:t>构成投标文件的其他材料</w:t>
            </w:r>
          </w:p>
        </w:tc>
        <w:tc>
          <w:tcPr>
            <w:tcW w:w="5486" w:type="dxa"/>
            <w:tcBorders>
              <w:top w:val="single" w:color="auto" w:sz="4" w:space="0"/>
              <w:left w:val="single" w:color="auto" w:sz="4" w:space="0"/>
              <w:bottom w:val="single" w:color="auto" w:sz="4" w:space="0"/>
              <w:right w:val="single" w:color="auto" w:sz="4" w:space="0"/>
            </w:tcBorders>
            <w:noWrap w:val="0"/>
            <w:vAlign w:val="center"/>
          </w:tcPr>
          <w:p w14:paraId="69CA0A55">
            <w:pPr>
              <w:numPr>
                <w:ilvl w:val="0"/>
                <w:numId w:val="0"/>
              </w:numPr>
              <w:spacing w:line="360" w:lineRule="auto"/>
              <w:ind w:leftChars="0"/>
              <w:rPr>
                <w:rFonts w:hint="eastAsia" w:ascii="宋体" w:hAnsi="宋体" w:eastAsia="宋体" w:cs="宋体"/>
                <w:sz w:val="24"/>
                <w:szCs w:val="24"/>
              </w:rPr>
            </w:pPr>
            <w:r>
              <w:rPr>
                <w:rFonts w:hint="eastAsia" w:ascii="宋体" w:hAnsi="宋体" w:eastAsia="宋体" w:cs="宋体"/>
                <w:sz w:val="24"/>
                <w:szCs w:val="24"/>
                <w:lang w:val="en-US" w:eastAsia="zh-CN"/>
              </w:rPr>
              <w:t>1、</w:t>
            </w:r>
            <w:r>
              <w:rPr>
                <w:rFonts w:hint="eastAsia" w:ascii="宋体" w:hAnsi="宋体" w:eastAsia="宋体" w:cs="宋体"/>
                <w:sz w:val="24"/>
                <w:szCs w:val="24"/>
              </w:rPr>
              <w:t>项目经理无在建承诺书；</w:t>
            </w:r>
          </w:p>
          <w:p w14:paraId="4F557F32">
            <w:pPr>
              <w:spacing w:line="440" w:lineRule="exact"/>
              <w:textAlignment w:val="center"/>
              <w:rPr>
                <w:rFonts w:hint="eastAsia" w:ascii="宋体" w:hAnsi="宋体" w:eastAsia="宋体" w:cs="宋体"/>
                <w:sz w:val="24"/>
                <w:szCs w:val="24"/>
              </w:rPr>
            </w:pPr>
            <w:r>
              <w:rPr>
                <w:rFonts w:hint="eastAsia" w:ascii="宋体" w:hAnsi="宋体" w:eastAsia="宋体" w:cs="宋体"/>
                <w:sz w:val="24"/>
                <w:szCs w:val="24"/>
                <w:lang w:val="en-US" w:eastAsia="zh-CN"/>
              </w:rPr>
              <w:t>2、</w:t>
            </w:r>
            <w:r>
              <w:rPr>
                <w:rFonts w:hint="eastAsia" w:ascii="宋体" w:hAnsi="宋体" w:eastAsia="宋体" w:cs="宋体"/>
                <w:sz w:val="24"/>
                <w:szCs w:val="24"/>
              </w:rPr>
              <w:t>评标过程中评标委员会要求投标人对所提交的投标文件中不明确内容进行书面澄清或说明，或者对细微偏差进行补正。</w:t>
            </w:r>
          </w:p>
        </w:tc>
      </w:tr>
      <w:tr w14:paraId="769DA8D6">
        <w:tblPrEx>
          <w:tblCellMar>
            <w:top w:w="0" w:type="dxa"/>
            <w:left w:w="108" w:type="dxa"/>
            <w:bottom w:w="0" w:type="dxa"/>
            <w:right w:w="108" w:type="dxa"/>
          </w:tblCellMar>
        </w:tblPrEx>
        <w:tc>
          <w:tcPr>
            <w:tcW w:w="1004" w:type="dxa"/>
            <w:tcBorders>
              <w:top w:val="single" w:color="auto" w:sz="4" w:space="0"/>
              <w:left w:val="single" w:color="auto" w:sz="4" w:space="0"/>
              <w:bottom w:val="single" w:color="auto" w:sz="4" w:space="0"/>
              <w:right w:val="single" w:color="auto" w:sz="4" w:space="0"/>
            </w:tcBorders>
            <w:noWrap w:val="0"/>
            <w:vAlign w:val="center"/>
          </w:tcPr>
          <w:p w14:paraId="64C2400E">
            <w:pPr>
              <w:spacing w:line="440" w:lineRule="exact"/>
              <w:jc w:val="center"/>
              <w:textAlignment w:val="center"/>
              <w:rPr>
                <w:rFonts w:hint="eastAsia" w:ascii="宋体" w:hAnsi="宋体" w:eastAsia="宋体" w:cs="宋体"/>
                <w:sz w:val="24"/>
              </w:rPr>
            </w:pPr>
            <w:r>
              <w:rPr>
                <w:rFonts w:hint="eastAsia" w:ascii="宋体" w:hAnsi="宋体" w:eastAsia="宋体" w:cs="宋体"/>
                <w:sz w:val="24"/>
              </w:rPr>
              <w:t>3.3.1</w:t>
            </w:r>
          </w:p>
        </w:tc>
        <w:tc>
          <w:tcPr>
            <w:tcW w:w="3338" w:type="dxa"/>
            <w:tcBorders>
              <w:top w:val="single" w:color="auto" w:sz="4" w:space="0"/>
              <w:left w:val="single" w:color="auto" w:sz="4" w:space="0"/>
              <w:bottom w:val="single" w:color="auto" w:sz="4" w:space="0"/>
              <w:right w:val="single" w:color="auto" w:sz="4" w:space="0"/>
            </w:tcBorders>
            <w:noWrap w:val="0"/>
            <w:vAlign w:val="center"/>
          </w:tcPr>
          <w:p w14:paraId="4C1B5582">
            <w:pPr>
              <w:spacing w:line="440" w:lineRule="exact"/>
              <w:jc w:val="center"/>
              <w:textAlignment w:val="center"/>
              <w:rPr>
                <w:rFonts w:hint="eastAsia" w:ascii="宋体" w:hAnsi="宋体" w:eastAsia="宋体" w:cs="宋体"/>
                <w:sz w:val="24"/>
              </w:rPr>
            </w:pPr>
            <w:r>
              <w:rPr>
                <w:rFonts w:hint="eastAsia" w:ascii="宋体" w:hAnsi="宋体" w:eastAsia="宋体" w:cs="宋体"/>
                <w:sz w:val="24"/>
              </w:rPr>
              <w:t>投标有效期</w:t>
            </w:r>
          </w:p>
        </w:tc>
        <w:tc>
          <w:tcPr>
            <w:tcW w:w="5486" w:type="dxa"/>
            <w:tcBorders>
              <w:top w:val="single" w:color="auto" w:sz="4" w:space="0"/>
              <w:left w:val="single" w:color="auto" w:sz="4" w:space="0"/>
              <w:bottom w:val="single" w:color="auto" w:sz="4" w:space="0"/>
              <w:right w:val="single" w:color="auto" w:sz="4" w:space="0"/>
            </w:tcBorders>
            <w:noWrap w:val="0"/>
            <w:vAlign w:val="center"/>
          </w:tcPr>
          <w:p w14:paraId="7DDE29CC">
            <w:pPr>
              <w:spacing w:line="440" w:lineRule="exact"/>
              <w:textAlignment w:val="center"/>
              <w:rPr>
                <w:rFonts w:hint="eastAsia" w:ascii="宋体" w:hAnsi="宋体" w:eastAsia="宋体" w:cs="宋体"/>
                <w:sz w:val="24"/>
              </w:rPr>
            </w:pPr>
            <w:r>
              <w:rPr>
                <w:rFonts w:hint="eastAsia" w:ascii="宋体" w:hAnsi="宋体" w:eastAsia="宋体" w:cs="宋体"/>
                <w:color w:val="auto"/>
                <w:sz w:val="24"/>
                <w:szCs w:val="24"/>
                <w:lang w:val="en-US" w:eastAsia="zh-CN"/>
              </w:rPr>
              <w:t>自</w:t>
            </w:r>
            <w:r>
              <w:rPr>
                <w:rFonts w:hint="eastAsia" w:ascii="宋体" w:hAnsi="宋体" w:eastAsia="宋体" w:cs="宋体"/>
                <w:color w:val="auto"/>
                <w:sz w:val="24"/>
                <w:szCs w:val="24"/>
              </w:rPr>
              <w:t>投标截止之日</w:t>
            </w:r>
            <w:r>
              <w:rPr>
                <w:rFonts w:hint="eastAsia" w:ascii="宋体" w:hAnsi="宋体" w:eastAsia="宋体" w:cs="宋体"/>
                <w:color w:val="auto"/>
                <w:sz w:val="24"/>
                <w:szCs w:val="24"/>
                <w:lang w:val="en-US" w:eastAsia="zh-CN"/>
              </w:rPr>
              <w:t>起60</w:t>
            </w:r>
            <w:r>
              <w:rPr>
                <w:rFonts w:hint="eastAsia" w:ascii="宋体" w:hAnsi="宋体" w:eastAsia="宋体" w:cs="宋体"/>
                <w:color w:val="auto"/>
                <w:sz w:val="24"/>
                <w:szCs w:val="24"/>
              </w:rPr>
              <w:t>日历天</w:t>
            </w:r>
          </w:p>
        </w:tc>
      </w:tr>
      <w:tr w14:paraId="79289974">
        <w:tblPrEx>
          <w:tblCellMar>
            <w:top w:w="0" w:type="dxa"/>
            <w:left w:w="108" w:type="dxa"/>
            <w:bottom w:w="0" w:type="dxa"/>
            <w:right w:w="108" w:type="dxa"/>
          </w:tblCellMar>
        </w:tblPrEx>
        <w:trPr>
          <w:trHeight w:val="9509" w:hRule="atLeast"/>
        </w:trPr>
        <w:tc>
          <w:tcPr>
            <w:tcW w:w="1004" w:type="dxa"/>
            <w:tcBorders>
              <w:top w:val="single" w:color="auto" w:sz="4" w:space="0"/>
              <w:left w:val="single" w:color="auto" w:sz="4" w:space="0"/>
              <w:bottom w:val="single" w:color="auto" w:sz="4" w:space="0"/>
              <w:right w:val="single" w:color="auto" w:sz="4" w:space="0"/>
            </w:tcBorders>
            <w:noWrap w:val="0"/>
            <w:vAlign w:val="center"/>
          </w:tcPr>
          <w:p w14:paraId="7860E90A">
            <w:pPr>
              <w:spacing w:line="440" w:lineRule="exact"/>
              <w:jc w:val="center"/>
              <w:textAlignment w:val="center"/>
              <w:rPr>
                <w:rFonts w:hint="eastAsia" w:ascii="宋体" w:hAnsi="宋体" w:eastAsia="宋体" w:cs="宋体"/>
                <w:sz w:val="24"/>
              </w:rPr>
            </w:pPr>
            <w:r>
              <w:rPr>
                <w:rFonts w:hint="eastAsia" w:ascii="宋体" w:hAnsi="宋体" w:eastAsia="宋体" w:cs="宋体"/>
                <w:sz w:val="24"/>
              </w:rPr>
              <w:t>3.4.1</w:t>
            </w:r>
          </w:p>
        </w:tc>
        <w:tc>
          <w:tcPr>
            <w:tcW w:w="3338" w:type="dxa"/>
            <w:tcBorders>
              <w:top w:val="single" w:color="auto" w:sz="4" w:space="0"/>
              <w:left w:val="single" w:color="auto" w:sz="4" w:space="0"/>
              <w:bottom w:val="single" w:color="auto" w:sz="4" w:space="0"/>
              <w:right w:val="single" w:color="auto" w:sz="4" w:space="0"/>
            </w:tcBorders>
            <w:noWrap w:val="0"/>
            <w:vAlign w:val="center"/>
          </w:tcPr>
          <w:p w14:paraId="79004DB5">
            <w:pPr>
              <w:spacing w:line="440" w:lineRule="exact"/>
              <w:jc w:val="center"/>
              <w:textAlignment w:val="center"/>
              <w:rPr>
                <w:rFonts w:hint="eastAsia" w:ascii="宋体" w:hAnsi="宋体" w:eastAsia="宋体" w:cs="宋体"/>
                <w:sz w:val="24"/>
                <w:szCs w:val="24"/>
              </w:rPr>
            </w:pPr>
            <w:r>
              <w:rPr>
                <w:rFonts w:hint="eastAsia" w:ascii="宋体" w:hAnsi="宋体" w:eastAsia="宋体" w:cs="宋体"/>
                <w:sz w:val="24"/>
                <w:szCs w:val="24"/>
              </w:rPr>
              <w:t>投标保证金</w:t>
            </w:r>
          </w:p>
        </w:tc>
        <w:tc>
          <w:tcPr>
            <w:tcW w:w="5486" w:type="dxa"/>
            <w:tcBorders>
              <w:top w:val="single" w:color="auto" w:sz="4" w:space="0"/>
              <w:left w:val="single" w:color="auto" w:sz="4" w:space="0"/>
              <w:bottom w:val="single" w:color="auto" w:sz="4" w:space="0"/>
              <w:right w:val="single" w:color="auto" w:sz="4" w:space="0"/>
            </w:tcBorders>
            <w:noWrap w:val="0"/>
            <w:vAlign w:val="center"/>
          </w:tcPr>
          <w:p w14:paraId="65A63378">
            <w:pPr>
              <w:widowControl/>
              <w:spacing w:line="480" w:lineRule="exact"/>
              <w:jc w:val="left"/>
              <w:rPr>
                <w:rFonts w:hint="eastAsia" w:ascii="宋体" w:hAnsi="宋体" w:eastAsia="宋体" w:cs="宋体"/>
                <w:kern w:val="2"/>
                <w:sz w:val="24"/>
                <w:szCs w:val="24"/>
                <w:lang w:val="en-US" w:eastAsia="zh-CN" w:bidi="ar-SA"/>
              </w:rPr>
            </w:pPr>
            <w:r>
              <w:rPr>
                <w:rFonts w:hint="eastAsia" w:ascii="宋体" w:hAnsi="宋体" w:eastAsia="宋体" w:cs="宋体"/>
                <w:kern w:val="2"/>
                <w:sz w:val="24"/>
                <w:szCs w:val="24"/>
                <w:lang w:val="en-US" w:eastAsia="zh-CN" w:bidi="ar-SA"/>
              </w:rPr>
              <w:t>投标保证金（人民币）金额：大写：壹万元整</w:t>
            </w:r>
          </w:p>
          <w:p w14:paraId="47E335BC">
            <w:pPr>
              <w:widowControl/>
              <w:spacing w:line="480" w:lineRule="exact"/>
              <w:ind w:firstLine="3120" w:firstLineChars="1300"/>
              <w:jc w:val="left"/>
              <w:rPr>
                <w:rFonts w:hint="eastAsia" w:ascii="宋体" w:hAnsi="宋体" w:eastAsia="宋体" w:cs="宋体"/>
                <w:kern w:val="2"/>
                <w:sz w:val="24"/>
                <w:szCs w:val="24"/>
                <w:lang w:val="en-US" w:eastAsia="zh-CN" w:bidi="ar-SA"/>
              </w:rPr>
            </w:pPr>
            <w:r>
              <w:rPr>
                <w:rFonts w:hint="eastAsia" w:ascii="宋体" w:hAnsi="宋体" w:eastAsia="宋体" w:cs="宋体"/>
                <w:kern w:val="2"/>
                <w:sz w:val="24"/>
                <w:szCs w:val="24"/>
                <w:lang w:val="en-US" w:eastAsia="zh-CN" w:bidi="ar-SA"/>
              </w:rPr>
              <w:t>小写：10000元</w:t>
            </w:r>
          </w:p>
          <w:p w14:paraId="5BB814E9">
            <w:pPr>
              <w:widowControl/>
              <w:spacing w:line="480" w:lineRule="exact"/>
              <w:jc w:val="left"/>
              <w:rPr>
                <w:rFonts w:hint="eastAsia" w:ascii="宋体" w:hAnsi="宋体" w:eastAsia="宋体" w:cs="宋体"/>
                <w:kern w:val="2"/>
                <w:sz w:val="24"/>
                <w:szCs w:val="24"/>
                <w:lang w:val="en-US" w:eastAsia="zh-CN" w:bidi="ar-SA"/>
              </w:rPr>
            </w:pPr>
            <w:r>
              <w:rPr>
                <w:rFonts w:hint="eastAsia" w:ascii="宋体" w:hAnsi="宋体" w:eastAsia="宋体" w:cs="宋体"/>
                <w:kern w:val="2"/>
                <w:sz w:val="24"/>
                <w:szCs w:val="24"/>
                <w:lang w:val="en-US" w:eastAsia="zh-CN" w:bidi="ar-SA"/>
              </w:rPr>
              <w:t>投标保证金缴纳方式：银行保函或银行转账</w:t>
            </w:r>
          </w:p>
          <w:p w14:paraId="72E91FBE">
            <w:pPr>
              <w:widowControl/>
              <w:spacing w:line="480" w:lineRule="exact"/>
              <w:jc w:val="left"/>
              <w:rPr>
                <w:rFonts w:hint="eastAsia" w:ascii="宋体" w:hAnsi="宋体" w:eastAsia="宋体" w:cs="宋体"/>
                <w:kern w:val="2"/>
                <w:sz w:val="24"/>
                <w:szCs w:val="24"/>
                <w:lang w:val="en-US" w:eastAsia="zh-CN" w:bidi="ar-SA"/>
              </w:rPr>
            </w:pPr>
            <w:r>
              <w:rPr>
                <w:rFonts w:hint="eastAsia" w:ascii="宋体" w:hAnsi="宋体" w:eastAsia="宋体" w:cs="宋体"/>
                <w:kern w:val="2"/>
                <w:sz w:val="24"/>
                <w:szCs w:val="24"/>
                <w:lang w:val="en-US" w:eastAsia="zh-CN" w:bidi="ar-SA"/>
              </w:rPr>
              <w:t>1、银行保函方式：投标人直接在周口市公共资源电子交易系统里点击“申请电子保函”，按要求操作，在线确认企业信息并选择出函机构，由出函机构为投标人在线开具电子投标保函。在投标截止时间前开具成功的电子投标保函，交易系统自动确认生效，并通过电子交易系统在线递交。（申请电子投标保函的操作方法见电子保函操作手册）</w:t>
            </w:r>
          </w:p>
          <w:p w14:paraId="16CC1B35">
            <w:pPr>
              <w:widowControl/>
              <w:spacing w:line="480" w:lineRule="exact"/>
              <w:jc w:val="left"/>
              <w:rPr>
                <w:rFonts w:hint="eastAsia" w:ascii="宋体" w:hAnsi="宋体" w:eastAsia="宋体" w:cs="宋体"/>
                <w:kern w:val="2"/>
                <w:sz w:val="24"/>
                <w:szCs w:val="24"/>
                <w:lang w:val="en-US" w:eastAsia="zh-CN" w:bidi="ar-SA"/>
              </w:rPr>
            </w:pPr>
            <w:r>
              <w:rPr>
                <w:rFonts w:hint="eastAsia" w:ascii="宋体" w:hAnsi="宋体" w:eastAsia="宋体" w:cs="宋体"/>
                <w:kern w:val="2"/>
                <w:sz w:val="24"/>
                <w:szCs w:val="24"/>
                <w:lang w:val="en-US" w:eastAsia="zh-CN" w:bidi="ar-SA"/>
              </w:rPr>
              <w:t>2、银行转帐方式：投标人应在递交投标文件截止时间之前，通过投标人基本帐户以银行转帐方式将投标保证金一次性足额交纳到指定帐户，对未能按时足额提交投标保证金的投标人，招标人将视为不响应招标文件予以拒绝。</w:t>
            </w:r>
          </w:p>
          <w:p w14:paraId="1F9DD796">
            <w:pPr>
              <w:widowControl/>
              <w:spacing w:line="480" w:lineRule="exact"/>
              <w:jc w:val="left"/>
              <w:rPr>
                <w:rFonts w:hint="eastAsia" w:ascii="宋体" w:hAnsi="宋体" w:eastAsia="宋体" w:cs="宋体"/>
                <w:kern w:val="2"/>
                <w:sz w:val="24"/>
                <w:szCs w:val="24"/>
                <w:lang w:val="en-US" w:eastAsia="zh-CN" w:bidi="ar-SA"/>
              </w:rPr>
            </w:pPr>
            <w:r>
              <w:rPr>
                <w:rFonts w:hint="eastAsia" w:ascii="宋体" w:hAnsi="宋体" w:eastAsia="宋体" w:cs="宋体"/>
                <w:kern w:val="2"/>
                <w:sz w:val="24"/>
                <w:szCs w:val="24"/>
                <w:lang w:val="en-US" w:eastAsia="zh-CN" w:bidi="ar-SA"/>
              </w:rPr>
              <w:t>投标保证金开户银行、账号：</w:t>
            </w:r>
          </w:p>
          <w:p w14:paraId="1A6E200E">
            <w:pPr>
              <w:pStyle w:val="38"/>
              <w:keepNext w:val="0"/>
              <w:keepLines w:val="0"/>
              <w:pageBreakBefore w:val="0"/>
              <w:kinsoku/>
              <w:wordWrap/>
              <w:overflowPunct/>
              <w:topLinePunct w:val="0"/>
              <w:autoSpaceDE/>
              <w:autoSpaceDN/>
              <w:bidi w:val="0"/>
              <w:spacing w:before="0" w:beforeAutospacing="0" w:after="0" w:afterAutospacing="0" w:line="460" w:lineRule="exact"/>
              <w:textAlignment w:val="auto"/>
              <w:rPr>
                <w:rFonts w:hint="eastAsia" w:ascii="宋体" w:hAnsi="宋体" w:eastAsia="宋体" w:cs="宋体"/>
                <w:kern w:val="2"/>
                <w:sz w:val="24"/>
                <w:szCs w:val="24"/>
                <w:lang w:val="en-US" w:eastAsia="zh-CN" w:bidi="ar-SA"/>
              </w:rPr>
            </w:pPr>
            <w:r>
              <w:rPr>
                <w:rFonts w:hint="eastAsia" w:ascii="宋体" w:hAnsi="宋体" w:eastAsia="宋体" w:cs="宋体"/>
                <w:kern w:val="2"/>
                <w:sz w:val="24"/>
                <w:szCs w:val="24"/>
                <w:lang w:val="en-US" w:eastAsia="zh-CN" w:bidi="ar-SA"/>
              </w:rPr>
              <w:t>开户名称：周口市公共资源交易中心</w:t>
            </w:r>
          </w:p>
          <w:p w14:paraId="231A8440">
            <w:pPr>
              <w:spacing w:line="360" w:lineRule="auto"/>
              <w:rPr>
                <w:rFonts w:hint="eastAsia" w:ascii="宋体" w:hAnsi="宋体" w:eastAsia="宋体" w:cs="宋体"/>
                <w:kern w:val="2"/>
                <w:sz w:val="24"/>
                <w:szCs w:val="24"/>
                <w:lang w:val="en-US" w:eastAsia="zh-CN" w:bidi="ar-SA"/>
              </w:rPr>
            </w:pPr>
            <w:r>
              <w:rPr>
                <w:rFonts w:hint="eastAsia" w:ascii="宋体" w:hAnsi="宋体" w:eastAsia="宋体" w:cs="宋体"/>
                <w:kern w:val="2"/>
                <w:sz w:val="24"/>
                <w:szCs w:val="24"/>
                <w:lang w:val="en-US" w:eastAsia="zh-CN" w:bidi="ar-SA"/>
              </w:rPr>
              <w:t>开户银行：中原银行周口中心支行</w:t>
            </w:r>
          </w:p>
          <w:p w14:paraId="140E2EFC">
            <w:pPr>
              <w:spacing w:line="360" w:lineRule="auto"/>
              <w:rPr>
                <w:rFonts w:hint="eastAsia" w:ascii="宋体" w:hAnsi="宋体" w:eastAsia="宋体" w:cs="宋体"/>
                <w:kern w:val="2"/>
                <w:sz w:val="24"/>
                <w:szCs w:val="24"/>
                <w:lang w:val="en-US" w:eastAsia="zh-CN" w:bidi="ar-SA"/>
              </w:rPr>
            </w:pPr>
            <w:r>
              <w:rPr>
                <w:rFonts w:hint="eastAsia" w:ascii="宋体" w:hAnsi="宋体" w:eastAsia="宋体" w:cs="宋体"/>
                <w:kern w:val="2"/>
                <w:sz w:val="24"/>
                <w:szCs w:val="24"/>
                <w:lang w:val="en-US" w:eastAsia="zh-CN" w:bidi="ar-SA"/>
              </w:rPr>
              <w:t>中原银行行号：313508000130</w:t>
            </w:r>
          </w:p>
          <w:p w14:paraId="5EF23CE2">
            <w:pPr>
              <w:pStyle w:val="38"/>
              <w:keepNext w:val="0"/>
              <w:keepLines w:val="0"/>
              <w:pageBreakBefore w:val="0"/>
              <w:kinsoku/>
              <w:wordWrap/>
              <w:overflowPunct/>
              <w:topLinePunct w:val="0"/>
              <w:autoSpaceDE/>
              <w:autoSpaceDN/>
              <w:bidi w:val="0"/>
              <w:spacing w:before="0" w:beforeAutospacing="0" w:after="0" w:afterAutospacing="0" w:line="460" w:lineRule="exact"/>
              <w:textAlignment w:val="auto"/>
              <w:rPr>
                <w:rFonts w:hint="eastAsia" w:ascii="宋体" w:hAnsi="宋体" w:eastAsia="宋体" w:cs="宋体"/>
                <w:kern w:val="2"/>
                <w:sz w:val="24"/>
                <w:szCs w:val="24"/>
                <w:lang w:val="en-US" w:eastAsia="zh-CN" w:bidi="ar-SA"/>
              </w:rPr>
            </w:pPr>
            <w:r>
              <w:rPr>
                <w:rFonts w:hint="eastAsia" w:ascii="宋体" w:hAnsi="宋体" w:eastAsia="宋体" w:cs="宋体"/>
                <w:kern w:val="2"/>
                <w:sz w:val="24"/>
                <w:szCs w:val="24"/>
                <w:lang w:val="en-US" w:eastAsia="zh-CN" w:bidi="ar-SA"/>
              </w:rPr>
              <w:t>中原银行账号:</w:t>
            </w:r>
          </w:p>
          <w:p w14:paraId="5D62CAD7">
            <w:pPr>
              <w:pStyle w:val="38"/>
              <w:keepNext w:val="0"/>
              <w:keepLines w:val="0"/>
              <w:pageBreakBefore w:val="0"/>
              <w:kinsoku/>
              <w:wordWrap/>
              <w:overflowPunct/>
              <w:topLinePunct w:val="0"/>
              <w:autoSpaceDE/>
              <w:autoSpaceDN/>
              <w:bidi w:val="0"/>
              <w:spacing w:before="0" w:beforeAutospacing="0" w:after="0" w:afterAutospacing="0" w:line="460" w:lineRule="exact"/>
              <w:textAlignment w:val="auto"/>
              <w:rPr>
                <w:rFonts w:hint="eastAsia" w:ascii="宋体" w:hAnsi="宋体" w:eastAsia="宋体" w:cs="宋体"/>
                <w:kern w:val="2"/>
                <w:sz w:val="24"/>
                <w:szCs w:val="24"/>
                <w:lang w:val="en-US" w:eastAsia="zh-CN" w:bidi="ar-SA"/>
              </w:rPr>
            </w:pPr>
            <w:r>
              <w:rPr>
                <w:rFonts w:hint="eastAsia" w:ascii="宋体" w:hAnsi="宋体" w:eastAsia="宋体" w:cs="宋体"/>
                <w:kern w:val="2"/>
                <w:sz w:val="24"/>
                <w:szCs w:val="24"/>
                <w:lang w:val="en-US" w:eastAsia="zh-CN" w:bidi="ar-SA"/>
              </w:rPr>
              <w:t>1标段：411602010170003001112957；</w:t>
            </w:r>
          </w:p>
          <w:p w14:paraId="4DCA8659">
            <w:pPr>
              <w:pStyle w:val="38"/>
              <w:keepNext w:val="0"/>
              <w:keepLines w:val="0"/>
              <w:pageBreakBefore w:val="0"/>
              <w:kinsoku/>
              <w:wordWrap/>
              <w:overflowPunct/>
              <w:topLinePunct w:val="0"/>
              <w:autoSpaceDE/>
              <w:autoSpaceDN/>
              <w:bidi w:val="0"/>
              <w:spacing w:before="0" w:beforeAutospacing="0" w:after="0" w:afterAutospacing="0" w:line="460" w:lineRule="exact"/>
              <w:textAlignment w:val="auto"/>
              <w:rPr>
                <w:rFonts w:hint="eastAsia" w:ascii="宋体" w:hAnsi="宋体" w:eastAsia="宋体" w:cs="宋体"/>
                <w:kern w:val="2"/>
                <w:sz w:val="24"/>
                <w:szCs w:val="24"/>
                <w:lang w:val="en-US" w:eastAsia="zh-CN" w:bidi="ar-SA"/>
              </w:rPr>
            </w:pPr>
            <w:r>
              <w:rPr>
                <w:rFonts w:hint="eastAsia" w:ascii="宋体" w:hAnsi="宋体" w:eastAsia="宋体" w:cs="宋体"/>
                <w:kern w:val="2"/>
                <w:sz w:val="24"/>
                <w:szCs w:val="24"/>
                <w:lang w:val="en-US" w:eastAsia="zh-CN" w:bidi="ar-SA"/>
              </w:rPr>
              <w:t>2标段：411602010170003001112958；</w:t>
            </w:r>
          </w:p>
          <w:p w14:paraId="4B2A6B04">
            <w:pPr>
              <w:pStyle w:val="38"/>
              <w:keepNext w:val="0"/>
              <w:keepLines w:val="0"/>
              <w:pageBreakBefore w:val="0"/>
              <w:kinsoku/>
              <w:wordWrap/>
              <w:overflowPunct/>
              <w:topLinePunct w:val="0"/>
              <w:autoSpaceDE/>
              <w:autoSpaceDN/>
              <w:bidi w:val="0"/>
              <w:spacing w:before="0" w:beforeAutospacing="0" w:after="0" w:afterAutospacing="0" w:line="460" w:lineRule="exact"/>
              <w:textAlignment w:val="auto"/>
              <w:rPr>
                <w:rFonts w:hint="eastAsia" w:ascii="宋体" w:hAnsi="宋体" w:eastAsia="宋体" w:cs="宋体"/>
                <w:kern w:val="2"/>
                <w:sz w:val="24"/>
                <w:szCs w:val="24"/>
                <w:lang w:val="en-US" w:eastAsia="zh-CN" w:bidi="ar-SA"/>
              </w:rPr>
            </w:pPr>
            <w:r>
              <w:rPr>
                <w:rFonts w:hint="eastAsia" w:ascii="宋体" w:hAnsi="宋体" w:eastAsia="宋体" w:cs="宋体"/>
                <w:kern w:val="2"/>
                <w:sz w:val="24"/>
                <w:szCs w:val="24"/>
                <w:lang w:val="en-US" w:eastAsia="zh-CN" w:bidi="ar-SA"/>
              </w:rPr>
              <w:t>3标段：411602010170003001112959；</w:t>
            </w:r>
          </w:p>
        </w:tc>
      </w:tr>
      <w:tr w14:paraId="0768DC50">
        <w:tblPrEx>
          <w:tblCellMar>
            <w:top w:w="0" w:type="dxa"/>
            <w:left w:w="108" w:type="dxa"/>
            <w:bottom w:w="0" w:type="dxa"/>
            <w:right w:w="108" w:type="dxa"/>
          </w:tblCellMar>
        </w:tblPrEx>
        <w:tc>
          <w:tcPr>
            <w:tcW w:w="1004" w:type="dxa"/>
            <w:tcBorders>
              <w:top w:val="single" w:color="auto" w:sz="4" w:space="0"/>
              <w:left w:val="single" w:color="auto" w:sz="4" w:space="0"/>
              <w:bottom w:val="single" w:color="auto" w:sz="4" w:space="0"/>
              <w:right w:val="single" w:color="auto" w:sz="4" w:space="0"/>
            </w:tcBorders>
            <w:noWrap w:val="0"/>
            <w:vAlign w:val="center"/>
          </w:tcPr>
          <w:p w14:paraId="68E38ABC">
            <w:pPr>
              <w:spacing w:line="440" w:lineRule="exact"/>
              <w:jc w:val="center"/>
              <w:textAlignment w:val="center"/>
              <w:rPr>
                <w:rFonts w:hint="eastAsia" w:ascii="宋体" w:hAnsi="宋体" w:eastAsia="宋体" w:cs="宋体"/>
                <w:sz w:val="24"/>
              </w:rPr>
            </w:pPr>
            <w:r>
              <w:rPr>
                <w:rFonts w:hint="eastAsia" w:ascii="宋体" w:hAnsi="宋体" w:eastAsia="宋体" w:cs="宋体"/>
                <w:sz w:val="24"/>
              </w:rPr>
              <w:t>3.4.4</w:t>
            </w:r>
          </w:p>
        </w:tc>
        <w:tc>
          <w:tcPr>
            <w:tcW w:w="3338" w:type="dxa"/>
            <w:tcBorders>
              <w:top w:val="single" w:color="auto" w:sz="4" w:space="0"/>
              <w:left w:val="single" w:color="auto" w:sz="4" w:space="0"/>
              <w:bottom w:val="single" w:color="auto" w:sz="4" w:space="0"/>
              <w:right w:val="single" w:color="auto" w:sz="4" w:space="0"/>
            </w:tcBorders>
            <w:noWrap w:val="0"/>
            <w:vAlign w:val="center"/>
          </w:tcPr>
          <w:p w14:paraId="2C51887E">
            <w:pPr>
              <w:spacing w:line="440" w:lineRule="exact"/>
              <w:jc w:val="center"/>
              <w:textAlignment w:val="center"/>
              <w:rPr>
                <w:rFonts w:hint="eastAsia" w:ascii="宋体" w:hAnsi="宋体" w:eastAsia="宋体" w:cs="宋体"/>
                <w:sz w:val="24"/>
              </w:rPr>
            </w:pPr>
            <w:r>
              <w:rPr>
                <w:rFonts w:hint="eastAsia" w:ascii="宋体" w:hAnsi="宋体" w:eastAsia="宋体" w:cs="宋体"/>
                <w:sz w:val="24"/>
              </w:rPr>
              <w:t>投标保证金的退还</w:t>
            </w:r>
          </w:p>
        </w:tc>
        <w:tc>
          <w:tcPr>
            <w:tcW w:w="5486" w:type="dxa"/>
            <w:tcBorders>
              <w:top w:val="single" w:color="auto" w:sz="4" w:space="0"/>
              <w:left w:val="single" w:color="auto" w:sz="4" w:space="0"/>
              <w:bottom w:val="single" w:color="auto" w:sz="4" w:space="0"/>
              <w:right w:val="single" w:color="auto" w:sz="4" w:space="0"/>
            </w:tcBorders>
            <w:noWrap w:val="0"/>
            <w:vAlign w:val="center"/>
          </w:tcPr>
          <w:p w14:paraId="221F07C7">
            <w:pPr>
              <w:spacing w:line="440" w:lineRule="exact"/>
              <w:textAlignment w:val="center"/>
              <w:rPr>
                <w:rFonts w:hint="eastAsia" w:ascii="宋体" w:hAnsi="宋体" w:eastAsia="宋体" w:cs="宋体"/>
                <w:kern w:val="2"/>
                <w:sz w:val="24"/>
                <w:szCs w:val="24"/>
                <w:lang w:val="en-US" w:eastAsia="zh-CN" w:bidi="ar-SA"/>
              </w:rPr>
            </w:pPr>
            <w:r>
              <w:rPr>
                <w:rFonts w:hint="eastAsia" w:ascii="宋体" w:hAnsi="宋体" w:eastAsia="宋体" w:cs="宋体"/>
                <w:kern w:val="2"/>
                <w:sz w:val="24"/>
                <w:szCs w:val="24"/>
                <w:lang w:val="en-US" w:eastAsia="zh-CN" w:bidi="ar-SA"/>
              </w:rPr>
              <w:t>按照《周口市公共资源交易项目投标（竞买）保证金统一代收代退办法》执行。</w:t>
            </w:r>
          </w:p>
        </w:tc>
      </w:tr>
      <w:tr w14:paraId="5E163059">
        <w:tblPrEx>
          <w:tblCellMar>
            <w:top w:w="0" w:type="dxa"/>
            <w:left w:w="108" w:type="dxa"/>
            <w:bottom w:w="0" w:type="dxa"/>
            <w:right w:w="108" w:type="dxa"/>
          </w:tblCellMar>
        </w:tblPrEx>
        <w:tc>
          <w:tcPr>
            <w:tcW w:w="1004" w:type="dxa"/>
            <w:tcBorders>
              <w:top w:val="single" w:color="auto" w:sz="4" w:space="0"/>
              <w:left w:val="single" w:color="auto" w:sz="4" w:space="0"/>
              <w:bottom w:val="single" w:color="auto" w:sz="4" w:space="0"/>
              <w:right w:val="single" w:color="auto" w:sz="4" w:space="0"/>
            </w:tcBorders>
            <w:noWrap w:val="0"/>
            <w:vAlign w:val="center"/>
          </w:tcPr>
          <w:p w14:paraId="54BE7E74">
            <w:pPr>
              <w:spacing w:line="440" w:lineRule="exact"/>
              <w:jc w:val="center"/>
              <w:textAlignment w:val="center"/>
              <w:rPr>
                <w:rFonts w:hint="eastAsia" w:ascii="宋体" w:hAnsi="宋体" w:eastAsia="宋体" w:cs="宋体"/>
                <w:sz w:val="24"/>
              </w:rPr>
            </w:pPr>
            <w:r>
              <w:rPr>
                <w:rFonts w:hint="eastAsia" w:ascii="宋体" w:hAnsi="宋体" w:eastAsia="宋体" w:cs="宋体"/>
                <w:sz w:val="24"/>
              </w:rPr>
              <w:t>3.6</w:t>
            </w:r>
          </w:p>
        </w:tc>
        <w:tc>
          <w:tcPr>
            <w:tcW w:w="3338" w:type="dxa"/>
            <w:tcBorders>
              <w:top w:val="single" w:color="auto" w:sz="4" w:space="0"/>
              <w:left w:val="single" w:color="auto" w:sz="4" w:space="0"/>
              <w:bottom w:val="single" w:color="auto" w:sz="4" w:space="0"/>
              <w:right w:val="single" w:color="auto" w:sz="4" w:space="0"/>
            </w:tcBorders>
            <w:noWrap w:val="0"/>
            <w:vAlign w:val="center"/>
          </w:tcPr>
          <w:p w14:paraId="483C5558">
            <w:pPr>
              <w:spacing w:line="440" w:lineRule="exact"/>
              <w:jc w:val="center"/>
              <w:textAlignment w:val="center"/>
              <w:rPr>
                <w:rFonts w:hint="eastAsia" w:ascii="宋体" w:hAnsi="宋体" w:eastAsia="宋体" w:cs="宋体"/>
                <w:sz w:val="24"/>
              </w:rPr>
            </w:pPr>
            <w:r>
              <w:rPr>
                <w:rFonts w:hint="eastAsia" w:ascii="宋体" w:hAnsi="宋体" w:eastAsia="宋体" w:cs="宋体"/>
                <w:sz w:val="24"/>
              </w:rPr>
              <w:t>是否允许递交备选投标方案</w:t>
            </w:r>
          </w:p>
        </w:tc>
        <w:tc>
          <w:tcPr>
            <w:tcW w:w="5486" w:type="dxa"/>
            <w:tcBorders>
              <w:top w:val="single" w:color="auto" w:sz="4" w:space="0"/>
              <w:left w:val="single" w:color="auto" w:sz="4" w:space="0"/>
              <w:bottom w:val="single" w:color="auto" w:sz="4" w:space="0"/>
              <w:right w:val="single" w:color="auto" w:sz="4" w:space="0"/>
            </w:tcBorders>
            <w:noWrap w:val="0"/>
            <w:vAlign w:val="center"/>
          </w:tcPr>
          <w:p w14:paraId="42E0247E">
            <w:pPr>
              <w:spacing w:line="440" w:lineRule="exact"/>
              <w:textAlignment w:val="center"/>
              <w:rPr>
                <w:rFonts w:hint="eastAsia" w:ascii="宋体" w:hAnsi="宋体" w:eastAsia="宋体" w:cs="宋体"/>
                <w:sz w:val="24"/>
              </w:rPr>
            </w:pPr>
            <w:r>
              <w:rPr>
                <w:rFonts w:hint="eastAsia" w:ascii="宋体" w:hAnsi="宋体" w:eastAsia="宋体" w:cs="宋体"/>
                <w:sz w:val="24"/>
              </w:rPr>
              <w:t>不允许</w:t>
            </w:r>
          </w:p>
        </w:tc>
      </w:tr>
      <w:tr w14:paraId="68330F78">
        <w:tblPrEx>
          <w:tblCellMar>
            <w:top w:w="0" w:type="dxa"/>
            <w:left w:w="108" w:type="dxa"/>
            <w:bottom w:w="0" w:type="dxa"/>
            <w:right w:w="108" w:type="dxa"/>
          </w:tblCellMar>
        </w:tblPrEx>
        <w:tc>
          <w:tcPr>
            <w:tcW w:w="1004" w:type="dxa"/>
            <w:tcBorders>
              <w:top w:val="single" w:color="auto" w:sz="4" w:space="0"/>
              <w:left w:val="single" w:color="auto" w:sz="4" w:space="0"/>
              <w:bottom w:val="single" w:color="auto" w:sz="4" w:space="0"/>
              <w:right w:val="single" w:color="auto" w:sz="4" w:space="0"/>
            </w:tcBorders>
            <w:noWrap w:val="0"/>
            <w:vAlign w:val="center"/>
          </w:tcPr>
          <w:p w14:paraId="4BF4CEBB">
            <w:pPr>
              <w:spacing w:line="440" w:lineRule="exact"/>
              <w:jc w:val="center"/>
              <w:textAlignment w:val="center"/>
              <w:rPr>
                <w:rFonts w:hint="eastAsia" w:ascii="宋体" w:hAnsi="宋体" w:eastAsia="宋体" w:cs="宋体"/>
                <w:sz w:val="24"/>
              </w:rPr>
            </w:pPr>
            <w:r>
              <w:rPr>
                <w:rFonts w:hint="eastAsia" w:ascii="宋体" w:hAnsi="宋体" w:eastAsia="宋体" w:cs="宋体"/>
                <w:sz w:val="24"/>
              </w:rPr>
              <w:t>3.7.1</w:t>
            </w:r>
          </w:p>
        </w:tc>
        <w:tc>
          <w:tcPr>
            <w:tcW w:w="3338" w:type="dxa"/>
            <w:tcBorders>
              <w:top w:val="single" w:color="auto" w:sz="4" w:space="0"/>
              <w:left w:val="single" w:color="auto" w:sz="4" w:space="0"/>
              <w:bottom w:val="single" w:color="auto" w:sz="4" w:space="0"/>
              <w:right w:val="single" w:color="auto" w:sz="4" w:space="0"/>
            </w:tcBorders>
            <w:noWrap w:val="0"/>
            <w:vAlign w:val="center"/>
          </w:tcPr>
          <w:p w14:paraId="7FAF86FC">
            <w:pPr>
              <w:spacing w:line="440" w:lineRule="exact"/>
              <w:jc w:val="center"/>
              <w:textAlignment w:val="center"/>
              <w:rPr>
                <w:rFonts w:hint="eastAsia" w:ascii="宋体" w:hAnsi="宋体" w:eastAsia="宋体" w:cs="宋体"/>
                <w:sz w:val="24"/>
              </w:rPr>
            </w:pPr>
            <w:r>
              <w:rPr>
                <w:rFonts w:hint="eastAsia" w:ascii="宋体" w:hAnsi="宋体" w:eastAsia="宋体" w:cs="宋体"/>
                <w:sz w:val="24"/>
              </w:rPr>
              <w:t>电子投标文件格式</w:t>
            </w:r>
          </w:p>
        </w:tc>
        <w:tc>
          <w:tcPr>
            <w:tcW w:w="5486" w:type="dxa"/>
            <w:tcBorders>
              <w:top w:val="single" w:color="auto" w:sz="4" w:space="0"/>
              <w:left w:val="single" w:color="auto" w:sz="4" w:space="0"/>
              <w:bottom w:val="single" w:color="auto" w:sz="4" w:space="0"/>
              <w:right w:val="single" w:color="auto" w:sz="4" w:space="0"/>
            </w:tcBorders>
            <w:noWrap w:val="0"/>
            <w:vAlign w:val="center"/>
          </w:tcPr>
          <w:p w14:paraId="4D744C16">
            <w:pPr>
              <w:spacing w:line="440" w:lineRule="exact"/>
              <w:textAlignment w:val="center"/>
              <w:rPr>
                <w:rFonts w:hint="eastAsia" w:ascii="宋体" w:hAnsi="宋体" w:eastAsia="宋体" w:cs="宋体"/>
                <w:szCs w:val="21"/>
              </w:rPr>
            </w:pPr>
            <w:r>
              <w:rPr>
                <w:rFonts w:hint="eastAsia" w:ascii="宋体" w:hAnsi="宋体" w:eastAsia="宋体" w:cs="宋体"/>
                <w:szCs w:val="21"/>
              </w:rPr>
              <w:tab/>
            </w:r>
            <w:r>
              <w:rPr>
                <w:rFonts w:hint="eastAsia" w:ascii="宋体" w:hAnsi="宋体" w:eastAsia="宋体" w:cs="宋体"/>
                <w:sz w:val="24"/>
              </w:rPr>
              <w:t>电子投标文件格式文件必须使用周口市公共资源交易系统指定的投标文件制作工具进行制作。投标文件格式为“*.zktf”</w:t>
            </w:r>
          </w:p>
        </w:tc>
      </w:tr>
      <w:tr w14:paraId="60907631">
        <w:tblPrEx>
          <w:tblCellMar>
            <w:top w:w="0" w:type="dxa"/>
            <w:left w:w="108" w:type="dxa"/>
            <w:bottom w:w="0" w:type="dxa"/>
            <w:right w:w="108" w:type="dxa"/>
          </w:tblCellMar>
        </w:tblPrEx>
        <w:tc>
          <w:tcPr>
            <w:tcW w:w="1004" w:type="dxa"/>
            <w:tcBorders>
              <w:top w:val="single" w:color="auto" w:sz="4" w:space="0"/>
              <w:left w:val="single" w:color="auto" w:sz="4" w:space="0"/>
              <w:bottom w:val="single" w:color="auto" w:sz="4" w:space="0"/>
              <w:right w:val="single" w:color="auto" w:sz="4" w:space="0"/>
            </w:tcBorders>
            <w:noWrap w:val="0"/>
            <w:vAlign w:val="center"/>
          </w:tcPr>
          <w:p w14:paraId="278BC009">
            <w:pPr>
              <w:spacing w:line="440" w:lineRule="exact"/>
              <w:jc w:val="center"/>
              <w:textAlignment w:val="center"/>
              <w:rPr>
                <w:rFonts w:hint="eastAsia" w:ascii="宋体" w:hAnsi="宋体" w:eastAsia="宋体" w:cs="宋体"/>
                <w:sz w:val="24"/>
              </w:rPr>
            </w:pPr>
            <w:r>
              <w:rPr>
                <w:rFonts w:hint="eastAsia" w:ascii="宋体" w:hAnsi="宋体" w:eastAsia="宋体" w:cs="宋体"/>
                <w:sz w:val="24"/>
              </w:rPr>
              <w:t>3.7.3</w:t>
            </w:r>
          </w:p>
        </w:tc>
        <w:tc>
          <w:tcPr>
            <w:tcW w:w="3338" w:type="dxa"/>
            <w:tcBorders>
              <w:top w:val="single" w:color="auto" w:sz="4" w:space="0"/>
              <w:left w:val="single" w:color="auto" w:sz="4" w:space="0"/>
              <w:bottom w:val="single" w:color="auto" w:sz="4" w:space="0"/>
              <w:right w:val="single" w:color="auto" w:sz="4" w:space="0"/>
            </w:tcBorders>
            <w:noWrap w:val="0"/>
            <w:vAlign w:val="center"/>
          </w:tcPr>
          <w:p w14:paraId="2AE2992D">
            <w:pPr>
              <w:spacing w:line="440" w:lineRule="exact"/>
              <w:jc w:val="center"/>
              <w:textAlignment w:val="center"/>
              <w:rPr>
                <w:rFonts w:hint="eastAsia" w:ascii="宋体" w:hAnsi="宋体" w:eastAsia="宋体" w:cs="宋体"/>
                <w:sz w:val="24"/>
              </w:rPr>
            </w:pPr>
            <w:r>
              <w:rPr>
                <w:rFonts w:hint="eastAsia" w:ascii="宋体" w:hAnsi="宋体" w:eastAsia="宋体" w:cs="宋体"/>
                <w:sz w:val="24"/>
              </w:rPr>
              <w:t>签字或盖章要求</w:t>
            </w:r>
          </w:p>
        </w:tc>
        <w:tc>
          <w:tcPr>
            <w:tcW w:w="5486" w:type="dxa"/>
            <w:tcBorders>
              <w:top w:val="single" w:color="auto" w:sz="4" w:space="0"/>
              <w:left w:val="single" w:color="auto" w:sz="4" w:space="0"/>
              <w:bottom w:val="single" w:color="auto" w:sz="4" w:space="0"/>
              <w:right w:val="single" w:color="auto" w:sz="4" w:space="0"/>
            </w:tcBorders>
            <w:noWrap w:val="0"/>
            <w:vAlign w:val="center"/>
          </w:tcPr>
          <w:p w14:paraId="4F38E3DD">
            <w:pPr>
              <w:spacing w:line="440" w:lineRule="exact"/>
              <w:textAlignment w:val="center"/>
              <w:rPr>
                <w:rFonts w:hint="eastAsia" w:ascii="宋体" w:hAnsi="宋体" w:eastAsia="宋体" w:cs="宋体"/>
                <w:sz w:val="24"/>
              </w:rPr>
            </w:pPr>
            <w:r>
              <w:rPr>
                <w:rFonts w:hint="eastAsia" w:ascii="宋体" w:hAnsi="宋体" w:eastAsia="宋体" w:cs="宋体"/>
                <w:sz w:val="24"/>
              </w:rPr>
              <w:t>电子签章，符合招标文件要求</w:t>
            </w:r>
          </w:p>
        </w:tc>
      </w:tr>
      <w:tr w14:paraId="6137506F">
        <w:tblPrEx>
          <w:tblCellMar>
            <w:top w:w="0" w:type="dxa"/>
            <w:left w:w="108" w:type="dxa"/>
            <w:bottom w:w="0" w:type="dxa"/>
            <w:right w:w="108" w:type="dxa"/>
          </w:tblCellMar>
        </w:tblPrEx>
        <w:tc>
          <w:tcPr>
            <w:tcW w:w="1004" w:type="dxa"/>
            <w:tcBorders>
              <w:top w:val="single" w:color="auto" w:sz="4" w:space="0"/>
              <w:left w:val="single" w:color="auto" w:sz="4" w:space="0"/>
              <w:bottom w:val="single" w:color="auto" w:sz="4" w:space="0"/>
              <w:right w:val="single" w:color="auto" w:sz="4" w:space="0"/>
            </w:tcBorders>
            <w:noWrap w:val="0"/>
            <w:vAlign w:val="center"/>
          </w:tcPr>
          <w:p w14:paraId="2A57AFFE">
            <w:pPr>
              <w:spacing w:line="440" w:lineRule="exact"/>
              <w:jc w:val="center"/>
              <w:textAlignment w:val="center"/>
              <w:rPr>
                <w:rFonts w:hint="eastAsia" w:ascii="宋体" w:hAnsi="宋体" w:eastAsia="宋体" w:cs="宋体"/>
                <w:sz w:val="24"/>
              </w:rPr>
            </w:pPr>
            <w:r>
              <w:rPr>
                <w:rFonts w:hint="eastAsia" w:ascii="宋体" w:hAnsi="宋体" w:eastAsia="宋体" w:cs="宋体"/>
                <w:sz w:val="24"/>
              </w:rPr>
              <w:t>3.7</w:t>
            </w:r>
          </w:p>
        </w:tc>
        <w:tc>
          <w:tcPr>
            <w:tcW w:w="3338" w:type="dxa"/>
            <w:tcBorders>
              <w:top w:val="single" w:color="auto" w:sz="4" w:space="0"/>
              <w:left w:val="single" w:color="auto" w:sz="4" w:space="0"/>
              <w:bottom w:val="single" w:color="auto" w:sz="4" w:space="0"/>
              <w:right w:val="single" w:color="auto" w:sz="4" w:space="0"/>
            </w:tcBorders>
            <w:noWrap w:val="0"/>
            <w:vAlign w:val="center"/>
          </w:tcPr>
          <w:p w14:paraId="1580A850">
            <w:pPr>
              <w:spacing w:line="440" w:lineRule="exact"/>
              <w:jc w:val="center"/>
              <w:textAlignment w:val="center"/>
              <w:rPr>
                <w:rFonts w:hint="eastAsia" w:ascii="宋体" w:hAnsi="宋体" w:eastAsia="宋体" w:cs="宋体"/>
                <w:sz w:val="24"/>
              </w:rPr>
            </w:pPr>
            <w:r>
              <w:rPr>
                <w:rFonts w:hint="eastAsia" w:ascii="宋体" w:hAnsi="宋体" w:eastAsia="宋体" w:cs="宋体"/>
                <w:sz w:val="24"/>
              </w:rPr>
              <w:t>投标文件份数</w:t>
            </w:r>
          </w:p>
        </w:tc>
        <w:tc>
          <w:tcPr>
            <w:tcW w:w="5486" w:type="dxa"/>
            <w:tcBorders>
              <w:top w:val="single" w:color="auto" w:sz="4" w:space="0"/>
              <w:left w:val="single" w:color="auto" w:sz="4" w:space="0"/>
              <w:bottom w:val="single" w:color="auto" w:sz="4" w:space="0"/>
              <w:right w:val="single" w:color="auto" w:sz="4" w:space="0"/>
            </w:tcBorders>
            <w:noWrap w:val="0"/>
            <w:vAlign w:val="center"/>
          </w:tcPr>
          <w:p w14:paraId="3A476AF8">
            <w:pPr>
              <w:spacing w:line="440" w:lineRule="exact"/>
              <w:textAlignment w:val="center"/>
              <w:rPr>
                <w:rFonts w:hint="eastAsia" w:ascii="宋体" w:hAnsi="宋体" w:eastAsia="宋体" w:cs="宋体"/>
                <w:sz w:val="24"/>
              </w:rPr>
            </w:pPr>
            <w:r>
              <w:rPr>
                <w:rFonts w:hint="eastAsia" w:ascii="宋体" w:hAnsi="宋体" w:eastAsia="宋体" w:cs="宋体"/>
                <w:sz w:val="24"/>
              </w:rPr>
              <w:t>加密的电子投标文件壹份（“*.zktf”格式，在会员系统指定位置上传）</w:t>
            </w:r>
          </w:p>
        </w:tc>
      </w:tr>
      <w:tr w14:paraId="08B90C6B">
        <w:tblPrEx>
          <w:tblCellMar>
            <w:top w:w="0" w:type="dxa"/>
            <w:left w:w="108" w:type="dxa"/>
            <w:bottom w:w="0" w:type="dxa"/>
            <w:right w:w="108" w:type="dxa"/>
          </w:tblCellMar>
        </w:tblPrEx>
        <w:tc>
          <w:tcPr>
            <w:tcW w:w="1004" w:type="dxa"/>
            <w:tcBorders>
              <w:top w:val="single" w:color="auto" w:sz="4" w:space="0"/>
              <w:left w:val="single" w:color="auto" w:sz="4" w:space="0"/>
              <w:bottom w:val="single" w:color="auto" w:sz="4" w:space="0"/>
              <w:right w:val="single" w:color="auto" w:sz="4" w:space="0"/>
            </w:tcBorders>
            <w:noWrap w:val="0"/>
            <w:vAlign w:val="center"/>
          </w:tcPr>
          <w:p w14:paraId="68687A2D">
            <w:pPr>
              <w:spacing w:line="440" w:lineRule="exact"/>
              <w:jc w:val="center"/>
              <w:textAlignment w:val="center"/>
              <w:rPr>
                <w:rFonts w:hint="eastAsia" w:ascii="宋体" w:hAnsi="宋体" w:eastAsia="宋体" w:cs="宋体"/>
                <w:sz w:val="24"/>
              </w:rPr>
            </w:pPr>
            <w:r>
              <w:rPr>
                <w:rFonts w:hint="eastAsia" w:ascii="宋体" w:hAnsi="宋体" w:eastAsia="宋体" w:cs="宋体"/>
                <w:sz w:val="24"/>
              </w:rPr>
              <w:t>4.2</w:t>
            </w:r>
          </w:p>
        </w:tc>
        <w:tc>
          <w:tcPr>
            <w:tcW w:w="3338" w:type="dxa"/>
            <w:tcBorders>
              <w:top w:val="single" w:color="auto" w:sz="4" w:space="0"/>
              <w:left w:val="single" w:color="auto" w:sz="4" w:space="0"/>
              <w:bottom w:val="single" w:color="auto" w:sz="4" w:space="0"/>
              <w:right w:val="single" w:color="auto" w:sz="4" w:space="0"/>
            </w:tcBorders>
            <w:noWrap w:val="0"/>
            <w:vAlign w:val="center"/>
          </w:tcPr>
          <w:p w14:paraId="76649052">
            <w:pPr>
              <w:spacing w:line="440" w:lineRule="exact"/>
              <w:jc w:val="center"/>
              <w:textAlignment w:val="center"/>
              <w:rPr>
                <w:rFonts w:hint="eastAsia" w:ascii="宋体" w:hAnsi="宋体" w:eastAsia="宋体" w:cs="宋体"/>
                <w:sz w:val="24"/>
              </w:rPr>
            </w:pPr>
            <w:r>
              <w:rPr>
                <w:rFonts w:hint="eastAsia" w:ascii="宋体" w:hAnsi="宋体" w:eastAsia="宋体" w:cs="宋体"/>
                <w:sz w:val="24"/>
              </w:rPr>
              <w:t>投标文件的递交</w:t>
            </w:r>
          </w:p>
        </w:tc>
        <w:tc>
          <w:tcPr>
            <w:tcW w:w="5486" w:type="dxa"/>
            <w:tcBorders>
              <w:top w:val="single" w:color="auto" w:sz="4" w:space="0"/>
              <w:left w:val="single" w:color="auto" w:sz="4" w:space="0"/>
              <w:bottom w:val="single" w:color="auto" w:sz="4" w:space="0"/>
              <w:right w:val="single" w:color="auto" w:sz="4" w:space="0"/>
            </w:tcBorders>
            <w:noWrap w:val="0"/>
            <w:vAlign w:val="center"/>
          </w:tcPr>
          <w:p w14:paraId="6536303C">
            <w:pPr>
              <w:spacing w:line="440" w:lineRule="exact"/>
              <w:textAlignment w:val="center"/>
              <w:rPr>
                <w:rFonts w:hint="eastAsia" w:ascii="宋体" w:hAnsi="宋体" w:eastAsia="宋体" w:cs="宋体"/>
                <w:color w:val="auto"/>
                <w:sz w:val="24"/>
              </w:rPr>
            </w:pPr>
            <w:r>
              <w:rPr>
                <w:rFonts w:hint="eastAsia" w:ascii="宋体" w:hAnsi="宋体" w:eastAsia="宋体" w:cs="宋体"/>
                <w:color w:val="auto"/>
                <w:sz w:val="24"/>
              </w:rPr>
              <w:t>1、电子投标文件的递交</w:t>
            </w:r>
          </w:p>
          <w:p w14:paraId="3166317E">
            <w:pPr>
              <w:spacing w:line="440" w:lineRule="exact"/>
              <w:textAlignment w:val="center"/>
              <w:rPr>
                <w:rFonts w:hint="eastAsia" w:ascii="宋体" w:hAnsi="宋体" w:eastAsia="宋体" w:cs="宋体"/>
                <w:color w:val="auto"/>
                <w:sz w:val="24"/>
              </w:rPr>
            </w:pPr>
            <w:r>
              <w:rPr>
                <w:rFonts w:hint="eastAsia" w:ascii="宋体" w:hAnsi="宋体" w:eastAsia="宋体" w:cs="宋体"/>
                <w:color w:val="auto"/>
                <w:sz w:val="24"/>
              </w:rPr>
              <w:t>各投标人应在投标截止时间前上传加密的电子投标文件（*.zktf）到会员系统的指定位置。上传时必须得到交易系统“上传成功”的确认回复后方为上传成功。请投标人在上传前务必认真检查上传投标文件是否完整、正确。</w:t>
            </w:r>
          </w:p>
          <w:p w14:paraId="35E7B0BA">
            <w:pPr>
              <w:spacing w:line="440" w:lineRule="exact"/>
              <w:textAlignment w:val="center"/>
              <w:rPr>
                <w:rFonts w:hint="eastAsia" w:ascii="宋体" w:hAnsi="宋体" w:eastAsia="宋体" w:cs="宋体"/>
                <w:color w:val="auto"/>
                <w:szCs w:val="21"/>
              </w:rPr>
            </w:pPr>
            <w:r>
              <w:rPr>
                <w:rFonts w:hint="eastAsia" w:ascii="宋体" w:hAnsi="宋体" w:eastAsia="宋体" w:cs="宋体"/>
                <w:color w:val="auto"/>
                <w:sz w:val="24"/>
              </w:rPr>
              <w:t>2、本项目采用“不见面开标”远程解密交易方式，投标人无需寄送和递交非加密的电子投标文件，无需到现场参加开标会议，无需到达现场提交原件资料。</w:t>
            </w:r>
          </w:p>
        </w:tc>
      </w:tr>
      <w:tr w14:paraId="075265EF">
        <w:tblPrEx>
          <w:tblCellMar>
            <w:top w:w="0" w:type="dxa"/>
            <w:left w:w="108" w:type="dxa"/>
            <w:bottom w:w="0" w:type="dxa"/>
            <w:right w:w="108" w:type="dxa"/>
          </w:tblCellMar>
        </w:tblPrEx>
        <w:trPr>
          <w:trHeight w:val="880" w:hRule="atLeast"/>
        </w:trPr>
        <w:tc>
          <w:tcPr>
            <w:tcW w:w="1004" w:type="dxa"/>
            <w:tcBorders>
              <w:top w:val="single" w:color="auto" w:sz="4" w:space="0"/>
              <w:left w:val="single" w:color="auto" w:sz="4" w:space="0"/>
              <w:right w:val="single" w:color="auto" w:sz="4" w:space="0"/>
            </w:tcBorders>
            <w:noWrap w:val="0"/>
            <w:vAlign w:val="center"/>
          </w:tcPr>
          <w:p w14:paraId="0764D6B2">
            <w:pPr>
              <w:spacing w:line="440" w:lineRule="exact"/>
              <w:jc w:val="center"/>
              <w:textAlignment w:val="center"/>
              <w:rPr>
                <w:rFonts w:hint="eastAsia" w:ascii="宋体" w:hAnsi="宋体" w:eastAsia="宋体" w:cs="宋体"/>
                <w:sz w:val="24"/>
              </w:rPr>
            </w:pPr>
            <w:r>
              <w:rPr>
                <w:rFonts w:hint="eastAsia" w:ascii="宋体" w:hAnsi="宋体" w:eastAsia="宋体" w:cs="宋体"/>
                <w:sz w:val="24"/>
              </w:rPr>
              <w:t>5.1</w:t>
            </w:r>
          </w:p>
        </w:tc>
        <w:tc>
          <w:tcPr>
            <w:tcW w:w="3338" w:type="dxa"/>
            <w:tcBorders>
              <w:top w:val="single" w:color="auto" w:sz="4" w:space="0"/>
              <w:left w:val="single" w:color="auto" w:sz="4" w:space="0"/>
              <w:right w:val="single" w:color="auto" w:sz="4" w:space="0"/>
            </w:tcBorders>
            <w:noWrap w:val="0"/>
            <w:vAlign w:val="center"/>
          </w:tcPr>
          <w:p w14:paraId="32E2828E">
            <w:pPr>
              <w:spacing w:line="440" w:lineRule="exact"/>
              <w:jc w:val="center"/>
              <w:textAlignment w:val="center"/>
              <w:rPr>
                <w:rFonts w:hint="eastAsia" w:ascii="宋体" w:hAnsi="宋体" w:eastAsia="宋体" w:cs="宋体"/>
                <w:sz w:val="24"/>
              </w:rPr>
            </w:pPr>
            <w:r>
              <w:rPr>
                <w:rFonts w:hint="eastAsia" w:ascii="宋体" w:hAnsi="宋体" w:eastAsia="宋体" w:cs="宋体"/>
                <w:sz w:val="24"/>
              </w:rPr>
              <w:t>开标时间和地点</w:t>
            </w:r>
          </w:p>
        </w:tc>
        <w:tc>
          <w:tcPr>
            <w:tcW w:w="5486" w:type="dxa"/>
            <w:tcBorders>
              <w:top w:val="single" w:color="auto" w:sz="4" w:space="0"/>
              <w:left w:val="single" w:color="auto" w:sz="4" w:space="0"/>
              <w:right w:val="single" w:color="auto" w:sz="4" w:space="0"/>
            </w:tcBorders>
            <w:noWrap w:val="0"/>
            <w:vAlign w:val="center"/>
          </w:tcPr>
          <w:p w14:paraId="10213C0A">
            <w:pPr>
              <w:spacing w:line="440" w:lineRule="exact"/>
              <w:textAlignment w:val="center"/>
              <w:rPr>
                <w:rFonts w:hint="eastAsia" w:ascii="宋体" w:hAnsi="宋体" w:eastAsia="宋体" w:cs="宋体"/>
                <w:color w:val="auto"/>
                <w:sz w:val="24"/>
              </w:rPr>
            </w:pPr>
            <w:r>
              <w:rPr>
                <w:rFonts w:hint="eastAsia" w:ascii="宋体" w:hAnsi="宋体" w:eastAsia="宋体" w:cs="宋体"/>
                <w:color w:val="auto"/>
                <w:sz w:val="24"/>
              </w:rPr>
              <w:t>开标时间：同投标截止时间</w:t>
            </w:r>
          </w:p>
          <w:p w14:paraId="3ED84466">
            <w:pPr>
              <w:spacing w:line="440" w:lineRule="exact"/>
              <w:textAlignment w:val="center"/>
              <w:rPr>
                <w:rFonts w:hint="eastAsia" w:ascii="宋体" w:hAnsi="宋体" w:eastAsia="宋体" w:cs="宋体"/>
                <w:color w:val="auto"/>
                <w:sz w:val="24"/>
              </w:rPr>
            </w:pPr>
            <w:r>
              <w:rPr>
                <w:rFonts w:hint="eastAsia" w:ascii="宋体" w:hAnsi="宋体" w:eastAsia="宋体" w:cs="宋体"/>
                <w:color w:val="auto"/>
                <w:sz w:val="24"/>
              </w:rPr>
              <w:t>开标地点：周口市公共资源交易中心</w:t>
            </w:r>
          </w:p>
        </w:tc>
      </w:tr>
      <w:tr w14:paraId="261BB32E">
        <w:tblPrEx>
          <w:tblCellMar>
            <w:top w:w="0" w:type="dxa"/>
            <w:left w:w="108" w:type="dxa"/>
            <w:bottom w:w="0" w:type="dxa"/>
            <w:right w:w="108" w:type="dxa"/>
          </w:tblCellMar>
        </w:tblPrEx>
        <w:trPr>
          <w:trHeight w:val="880" w:hRule="atLeast"/>
        </w:trPr>
        <w:tc>
          <w:tcPr>
            <w:tcW w:w="1004" w:type="dxa"/>
            <w:tcBorders>
              <w:top w:val="single" w:color="auto" w:sz="4" w:space="0"/>
              <w:left w:val="single" w:color="auto" w:sz="4" w:space="0"/>
              <w:right w:val="single" w:color="auto" w:sz="4" w:space="0"/>
            </w:tcBorders>
            <w:noWrap w:val="0"/>
            <w:vAlign w:val="center"/>
          </w:tcPr>
          <w:p w14:paraId="48641EBE">
            <w:pPr>
              <w:spacing w:line="440" w:lineRule="exact"/>
              <w:jc w:val="center"/>
              <w:textAlignment w:val="center"/>
              <w:rPr>
                <w:rFonts w:hint="eastAsia" w:ascii="宋体" w:hAnsi="宋体" w:eastAsia="宋体" w:cs="宋体"/>
                <w:sz w:val="24"/>
              </w:rPr>
            </w:pPr>
            <w:r>
              <w:rPr>
                <w:rFonts w:hint="eastAsia" w:ascii="宋体" w:hAnsi="宋体" w:eastAsia="宋体" w:cs="宋体"/>
                <w:sz w:val="24"/>
              </w:rPr>
              <w:t>6.1.1</w:t>
            </w:r>
          </w:p>
        </w:tc>
        <w:tc>
          <w:tcPr>
            <w:tcW w:w="3338" w:type="dxa"/>
            <w:tcBorders>
              <w:top w:val="single" w:color="auto" w:sz="4" w:space="0"/>
              <w:left w:val="single" w:color="auto" w:sz="4" w:space="0"/>
              <w:right w:val="single" w:color="auto" w:sz="4" w:space="0"/>
            </w:tcBorders>
            <w:noWrap w:val="0"/>
            <w:vAlign w:val="center"/>
          </w:tcPr>
          <w:p w14:paraId="0F885BC1">
            <w:pPr>
              <w:spacing w:line="440" w:lineRule="exact"/>
              <w:jc w:val="center"/>
              <w:textAlignment w:val="center"/>
              <w:rPr>
                <w:rFonts w:hint="eastAsia" w:ascii="宋体" w:hAnsi="宋体" w:eastAsia="宋体" w:cs="宋体"/>
                <w:sz w:val="24"/>
              </w:rPr>
            </w:pPr>
            <w:r>
              <w:rPr>
                <w:rFonts w:hint="eastAsia" w:ascii="宋体" w:hAnsi="宋体" w:eastAsia="宋体" w:cs="宋体"/>
                <w:sz w:val="24"/>
              </w:rPr>
              <w:t>评标委员会的组建</w:t>
            </w:r>
          </w:p>
        </w:tc>
        <w:tc>
          <w:tcPr>
            <w:tcW w:w="5486" w:type="dxa"/>
            <w:tcBorders>
              <w:top w:val="single" w:color="auto" w:sz="4" w:space="0"/>
              <w:left w:val="single" w:color="auto" w:sz="4" w:space="0"/>
              <w:right w:val="single" w:color="auto" w:sz="4" w:space="0"/>
            </w:tcBorders>
            <w:noWrap w:val="0"/>
            <w:vAlign w:val="center"/>
          </w:tcPr>
          <w:p w14:paraId="7E9AE793">
            <w:pPr>
              <w:spacing w:line="440" w:lineRule="exact"/>
              <w:textAlignment w:val="center"/>
              <w:rPr>
                <w:rFonts w:hint="eastAsia" w:ascii="宋体" w:hAnsi="宋体" w:eastAsia="宋体" w:cs="宋体"/>
                <w:color w:val="auto"/>
                <w:sz w:val="24"/>
              </w:rPr>
            </w:pPr>
            <w:r>
              <w:rPr>
                <w:rFonts w:hint="eastAsia" w:ascii="宋体" w:hAnsi="宋体" w:eastAsia="宋体" w:cs="宋体"/>
                <w:color w:val="auto"/>
                <w:sz w:val="24"/>
              </w:rPr>
              <w:t>评标委员会构成：</w:t>
            </w:r>
            <w:r>
              <w:rPr>
                <w:rFonts w:hint="eastAsia" w:ascii="宋体" w:hAnsi="宋体" w:eastAsia="宋体" w:cs="宋体"/>
                <w:color w:val="auto"/>
                <w:sz w:val="24"/>
                <w:u w:val="single"/>
              </w:rPr>
              <w:t xml:space="preserve"> 5 </w:t>
            </w:r>
            <w:r>
              <w:rPr>
                <w:rFonts w:hint="eastAsia" w:ascii="宋体" w:hAnsi="宋体" w:eastAsia="宋体" w:cs="宋体"/>
                <w:color w:val="auto"/>
                <w:sz w:val="24"/>
              </w:rPr>
              <w:t>人，其中招标人代表</w:t>
            </w:r>
            <w:r>
              <w:rPr>
                <w:rFonts w:hint="eastAsia" w:ascii="宋体" w:hAnsi="宋体" w:eastAsia="宋体" w:cs="宋体"/>
                <w:color w:val="auto"/>
                <w:sz w:val="24"/>
                <w:u w:val="single"/>
              </w:rPr>
              <w:t xml:space="preserve">  1  </w:t>
            </w:r>
            <w:r>
              <w:rPr>
                <w:rFonts w:hint="eastAsia" w:ascii="宋体" w:hAnsi="宋体" w:eastAsia="宋体" w:cs="宋体"/>
                <w:color w:val="auto"/>
                <w:sz w:val="24"/>
              </w:rPr>
              <w:t>人，专家</w:t>
            </w:r>
            <w:r>
              <w:rPr>
                <w:rFonts w:hint="eastAsia" w:ascii="宋体" w:hAnsi="宋体" w:eastAsia="宋体" w:cs="宋体"/>
                <w:color w:val="auto"/>
                <w:sz w:val="24"/>
                <w:u w:val="single"/>
              </w:rPr>
              <w:t xml:space="preserve"> 4 </w:t>
            </w:r>
            <w:r>
              <w:rPr>
                <w:rFonts w:hint="eastAsia" w:ascii="宋体" w:hAnsi="宋体" w:eastAsia="宋体" w:cs="宋体"/>
                <w:color w:val="auto"/>
                <w:sz w:val="24"/>
              </w:rPr>
              <w:t>人；（专家为技术、经济等方面专家）。</w:t>
            </w:r>
          </w:p>
          <w:p w14:paraId="0442BED0">
            <w:pPr>
              <w:spacing w:line="440" w:lineRule="exact"/>
              <w:textAlignment w:val="center"/>
              <w:rPr>
                <w:rFonts w:hint="eastAsia" w:ascii="宋体" w:hAnsi="宋体" w:eastAsia="宋体" w:cs="宋体"/>
                <w:color w:val="auto"/>
                <w:sz w:val="24"/>
              </w:rPr>
            </w:pPr>
            <w:r>
              <w:rPr>
                <w:rFonts w:hint="eastAsia" w:ascii="宋体" w:hAnsi="宋体" w:eastAsia="宋体" w:cs="宋体"/>
                <w:color w:val="auto"/>
                <w:sz w:val="24"/>
              </w:rPr>
              <w:t>评标委员会的组成和评标专家的确定方式：从河南省综合评标专家库中随机抽取。</w:t>
            </w:r>
          </w:p>
        </w:tc>
      </w:tr>
      <w:tr w14:paraId="6EADB12C">
        <w:tblPrEx>
          <w:tblCellMar>
            <w:top w:w="0" w:type="dxa"/>
            <w:left w:w="108" w:type="dxa"/>
            <w:bottom w:w="0" w:type="dxa"/>
            <w:right w:w="108" w:type="dxa"/>
          </w:tblCellMar>
        </w:tblPrEx>
        <w:trPr>
          <w:trHeight w:val="880" w:hRule="atLeast"/>
        </w:trPr>
        <w:tc>
          <w:tcPr>
            <w:tcW w:w="1004" w:type="dxa"/>
            <w:tcBorders>
              <w:top w:val="single" w:color="auto" w:sz="4" w:space="0"/>
              <w:left w:val="single" w:color="auto" w:sz="4" w:space="0"/>
              <w:right w:val="single" w:color="auto" w:sz="4" w:space="0"/>
            </w:tcBorders>
            <w:noWrap w:val="0"/>
            <w:vAlign w:val="center"/>
          </w:tcPr>
          <w:p w14:paraId="3E235458">
            <w:pPr>
              <w:spacing w:line="440" w:lineRule="exact"/>
              <w:jc w:val="center"/>
              <w:textAlignment w:val="center"/>
              <w:rPr>
                <w:rFonts w:hint="eastAsia" w:ascii="宋体" w:hAnsi="宋体" w:eastAsia="宋体" w:cs="宋体"/>
                <w:sz w:val="24"/>
              </w:rPr>
            </w:pPr>
            <w:r>
              <w:rPr>
                <w:rFonts w:hint="eastAsia" w:ascii="宋体" w:hAnsi="宋体" w:eastAsia="宋体" w:cs="宋体"/>
                <w:sz w:val="24"/>
              </w:rPr>
              <w:t>7.1</w:t>
            </w:r>
          </w:p>
        </w:tc>
        <w:tc>
          <w:tcPr>
            <w:tcW w:w="3338" w:type="dxa"/>
            <w:tcBorders>
              <w:top w:val="single" w:color="auto" w:sz="4" w:space="0"/>
              <w:left w:val="single" w:color="auto" w:sz="4" w:space="0"/>
              <w:right w:val="single" w:color="auto" w:sz="4" w:space="0"/>
            </w:tcBorders>
            <w:noWrap w:val="0"/>
            <w:vAlign w:val="center"/>
          </w:tcPr>
          <w:p w14:paraId="3AB7C19A">
            <w:pPr>
              <w:spacing w:line="440" w:lineRule="exact"/>
              <w:jc w:val="center"/>
              <w:textAlignment w:val="center"/>
              <w:rPr>
                <w:rFonts w:hint="eastAsia" w:ascii="宋体" w:hAnsi="宋体" w:eastAsia="宋体" w:cs="宋体"/>
                <w:sz w:val="24"/>
              </w:rPr>
            </w:pPr>
            <w:r>
              <w:rPr>
                <w:rFonts w:hint="eastAsia" w:ascii="宋体" w:hAnsi="宋体" w:eastAsia="宋体" w:cs="宋体"/>
                <w:sz w:val="24"/>
              </w:rPr>
              <w:t>是否授权评标委员会确定中标人</w:t>
            </w:r>
          </w:p>
        </w:tc>
        <w:tc>
          <w:tcPr>
            <w:tcW w:w="5486" w:type="dxa"/>
            <w:tcBorders>
              <w:top w:val="single" w:color="auto" w:sz="4" w:space="0"/>
              <w:left w:val="single" w:color="auto" w:sz="4" w:space="0"/>
              <w:right w:val="single" w:color="auto" w:sz="4" w:space="0"/>
            </w:tcBorders>
            <w:noWrap w:val="0"/>
            <w:vAlign w:val="center"/>
          </w:tcPr>
          <w:p w14:paraId="743C8C06">
            <w:pPr>
              <w:spacing w:line="440" w:lineRule="exact"/>
              <w:textAlignment w:val="center"/>
              <w:rPr>
                <w:rFonts w:hint="eastAsia" w:ascii="宋体" w:hAnsi="宋体" w:eastAsia="宋体" w:cs="宋体"/>
                <w:sz w:val="24"/>
                <w:lang w:eastAsia="zh-CN"/>
              </w:rPr>
            </w:pPr>
            <w:r>
              <w:rPr>
                <w:rFonts w:hint="eastAsia" w:ascii="宋体" w:hAnsi="宋体" w:eastAsia="宋体" w:cs="宋体"/>
                <w:sz w:val="24"/>
              </w:rPr>
              <w:t>否，推荐的中标候选人数：1-3人</w:t>
            </w:r>
            <w:r>
              <w:rPr>
                <w:rFonts w:hint="eastAsia" w:ascii="宋体" w:hAnsi="宋体" w:eastAsia="宋体" w:cs="宋体"/>
                <w:sz w:val="24"/>
                <w:lang w:eastAsia="zh-CN"/>
              </w:rPr>
              <w:t>。</w:t>
            </w:r>
          </w:p>
        </w:tc>
      </w:tr>
      <w:tr w14:paraId="14C5BD42">
        <w:tblPrEx>
          <w:tblCellMar>
            <w:top w:w="0" w:type="dxa"/>
            <w:left w:w="108" w:type="dxa"/>
            <w:bottom w:w="0" w:type="dxa"/>
            <w:right w:w="108" w:type="dxa"/>
          </w:tblCellMar>
        </w:tblPrEx>
        <w:tc>
          <w:tcPr>
            <w:tcW w:w="1004" w:type="dxa"/>
            <w:tcBorders>
              <w:top w:val="single" w:color="auto" w:sz="4" w:space="0"/>
              <w:left w:val="single" w:color="auto" w:sz="4" w:space="0"/>
              <w:bottom w:val="single" w:color="auto" w:sz="4" w:space="0"/>
              <w:right w:val="single" w:color="auto" w:sz="4" w:space="0"/>
            </w:tcBorders>
            <w:noWrap w:val="0"/>
            <w:vAlign w:val="center"/>
          </w:tcPr>
          <w:p w14:paraId="60602104">
            <w:pPr>
              <w:spacing w:line="440" w:lineRule="exact"/>
              <w:jc w:val="center"/>
              <w:textAlignment w:val="center"/>
              <w:rPr>
                <w:rFonts w:hint="eastAsia" w:ascii="宋体" w:hAnsi="宋体" w:eastAsia="宋体" w:cs="宋体"/>
                <w:sz w:val="24"/>
              </w:rPr>
            </w:pPr>
            <w:r>
              <w:rPr>
                <w:rFonts w:hint="eastAsia" w:ascii="宋体" w:hAnsi="宋体" w:eastAsia="宋体" w:cs="宋体"/>
                <w:sz w:val="24"/>
              </w:rPr>
              <w:t>7.3.1</w:t>
            </w:r>
          </w:p>
        </w:tc>
        <w:tc>
          <w:tcPr>
            <w:tcW w:w="3338" w:type="dxa"/>
            <w:tcBorders>
              <w:top w:val="single" w:color="auto" w:sz="4" w:space="0"/>
              <w:left w:val="single" w:color="auto" w:sz="4" w:space="0"/>
              <w:bottom w:val="single" w:color="auto" w:sz="4" w:space="0"/>
              <w:right w:val="single" w:color="auto" w:sz="4" w:space="0"/>
            </w:tcBorders>
            <w:noWrap w:val="0"/>
            <w:vAlign w:val="center"/>
          </w:tcPr>
          <w:p w14:paraId="327F867E">
            <w:pPr>
              <w:spacing w:line="440" w:lineRule="exact"/>
              <w:jc w:val="center"/>
              <w:textAlignment w:val="center"/>
              <w:rPr>
                <w:rFonts w:hint="eastAsia" w:ascii="宋体" w:hAnsi="宋体" w:eastAsia="宋体" w:cs="宋体"/>
                <w:sz w:val="24"/>
              </w:rPr>
            </w:pPr>
            <w:r>
              <w:rPr>
                <w:rFonts w:hint="eastAsia" w:ascii="宋体" w:hAnsi="宋体" w:eastAsia="宋体" w:cs="宋体"/>
                <w:sz w:val="24"/>
              </w:rPr>
              <w:t>履约担保</w:t>
            </w:r>
          </w:p>
        </w:tc>
        <w:tc>
          <w:tcPr>
            <w:tcW w:w="5486" w:type="dxa"/>
            <w:tcBorders>
              <w:top w:val="single" w:color="auto" w:sz="4" w:space="0"/>
              <w:left w:val="single" w:color="auto" w:sz="4" w:space="0"/>
              <w:bottom w:val="single" w:color="auto" w:sz="4" w:space="0"/>
              <w:right w:val="single" w:color="auto" w:sz="4" w:space="0"/>
            </w:tcBorders>
            <w:noWrap w:val="0"/>
            <w:vAlign w:val="center"/>
          </w:tcPr>
          <w:p w14:paraId="5DEEF238">
            <w:pPr>
              <w:spacing w:line="420" w:lineRule="exact"/>
              <w:textAlignment w:val="center"/>
              <w:rPr>
                <w:rFonts w:hint="eastAsia" w:ascii="宋体" w:hAnsi="宋体" w:eastAsia="宋体" w:cs="宋体"/>
                <w:sz w:val="24"/>
              </w:rPr>
            </w:pPr>
            <w:r>
              <w:rPr>
                <w:rFonts w:hint="eastAsia" w:ascii="宋体" w:hAnsi="宋体" w:eastAsia="宋体" w:cs="宋体"/>
                <w:sz w:val="24"/>
              </w:rPr>
              <w:t>履约担保的形式：/</w:t>
            </w:r>
          </w:p>
          <w:p w14:paraId="2F7CEAC7">
            <w:pPr>
              <w:spacing w:line="400" w:lineRule="exact"/>
              <w:rPr>
                <w:rFonts w:hint="eastAsia" w:ascii="宋体" w:hAnsi="宋体" w:eastAsia="宋体" w:cs="宋体"/>
                <w:sz w:val="24"/>
              </w:rPr>
            </w:pPr>
            <w:r>
              <w:rPr>
                <w:rFonts w:hint="eastAsia" w:ascii="宋体" w:hAnsi="宋体" w:eastAsia="宋体" w:cs="宋体"/>
                <w:sz w:val="24"/>
              </w:rPr>
              <w:t>履约担保的金额：/</w:t>
            </w:r>
          </w:p>
        </w:tc>
      </w:tr>
      <w:tr w14:paraId="4D5DDC6D">
        <w:tblPrEx>
          <w:tblCellMar>
            <w:top w:w="0" w:type="dxa"/>
            <w:left w:w="108" w:type="dxa"/>
            <w:bottom w:w="0" w:type="dxa"/>
            <w:right w:w="108" w:type="dxa"/>
          </w:tblCellMar>
        </w:tblPrEx>
        <w:tc>
          <w:tcPr>
            <w:tcW w:w="1004" w:type="dxa"/>
            <w:tcBorders>
              <w:top w:val="single" w:color="auto" w:sz="4" w:space="0"/>
              <w:left w:val="single" w:color="auto" w:sz="4" w:space="0"/>
              <w:bottom w:val="single" w:color="auto" w:sz="4" w:space="0"/>
              <w:right w:val="single" w:color="auto" w:sz="4" w:space="0"/>
            </w:tcBorders>
            <w:noWrap w:val="0"/>
            <w:vAlign w:val="center"/>
          </w:tcPr>
          <w:p w14:paraId="091957B8">
            <w:pPr>
              <w:spacing w:line="440" w:lineRule="exact"/>
              <w:jc w:val="center"/>
              <w:textAlignment w:val="center"/>
              <w:rPr>
                <w:rFonts w:hint="eastAsia" w:ascii="宋体" w:hAnsi="宋体" w:eastAsia="宋体" w:cs="宋体"/>
                <w:b/>
                <w:sz w:val="24"/>
              </w:rPr>
            </w:pPr>
            <w:r>
              <w:rPr>
                <w:rFonts w:hint="eastAsia" w:ascii="宋体" w:hAnsi="宋体" w:eastAsia="宋体" w:cs="宋体"/>
                <w:b/>
                <w:sz w:val="24"/>
              </w:rPr>
              <w:t>10</w:t>
            </w:r>
          </w:p>
        </w:tc>
        <w:tc>
          <w:tcPr>
            <w:tcW w:w="8824" w:type="dxa"/>
            <w:gridSpan w:val="2"/>
            <w:tcBorders>
              <w:top w:val="single" w:color="auto" w:sz="4" w:space="0"/>
              <w:left w:val="single" w:color="auto" w:sz="4" w:space="0"/>
              <w:bottom w:val="single" w:color="auto" w:sz="4" w:space="0"/>
              <w:right w:val="single" w:color="auto" w:sz="4" w:space="0"/>
            </w:tcBorders>
            <w:noWrap w:val="0"/>
            <w:vAlign w:val="center"/>
          </w:tcPr>
          <w:p w14:paraId="759FFF57">
            <w:pPr>
              <w:spacing w:line="440" w:lineRule="exact"/>
              <w:jc w:val="center"/>
              <w:textAlignment w:val="center"/>
              <w:rPr>
                <w:rFonts w:hint="eastAsia" w:ascii="宋体" w:hAnsi="宋体" w:eastAsia="宋体" w:cs="宋体"/>
                <w:b/>
                <w:sz w:val="24"/>
              </w:rPr>
            </w:pPr>
            <w:r>
              <w:rPr>
                <w:rFonts w:hint="eastAsia" w:ascii="宋体" w:hAnsi="宋体" w:eastAsia="宋体" w:cs="宋体"/>
                <w:b/>
                <w:sz w:val="24"/>
              </w:rPr>
              <w:t>需要补充的其他内容</w:t>
            </w:r>
          </w:p>
        </w:tc>
      </w:tr>
      <w:tr w14:paraId="1065C355">
        <w:tblPrEx>
          <w:tblCellMar>
            <w:top w:w="0" w:type="dxa"/>
            <w:left w:w="108" w:type="dxa"/>
            <w:bottom w:w="0" w:type="dxa"/>
            <w:right w:w="108" w:type="dxa"/>
          </w:tblCellMar>
        </w:tblPrEx>
        <w:tc>
          <w:tcPr>
            <w:tcW w:w="1004" w:type="dxa"/>
            <w:tcBorders>
              <w:top w:val="single" w:color="auto" w:sz="4" w:space="0"/>
              <w:left w:val="single" w:color="auto" w:sz="4" w:space="0"/>
              <w:bottom w:val="single" w:color="auto" w:sz="4" w:space="0"/>
              <w:right w:val="single" w:color="auto" w:sz="4" w:space="0"/>
            </w:tcBorders>
            <w:noWrap w:val="0"/>
            <w:vAlign w:val="center"/>
          </w:tcPr>
          <w:p w14:paraId="7D734FE4">
            <w:pPr>
              <w:spacing w:line="440" w:lineRule="exact"/>
              <w:jc w:val="center"/>
              <w:textAlignment w:val="center"/>
              <w:rPr>
                <w:rFonts w:hint="eastAsia" w:ascii="宋体" w:hAnsi="宋体" w:eastAsia="宋体" w:cs="宋体"/>
                <w:b/>
                <w:sz w:val="24"/>
              </w:rPr>
            </w:pPr>
            <w:r>
              <w:rPr>
                <w:rFonts w:hint="eastAsia" w:ascii="宋体" w:hAnsi="宋体" w:eastAsia="宋体" w:cs="宋体"/>
                <w:b/>
                <w:sz w:val="24"/>
              </w:rPr>
              <w:t>10.1</w:t>
            </w:r>
          </w:p>
        </w:tc>
        <w:tc>
          <w:tcPr>
            <w:tcW w:w="8824" w:type="dxa"/>
            <w:gridSpan w:val="2"/>
            <w:tcBorders>
              <w:top w:val="single" w:color="auto" w:sz="4" w:space="0"/>
              <w:left w:val="single" w:color="auto" w:sz="4" w:space="0"/>
              <w:bottom w:val="single" w:color="auto" w:sz="4" w:space="0"/>
              <w:right w:val="single" w:color="auto" w:sz="4" w:space="0"/>
            </w:tcBorders>
            <w:noWrap w:val="0"/>
            <w:vAlign w:val="center"/>
          </w:tcPr>
          <w:p w14:paraId="1B23C79F">
            <w:pPr>
              <w:spacing w:line="440" w:lineRule="exact"/>
              <w:textAlignment w:val="center"/>
              <w:rPr>
                <w:rFonts w:hint="eastAsia" w:ascii="宋体" w:hAnsi="宋体" w:eastAsia="宋体" w:cs="宋体"/>
                <w:sz w:val="24"/>
              </w:rPr>
            </w:pPr>
            <w:r>
              <w:rPr>
                <w:rFonts w:hint="eastAsia" w:ascii="宋体" w:hAnsi="宋体" w:eastAsia="宋体" w:cs="宋体"/>
                <w:sz w:val="24"/>
              </w:rPr>
              <w:t>招标控制价：</w:t>
            </w:r>
            <w:r>
              <w:rPr>
                <w:rFonts w:hint="eastAsia" w:ascii="宋体" w:hAnsi="宋体" w:eastAsia="宋体" w:cs="宋体"/>
                <w:b/>
                <w:sz w:val="24"/>
              </w:rPr>
              <w:t>本工程设招标人控制价，投标报价超出招标人控制价的按无效标处理。招标人控制价在网上下载。</w:t>
            </w:r>
            <w:r>
              <w:rPr>
                <w:rFonts w:hint="eastAsia" w:ascii="宋体" w:hAnsi="宋体" w:eastAsia="宋体" w:cs="宋体"/>
                <w:sz w:val="24"/>
              </w:rPr>
              <w:t xml:space="preserve"> </w:t>
            </w:r>
          </w:p>
        </w:tc>
      </w:tr>
    </w:tbl>
    <w:p w14:paraId="2EFC9ED4">
      <w:pPr>
        <w:spacing w:line="400" w:lineRule="exact"/>
        <w:rPr>
          <w:rFonts w:hint="eastAsia"/>
        </w:rPr>
      </w:pPr>
    </w:p>
    <w:p w14:paraId="722BCB30">
      <w:pPr>
        <w:pStyle w:val="85"/>
        <w:spacing w:after="100" w:line="500" w:lineRule="exact"/>
        <w:rPr>
          <w:rFonts w:hint="eastAsia" w:ascii="黑体"/>
          <w:sz w:val="30"/>
          <w:szCs w:val="30"/>
        </w:rPr>
      </w:pPr>
      <w:bookmarkStart w:id="24" w:name="_Toc144974497"/>
      <w:bookmarkStart w:id="25" w:name="_Toc152045529"/>
      <w:bookmarkStart w:id="26" w:name="_Toc152042305"/>
      <w:bookmarkStart w:id="27" w:name="_Toc100487470"/>
      <w:r>
        <w:rPr>
          <w:rFonts w:hint="eastAsia" w:ascii="黑体"/>
          <w:sz w:val="30"/>
          <w:szCs w:val="30"/>
        </w:rPr>
        <w:t>1. 总则</w:t>
      </w:r>
      <w:bookmarkEnd w:id="24"/>
      <w:bookmarkEnd w:id="25"/>
      <w:bookmarkEnd w:id="26"/>
      <w:bookmarkEnd w:id="27"/>
    </w:p>
    <w:p w14:paraId="35326875">
      <w:pPr>
        <w:pStyle w:val="87"/>
        <w:spacing w:line="440" w:lineRule="exact"/>
        <w:rPr>
          <w:rFonts w:hint="eastAsia" w:ascii="宋体" w:hAnsi="宋体" w:eastAsia="宋体"/>
          <w:b/>
          <w:sz w:val="28"/>
          <w:szCs w:val="28"/>
        </w:rPr>
      </w:pPr>
      <w:bookmarkStart w:id="28" w:name="_Toc152042306"/>
      <w:bookmarkStart w:id="29" w:name="_Toc16268070"/>
      <w:bookmarkStart w:id="30" w:name="_Toc152045530"/>
      <w:bookmarkStart w:id="31" w:name="_Toc530388605"/>
      <w:bookmarkStart w:id="32" w:name="_Toc16268581"/>
      <w:bookmarkStart w:id="33" w:name="_Toc268109187"/>
      <w:bookmarkStart w:id="34" w:name="_Toc251248570"/>
      <w:bookmarkStart w:id="35" w:name="_Toc100487471"/>
      <w:bookmarkStart w:id="36" w:name="_Toc399073311"/>
      <w:bookmarkStart w:id="37" w:name="_Toc251319474"/>
      <w:bookmarkStart w:id="38" w:name="_Toc331688385"/>
      <w:bookmarkStart w:id="39" w:name="_Toc144974498"/>
      <w:r>
        <w:rPr>
          <w:rFonts w:hint="eastAsia" w:ascii="宋体" w:hAnsi="宋体" w:eastAsia="宋体"/>
          <w:b/>
          <w:sz w:val="28"/>
          <w:szCs w:val="28"/>
        </w:rPr>
        <w:t>1.1 项目概况</w:t>
      </w:r>
      <w:bookmarkEnd w:id="28"/>
      <w:bookmarkEnd w:id="29"/>
      <w:bookmarkEnd w:id="30"/>
      <w:bookmarkEnd w:id="31"/>
      <w:bookmarkEnd w:id="32"/>
      <w:bookmarkEnd w:id="33"/>
      <w:bookmarkEnd w:id="34"/>
      <w:bookmarkEnd w:id="35"/>
      <w:bookmarkEnd w:id="36"/>
      <w:bookmarkEnd w:id="37"/>
      <w:bookmarkEnd w:id="38"/>
      <w:bookmarkEnd w:id="39"/>
    </w:p>
    <w:p w14:paraId="12E9F62A">
      <w:pPr>
        <w:spacing w:line="440" w:lineRule="exact"/>
        <w:ind w:firstLine="480" w:firstLineChars="200"/>
        <w:rPr>
          <w:rFonts w:hint="eastAsia"/>
          <w:sz w:val="24"/>
        </w:rPr>
      </w:pPr>
      <w:r>
        <w:rPr>
          <w:rFonts w:hint="eastAsia"/>
          <w:sz w:val="24"/>
        </w:rPr>
        <w:t>1.1.1根据《中华人民共和国招标投标法》等有关法律、法规和规章的规定，本招标项目已具备招标条件，现对本标段施工进行招标。</w:t>
      </w:r>
    </w:p>
    <w:p w14:paraId="303D286F">
      <w:pPr>
        <w:spacing w:line="440" w:lineRule="exact"/>
        <w:ind w:firstLine="480" w:firstLineChars="200"/>
        <w:rPr>
          <w:rFonts w:hint="eastAsia"/>
          <w:sz w:val="24"/>
        </w:rPr>
      </w:pPr>
      <w:r>
        <w:rPr>
          <w:rFonts w:hint="eastAsia"/>
          <w:sz w:val="24"/>
        </w:rPr>
        <w:t>1.1.2 本招标项目招标人：见投标人须知前附表。</w:t>
      </w:r>
    </w:p>
    <w:p w14:paraId="39EB3FC4">
      <w:pPr>
        <w:spacing w:line="440" w:lineRule="exact"/>
        <w:ind w:firstLine="480" w:firstLineChars="200"/>
        <w:rPr>
          <w:rFonts w:hint="eastAsia"/>
          <w:sz w:val="24"/>
        </w:rPr>
      </w:pPr>
      <w:r>
        <w:rPr>
          <w:rFonts w:hint="eastAsia"/>
          <w:sz w:val="24"/>
        </w:rPr>
        <w:t>1.1.3 本标段招标代理机构：见投标人须知前附表。</w:t>
      </w:r>
    </w:p>
    <w:p w14:paraId="68D48774">
      <w:pPr>
        <w:spacing w:line="440" w:lineRule="exact"/>
        <w:ind w:firstLine="480" w:firstLineChars="200"/>
        <w:rPr>
          <w:rFonts w:hint="eastAsia"/>
          <w:sz w:val="24"/>
        </w:rPr>
      </w:pPr>
      <w:r>
        <w:rPr>
          <w:rFonts w:hint="eastAsia"/>
          <w:sz w:val="24"/>
        </w:rPr>
        <w:t>1.1.4 本招标项目名称：见投标人须知前附表。</w:t>
      </w:r>
    </w:p>
    <w:p w14:paraId="414A84E9">
      <w:pPr>
        <w:spacing w:line="440" w:lineRule="exact"/>
        <w:ind w:firstLine="480" w:firstLineChars="200"/>
        <w:rPr>
          <w:rFonts w:hint="eastAsia"/>
          <w:sz w:val="24"/>
        </w:rPr>
      </w:pPr>
      <w:r>
        <w:rPr>
          <w:rFonts w:hint="eastAsia"/>
          <w:sz w:val="24"/>
        </w:rPr>
        <w:t>1.1.5 本标段建设地点：见投标人须知前附表。</w:t>
      </w:r>
    </w:p>
    <w:p w14:paraId="3CA34ABD">
      <w:pPr>
        <w:pStyle w:val="87"/>
        <w:spacing w:line="440" w:lineRule="exact"/>
        <w:rPr>
          <w:rFonts w:hint="eastAsia" w:ascii="宋体" w:hAnsi="宋体" w:eastAsia="宋体"/>
          <w:b/>
          <w:sz w:val="28"/>
          <w:szCs w:val="28"/>
        </w:rPr>
      </w:pPr>
      <w:bookmarkStart w:id="40" w:name="_Toc251248571"/>
      <w:bookmarkStart w:id="41" w:name="_Toc152045531"/>
      <w:bookmarkStart w:id="42" w:name="_Toc152042307"/>
      <w:bookmarkStart w:id="43" w:name="_Toc144974499"/>
      <w:bookmarkStart w:id="44" w:name="_Toc251319475"/>
      <w:bookmarkStart w:id="45" w:name="_Toc100487472"/>
      <w:bookmarkStart w:id="46" w:name="_Toc399073312"/>
      <w:bookmarkStart w:id="47" w:name="_Toc16268071"/>
      <w:bookmarkStart w:id="48" w:name="_Toc530388606"/>
      <w:bookmarkStart w:id="49" w:name="_Toc16268582"/>
      <w:bookmarkStart w:id="50" w:name="_Toc331688386"/>
      <w:bookmarkStart w:id="51" w:name="_Toc268109188"/>
      <w:r>
        <w:rPr>
          <w:rFonts w:hint="eastAsia" w:ascii="宋体" w:hAnsi="宋体" w:eastAsia="宋体"/>
          <w:b/>
          <w:sz w:val="28"/>
          <w:szCs w:val="28"/>
        </w:rPr>
        <w:t>1.2 资金来源和落实情况</w:t>
      </w:r>
      <w:bookmarkEnd w:id="40"/>
      <w:bookmarkEnd w:id="41"/>
      <w:bookmarkEnd w:id="42"/>
      <w:bookmarkEnd w:id="43"/>
      <w:bookmarkEnd w:id="44"/>
      <w:bookmarkEnd w:id="45"/>
      <w:bookmarkEnd w:id="46"/>
      <w:bookmarkEnd w:id="47"/>
      <w:bookmarkEnd w:id="48"/>
      <w:bookmarkEnd w:id="49"/>
      <w:bookmarkEnd w:id="50"/>
      <w:bookmarkEnd w:id="51"/>
    </w:p>
    <w:p w14:paraId="309DAE0B">
      <w:pPr>
        <w:spacing w:line="440" w:lineRule="exact"/>
        <w:ind w:firstLine="480" w:firstLineChars="200"/>
        <w:rPr>
          <w:rFonts w:hint="eastAsia"/>
          <w:sz w:val="24"/>
        </w:rPr>
      </w:pPr>
      <w:r>
        <w:rPr>
          <w:rFonts w:hint="eastAsia"/>
          <w:sz w:val="24"/>
        </w:rPr>
        <w:t>1.2.1 本招标项目的资金来源：见投标人须知前附表。</w:t>
      </w:r>
    </w:p>
    <w:p w14:paraId="6A848E91">
      <w:pPr>
        <w:spacing w:line="440" w:lineRule="exact"/>
        <w:ind w:firstLine="480" w:firstLineChars="200"/>
        <w:rPr>
          <w:rFonts w:hint="eastAsia"/>
          <w:sz w:val="24"/>
        </w:rPr>
      </w:pPr>
      <w:r>
        <w:rPr>
          <w:rFonts w:hint="eastAsia"/>
          <w:sz w:val="24"/>
        </w:rPr>
        <w:t>1.2.2 本招标项目的出资比例：见投标人须知前附表。</w:t>
      </w:r>
    </w:p>
    <w:p w14:paraId="272AA585">
      <w:pPr>
        <w:spacing w:line="440" w:lineRule="exact"/>
        <w:ind w:firstLine="480" w:firstLineChars="200"/>
        <w:rPr>
          <w:rFonts w:hint="eastAsia"/>
          <w:sz w:val="24"/>
        </w:rPr>
      </w:pPr>
      <w:r>
        <w:rPr>
          <w:rFonts w:hint="eastAsia"/>
          <w:sz w:val="24"/>
        </w:rPr>
        <w:t>1.2.3 本招标项目的资金落实情况：见投标人须知前附表。</w:t>
      </w:r>
    </w:p>
    <w:p w14:paraId="68F73230">
      <w:pPr>
        <w:pStyle w:val="87"/>
        <w:spacing w:line="440" w:lineRule="exact"/>
        <w:rPr>
          <w:rFonts w:hint="eastAsia" w:ascii="宋体" w:hAnsi="宋体" w:eastAsia="宋体"/>
          <w:b/>
          <w:sz w:val="28"/>
          <w:szCs w:val="28"/>
        </w:rPr>
      </w:pPr>
      <w:bookmarkStart w:id="52" w:name="_Toc16268583"/>
      <w:bookmarkStart w:id="53" w:name="_Toc152042308"/>
      <w:bookmarkStart w:id="54" w:name="_Toc152045532"/>
      <w:bookmarkStart w:id="55" w:name="_Toc331688387"/>
      <w:bookmarkStart w:id="56" w:name="_Toc530388607"/>
      <w:bookmarkStart w:id="57" w:name="_Toc268109189"/>
      <w:bookmarkStart w:id="58" w:name="_Toc399073313"/>
      <w:bookmarkStart w:id="59" w:name="_Toc251248572"/>
      <w:bookmarkStart w:id="60" w:name="_Toc16268072"/>
      <w:bookmarkStart w:id="61" w:name="_Toc100487473"/>
      <w:bookmarkStart w:id="62" w:name="_Toc144974500"/>
      <w:bookmarkStart w:id="63" w:name="_Toc251319476"/>
      <w:r>
        <w:rPr>
          <w:rFonts w:hint="eastAsia" w:ascii="宋体" w:hAnsi="宋体" w:eastAsia="宋体"/>
          <w:b/>
          <w:sz w:val="28"/>
          <w:szCs w:val="28"/>
        </w:rPr>
        <w:t>1.3 招标范围、计划工期和质量要求</w:t>
      </w:r>
      <w:bookmarkEnd w:id="52"/>
      <w:bookmarkEnd w:id="53"/>
      <w:bookmarkEnd w:id="54"/>
      <w:bookmarkEnd w:id="55"/>
      <w:bookmarkEnd w:id="56"/>
      <w:bookmarkEnd w:id="57"/>
      <w:bookmarkEnd w:id="58"/>
      <w:bookmarkEnd w:id="59"/>
      <w:bookmarkEnd w:id="60"/>
      <w:bookmarkEnd w:id="61"/>
      <w:bookmarkEnd w:id="62"/>
      <w:bookmarkEnd w:id="63"/>
    </w:p>
    <w:p w14:paraId="2C7B70A3">
      <w:pPr>
        <w:spacing w:line="440" w:lineRule="exact"/>
        <w:ind w:firstLine="480" w:firstLineChars="200"/>
        <w:rPr>
          <w:rFonts w:hint="eastAsia"/>
          <w:sz w:val="24"/>
        </w:rPr>
      </w:pPr>
      <w:r>
        <w:rPr>
          <w:rFonts w:hint="eastAsia"/>
          <w:sz w:val="24"/>
        </w:rPr>
        <w:t>1.3.1 本次招标范围：见投标人须知前附表。</w:t>
      </w:r>
    </w:p>
    <w:p w14:paraId="73307B0A">
      <w:pPr>
        <w:spacing w:line="440" w:lineRule="exact"/>
        <w:ind w:firstLine="480" w:firstLineChars="200"/>
        <w:rPr>
          <w:rFonts w:hint="eastAsia"/>
          <w:sz w:val="24"/>
        </w:rPr>
      </w:pPr>
      <w:r>
        <w:rPr>
          <w:rFonts w:hint="eastAsia"/>
          <w:sz w:val="24"/>
        </w:rPr>
        <w:t>1.3.2 本标段的计划工期：见投标人须知前附表。</w:t>
      </w:r>
    </w:p>
    <w:p w14:paraId="375412F1">
      <w:pPr>
        <w:spacing w:line="440" w:lineRule="exact"/>
        <w:ind w:firstLine="480" w:firstLineChars="200"/>
        <w:rPr>
          <w:rFonts w:hint="eastAsia"/>
          <w:sz w:val="24"/>
        </w:rPr>
      </w:pPr>
      <w:r>
        <w:rPr>
          <w:rFonts w:hint="eastAsia"/>
          <w:sz w:val="24"/>
        </w:rPr>
        <w:t>1.3.3 本标段的质量要求：见投标人须知前附表。</w:t>
      </w:r>
    </w:p>
    <w:p w14:paraId="4D60084D">
      <w:pPr>
        <w:pStyle w:val="87"/>
        <w:spacing w:line="440" w:lineRule="exact"/>
        <w:rPr>
          <w:rFonts w:hint="eastAsia" w:ascii="宋体" w:hAnsi="宋体" w:eastAsia="宋体"/>
          <w:b/>
          <w:sz w:val="28"/>
          <w:szCs w:val="28"/>
        </w:rPr>
      </w:pPr>
      <w:bookmarkStart w:id="64" w:name="_Toc530388608"/>
      <w:bookmarkStart w:id="65" w:name="_Toc251319477"/>
      <w:bookmarkStart w:id="66" w:name="_Toc251248573"/>
      <w:bookmarkStart w:id="67" w:name="_Toc100487474"/>
      <w:bookmarkStart w:id="68" w:name="_Toc144974502"/>
      <w:bookmarkStart w:id="69" w:name="_Toc152045534"/>
      <w:bookmarkStart w:id="70" w:name="_Toc16268584"/>
      <w:bookmarkStart w:id="71" w:name="_Toc399073314"/>
      <w:bookmarkStart w:id="72" w:name="_Toc16268073"/>
      <w:bookmarkStart w:id="73" w:name="_Toc268109190"/>
      <w:bookmarkStart w:id="74" w:name="_Toc331688388"/>
      <w:bookmarkStart w:id="75" w:name="_Toc152042310"/>
      <w:r>
        <w:rPr>
          <w:rFonts w:hint="eastAsia" w:ascii="宋体" w:hAnsi="宋体" w:eastAsia="宋体"/>
          <w:b/>
          <w:sz w:val="28"/>
          <w:szCs w:val="28"/>
        </w:rPr>
        <w:t>1.4 投标人资格要求</w:t>
      </w:r>
      <w:bookmarkEnd w:id="64"/>
      <w:bookmarkEnd w:id="65"/>
      <w:bookmarkEnd w:id="66"/>
      <w:bookmarkEnd w:id="67"/>
      <w:bookmarkEnd w:id="68"/>
      <w:bookmarkEnd w:id="69"/>
      <w:bookmarkEnd w:id="70"/>
      <w:bookmarkEnd w:id="71"/>
      <w:bookmarkEnd w:id="72"/>
      <w:bookmarkEnd w:id="73"/>
      <w:bookmarkEnd w:id="74"/>
      <w:bookmarkEnd w:id="75"/>
    </w:p>
    <w:p w14:paraId="08C96540">
      <w:pPr>
        <w:spacing w:line="440" w:lineRule="exact"/>
        <w:ind w:firstLine="480" w:firstLineChars="200"/>
        <w:rPr>
          <w:rFonts w:hint="eastAsia"/>
          <w:sz w:val="24"/>
        </w:rPr>
      </w:pPr>
      <w:r>
        <w:rPr>
          <w:rFonts w:hint="eastAsia"/>
          <w:sz w:val="24"/>
        </w:rPr>
        <w:t>1.4.1投标人应具备承担本标段施工的资质条件、能力和信誉。</w:t>
      </w:r>
    </w:p>
    <w:p w14:paraId="1F48C7B4">
      <w:pPr>
        <w:spacing w:line="440" w:lineRule="exact"/>
        <w:ind w:firstLine="820" w:firstLineChars="342"/>
        <w:rPr>
          <w:rFonts w:hint="eastAsia"/>
          <w:sz w:val="24"/>
        </w:rPr>
      </w:pPr>
      <w:r>
        <w:rPr>
          <w:rFonts w:hint="eastAsia"/>
          <w:sz w:val="24"/>
        </w:rPr>
        <w:t>（1）资质条件：见投标人须知前附表；</w:t>
      </w:r>
    </w:p>
    <w:p w14:paraId="33468568">
      <w:pPr>
        <w:spacing w:line="440" w:lineRule="exact"/>
        <w:ind w:firstLine="820" w:firstLineChars="342"/>
        <w:rPr>
          <w:rFonts w:hint="eastAsia"/>
          <w:sz w:val="24"/>
        </w:rPr>
      </w:pPr>
      <w:r>
        <w:rPr>
          <w:rFonts w:hint="eastAsia"/>
          <w:sz w:val="24"/>
        </w:rPr>
        <w:t>（2）财务要求：见投标人须知前附表；</w:t>
      </w:r>
    </w:p>
    <w:p w14:paraId="734BF898">
      <w:pPr>
        <w:spacing w:line="440" w:lineRule="exact"/>
        <w:ind w:firstLine="820" w:firstLineChars="342"/>
        <w:rPr>
          <w:rFonts w:hint="eastAsia"/>
          <w:sz w:val="24"/>
        </w:rPr>
      </w:pPr>
      <w:r>
        <w:rPr>
          <w:rFonts w:hint="eastAsia"/>
          <w:sz w:val="24"/>
        </w:rPr>
        <w:t>（3）业绩要求：见投标人须知前附表；</w:t>
      </w:r>
    </w:p>
    <w:p w14:paraId="374B0C1D">
      <w:pPr>
        <w:spacing w:line="440" w:lineRule="exact"/>
        <w:ind w:firstLine="840" w:firstLineChars="350"/>
        <w:rPr>
          <w:rFonts w:hint="eastAsia"/>
          <w:sz w:val="24"/>
        </w:rPr>
      </w:pPr>
      <w:r>
        <w:rPr>
          <w:rFonts w:hint="eastAsia"/>
          <w:sz w:val="24"/>
        </w:rPr>
        <w:t>（4）</w:t>
      </w:r>
      <w:r>
        <w:rPr>
          <w:rFonts w:ascii="华文细黑" w:hAnsi="华文细黑"/>
          <w:sz w:val="24"/>
        </w:rPr>
        <w:t>项目经理资格</w:t>
      </w:r>
      <w:r>
        <w:rPr>
          <w:rFonts w:hint="eastAsia"/>
          <w:sz w:val="24"/>
        </w:rPr>
        <w:t>：见投标人须知前附表；</w:t>
      </w:r>
    </w:p>
    <w:p w14:paraId="48CF4998">
      <w:pPr>
        <w:spacing w:line="440" w:lineRule="exact"/>
        <w:ind w:firstLine="840" w:firstLineChars="350"/>
        <w:rPr>
          <w:rFonts w:hint="eastAsia"/>
          <w:sz w:val="24"/>
        </w:rPr>
      </w:pPr>
      <w:r>
        <w:rPr>
          <w:rFonts w:hint="eastAsia"/>
          <w:sz w:val="24"/>
        </w:rPr>
        <w:t>（5）其他要求：见投标人须知前附表。</w:t>
      </w:r>
    </w:p>
    <w:p w14:paraId="4D5EB4B7">
      <w:pPr>
        <w:spacing w:line="440" w:lineRule="exact"/>
        <w:ind w:firstLine="480" w:firstLineChars="200"/>
        <w:rPr>
          <w:rFonts w:hint="eastAsia"/>
          <w:sz w:val="24"/>
        </w:rPr>
      </w:pPr>
      <w:r>
        <w:rPr>
          <w:rFonts w:hint="eastAsia"/>
          <w:sz w:val="24"/>
        </w:rPr>
        <w:t>1.4.2 不接受联合体投标。</w:t>
      </w:r>
    </w:p>
    <w:p w14:paraId="437AEC9C">
      <w:pPr>
        <w:spacing w:line="440" w:lineRule="exact"/>
        <w:ind w:firstLine="480" w:firstLineChars="200"/>
        <w:rPr>
          <w:rFonts w:hint="eastAsia"/>
          <w:sz w:val="24"/>
        </w:rPr>
      </w:pPr>
      <w:r>
        <w:rPr>
          <w:rFonts w:hint="eastAsia"/>
          <w:sz w:val="24"/>
        </w:rPr>
        <w:t>1.4.3 投标人不得存在下列情形之一：</w:t>
      </w:r>
    </w:p>
    <w:p w14:paraId="1721D594">
      <w:pPr>
        <w:spacing w:line="440" w:lineRule="exact"/>
        <w:ind w:firstLine="820" w:firstLineChars="342"/>
        <w:rPr>
          <w:rFonts w:hint="eastAsia"/>
          <w:sz w:val="24"/>
        </w:rPr>
      </w:pPr>
      <w:r>
        <w:rPr>
          <w:rFonts w:hint="eastAsia"/>
          <w:sz w:val="24"/>
        </w:rPr>
        <w:t xml:space="preserve">（1）为招标人不具有独立法人资格的附属机构（单位）； </w:t>
      </w:r>
    </w:p>
    <w:p w14:paraId="519500AD">
      <w:pPr>
        <w:spacing w:line="440" w:lineRule="exact"/>
        <w:ind w:firstLine="820" w:firstLineChars="342"/>
        <w:rPr>
          <w:rFonts w:hint="eastAsia"/>
          <w:sz w:val="24"/>
        </w:rPr>
      </w:pPr>
      <w:r>
        <w:rPr>
          <w:rFonts w:hint="eastAsia"/>
          <w:sz w:val="24"/>
        </w:rPr>
        <w:t xml:space="preserve">（2）为本标段前期准备提供设计或咨询服务的，但设计施工总承包的除外； </w:t>
      </w:r>
    </w:p>
    <w:p w14:paraId="4FEA8ED2">
      <w:pPr>
        <w:spacing w:line="440" w:lineRule="exact"/>
        <w:ind w:firstLine="820" w:firstLineChars="342"/>
        <w:rPr>
          <w:rFonts w:hint="eastAsia"/>
          <w:sz w:val="24"/>
        </w:rPr>
      </w:pPr>
      <w:r>
        <w:rPr>
          <w:rFonts w:hint="eastAsia"/>
          <w:sz w:val="24"/>
        </w:rPr>
        <w:t>（3）为本标段的监理人；</w:t>
      </w:r>
    </w:p>
    <w:p w14:paraId="563F8ECF">
      <w:pPr>
        <w:spacing w:line="440" w:lineRule="exact"/>
        <w:ind w:firstLine="820" w:firstLineChars="342"/>
        <w:rPr>
          <w:rFonts w:hint="eastAsia"/>
          <w:sz w:val="24"/>
        </w:rPr>
      </w:pPr>
      <w:r>
        <w:rPr>
          <w:rFonts w:hint="eastAsia"/>
          <w:sz w:val="24"/>
        </w:rPr>
        <w:t xml:space="preserve">（4）为本标段的代建人； </w:t>
      </w:r>
    </w:p>
    <w:p w14:paraId="39B49731">
      <w:pPr>
        <w:spacing w:line="440" w:lineRule="exact"/>
        <w:ind w:firstLine="820" w:firstLineChars="342"/>
        <w:rPr>
          <w:rFonts w:hint="eastAsia"/>
          <w:sz w:val="24"/>
        </w:rPr>
      </w:pPr>
      <w:r>
        <w:rPr>
          <w:rFonts w:hint="eastAsia"/>
          <w:sz w:val="24"/>
        </w:rPr>
        <w:t xml:space="preserve">（5）为本标段提供招标代理服务的； </w:t>
      </w:r>
    </w:p>
    <w:p w14:paraId="797EF76B">
      <w:pPr>
        <w:spacing w:line="440" w:lineRule="exact"/>
        <w:ind w:firstLine="820" w:firstLineChars="342"/>
        <w:rPr>
          <w:rFonts w:hint="eastAsia"/>
          <w:sz w:val="24"/>
        </w:rPr>
      </w:pPr>
      <w:r>
        <w:rPr>
          <w:rFonts w:hint="eastAsia"/>
          <w:sz w:val="24"/>
        </w:rPr>
        <w:t>（6）与本标段的监理人或代建人或招标代理机构同为一个法定代表人的；</w:t>
      </w:r>
    </w:p>
    <w:p w14:paraId="1394E276">
      <w:pPr>
        <w:spacing w:line="440" w:lineRule="exact"/>
        <w:ind w:firstLine="820" w:firstLineChars="342"/>
        <w:rPr>
          <w:rFonts w:hint="eastAsia"/>
          <w:sz w:val="24"/>
        </w:rPr>
      </w:pPr>
      <w:r>
        <w:rPr>
          <w:rFonts w:hint="eastAsia"/>
          <w:sz w:val="24"/>
        </w:rPr>
        <w:t>（7）与本标段的监理人或代建人或招标代理机构相互控股或参股的；</w:t>
      </w:r>
    </w:p>
    <w:p w14:paraId="5CAC2CB3">
      <w:pPr>
        <w:spacing w:line="440" w:lineRule="exact"/>
        <w:ind w:firstLine="820" w:firstLineChars="342"/>
        <w:rPr>
          <w:rFonts w:hint="eastAsia"/>
          <w:sz w:val="24"/>
        </w:rPr>
      </w:pPr>
      <w:r>
        <w:rPr>
          <w:rFonts w:hint="eastAsia"/>
          <w:sz w:val="24"/>
        </w:rPr>
        <w:t>（8）与本标段的监理人或代建人或招标代理机构相互任职或工作的；</w:t>
      </w:r>
    </w:p>
    <w:p w14:paraId="381C3953">
      <w:pPr>
        <w:spacing w:line="440" w:lineRule="exact"/>
        <w:ind w:firstLine="820" w:firstLineChars="342"/>
        <w:rPr>
          <w:rFonts w:hint="eastAsia"/>
          <w:sz w:val="24"/>
        </w:rPr>
      </w:pPr>
      <w:r>
        <w:rPr>
          <w:rFonts w:hint="eastAsia"/>
          <w:sz w:val="24"/>
        </w:rPr>
        <w:t xml:space="preserve">（9）被责令停业的； </w:t>
      </w:r>
    </w:p>
    <w:p w14:paraId="6BBD286B">
      <w:pPr>
        <w:spacing w:line="440" w:lineRule="exact"/>
        <w:ind w:firstLine="820" w:firstLineChars="342"/>
        <w:rPr>
          <w:rFonts w:hint="eastAsia"/>
          <w:sz w:val="24"/>
        </w:rPr>
      </w:pPr>
      <w:r>
        <w:rPr>
          <w:rFonts w:hint="eastAsia"/>
          <w:sz w:val="24"/>
        </w:rPr>
        <w:t xml:space="preserve">（10）被暂停或取消投标资格的； </w:t>
      </w:r>
    </w:p>
    <w:p w14:paraId="2B62161C">
      <w:pPr>
        <w:spacing w:line="440" w:lineRule="exact"/>
        <w:ind w:firstLine="820" w:firstLineChars="342"/>
        <w:rPr>
          <w:rFonts w:hint="eastAsia"/>
          <w:sz w:val="24"/>
        </w:rPr>
      </w:pPr>
      <w:r>
        <w:rPr>
          <w:rFonts w:hint="eastAsia"/>
          <w:sz w:val="24"/>
        </w:rPr>
        <w:t>（11）财产被接管或冻结的；</w:t>
      </w:r>
    </w:p>
    <w:p w14:paraId="641DFA3C">
      <w:pPr>
        <w:spacing w:line="440" w:lineRule="exact"/>
        <w:ind w:firstLine="820" w:firstLineChars="342"/>
        <w:rPr>
          <w:rFonts w:hint="eastAsia"/>
          <w:sz w:val="24"/>
        </w:rPr>
      </w:pPr>
      <w:r>
        <w:rPr>
          <w:rFonts w:hint="eastAsia"/>
          <w:sz w:val="24"/>
        </w:rPr>
        <w:t>（12）在最近三年内有骗取中标或严重违约或重大工程质量问题的。</w:t>
      </w:r>
    </w:p>
    <w:p w14:paraId="7B0CEDC4">
      <w:pPr>
        <w:pStyle w:val="87"/>
        <w:spacing w:line="440" w:lineRule="exact"/>
        <w:rPr>
          <w:rFonts w:hint="eastAsia" w:ascii="宋体" w:hAnsi="宋体" w:eastAsia="宋体"/>
          <w:b/>
          <w:sz w:val="28"/>
          <w:szCs w:val="28"/>
        </w:rPr>
      </w:pPr>
      <w:bookmarkStart w:id="76" w:name="_Toc251248574"/>
      <w:bookmarkStart w:id="77" w:name="_Toc251319478"/>
      <w:bookmarkStart w:id="78" w:name="_Toc16268585"/>
      <w:bookmarkStart w:id="79" w:name="_Toc331688389"/>
      <w:bookmarkStart w:id="80" w:name="_Toc530388609"/>
      <w:bookmarkStart w:id="81" w:name="_Toc268109191"/>
      <w:bookmarkStart w:id="82" w:name="_Toc399073315"/>
      <w:bookmarkStart w:id="83" w:name="_Toc100487475"/>
      <w:bookmarkStart w:id="84" w:name="_Toc152042311"/>
      <w:bookmarkStart w:id="85" w:name="_Toc152045535"/>
      <w:bookmarkStart w:id="86" w:name="_Toc16268074"/>
      <w:bookmarkStart w:id="87" w:name="_Toc144974503"/>
      <w:r>
        <w:rPr>
          <w:rFonts w:hint="eastAsia" w:ascii="宋体" w:hAnsi="宋体" w:eastAsia="宋体"/>
          <w:b/>
          <w:sz w:val="28"/>
          <w:szCs w:val="28"/>
        </w:rPr>
        <w:t>1.5 费用承担</w:t>
      </w:r>
      <w:bookmarkEnd w:id="76"/>
      <w:bookmarkEnd w:id="77"/>
      <w:bookmarkEnd w:id="78"/>
      <w:bookmarkEnd w:id="79"/>
      <w:bookmarkEnd w:id="80"/>
      <w:bookmarkEnd w:id="81"/>
      <w:bookmarkEnd w:id="82"/>
      <w:bookmarkEnd w:id="83"/>
      <w:bookmarkEnd w:id="84"/>
      <w:bookmarkEnd w:id="85"/>
      <w:bookmarkEnd w:id="86"/>
      <w:bookmarkEnd w:id="87"/>
    </w:p>
    <w:p w14:paraId="77184107">
      <w:pPr>
        <w:spacing w:line="440" w:lineRule="exact"/>
        <w:ind w:firstLine="480" w:firstLineChars="200"/>
        <w:rPr>
          <w:rFonts w:hint="eastAsia"/>
          <w:sz w:val="24"/>
        </w:rPr>
      </w:pPr>
      <w:r>
        <w:rPr>
          <w:rFonts w:hint="eastAsia"/>
          <w:sz w:val="24"/>
        </w:rPr>
        <w:t>投标人准备和参加投标活动发生的费用自理。</w:t>
      </w:r>
    </w:p>
    <w:p w14:paraId="514A28FC">
      <w:pPr>
        <w:pStyle w:val="87"/>
        <w:spacing w:line="440" w:lineRule="exact"/>
        <w:rPr>
          <w:rFonts w:hint="eastAsia" w:ascii="宋体" w:hAnsi="宋体" w:eastAsia="宋体"/>
          <w:b/>
          <w:sz w:val="28"/>
          <w:szCs w:val="28"/>
        </w:rPr>
      </w:pPr>
      <w:bookmarkStart w:id="88" w:name="_Toc530388610"/>
      <w:bookmarkStart w:id="89" w:name="_Toc152045536"/>
      <w:bookmarkStart w:id="90" w:name="_Toc152042312"/>
      <w:bookmarkStart w:id="91" w:name="_Toc268109192"/>
      <w:bookmarkStart w:id="92" w:name="_Toc144974504"/>
      <w:bookmarkStart w:id="93" w:name="_Toc399073316"/>
      <w:bookmarkStart w:id="94" w:name="_Toc251319479"/>
      <w:bookmarkStart w:id="95" w:name="_Toc331688390"/>
      <w:bookmarkStart w:id="96" w:name="_Toc16268075"/>
      <w:bookmarkStart w:id="97" w:name="_Toc100487476"/>
      <w:bookmarkStart w:id="98" w:name="_Toc251248575"/>
      <w:bookmarkStart w:id="99" w:name="_Toc16268586"/>
      <w:r>
        <w:rPr>
          <w:rFonts w:hint="eastAsia" w:ascii="宋体" w:hAnsi="宋体" w:eastAsia="宋体"/>
          <w:b/>
          <w:sz w:val="28"/>
          <w:szCs w:val="28"/>
        </w:rPr>
        <w:t>1.6 保密</w:t>
      </w:r>
      <w:bookmarkEnd w:id="88"/>
      <w:bookmarkEnd w:id="89"/>
      <w:bookmarkEnd w:id="90"/>
      <w:bookmarkEnd w:id="91"/>
      <w:bookmarkEnd w:id="92"/>
      <w:bookmarkEnd w:id="93"/>
      <w:bookmarkEnd w:id="94"/>
      <w:bookmarkEnd w:id="95"/>
      <w:bookmarkEnd w:id="96"/>
      <w:bookmarkEnd w:id="97"/>
      <w:bookmarkEnd w:id="98"/>
      <w:bookmarkEnd w:id="99"/>
    </w:p>
    <w:p w14:paraId="1392B2F8">
      <w:pPr>
        <w:spacing w:line="440" w:lineRule="exact"/>
        <w:ind w:firstLine="480" w:firstLineChars="200"/>
        <w:rPr>
          <w:rFonts w:hint="eastAsia"/>
          <w:sz w:val="24"/>
        </w:rPr>
      </w:pPr>
      <w:r>
        <w:rPr>
          <w:rFonts w:hint="eastAsia"/>
          <w:sz w:val="24"/>
        </w:rPr>
        <w:t xml:space="preserve">参与招标投标活动的各方应对招标文件和投标文件中的商业和技术等秘密保密，违者应对由此造成的后果承担法律责任。 </w:t>
      </w:r>
    </w:p>
    <w:p w14:paraId="0793962A">
      <w:pPr>
        <w:pStyle w:val="87"/>
        <w:spacing w:line="440" w:lineRule="exact"/>
        <w:rPr>
          <w:rFonts w:hint="eastAsia" w:ascii="宋体" w:hAnsi="宋体" w:eastAsia="宋体"/>
          <w:b/>
          <w:sz w:val="28"/>
          <w:szCs w:val="28"/>
        </w:rPr>
      </w:pPr>
      <w:bookmarkStart w:id="100" w:name="_Toc144974505"/>
      <w:bookmarkStart w:id="101" w:name="_Toc16268076"/>
      <w:bookmarkStart w:id="102" w:name="_Toc100487477"/>
      <w:bookmarkStart w:id="103" w:name="_Toc268109193"/>
      <w:bookmarkStart w:id="104" w:name="_Toc16268587"/>
      <w:bookmarkStart w:id="105" w:name="_Toc251248576"/>
      <w:bookmarkStart w:id="106" w:name="_Toc331688391"/>
      <w:bookmarkStart w:id="107" w:name="_Toc152045537"/>
      <w:bookmarkStart w:id="108" w:name="_Toc530388611"/>
      <w:bookmarkStart w:id="109" w:name="_Toc251319480"/>
      <w:bookmarkStart w:id="110" w:name="_Toc399073317"/>
      <w:bookmarkStart w:id="111" w:name="_Toc152042313"/>
      <w:r>
        <w:rPr>
          <w:rFonts w:hint="eastAsia" w:ascii="宋体" w:hAnsi="宋体" w:eastAsia="宋体"/>
          <w:b/>
          <w:sz w:val="28"/>
          <w:szCs w:val="28"/>
        </w:rPr>
        <w:t>1.7 语言</w:t>
      </w:r>
      <w:bookmarkEnd w:id="100"/>
      <w:r>
        <w:rPr>
          <w:rFonts w:hint="eastAsia" w:ascii="宋体" w:hAnsi="宋体" w:eastAsia="宋体"/>
          <w:b/>
          <w:sz w:val="28"/>
          <w:szCs w:val="28"/>
        </w:rPr>
        <w:t>文字</w:t>
      </w:r>
      <w:bookmarkEnd w:id="101"/>
      <w:bookmarkEnd w:id="102"/>
      <w:bookmarkEnd w:id="103"/>
      <w:bookmarkEnd w:id="104"/>
      <w:bookmarkEnd w:id="105"/>
      <w:bookmarkEnd w:id="106"/>
      <w:bookmarkEnd w:id="107"/>
      <w:bookmarkEnd w:id="108"/>
      <w:bookmarkEnd w:id="109"/>
      <w:bookmarkEnd w:id="110"/>
      <w:bookmarkEnd w:id="111"/>
    </w:p>
    <w:p w14:paraId="1117DE61">
      <w:pPr>
        <w:spacing w:line="440" w:lineRule="exact"/>
        <w:ind w:firstLine="480" w:firstLineChars="200"/>
        <w:rPr>
          <w:rFonts w:hint="eastAsia"/>
          <w:sz w:val="24"/>
        </w:rPr>
      </w:pPr>
      <w:r>
        <w:rPr>
          <w:rFonts w:hint="eastAsia"/>
          <w:sz w:val="24"/>
        </w:rPr>
        <w:t>除专用术语外，与招标投标有关的语言均使用中文。必要时专用术语应附有中文注释。</w:t>
      </w:r>
    </w:p>
    <w:p w14:paraId="2E974E22">
      <w:pPr>
        <w:pStyle w:val="87"/>
        <w:spacing w:line="440" w:lineRule="exact"/>
        <w:rPr>
          <w:rFonts w:hint="eastAsia" w:ascii="宋体" w:hAnsi="宋体" w:eastAsia="宋体"/>
          <w:b/>
          <w:sz w:val="28"/>
          <w:szCs w:val="28"/>
        </w:rPr>
      </w:pPr>
      <w:bookmarkStart w:id="112" w:name="_Toc144974506"/>
      <w:bookmarkStart w:id="113" w:name="_Toc16268077"/>
      <w:bookmarkStart w:id="114" w:name="_Toc268109194"/>
      <w:bookmarkStart w:id="115" w:name="_Toc530388612"/>
      <w:bookmarkStart w:id="116" w:name="_Toc251248577"/>
      <w:bookmarkStart w:id="117" w:name="_Toc251319481"/>
      <w:bookmarkStart w:id="118" w:name="_Toc100487478"/>
      <w:bookmarkStart w:id="119" w:name="_Toc399073318"/>
      <w:bookmarkStart w:id="120" w:name="_Toc152045538"/>
      <w:bookmarkStart w:id="121" w:name="_Toc331688392"/>
      <w:bookmarkStart w:id="122" w:name="_Toc16268588"/>
      <w:bookmarkStart w:id="123" w:name="_Toc152042314"/>
      <w:r>
        <w:rPr>
          <w:rFonts w:hint="eastAsia" w:ascii="宋体" w:hAnsi="宋体" w:eastAsia="宋体"/>
          <w:b/>
          <w:sz w:val="28"/>
          <w:szCs w:val="28"/>
        </w:rPr>
        <w:t>1.8 计量单位</w:t>
      </w:r>
      <w:bookmarkEnd w:id="112"/>
      <w:bookmarkEnd w:id="113"/>
      <w:bookmarkEnd w:id="114"/>
      <w:bookmarkEnd w:id="115"/>
      <w:bookmarkEnd w:id="116"/>
      <w:bookmarkEnd w:id="117"/>
      <w:bookmarkEnd w:id="118"/>
      <w:bookmarkEnd w:id="119"/>
      <w:bookmarkEnd w:id="120"/>
      <w:bookmarkEnd w:id="121"/>
      <w:bookmarkEnd w:id="122"/>
      <w:bookmarkEnd w:id="123"/>
    </w:p>
    <w:p w14:paraId="23C3F073">
      <w:pPr>
        <w:spacing w:line="440" w:lineRule="exact"/>
        <w:ind w:firstLine="480" w:firstLineChars="200"/>
        <w:rPr>
          <w:rFonts w:hint="eastAsia"/>
          <w:sz w:val="24"/>
        </w:rPr>
      </w:pPr>
      <w:r>
        <w:rPr>
          <w:rFonts w:hint="eastAsia"/>
          <w:sz w:val="24"/>
        </w:rPr>
        <w:t>所有计量均采用中华人民共和国法定计量单位。</w:t>
      </w:r>
    </w:p>
    <w:p w14:paraId="41098BFC">
      <w:pPr>
        <w:pStyle w:val="87"/>
        <w:spacing w:line="440" w:lineRule="exact"/>
        <w:rPr>
          <w:rFonts w:hint="eastAsia" w:ascii="宋体" w:hAnsi="宋体" w:eastAsia="宋体"/>
          <w:b/>
          <w:sz w:val="28"/>
          <w:szCs w:val="28"/>
        </w:rPr>
      </w:pPr>
      <w:bookmarkStart w:id="124" w:name="_Toc251248578"/>
      <w:bookmarkStart w:id="125" w:name="_Toc144974507"/>
      <w:bookmarkStart w:id="126" w:name="_Toc152042315"/>
      <w:bookmarkStart w:id="127" w:name="_Toc251319482"/>
      <w:bookmarkStart w:id="128" w:name="_Toc152045539"/>
      <w:bookmarkStart w:id="129" w:name="_Toc268109195"/>
      <w:bookmarkStart w:id="130" w:name="_Toc100487479"/>
      <w:bookmarkStart w:id="131" w:name="_Toc530388613"/>
      <w:bookmarkStart w:id="132" w:name="_Toc16268589"/>
      <w:bookmarkStart w:id="133" w:name="_Toc331688393"/>
      <w:bookmarkStart w:id="134" w:name="_Toc399073319"/>
      <w:bookmarkStart w:id="135" w:name="_Toc16268078"/>
      <w:r>
        <w:rPr>
          <w:rFonts w:hint="eastAsia" w:ascii="宋体" w:hAnsi="宋体" w:eastAsia="宋体"/>
          <w:b/>
          <w:sz w:val="28"/>
          <w:szCs w:val="28"/>
        </w:rPr>
        <w:t>1.9 踏勘现场</w:t>
      </w:r>
      <w:bookmarkEnd w:id="124"/>
      <w:bookmarkEnd w:id="125"/>
      <w:bookmarkEnd w:id="126"/>
      <w:bookmarkEnd w:id="127"/>
      <w:bookmarkEnd w:id="128"/>
      <w:bookmarkEnd w:id="129"/>
      <w:r>
        <w:rPr>
          <w:rFonts w:hint="eastAsia" w:ascii="宋体" w:hAnsi="宋体" w:eastAsia="宋体"/>
          <w:b/>
          <w:sz w:val="28"/>
          <w:szCs w:val="28"/>
        </w:rPr>
        <w:t>：不组织</w:t>
      </w:r>
      <w:bookmarkEnd w:id="130"/>
      <w:bookmarkEnd w:id="131"/>
      <w:bookmarkEnd w:id="132"/>
      <w:bookmarkEnd w:id="133"/>
      <w:bookmarkEnd w:id="134"/>
      <w:bookmarkEnd w:id="135"/>
    </w:p>
    <w:p w14:paraId="4B1FF8E7">
      <w:pPr>
        <w:spacing w:line="440" w:lineRule="exact"/>
        <w:ind w:firstLine="480" w:firstLineChars="200"/>
        <w:rPr>
          <w:rFonts w:hint="eastAsia"/>
          <w:sz w:val="24"/>
        </w:rPr>
      </w:pPr>
    </w:p>
    <w:p w14:paraId="60A0CF7C">
      <w:pPr>
        <w:pStyle w:val="87"/>
        <w:spacing w:line="440" w:lineRule="exact"/>
        <w:rPr>
          <w:rFonts w:hint="eastAsia" w:ascii="宋体" w:hAnsi="宋体" w:eastAsia="宋体"/>
          <w:b/>
          <w:sz w:val="28"/>
          <w:szCs w:val="28"/>
        </w:rPr>
      </w:pPr>
      <w:bookmarkStart w:id="136" w:name="_Toc152042316"/>
      <w:bookmarkStart w:id="137" w:name="_Toc144974508"/>
      <w:bookmarkStart w:id="138" w:name="_Toc268109196"/>
      <w:bookmarkStart w:id="139" w:name="_Toc152045540"/>
      <w:bookmarkStart w:id="140" w:name="_Toc251248579"/>
      <w:bookmarkStart w:id="141" w:name="_Toc251319483"/>
      <w:bookmarkStart w:id="142" w:name="_Toc100487480"/>
      <w:bookmarkStart w:id="143" w:name="_Toc331688394"/>
      <w:bookmarkStart w:id="144" w:name="_Toc530388614"/>
      <w:bookmarkStart w:id="145" w:name="_Toc16268590"/>
      <w:bookmarkStart w:id="146" w:name="_Toc16268079"/>
      <w:bookmarkStart w:id="147" w:name="_Toc399073320"/>
      <w:r>
        <w:rPr>
          <w:rFonts w:hint="eastAsia" w:ascii="宋体" w:hAnsi="宋体" w:eastAsia="宋体"/>
          <w:b/>
          <w:sz w:val="28"/>
          <w:szCs w:val="28"/>
        </w:rPr>
        <w:t>1.10 投标预备会</w:t>
      </w:r>
      <w:bookmarkEnd w:id="136"/>
      <w:bookmarkEnd w:id="137"/>
      <w:bookmarkEnd w:id="138"/>
      <w:bookmarkEnd w:id="139"/>
      <w:bookmarkEnd w:id="140"/>
      <w:bookmarkEnd w:id="141"/>
      <w:r>
        <w:rPr>
          <w:rFonts w:hint="eastAsia" w:ascii="宋体" w:hAnsi="宋体" w:eastAsia="宋体"/>
          <w:b/>
          <w:sz w:val="28"/>
          <w:szCs w:val="28"/>
        </w:rPr>
        <w:t>：不召开</w:t>
      </w:r>
      <w:bookmarkEnd w:id="142"/>
      <w:bookmarkEnd w:id="143"/>
      <w:bookmarkEnd w:id="144"/>
      <w:bookmarkEnd w:id="145"/>
      <w:bookmarkEnd w:id="146"/>
      <w:bookmarkEnd w:id="147"/>
    </w:p>
    <w:p w14:paraId="43DB8411">
      <w:pPr>
        <w:spacing w:line="440" w:lineRule="exact"/>
        <w:ind w:firstLine="480" w:firstLineChars="200"/>
        <w:rPr>
          <w:rFonts w:hint="eastAsia"/>
          <w:sz w:val="24"/>
        </w:rPr>
      </w:pPr>
    </w:p>
    <w:p w14:paraId="34EEA0B3">
      <w:pPr>
        <w:pStyle w:val="87"/>
        <w:spacing w:line="440" w:lineRule="exact"/>
        <w:rPr>
          <w:rFonts w:hint="eastAsia" w:ascii="宋体" w:hAnsi="宋体" w:eastAsia="宋体"/>
          <w:b/>
          <w:sz w:val="28"/>
          <w:szCs w:val="28"/>
        </w:rPr>
      </w:pPr>
      <w:bookmarkStart w:id="148" w:name="_Toc251319484"/>
      <w:bookmarkStart w:id="149" w:name="_Toc152042317"/>
      <w:bookmarkStart w:id="150" w:name="_Toc144974509"/>
      <w:bookmarkStart w:id="151" w:name="_Toc251248580"/>
      <w:bookmarkStart w:id="152" w:name="_Toc152045541"/>
      <w:bookmarkStart w:id="153" w:name="_Toc268109197"/>
      <w:bookmarkStart w:id="154" w:name="_Toc331688395"/>
      <w:bookmarkStart w:id="155" w:name="_Toc16268080"/>
      <w:bookmarkStart w:id="156" w:name="_Toc399073321"/>
      <w:bookmarkStart w:id="157" w:name="_Toc100487481"/>
      <w:bookmarkStart w:id="158" w:name="_Toc530388615"/>
      <w:bookmarkStart w:id="159" w:name="_Toc16268591"/>
      <w:r>
        <w:rPr>
          <w:rFonts w:hint="eastAsia" w:ascii="宋体" w:hAnsi="宋体" w:eastAsia="宋体"/>
          <w:b/>
          <w:sz w:val="28"/>
          <w:szCs w:val="28"/>
        </w:rPr>
        <w:t>1.11 分包</w:t>
      </w:r>
      <w:bookmarkEnd w:id="148"/>
      <w:bookmarkEnd w:id="149"/>
      <w:bookmarkEnd w:id="150"/>
      <w:bookmarkEnd w:id="151"/>
      <w:bookmarkEnd w:id="152"/>
      <w:bookmarkEnd w:id="153"/>
      <w:r>
        <w:rPr>
          <w:rFonts w:hint="eastAsia" w:ascii="宋体" w:hAnsi="宋体" w:eastAsia="宋体"/>
          <w:b/>
          <w:sz w:val="28"/>
          <w:szCs w:val="28"/>
        </w:rPr>
        <w:t>：不允许</w:t>
      </w:r>
      <w:bookmarkEnd w:id="154"/>
      <w:bookmarkEnd w:id="155"/>
      <w:bookmarkEnd w:id="156"/>
      <w:bookmarkEnd w:id="157"/>
      <w:bookmarkEnd w:id="158"/>
      <w:bookmarkEnd w:id="159"/>
    </w:p>
    <w:p w14:paraId="7FBEF007">
      <w:pPr>
        <w:spacing w:line="440" w:lineRule="exact"/>
        <w:ind w:firstLine="648" w:firstLineChars="270"/>
        <w:rPr>
          <w:rFonts w:hint="eastAsia"/>
          <w:sz w:val="24"/>
        </w:rPr>
      </w:pPr>
    </w:p>
    <w:p w14:paraId="744386C2">
      <w:pPr>
        <w:pStyle w:val="87"/>
        <w:spacing w:line="440" w:lineRule="exact"/>
        <w:rPr>
          <w:rFonts w:hint="eastAsia" w:ascii="宋体" w:hAnsi="宋体" w:eastAsia="宋体"/>
          <w:b/>
          <w:sz w:val="28"/>
          <w:szCs w:val="28"/>
        </w:rPr>
      </w:pPr>
      <w:bookmarkStart w:id="160" w:name="_Toc251319485"/>
      <w:bookmarkStart w:id="161" w:name="_Toc251248581"/>
      <w:bookmarkStart w:id="162" w:name="_Toc268109198"/>
      <w:bookmarkStart w:id="163" w:name="_Toc100487482"/>
      <w:bookmarkStart w:id="164" w:name="_Toc331688396"/>
      <w:bookmarkStart w:id="165" w:name="_Toc399073322"/>
      <w:bookmarkStart w:id="166" w:name="_Toc16268592"/>
      <w:bookmarkStart w:id="167" w:name="_Toc16268081"/>
      <w:bookmarkStart w:id="168" w:name="_Toc530388616"/>
      <w:r>
        <w:rPr>
          <w:rFonts w:hint="eastAsia" w:ascii="宋体" w:hAnsi="宋体" w:eastAsia="宋体"/>
          <w:b/>
          <w:sz w:val="28"/>
          <w:szCs w:val="28"/>
        </w:rPr>
        <w:t>1.12 偏离</w:t>
      </w:r>
      <w:bookmarkEnd w:id="160"/>
      <w:bookmarkEnd w:id="161"/>
      <w:bookmarkEnd w:id="162"/>
      <w:r>
        <w:rPr>
          <w:rFonts w:hint="eastAsia" w:ascii="宋体" w:hAnsi="宋体" w:eastAsia="宋体"/>
          <w:b/>
          <w:sz w:val="28"/>
          <w:szCs w:val="28"/>
        </w:rPr>
        <w:t>：不允许</w:t>
      </w:r>
      <w:bookmarkEnd w:id="163"/>
      <w:bookmarkEnd w:id="164"/>
      <w:bookmarkEnd w:id="165"/>
      <w:bookmarkEnd w:id="166"/>
      <w:bookmarkEnd w:id="167"/>
      <w:bookmarkEnd w:id="168"/>
    </w:p>
    <w:p w14:paraId="5C4CF304">
      <w:pPr>
        <w:spacing w:line="440" w:lineRule="exact"/>
        <w:ind w:firstLine="410" w:firstLineChars="171"/>
        <w:rPr>
          <w:rFonts w:hint="eastAsia"/>
          <w:sz w:val="24"/>
        </w:rPr>
      </w:pPr>
    </w:p>
    <w:p w14:paraId="0E4AEE6E">
      <w:pPr>
        <w:pStyle w:val="85"/>
        <w:spacing w:after="100" w:line="500" w:lineRule="exact"/>
        <w:rPr>
          <w:rFonts w:hint="eastAsia" w:ascii="黑体"/>
          <w:sz w:val="30"/>
          <w:szCs w:val="30"/>
        </w:rPr>
      </w:pPr>
      <w:bookmarkStart w:id="169" w:name="_Toc144974510"/>
      <w:bookmarkStart w:id="170" w:name="_Toc152045542"/>
      <w:bookmarkStart w:id="171" w:name="_Toc100487483"/>
      <w:bookmarkStart w:id="172" w:name="_Toc152042318"/>
      <w:r>
        <w:rPr>
          <w:rFonts w:hint="eastAsia" w:ascii="黑体"/>
          <w:sz w:val="30"/>
          <w:szCs w:val="30"/>
        </w:rPr>
        <w:t>2. 招标文件</w:t>
      </w:r>
      <w:bookmarkEnd w:id="169"/>
      <w:bookmarkEnd w:id="170"/>
      <w:bookmarkEnd w:id="171"/>
      <w:bookmarkEnd w:id="172"/>
    </w:p>
    <w:p w14:paraId="3BC0B486">
      <w:pPr>
        <w:pStyle w:val="87"/>
        <w:spacing w:line="440" w:lineRule="exact"/>
        <w:rPr>
          <w:rFonts w:hint="eastAsia" w:ascii="宋体" w:hAnsi="宋体" w:eastAsia="宋体"/>
          <w:b/>
          <w:sz w:val="28"/>
          <w:szCs w:val="28"/>
        </w:rPr>
      </w:pPr>
      <w:bookmarkStart w:id="173" w:name="_Toc331688398"/>
      <w:bookmarkStart w:id="174" w:name="_Toc530388618"/>
      <w:bookmarkStart w:id="175" w:name="_Toc152045543"/>
      <w:bookmarkStart w:id="176" w:name="_Toc144974511"/>
      <w:bookmarkStart w:id="177" w:name="_Toc251319487"/>
      <w:bookmarkStart w:id="178" w:name="_Toc399073324"/>
      <w:bookmarkStart w:id="179" w:name="_Toc268109200"/>
      <w:bookmarkStart w:id="180" w:name="_Toc100487484"/>
      <w:bookmarkStart w:id="181" w:name="_Toc152042319"/>
      <w:bookmarkStart w:id="182" w:name="_Toc251248583"/>
      <w:bookmarkStart w:id="183" w:name="_Toc16268594"/>
      <w:bookmarkStart w:id="184" w:name="_Toc16268083"/>
      <w:r>
        <w:rPr>
          <w:rFonts w:hint="eastAsia" w:ascii="宋体" w:hAnsi="宋体" w:eastAsia="宋体"/>
          <w:b/>
          <w:sz w:val="28"/>
          <w:szCs w:val="28"/>
        </w:rPr>
        <w:t>2.1 招标文件的组成</w:t>
      </w:r>
      <w:bookmarkEnd w:id="173"/>
      <w:bookmarkEnd w:id="174"/>
      <w:bookmarkEnd w:id="175"/>
      <w:bookmarkEnd w:id="176"/>
      <w:bookmarkEnd w:id="177"/>
      <w:bookmarkEnd w:id="178"/>
      <w:bookmarkEnd w:id="179"/>
      <w:bookmarkEnd w:id="180"/>
      <w:bookmarkEnd w:id="181"/>
      <w:bookmarkEnd w:id="182"/>
      <w:bookmarkEnd w:id="183"/>
      <w:bookmarkEnd w:id="184"/>
    </w:p>
    <w:p w14:paraId="5FF15539">
      <w:pPr>
        <w:spacing w:line="440" w:lineRule="exact"/>
        <w:rPr>
          <w:rFonts w:hint="eastAsia"/>
          <w:sz w:val="24"/>
        </w:rPr>
      </w:pPr>
      <w:r>
        <w:rPr>
          <w:rFonts w:hint="eastAsia"/>
          <w:sz w:val="24"/>
        </w:rPr>
        <w:t>　　本招标文件包括：</w:t>
      </w:r>
    </w:p>
    <w:p w14:paraId="284854EA">
      <w:pPr>
        <w:spacing w:line="440" w:lineRule="exact"/>
        <w:ind w:firstLine="410" w:firstLineChars="171"/>
        <w:rPr>
          <w:rFonts w:hint="eastAsia"/>
          <w:sz w:val="24"/>
        </w:rPr>
      </w:pPr>
      <w:r>
        <w:rPr>
          <w:rFonts w:hint="eastAsia"/>
          <w:sz w:val="24"/>
        </w:rPr>
        <w:t>（1）招标公告；</w:t>
      </w:r>
    </w:p>
    <w:p w14:paraId="1139C61F">
      <w:pPr>
        <w:spacing w:line="440" w:lineRule="exact"/>
        <w:ind w:firstLine="410" w:firstLineChars="171"/>
        <w:rPr>
          <w:rFonts w:hint="eastAsia"/>
          <w:sz w:val="24"/>
        </w:rPr>
      </w:pPr>
      <w:r>
        <w:rPr>
          <w:rFonts w:hint="eastAsia"/>
          <w:sz w:val="24"/>
        </w:rPr>
        <w:t>（2）投标人须知；</w:t>
      </w:r>
    </w:p>
    <w:p w14:paraId="58E8570B">
      <w:pPr>
        <w:spacing w:line="440" w:lineRule="exact"/>
        <w:ind w:firstLine="410" w:firstLineChars="171"/>
        <w:rPr>
          <w:rFonts w:hint="eastAsia"/>
          <w:sz w:val="24"/>
        </w:rPr>
      </w:pPr>
      <w:r>
        <w:rPr>
          <w:rFonts w:hint="eastAsia"/>
          <w:sz w:val="24"/>
        </w:rPr>
        <w:t>（3）评标办法；</w:t>
      </w:r>
    </w:p>
    <w:p w14:paraId="58A331AF">
      <w:pPr>
        <w:spacing w:line="440" w:lineRule="exact"/>
        <w:ind w:firstLine="410" w:firstLineChars="171"/>
        <w:rPr>
          <w:rFonts w:hint="eastAsia"/>
          <w:sz w:val="24"/>
        </w:rPr>
      </w:pPr>
      <w:r>
        <w:rPr>
          <w:rFonts w:hint="eastAsia"/>
          <w:sz w:val="24"/>
        </w:rPr>
        <w:t>（4）合同条款及格式；</w:t>
      </w:r>
    </w:p>
    <w:p w14:paraId="673E9603">
      <w:pPr>
        <w:spacing w:line="440" w:lineRule="exact"/>
        <w:ind w:firstLine="410" w:firstLineChars="171"/>
        <w:rPr>
          <w:rFonts w:hint="eastAsia"/>
          <w:sz w:val="24"/>
        </w:rPr>
      </w:pPr>
      <w:r>
        <w:rPr>
          <w:rFonts w:hint="eastAsia"/>
          <w:sz w:val="24"/>
        </w:rPr>
        <w:t xml:space="preserve">（5）工程量清单； </w:t>
      </w:r>
    </w:p>
    <w:p w14:paraId="3DABC54E">
      <w:pPr>
        <w:spacing w:line="440" w:lineRule="exact"/>
        <w:ind w:firstLine="410" w:firstLineChars="171"/>
        <w:rPr>
          <w:rFonts w:hint="eastAsia"/>
          <w:sz w:val="24"/>
        </w:rPr>
      </w:pPr>
      <w:r>
        <w:rPr>
          <w:rFonts w:hint="eastAsia"/>
          <w:sz w:val="24"/>
        </w:rPr>
        <w:t xml:space="preserve">（6）技术标准和要求； </w:t>
      </w:r>
    </w:p>
    <w:p w14:paraId="20E94187">
      <w:pPr>
        <w:spacing w:line="440" w:lineRule="exact"/>
        <w:ind w:firstLine="410" w:firstLineChars="171"/>
        <w:rPr>
          <w:rFonts w:hint="eastAsia"/>
          <w:sz w:val="24"/>
        </w:rPr>
      </w:pPr>
      <w:r>
        <w:rPr>
          <w:rFonts w:hint="eastAsia"/>
          <w:sz w:val="24"/>
        </w:rPr>
        <w:t>（7）投标文件格式；</w:t>
      </w:r>
    </w:p>
    <w:p w14:paraId="46C4BA28">
      <w:pPr>
        <w:spacing w:line="440" w:lineRule="exact"/>
        <w:ind w:firstLine="410" w:firstLineChars="171"/>
        <w:rPr>
          <w:rFonts w:hint="eastAsia"/>
          <w:sz w:val="24"/>
        </w:rPr>
      </w:pPr>
      <w:r>
        <w:rPr>
          <w:rFonts w:hint="eastAsia"/>
          <w:sz w:val="24"/>
        </w:rPr>
        <w:t>（8）图纸；</w:t>
      </w:r>
    </w:p>
    <w:p w14:paraId="37DF33A9">
      <w:pPr>
        <w:spacing w:line="440" w:lineRule="exact"/>
        <w:ind w:firstLine="410" w:firstLineChars="171"/>
        <w:rPr>
          <w:rFonts w:hint="eastAsia"/>
          <w:sz w:val="24"/>
        </w:rPr>
      </w:pPr>
      <w:r>
        <w:rPr>
          <w:rFonts w:hint="eastAsia"/>
          <w:sz w:val="24"/>
        </w:rPr>
        <w:t>（9）投标人须知前附表规定的其他材料。</w:t>
      </w:r>
    </w:p>
    <w:p w14:paraId="2D1BE81E">
      <w:pPr>
        <w:spacing w:line="440" w:lineRule="exact"/>
        <w:ind w:firstLine="480" w:firstLineChars="200"/>
        <w:rPr>
          <w:rFonts w:hint="eastAsia"/>
          <w:sz w:val="24"/>
        </w:rPr>
      </w:pPr>
      <w:r>
        <w:rPr>
          <w:rFonts w:hint="eastAsia"/>
          <w:sz w:val="24"/>
        </w:rPr>
        <w:t>根据本章第2.2款和第2.3款对招标文件所作的澄清、修改，构成招标文件的组成部分。</w:t>
      </w:r>
    </w:p>
    <w:p w14:paraId="2B3667B9">
      <w:pPr>
        <w:pStyle w:val="87"/>
        <w:spacing w:line="440" w:lineRule="exact"/>
        <w:rPr>
          <w:rFonts w:hint="eastAsia" w:ascii="宋体" w:hAnsi="宋体" w:eastAsia="宋体"/>
          <w:b/>
          <w:sz w:val="28"/>
          <w:szCs w:val="28"/>
        </w:rPr>
      </w:pPr>
      <w:bookmarkStart w:id="185" w:name="_Toc16268084"/>
      <w:bookmarkStart w:id="186" w:name="_Toc16268595"/>
      <w:bookmarkStart w:id="187" w:name="_Toc100487485"/>
      <w:bookmarkStart w:id="188" w:name="_Toc530388619"/>
      <w:bookmarkStart w:id="189" w:name="_Toc399073325"/>
      <w:bookmarkStart w:id="190" w:name="_Toc152045544"/>
      <w:bookmarkStart w:id="191" w:name="_Toc152042320"/>
      <w:bookmarkStart w:id="192" w:name="_Toc251248584"/>
      <w:bookmarkStart w:id="193" w:name="_Toc251319488"/>
      <w:bookmarkStart w:id="194" w:name="_Toc144974512"/>
      <w:bookmarkStart w:id="195" w:name="_Toc268109201"/>
      <w:bookmarkStart w:id="196" w:name="_Toc331688399"/>
      <w:r>
        <w:rPr>
          <w:rFonts w:hint="eastAsia" w:ascii="宋体" w:hAnsi="宋体" w:eastAsia="宋体"/>
          <w:b/>
          <w:sz w:val="28"/>
          <w:szCs w:val="28"/>
        </w:rPr>
        <w:t>2.2 招标文件的澄清</w:t>
      </w:r>
      <w:bookmarkEnd w:id="185"/>
      <w:bookmarkEnd w:id="186"/>
      <w:bookmarkEnd w:id="187"/>
      <w:bookmarkEnd w:id="188"/>
      <w:bookmarkEnd w:id="189"/>
      <w:bookmarkEnd w:id="190"/>
      <w:bookmarkEnd w:id="191"/>
      <w:bookmarkEnd w:id="192"/>
      <w:bookmarkEnd w:id="193"/>
      <w:bookmarkEnd w:id="194"/>
      <w:bookmarkEnd w:id="195"/>
      <w:bookmarkEnd w:id="196"/>
    </w:p>
    <w:p w14:paraId="11EE1A92">
      <w:pPr>
        <w:spacing w:line="440" w:lineRule="exact"/>
        <w:ind w:firstLine="480" w:firstLineChars="200"/>
        <w:rPr>
          <w:rFonts w:hint="eastAsia"/>
          <w:sz w:val="24"/>
        </w:rPr>
      </w:pPr>
      <w:r>
        <w:rPr>
          <w:rFonts w:hint="eastAsia"/>
          <w:sz w:val="24"/>
        </w:rPr>
        <w:t>2.2.1投标人应仔细阅读和检查招标文件的全部内容。如发现缺页或附件不全，应及时向招标人提出，以便补齐。如有疑问，应在投标人须知前附表规定的时间前以书面形式（包括信函、电报、传真等可以有形表现所载内容的形式，下同），要求招标人对招标文件予以澄清。</w:t>
      </w:r>
    </w:p>
    <w:p w14:paraId="0CFC476B">
      <w:pPr>
        <w:spacing w:line="440" w:lineRule="exact"/>
        <w:ind w:firstLine="480" w:firstLineChars="200"/>
        <w:rPr>
          <w:rFonts w:hint="eastAsia"/>
          <w:sz w:val="24"/>
        </w:rPr>
      </w:pPr>
      <w:r>
        <w:rPr>
          <w:rFonts w:hint="eastAsia"/>
          <w:sz w:val="24"/>
        </w:rPr>
        <w:t>2.2.2 招标文件的澄清将在投标人须知前附表规定的投标截止时间15天前在周口市市公共资源交易系统“变更公告”或“答疑文件”将澄清内容予以发布，但不指明澄清问题的来源。如果澄清的内容可能影响投标文件编制且发出的时间距投标截止时间不足15天，相应延长投标截止时间。</w:t>
      </w:r>
    </w:p>
    <w:p w14:paraId="1F4988E7">
      <w:pPr>
        <w:spacing w:line="440" w:lineRule="exact"/>
        <w:ind w:firstLine="480" w:firstLineChars="200"/>
        <w:rPr>
          <w:rFonts w:hint="eastAsia"/>
          <w:sz w:val="24"/>
        </w:rPr>
      </w:pPr>
      <w:r>
        <w:rPr>
          <w:rFonts w:hint="eastAsia"/>
          <w:sz w:val="24"/>
        </w:rPr>
        <w:t>投标人应在投标文件递交截止时间前及时查看澄清内容，因投标人未及时查看而造成的后果自负。</w:t>
      </w:r>
    </w:p>
    <w:p w14:paraId="0E186183">
      <w:pPr>
        <w:pStyle w:val="87"/>
        <w:spacing w:line="440" w:lineRule="exact"/>
        <w:rPr>
          <w:rFonts w:hint="eastAsia" w:ascii="宋体" w:hAnsi="宋体" w:eastAsia="宋体"/>
          <w:b/>
          <w:sz w:val="28"/>
          <w:szCs w:val="28"/>
        </w:rPr>
      </w:pPr>
      <w:bookmarkStart w:id="197" w:name="_Toc16268085"/>
      <w:bookmarkStart w:id="198" w:name="_Toc152045545"/>
      <w:bookmarkStart w:id="199" w:name="_Toc16268596"/>
      <w:bookmarkStart w:id="200" w:name="_Toc331688400"/>
      <w:bookmarkStart w:id="201" w:name="_Toc144974513"/>
      <w:bookmarkStart w:id="202" w:name="_Toc530388620"/>
      <w:bookmarkStart w:id="203" w:name="_Toc251319489"/>
      <w:bookmarkStart w:id="204" w:name="_Toc251248585"/>
      <w:bookmarkStart w:id="205" w:name="_Toc399073326"/>
      <w:bookmarkStart w:id="206" w:name="_Toc100487486"/>
      <w:bookmarkStart w:id="207" w:name="_Toc152042321"/>
      <w:bookmarkStart w:id="208" w:name="_Toc268109202"/>
      <w:r>
        <w:rPr>
          <w:rFonts w:hint="eastAsia" w:ascii="宋体" w:hAnsi="宋体" w:eastAsia="宋体"/>
          <w:b/>
          <w:sz w:val="28"/>
          <w:szCs w:val="28"/>
        </w:rPr>
        <w:t>2.3 招标文件的修改</w:t>
      </w:r>
      <w:bookmarkEnd w:id="197"/>
      <w:bookmarkEnd w:id="198"/>
      <w:bookmarkEnd w:id="199"/>
      <w:bookmarkEnd w:id="200"/>
      <w:bookmarkEnd w:id="201"/>
      <w:bookmarkEnd w:id="202"/>
      <w:bookmarkEnd w:id="203"/>
      <w:bookmarkEnd w:id="204"/>
      <w:bookmarkEnd w:id="205"/>
      <w:bookmarkEnd w:id="206"/>
      <w:bookmarkEnd w:id="207"/>
      <w:bookmarkEnd w:id="208"/>
    </w:p>
    <w:p w14:paraId="24DA90FD">
      <w:pPr>
        <w:spacing w:line="440" w:lineRule="exact"/>
        <w:ind w:firstLine="480" w:firstLineChars="200"/>
        <w:rPr>
          <w:rFonts w:hint="eastAsia"/>
          <w:sz w:val="24"/>
        </w:rPr>
      </w:pPr>
      <w:r>
        <w:rPr>
          <w:rFonts w:hint="eastAsia"/>
          <w:sz w:val="24"/>
        </w:rPr>
        <w:t>2.3.1 在投标截止时间15天前，招标人可以修改招标文件。如有修改，应在周口市公共资源交易系统“变更公告”或“答疑文件”将修改内容予以发布。如果修改的内容可能影响投标文件编制且发出的时间距投标截止时间不足15天，相应延长投标截止时间。</w:t>
      </w:r>
    </w:p>
    <w:p w14:paraId="2E11727C">
      <w:pPr>
        <w:spacing w:line="440" w:lineRule="exact"/>
        <w:ind w:firstLine="480" w:firstLineChars="200"/>
        <w:rPr>
          <w:rFonts w:hint="eastAsia"/>
          <w:sz w:val="24"/>
        </w:rPr>
      </w:pPr>
      <w:r>
        <w:rPr>
          <w:rFonts w:hint="eastAsia"/>
          <w:sz w:val="24"/>
        </w:rPr>
        <w:t>当招标文件的澄清、修改、补充等在同一内容的表述上不一致时，以最后在周口市公共资源交易系统发出的文件为准。</w:t>
      </w:r>
    </w:p>
    <w:p w14:paraId="3D8500D5">
      <w:pPr>
        <w:spacing w:line="440" w:lineRule="exact"/>
        <w:ind w:firstLine="480" w:firstLineChars="200"/>
        <w:rPr>
          <w:rFonts w:hint="eastAsia"/>
          <w:sz w:val="24"/>
        </w:rPr>
      </w:pPr>
      <w:r>
        <w:rPr>
          <w:rFonts w:hint="eastAsia"/>
          <w:sz w:val="24"/>
        </w:rPr>
        <w:t xml:space="preserve"> 投标人应在投标文件递交截止时间前及时查看修改内容，因投标人未及时查看而造成的后果自负。</w:t>
      </w:r>
    </w:p>
    <w:p w14:paraId="541976EC">
      <w:pPr>
        <w:pStyle w:val="85"/>
        <w:spacing w:after="100" w:line="500" w:lineRule="exact"/>
        <w:rPr>
          <w:rFonts w:hint="eastAsia" w:ascii="黑体"/>
          <w:sz w:val="30"/>
          <w:szCs w:val="30"/>
        </w:rPr>
      </w:pPr>
      <w:bookmarkStart w:id="209" w:name="_Toc144974514"/>
      <w:bookmarkStart w:id="210" w:name="_Toc152042322"/>
      <w:bookmarkStart w:id="211" w:name="_Toc152045546"/>
      <w:bookmarkStart w:id="212" w:name="_Toc100487487"/>
      <w:r>
        <w:rPr>
          <w:rFonts w:hint="eastAsia" w:ascii="黑体"/>
          <w:sz w:val="30"/>
          <w:szCs w:val="30"/>
        </w:rPr>
        <w:t>3. 投标文件</w:t>
      </w:r>
      <w:bookmarkEnd w:id="209"/>
      <w:bookmarkEnd w:id="210"/>
      <w:bookmarkEnd w:id="211"/>
      <w:bookmarkEnd w:id="212"/>
    </w:p>
    <w:p w14:paraId="5EC71051">
      <w:pPr>
        <w:pStyle w:val="87"/>
        <w:spacing w:line="440" w:lineRule="exact"/>
        <w:rPr>
          <w:rFonts w:hint="eastAsia" w:ascii="宋体" w:hAnsi="宋体" w:eastAsia="宋体"/>
          <w:b/>
          <w:sz w:val="28"/>
          <w:szCs w:val="28"/>
        </w:rPr>
      </w:pPr>
      <w:bookmarkStart w:id="213" w:name="_Toc251319491"/>
      <w:bookmarkStart w:id="214" w:name="_Toc251248587"/>
      <w:bookmarkStart w:id="215" w:name="_Toc399073328"/>
      <w:bookmarkStart w:id="216" w:name="_Toc152042323"/>
      <w:bookmarkStart w:id="217" w:name="_Toc144974515"/>
      <w:bookmarkStart w:id="218" w:name="_Toc268109204"/>
      <w:bookmarkStart w:id="219" w:name="_Toc530388622"/>
      <w:bookmarkStart w:id="220" w:name="_Toc152045547"/>
      <w:bookmarkStart w:id="221" w:name="_Toc100487488"/>
      <w:bookmarkStart w:id="222" w:name="_Toc16268598"/>
      <w:bookmarkStart w:id="223" w:name="_Toc331688402"/>
      <w:bookmarkStart w:id="224" w:name="_Toc16268087"/>
      <w:r>
        <w:rPr>
          <w:rFonts w:hint="eastAsia" w:ascii="宋体" w:hAnsi="宋体" w:eastAsia="宋体"/>
          <w:b/>
          <w:sz w:val="28"/>
          <w:szCs w:val="28"/>
        </w:rPr>
        <w:t>3.1 投标文件的组成</w:t>
      </w:r>
      <w:bookmarkEnd w:id="213"/>
      <w:bookmarkEnd w:id="214"/>
      <w:bookmarkEnd w:id="215"/>
      <w:bookmarkEnd w:id="216"/>
      <w:bookmarkEnd w:id="217"/>
      <w:bookmarkEnd w:id="218"/>
      <w:bookmarkEnd w:id="219"/>
      <w:bookmarkEnd w:id="220"/>
      <w:bookmarkEnd w:id="221"/>
      <w:bookmarkEnd w:id="222"/>
      <w:bookmarkEnd w:id="223"/>
      <w:bookmarkEnd w:id="224"/>
    </w:p>
    <w:p w14:paraId="54FFD0C7">
      <w:pPr>
        <w:spacing w:line="440" w:lineRule="exact"/>
        <w:ind w:firstLine="480"/>
        <w:rPr>
          <w:rFonts w:hint="eastAsia"/>
          <w:sz w:val="24"/>
        </w:rPr>
      </w:pPr>
      <w:r>
        <w:rPr>
          <w:rFonts w:hint="eastAsia"/>
          <w:sz w:val="24"/>
        </w:rPr>
        <w:t>3.1.1投标文件应包括下列内容：</w:t>
      </w:r>
    </w:p>
    <w:p w14:paraId="0970B9F2">
      <w:pPr>
        <w:spacing w:line="540" w:lineRule="exact"/>
        <w:rPr>
          <w:rFonts w:hint="eastAsia"/>
          <w:sz w:val="24"/>
        </w:rPr>
      </w:pPr>
      <w:r>
        <w:rPr>
          <w:rFonts w:hint="eastAsia"/>
          <w:sz w:val="24"/>
        </w:rPr>
        <w:t>一、投标函及投标函附录</w:t>
      </w:r>
    </w:p>
    <w:p w14:paraId="3FF8CC97">
      <w:pPr>
        <w:spacing w:line="540" w:lineRule="exact"/>
        <w:rPr>
          <w:rFonts w:hint="eastAsia"/>
          <w:sz w:val="24"/>
        </w:rPr>
      </w:pPr>
      <w:r>
        <w:rPr>
          <w:rFonts w:hint="eastAsia"/>
          <w:sz w:val="24"/>
        </w:rPr>
        <w:t>二、法定代表人身份证明</w:t>
      </w:r>
    </w:p>
    <w:p w14:paraId="2EE9CAFA">
      <w:pPr>
        <w:spacing w:line="540" w:lineRule="exact"/>
        <w:rPr>
          <w:rFonts w:hint="eastAsia"/>
          <w:sz w:val="24"/>
        </w:rPr>
      </w:pPr>
      <w:r>
        <w:rPr>
          <w:rFonts w:hint="eastAsia"/>
          <w:sz w:val="24"/>
        </w:rPr>
        <w:t>三、授权委托书</w:t>
      </w:r>
    </w:p>
    <w:p w14:paraId="14E6A43E">
      <w:pPr>
        <w:spacing w:line="540" w:lineRule="exact"/>
        <w:rPr>
          <w:rFonts w:hint="eastAsia"/>
          <w:sz w:val="24"/>
        </w:rPr>
      </w:pPr>
      <w:r>
        <w:rPr>
          <w:rFonts w:hint="eastAsia"/>
          <w:sz w:val="24"/>
        </w:rPr>
        <w:t>四、投标保证金</w:t>
      </w:r>
    </w:p>
    <w:p w14:paraId="46616B87">
      <w:pPr>
        <w:spacing w:line="540" w:lineRule="exact"/>
        <w:rPr>
          <w:rFonts w:hint="eastAsia"/>
          <w:sz w:val="24"/>
        </w:rPr>
      </w:pPr>
      <w:r>
        <w:rPr>
          <w:rFonts w:hint="eastAsia"/>
          <w:sz w:val="24"/>
        </w:rPr>
        <w:t>五、已标价的工程量清单</w:t>
      </w:r>
    </w:p>
    <w:p w14:paraId="674E0F57">
      <w:pPr>
        <w:spacing w:line="540" w:lineRule="exact"/>
        <w:rPr>
          <w:rFonts w:hint="eastAsia"/>
          <w:sz w:val="24"/>
        </w:rPr>
      </w:pPr>
      <w:r>
        <w:rPr>
          <w:rFonts w:hint="eastAsia"/>
          <w:sz w:val="24"/>
        </w:rPr>
        <w:t>六、施工组织设计</w:t>
      </w:r>
    </w:p>
    <w:p w14:paraId="69D25B60">
      <w:pPr>
        <w:spacing w:line="540" w:lineRule="exact"/>
        <w:rPr>
          <w:rFonts w:hint="eastAsia"/>
          <w:sz w:val="24"/>
        </w:rPr>
      </w:pPr>
      <w:r>
        <w:rPr>
          <w:rFonts w:hint="eastAsia"/>
          <w:sz w:val="24"/>
        </w:rPr>
        <w:t>七、项目管理机构</w:t>
      </w:r>
    </w:p>
    <w:p w14:paraId="55D0FCA9">
      <w:pPr>
        <w:spacing w:line="540" w:lineRule="exact"/>
        <w:rPr>
          <w:rFonts w:hint="eastAsia"/>
          <w:sz w:val="24"/>
        </w:rPr>
      </w:pPr>
      <w:r>
        <w:rPr>
          <w:rFonts w:hint="eastAsia"/>
          <w:sz w:val="24"/>
        </w:rPr>
        <w:t>八、拟分包项目情况表</w:t>
      </w:r>
    </w:p>
    <w:p w14:paraId="6568DD96">
      <w:pPr>
        <w:spacing w:line="540" w:lineRule="exact"/>
        <w:rPr>
          <w:rFonts w:hint="eastAsia"/>
          <w:sz w:val="24"/>
        </w:rPr>
      </w:pPr>
      <w:r>
        <w:rPr>
          <w:rFonts w:hint="eastAsia"/>
          <w:sz w:val="24"/>
        </w:rPr>
        <w:t>九、资格审查资料</w:t>
      </w:r>
    </w:p>
    <w:p w14:paraId="7BC5E583">
      <w:pPr>
        <w:spacing w:line="540" w:lineRule="exact"/>
        <w:rPr>
          <w:rFonts w:hint="eastAsia"/>
          <w:sz w:val="24"/>
        </w:rPr>
      </w:pPr>
      <w:r>
        <w:rPr>
          <w:rFonts w:hint="eastAsia"/>
          <w:sz w:val="24"/>
        </w:rPr>
        <w:t>十、其他材料</w:t>
      </w:r>
    </w:p>
    <w:p w14:paraId="1BFA2D77">
      <w:pPr>
        <w:spacing w:line="540" w:lineRule="exact"/>
      </w:pPr>
      <w:r>
        <w:t xml:space="preserve"> </w:t>
      </w:r>
    </w:p>
    <w:p w14:paraId="6617C0B7">
      <w:pPr>
        <w:pStyle w:val="87"/>
        <w:spacing w:line="440" w:lineRule="exact"/>
        <w:rPr>
          <w:rFonts w:hint="eastAsia" w:ascii="宋体" w:hAnsi="宋体" w:eastAsia="宋体"/>
          <w:b/>
          <w:sz w:val="28"/>
          <w:szCs w:val="28"/>
        </w:rPr>
      </w:pPr>
      <w:bookmarkStart w:id="225" w:name="_Toc16268088"/>
      <w:bookmarkStart w:id="226" w:name="_Toc251319492"/>
      <w:bookmarkStart w:id="227" w:name="_Toc251248588"/>
      <w:bookmarkStart w:id="228" w:name="_Toc16268599"/>
      <w:bookmarkStart w:id="229" w:name="_Toc268109205"/>
      <w:bookmarkStart w:id="230" w:name="_Toc152042324"/>
      <w:bookmarkStart w:id="231" w:name="_Toc100487489"/>
      <w:bookmarkStart w:id="232" w:name="_Toc152045548"/>
      <w:bookmarkStart w:id="233" w:name="_Toc530388623"/>
      <w:bookmarkStart w:id="234" w:name="_Toc331688403"/>
      <w:bookmarkStart w:id="235" w:name="_Toc399073329"/>
      <w:bookmarkStart w:id="236" w:name="_Toc144974516"/>
      <w:r>
        <w:rPr>
          <w:rFonts w:hint="eastAsia" w:ascii="宋体" w:hAnsi="宋体" w:eastAsia="宋体"/>
          <w:b/>
          <w:sz w:val="28"/>
          <w:szCs w:val="28"/>
        </w:rPr>
        <w:t>3.2 投标报价</w:t>
      </w:r>
      <w:bookmarkEnd w:id="225"/>
      <w:bookmarkEnd w:id="226"/>
      <w:bookmarkEnd w:id="227"/>
      <w:bookmarkEnd w:id="228"/>
      <w:bookmarkEnd w:id="229"/>
      <w:bookmarkEnd w:id="230"/>
      <w:bookmarkEnd w:id="231"/>
      <w:bookmarkEnd w:id="232"/>
      <w:bookmarkEnd w:id="233"/>
      <w:bookmarkEnd w:id="234"/>
      <w:bookmarkEnd w:id="235"/>
      <w:bookmarkEnd w:id="236"/>
    </w:p>
    <w:p w14:paraId="096BE6CD">
      <w:pPr>
        <w:spacing w:line="440" w:lineRule="exact"/>
        <w:ind w:firstLine="410" w:firstLineChars="171"/>
        <w:rPr>
          <w:rFonts w:hint="eastAsia"/>
          <w:sz w:val="24"/>
        </w:rPr>
      </w:pPr>
      <w:r>
        <w:rPr>
          <w:rFonts w:hint="eastAsia"/>
          <w:sz w:val="24"/>
        </w:rPr>
        <w:t>3.2.1投标人应按第五章“工程量清单”的要求填写相应表格。</w:t>
      </w:r>
    </w:p>
    <w:p w14:paraId="3888A915">
      <w:pPr>
        <w:spacing w:line="440" w:lineRule="exact"/>
        <w:ind w:firstLine="410" w:firstLineChars="171"/>
        <w:rPr>
          <w:rFonts w:hint="eastAsia"/>
          <w:sz w:val="24"/>
        </w:rPr>
      </w:pPr>
      <w:r>
        <w:rPr>
          <w:rFonts w:hint="eastAsia"/>
          <w:sz w:val="24"/>
        </w:rPr>
        <w:t>3.2.2 投标人在投标截止时间前修改投标函中的投标总报价，应同时修改第五章“工程量清单”中的相应报价。此修改须符合本章第4.3款的有关要求。</w:t>
      </w:r>
    </w:p>
    <w:p w14:paraId="6D65D3A1">
      <w:pPr>
        <w:pStyle w:val="87"/>
        <w:spacing w:line="440" w:lineRule="exact"/>
        <w:rPr>
          <w:rFonts w:hint="eastAsia" w:ascii="宋体" w:hAnsi="宋体" w:eastAsia="宋体"/>
          <w:b/>
          <w:sz w:val="28"/>
          <w:szCs w:val="28"/>
        </w:rPr>
      </w:pPr>
      <w:bookmarkStart w:id="237" w:name="_Toc251319493"/>
      <w:bookmarkStart w:id="238" w:name="_Toc152042325"/>
      <w:bookmarkStart w:id="239" w:name="_Toc331688404"/>
      <w:bookmarkStart w:id="240" w:name="_Toc100487490"/>
      <w:bookmarkStart w:id="241" w:name="_Toc268109206"/>
      <w:bookmarkStart w:id="242" w:name="_Toc152045549"/>
      <w:bookmarkStart w:id="243" w:name="_Toc16268600"/>
      <w:bookmarkStart w:id="244" w:name="_Toc144974517"/>
      <w:bookmarkStart w:id="245" w:name="_Toc251248589"/>
      <w:bookmarkStart w:id="246" w:name="_Toc16268089"/>
      <w:bookmarkStart w:id="247" w:name="_Toc530388624"/>
      <w:bookmarkStart w:id="248" w:name="_Toc399073330"/>
      <w:r>
        <w:rPr>
          <w:rFonts w:hint="eastAsia" w:ascii="宋体" w:hAnsi="宋体" w:eastAsia="宋体"/>
          <w:b/>
          <w:sz w:val="28"/>
          <w:szCs w:val="28"/>
        </w:rPr>
        <w:t>3.3 投标有效期</w:t>
      </w:r>
      <w:bookmarkEnd w:id="237"/>
      <w:bookmarkEnd w:id="238"/>
      <w:bookmarkEnd w:id="239"/>
      <w:bookmarkEnd w:id="240"/>
      <w:bookmarkEnd w:id="241"/>
      <w:bookmarkEnd w:id="242"/>
      <w:bookmarkEnd w:id="243"/>
      <w:bookmarkEnd w:id="244"/>
      <w:bookmarkEnd w:id="245"/>
      <w:bookmarkEnd w:id="246"/>
      <w:bookmarkEnd w:id="247"/>
      <w:bookmarkEnd w:id="248"/>
    </w:p>
    <w:p w14:paraId="1BF09FEB">
      <w:pPr>
        <w:spacing w:line="440" w:lineRule="exact"/>
        <w:ind w:firstLine="480" w:firstLineChars="200"/>
        <w:rPr>
          <w:rFonts w:hint="eastAsia"/>
          <w:sz w:val="24"/>
        </w:rPr>
      </w:pPr>
      <w:r>
        <w:rPr>
          <w:rFonts w:hint="eastAsia"/>
          <w:sz w:val="24"/>
        </w:rPr>
        <w:t>3.3.1 在投标人须知前附表规定的投标有效期内，投标人不得要求撤销或修改其投标文件。</w:t>
      </w:r>
    </w:p>
    <w:p w14:paraId="5184C520">
      <w:pPr>
        <w:spacing w:line="440" w:lineRule="exact"/>
        <w:ind w:firstLine="480" w:firstLineChars="200"/>
        <w:rPr>
          <w:rFonts w:hint="eastAsia"/>
          <w:sz w:val="24"/>
        </w:rPr>
      </w:pPr>
      <w:r>
        <w:rPr>
          <w:rFonts w:hint="eastAsia"/>
          <w:sz w:val="24"/>
        </w:rPr>
        <w:t xml:space="preserve">3.3.2出现特殊情况需要延长投标有效期的，招标人以书面形式通知所有投标人延长投标有效期。投标人同意延长的，应相应延长其投标保证金的有效期，但不得要求或被允许修改或撤销其投标文件；投标人拒绝延长的，其投标失效，但投标人有权收回其投标保证金。 </w:t>
      </w:r>
    </w:p>
    <w:p w14:paraId="62223A3D">
      <w:pPr>
        <w:pStyle w:val="87"/>
        <w:spacing w:line="440" w:lineRule="exact"/>
        <w:rPr>
          <w:rFonts w:hint="eastAsia" w:ascii="宋体" w:hAnsi="宋体" w:eastAsia="宋体"/>
          <w:b/>
          <w:sz w:val="28"/>
          <w:szCs w:val="28"/>
        </w:rPr>
      </w:pPr>
      <w:bookmarkStart w:id="249" w:name="_Toc251319494"/>
      <w:bookmarkStart w:id="250" w:name="_Toc331688405"/>
      <w:bookmarkStart w:id="251" w:name="_Toc144974518"/>
      <w:bookmarkStart w:id="252" w:name="_Toc268109207"/>
      <w:bookmarkStart w:id="253" w:name="_Toc152045550"/>
      <w:bookmarkStart w:id="254" w:name="_Toc530388625"/>
      <w:bookmarkStart w:id="255" w:name="_Toc251248590"/>
      <w:bookmarkStart w:id="256" w:name="_Toc16268601"/>
      <w:bookmarkStart w:id="257" w:name="_Toc16268090"/>
      <w:bookmarkStart w:id="258" w:name="_Toc152042326"/>
      <w:bookmarkStart w:id="259" w:name="_Toc100487491"/>
      <w:bookmarkStart w:id="260" w:name="_Toc399073331"/>
      <w:r>
        <w:rPr>
          <w:rFonts w:hint="eastAsia" w:ascii="宋体" w:hAnsi="宋体" w:eastAsia="宋体"/>
          <w:b/>
          <w:sz w:val="28"/>
          <w:szCs w:val="28"/>
        </w:rPr>
        <w:t>3.4 投标保证金</w:t>
      </w:r>
      <w:bookmarkEnd w:id="249"/>
      <w:bookmarkEnd w:id="250"/>
      <w:bookmarkEnd w:id="251"/>
      <w:bookmarkEnd w:id="252"/>
      <w:bookmarkEnd w:id="253"/>
      <w:bookmarkEnd w:id="254"/>
      <w:bookmarkEnd w:id="255"/>
      <w:bookmarkEnd w:id="256"/>
      <w:bookmarkEnd w:id="257"/>
      <w:bookmarkEnd w:id="258"/>
      <w:bookmarkEnd w:id="259"/>
      <w:bookmarkEnd w:id="260"/>
    </w:p>
    <w:p w14:paraId="3F82527E">
      <w:pPr>
        <w:spacing w:line="440" w:lineRule="exact"/>
        <w:ind w:firstLine="480" w:firstLineChars="200"/>
        <w:rPr>
          <w:rFonts w:hint="eastAsia"/>
          <w:sz w:val="24"/>
        </w:rPr>
      </w:pPr>
      <w:r>
        <w:rPr>
          <w:rFonts w:hint="eastAsia"/>
          <w:sz w:val="24"/>
        </w:rPr>
        <w:t>3.4.1 投标人在递交投标文件的同时，应按投标人须知前附表规定的金额、担保形式和第七章“投标文件格式”规定的投标保证金格式递交投标保证金，并作为其投标文件的组成部分。联合体投标的，其投标保证金由牵头人递交，并应符合投标人须知前附表的规定。</w:t>
      </w:r>
    </w:p>
    <w:p w14:paraId="2C004ED0">
      <w:pPr>
        <w:spacing w:line="440" w:lineRule="exact"/>
        <w:ind w:firstLine="480" w:firstLineChars="200"/>
        <w:rPr>
          <w:rFonts w:hint="eastAsia"/>
          <w:sz w:val="24"/>
        </w:rPr>
      </w:pPr>
      <w:r>
        <w:rPr>
          <w:rFonts w:hint="eastAsia"/>
          <w:sz w:val="24"/>
        </w:rPr>
        <w:t>3.4.2 投标人不按本章第3.4.1项要求提交投标保证金的，其投标文件作废标处理。</w:t>
      </w:r>
    </w:p>
    <w:p w14:paraId="6344F5E6">
      <w:pPr>
        <w:spacing w:line="440" w:lineRule="exact"/>
        <w:ind w:firstLine="480" w:firstLineChars="200"/>
        <w:rPr>
          <w:rFonts w:hint="eastAsia"/>
          <w:sz w:val="24"/>
        </w:rPr>
      </w:pPr>
      <w:r>
        <w:rPr>
          <w:rFonts w:hint="eastAsia"/>
          <w:sz w:val="24"/>
        </w:rPr>
        <w:t>3.4.3 招标人与中标人签订合同后5日内，向未中标的投标人和中标人退还投标保证金。</w:t>
      </w:r>
    </w:p>
    <w:p w14:paraId="0102F6E3">
      <w:pPr>
        <w:spacing w:line="440" w:lineRule="exact"/>
        <w:ind w:firstLine="480" w:firstLineChars="200"/>
        <w:rPr>
          <w:rFonts w:hint="eastAsia"/>
          <w:sz w:val="24"/>
        </w:rPr>
      </w:pPr>
      <w:r>
        <w:rPr>
          <w:rFonts w:hint="eastAsia"/>
          <w:sz w:val="24"/>
        </w:rPr>
        <w:t xml:space="preserve">3.4.4 有下列情形之一的，投标保证金将不予退还： </w:t>
      </w:r>
    </w:p>
    <w:p w14:paraId="4669ADC6">
      <w:pPr>
        <w:spacing w:line="440" w:lineRule="exact"/>
        <w:ind w:firstLine="480" w:firstLineChars="200"/>
        <w:rPr>
          <w:rFonts w:hint="eastAsia"/>
          <w:sz w:val="24"/>
        </w:rPr>
      </w:pPr>
      <w:r>
        <w:rPr>
          <w:rFonts w:hint="eastAsia"/>
          <w:sz w:val="24"/>
        </w:rPr>
        <w:t>（1）投标人在规定的投标有效期内撤销或修改其投标文件；</w:t>
      </w:r>
    </w:p>
    <w:p w14:paraId="49ECEB76">
      <w:pPr>
        <w:spacing w:line="440" w:lineRule="exact"/>
        <w:ind w:firstLine="480" w:firstLineChars="200"/>
        <w:rPr>
          <w:rFonts w:hint="eastAsia" w:ascii="宋体" w:hAnsi="宋体"/>
          <w:sz w:val="24"/>
        </w:rPr>
      </w:pPr>
      <w:r>
        <w:rPr>
          <w:rFonts w:hint="eastAsia"/>
          <w:sz w:val="24"/>
        </w:rPr>
        <w:t>（2）中标人在收到中标通知书后，无正当理由拒签合同协议书或未按招标文件规定提交履约担保。</w:t>
      </w:r>
    </w:p>
    <w:p w14:paraId="7C678092">
      <w:pPr>
        <w:pStyle w:val="87"/>
        <w:spacing w:line="440" w:lineRule="exact"/>
        <w:rPr>
          <w:rFonts w:hint="eastAsia" w:ascii="宋体" w:hAnsi="宋体" w:eastAsia="宋体"/>
          <w:b/>
          <w:sz w:val="28"/>
          <w:szCs w:val="28"/>
        </w:rPr>
      </w:pPr>
      <w:bookmarkStart w:id="261" w:name="_Toc530388626"/>
      <w:bookmarkStart w:id="262" w:name="_Toc331688406"/>
      <w:bookmarkStart w:id="263" w:name="_Toc152042328"/>
      <w:bookmarkStart w:id="264" w:name="_Toc251248591"/>
      <w:bookmarkStart w:id="265" w:name="_Toc16268091"/>
      <w:bookmarkStart w:id="266" w:name="_Toc251319495"/>
      <w:bookmarkStart w:id="267" w:name="_Toc399073332"/>
      <w:bookmarkStart w:id="268" w:name="_Toc144974520"/>
      <w:bookmarkStart w:id="269" w:name="_Toc152045552"/>
      <w:bookmarkStart w:id="270" w:name="_Toc100487492"/>
      <w:bookmarkStart w:id="271" w:name="_Toc268109208"/>
      <w:bookmarkStart w:id="272" w:name="_Toc16268602"/>
      <w:r>
        <w:rPr>
          <w:rFonts w:hint="eastAsia" w:ascii="宋体" w:hAnsi="宋体" w:eastAsia="宋体"/>
          <w:b/>
          <w:sz w:val="28"/>
          <w:szCs w:val="28"/>
        </w:rPr>
        <w:t>3.5 资格审查资料</w:t>
      </w:r>
      <w:bookmarkEnd w:id="261"/>
      <w:bookmarkEnd w:id="262"/>
      <w:bookmarkEnd w:id="263"/>
      <w:bookmarkEnd w:id="264"/>
      <w:bookmarkEnd w:id="265"/>
      <w:bookmarkEnd w:id="266"/>
      <w:bookmarkEnd w:id="267"/>
      <w:bookmarkEnd w:id="268"/>
      <w:bookmarkEnd w:id="269"/>
      <w:bookmarkEnd w:id="270"/>
      <w:bookmarkEnd w:id="271"/>
      <w:bookmarkEnd w:id="272"/>
    </w:p>
    <w:p w14:paraId="050F75A5">
      <w:pPr>
        <w:spacing w:line="440" w:lineRule="exact"/>
        <w:ind w:firstLine="480" w:firstLineChars="200"/>
        <w:rPr>
          <w:b/>
          <w:bCs/>
          <w:sz w:val="24"/>
        </w:rPr>
      </w:pPr>
      <w:r>
        <w:rPr>
          <w:rFonts w:hint="eastAsia"/>
          <w:sz w:val="24"/>
        </w:rPr>
        <w:t>3.5.1应按照</w:t>
      </w:r>
      <w:r>
        <w:rPr>
          <w:sz w:val="24"/>
        </w:rPr>
        <w:t>投标人</w:t>
      </w:r>
      <w:r>
        <w:rPr>
          <w:rFonts w:hint="eastAsia"/>
          <w:sz w:val="24"/>
        </w:rPr>
        <w:t>须知前附表1.4.1要求</w:t>
      </w:r>
      <w:r>
        <w:rPr>
          <w:sz w:val="24"/>
        </w:rPr>
        <w:t>对投标</w:t>
      </w:r>
      <w:r>
        <w:rPr>
          <w:b/>
          <w:bCs/>
          <w:sz w:val="24"/>
        </w:rPr>
        <w:t>企业</w:t>
      </w:r>
      <w:r>
        <w:rPr>
          <w:rFonts w:hint="eastAsia"/>
          <w:b/>
          <w:bCs/>
          <w:sz w:val="24"/>
          <w:lang w:val="en-US" w:eastAsia="zh-CN"/>
        </w:rPr>
        <w:t>营业执照，</w:t>
      </w:r>
      <w:r>
        <w:rPr>
          <w:b/>
          <w:bCs/>
          <w:sz w:val="24"/>
        </w:rPr>
        <w:t>资质条件、财务要求、信誉要求、项目经理资格及其他要求</w:t>
      </w:r>
      <w:r>
        <w:rPr>
          <w:rFonts w:hint="eastAsia"/>
          <w:b/>
          <w:bCs/>
          <w:sz w:val="24"/>
        </w:rPr>
        <w:t>提供</w:t>
      </w:r>
      <w:r>
        <w:rPr>
          <w:b/>
          <w:bCs/>
          <w:sz w:val="24"/>
        </w:rPr>
        <w:t>相关证明材料。</w:t>
      </w:r>
    </w:p>
    <w:p w14:paraId="0FE8B26F">
      <w:pPr>
        <w:spacing w:line="440" w:lineRule="exact"/>
        <w:ind w:firstLine="480" w:firstLineChars="200"/>
        <w:rPr>
          <w:rFonts w:hint="eastAsia"/>
          <w:sz w:val="24"/>
        </w:rPr>
      </w:pPr>
      <w:r>
        <w:rPr>
          <w:rFonts w:hint="eastAsia"/>
          <w:sz w:val="24"/>
        </w:rPr>
        <w:t>3.5.2投标人须知前附表规定接受联合体投标的，本章第3.5.1项规定的表格和资料应包括联合体各方相关情况。</w:t>
      </w:r>
    </w:p>
    <w:p w14:paraId="54A02A69">
      <w:pPr>
        <w:pStyle w:val="87"/>
        <w:spacing w:line="440" w:lineRule="exact"/>
        <w:rPr>
          <w:rFonts w:hint="eastAsia" w:ascii="宋体" w:hAnsi="宋体" w:eastAsia="宋体"/>
          <w:b/>
          <w:sz w:val="28"/>
          <w:szCs w:val="28"/>
        </w:rPr>
      </w:pPr>
      <w:bookmarkStart w:id="273" w:name="_Toc251248592"/>
      <w:bookmarkStart w:id="274" w:name="_Toc144974521"/>
      <w:bookmarkStart w:id="275" w:name="_Toc152042329"/>
      <w:bookmarkStart w:id="276" w:name="_Toc251319496"/>
      <w:bookmarkStart w:id="277" w:name="_Toc152045553"/>
      <w:bookmarkStart w:id="278" w:name="_Toc268109209"/>
      <w:bookmarkStart w:id="279" w:name="_Toc530388627"/>
      <w:bookmarkStart w:id="280" w:name="_Toc100487493"/>
      <w:bookmarkStart w:id="281" w:name="_Toc399073333"/>
      <w:bookmarkStart w:id="282" w:name="_Toc331688407"/>
      <w:bookmarkStart w:id="283" w:name="_Toc16268092"/>
      <w:bookmarkStart w:id="284" w:name="_Toc16268603"/>
      <w:r>
        <w:rPr>
          <w:rFonts w:hint="eastAsia" w:ascii="宋体" w:hAnsi="宋体" w:eastAsia="宋体" w:cs="宋体"/>
          <w:b/>
          <w:bCs w:val="0"/>
          <w:sz w:val="28"/>
          <w:szCs w:val="28"/>
        </w:rPr>
        <w:t>3.6 备</w:t>
      </w:r>
      <w:r>
        <w:rPr>
          <w:rFonts w:hint="eastAsia" w:ascii="宋体" w:hAnsi="宋体" w:eastAsia="宋体"/>
          <w:b/>
          <w:sz w:val="28"/>
          <w:szCs w:val="28"/>
        </w:rPr>
        <w:t>选投标方案</w:t>
      </w:r>
      <w:bookmarkEnd w:id="273"/>
      <w:bookmarkEnd w:id="274"/>
      <w:bookmarkEnd w:id="275"/>
      <w:bookmarkEnd w:id="276"/>
      <w:bookmarkEnd w:id="277"/>
      <w:bookmarkEnd w:id="278"/>
      <w:r>
        <w:rPr>
          <w:rFonts w:hint="eastAsia" w:ascii="宋体" w:hAnsi="宋体" w:eastAsia="宋体"/>
          <w:b/>
          <w:sz w:val="28"/>
          <w:szCs w:val="28"/>
        </w:rPr>
        <w:t>:不允许</w:t>
      </w:r>
      <w:bookmarkEnd w:id="279"/>
      <w:bookmarkEnd w:id="280"/>
      <w:bookmarkEnd w:id="281"/>
      <w:bookmarkEnd w:id="282"/>
      <w:bookmarkEnd w:id="283"/>
      <w:bookmarkEnd w:id="284"/>
    </w:p>
    <w:p w14:paraId="4EDBA351">
      <w:pPr>
        <w:pStyle w:val="87"/>
        <w:spacing w:line="440" w:lineRule="exact"/>
        <w:rPr>
          <w:rFonts w:hint="eastAsia" w:ascii="宋体" w:hAnsi="宋体" w:eastAsia="宋体"/>
          <w:b/>
          <w:sz w:val="28"/>
          <w:szCs w:val="28"/>
        </w:rPr>
      </w:pPr>
      <w:bookmarkStart w:id="285" w:name="_Toc251248593"/>
      <w:bookmarkStart w:id="286" w:name="_Toc152042330"/>
      <w:bookmarkStart w:id="287" w:name="_Toc152045554"/>
      <w:bookmarkStart w:id="288" w:name="_Toc16268604"/>
      <w:bookmarkStart w:id="289" w:name="_Toc100487494"/>
      <w:bookmarkStart w:id="290" w:name="_Toc144974522"/>
      <w:bookmarkStart w:id="291" w:name="_Toc399073334"/>
      <w:bookmarkStart w:id="292" w:name="_Toc251319497"/>
      <w:bookmarkStart w:id="293" w:name="_Toc530388628"/>
      <w:bookmarkStart w:id="294" w:name="_Toc268109210"/>
      <w:bookmarkStart w:id="295" w:name="_Toc331688408"/>
      <w:bookmarkStart w:id="296" w:name="_Toc16268093"/>
      <w:r>
        <w:rPr>
          <w:rFonts w:hint="eastAsia" w:ascii="宋体" w:hAnsi="宋体" w:eastAsia="宋体"/>
          <w:b/>
          <w:sz w:val="28"/>
          <w:szCs w:val="28"/>
        </w:rPr>
        <w:t>3.7 投标文件的编制</w:t>
      </w:r>
      <w:bookmarkEnd w:id="285"/>
      <w:bookmarkEnd w:id="286"/>
      <w:bookmarkEnd w:id="287"/>
      <w:bookmarkEnd w:id="288"/>
      <w:bookmarkEnd w:id="289"/>
      <w:bookmarkEnd w:id="290"/>
      <w:bookmarkEnd w:id="291"/>
      <w:bookmarkEnd w:id="292"/>
      <w:bookmarkEnd w:id="293"/>
      <w:bookmarkEnd w:id="294"/>
      <w:bookmarkEnd w:id="295"/>
      <w:bookmarkEnd w:id="296"/>
    </w:p>
    <w:p w14:paraId="046FE7F3">
      <w:pPr>
        <w:spacing w:line="440" w:lineRule="exact"/>
        <w:ind w:firstLine="480" w:firstLineChars="200"/>
        <w:rPr>
          <w:rFonts w:hint="eastAsia"/>
          <w:sz w:val="24"/>
        </w:rPr>
      </w:pPr>
      <w:r>
        <w:rPr>
          <w:rFonts w:hint="eastAsia"/>
          <w:sz w:val="24"/>
        </w:rPr>
        <w:t>3.7.1投标文件应按第七章“投标文件格式”使用周口市公共资源交易系统投标文件制作专用工具软件编制，投标文件格式为“*.</w:t>
      </w:r>
      <w:r>
        <w:rPr>
          <w:sz w:val="24"/>
        </w:rPr>
        <w:t>zktf</w:t>
      </w:r>
      <w:r>
        <w:rPr>
          <w:rFonts w:hint="eastAsia"/>
          <w:sz w:val="24"/>
        </w:rPr>
        <w:t>”。其中，投标函附录在满足招标文件实质性要求的基础上，可以提出比招标文件要求更有利于招标人的承诺。</w:t>
      </w:r>
    </w:p>
    <w:p w14:paraId="6D6B2E64">
      <w:pPr>
        <w:spacing w:line="440" w:lineRule="exact"/>
        <w:ind w:firstLine="480" w:firstLineChars="200"/>
        <w:rPr>
          <w:rFonts w:hint="eastAsia"/>
          <w:sz w:val="24"/>
        </w:rPr>
      </w:pPr>
      <w:r>
        <w:rPr>
          <w:rFonts w:hint="eastAsia"/>
          <w:sz w:val="24"/>
        </w:rPr>
        <w:t>3.7.2 投标文件应当对招标文件有关工期、投标有效期、质量要求、技术标准和要求、招标范围等实质性内容作出响应。</w:t>
      </w:r>
    </w:p>
    <w:p w14:paraId="4BF897FA">
      <w:pPr>
        <w:spacing w:line="440" w:lineRule="exact"/>
        <w:ind w:firstLine="480" w:firstLineChars="200"/>
        <w:rPr>
          <w:rFonts w:hint="eastAsia"/>
          <w:sz w:val="24"/>
        </w:rPr>
      </w:pPr>
      <w:r>
        <w:rPr>
          <w:rFonts w:hint="eastAsia"/>
          <w:sz w:val="24"/>
        </w:rPr>
        <w:t>3.7.3投标文件应编制目录，电子投标文件签字或盖章的具体要求见投标人须知前附表。如委托代理人电子签章的，电子投标文件应附法定代表人电子签名的授权委托书。</w:t>
      </w:r>
    </w:p>
    <w:p w14:paraId="4DE3D27E">
      <w:pPr>
        <w:pStyle w:val="85"/>
        <w:spacing w:after="100" w:line="500" w:lineRule="exact"/>
        <w:rPr>
          <w:rFonts w:hint="eastAsia" w:ascii="黑体"/>
          <w:sz w:val="30"/>
          <w:szCs w:val="30"/>
        </w:rPr>
      </w:pPr>
      <w:bookmarkStart w:id="297" w:name="_Toc152045555"/>
      <w:bookmarkStart w:id="298" w:name="_Toc144974523"/>
      <w:bookmarkStart w:id="299" w:name="_Toc100487495"/>
      <w:bookmarkStart w:id="300" w:name="_Toc152042331"/>
      <w:r>
        <w:rPr>
          <w:rFonts w:hint="eastAsia" w:ascii="黑体"/>
          <w:sz w:val="30"/>
          <w:szCs w:val="30"/>
        </w:rPr>
        <w:t>4. 投标</w:t>
      </w:r>
      <w:bookmarkEnd w:id="297"/>
      <w:bookmarkEnd w:id="298"/>
      <w:bookmarkEnd w:id="299"/>
      <w:bookmarkEnd w:id="300"/>
    </w:p>
    <w:p w14:paraId="33AF8D0E">
      <w:pPr>
        <w:pStyle w:val="87"/>
        <w:spacing w:line="440" w:lineRule="exact"/>
        <w:rPr>
          <w:rFonts w:hint="eastAsia" w:ascii="宋体" w:hAnsi="宋体" w:eastAsia="宋体"/>
          <w:b/>
          <w:sz w:val="28"/>
          <w:szCs w:val="28"/>
        </w:rPr>
      </w:pPr>
      <w:r>
        <w:rPr>
          <w:rFonts w:hint="eastAsia" w:ascii="宋体" w:hAnsi="宋体" w:eastAsia="宋体"/>
          <w:b/>
          <w:sz w:val="28"/>
          <w:szCs w:val="28"/>
        </w:rPr>
        <w:t>4.1 投标文件的密封</w:t>
      </w:r>
    </w:p>
    <w:p w14:paraId="7E508DC3">
      <w:pPr>
        <w:spacing w:line="440" w:lineRule="exact"/>
        <w:ind w:firstLine="480" w:firstLineChars="200"/>
        <w:rPr>
          <w:rFonts w:hint="eastAsia"/>
          <w:sz w:val="24"/>
        </w:rPr>
      </w:pPr>
      <w:r>
        <w:rPr>
          <w:rFonts w:hint="eastAsia"/>
          <w:sz w:val="24"/>
        </w:rPr>
        <w:t>4.1.1 上传的电子投标文件应使用投标人数字证书认证并加密。未按要求加密的电子投标文件，招标人不予受理。</w:t>
      </w:r>
    </w:p>
    <w:p w14:paraId="5F56687F">
      <w:pPr>
        <w:pStyle w:val="87"/>
        <w:spacing w:line="440" w:lineRule="exact"/>
        <w:rPr>
          <w:rFonts w:hint="eastAsia" w:ascii="宋体" w:hAnsi="宋体" w:eastAsia="宋体"/>
          <w:b/>
          <w:sz w:val="28"/>
          <w:szCs w:val="28"/>
        </w:rPr>
      </w:pPr>
      <w:r>
        <w:rPr>
          <w:rFonts w:hint="eastAsia" w:ascii="宋体" w:hAnsi="宋体" w:eastAsia="宋体"/>
          <w:b/>
          <w:sz w:val="28"/>
          <w:szCs w:val="28"/>
        </w:rPr>
        <w:t>4.2 投标文件的递交</w:t>
      </w:r>
    </w:p>
    <w:p w14:paraId="38B1A150">
      <w:pPr>
        <w:spacing w:line="440" w:lineRule="exact"/>
        <w:ind w:firstLine="480" w:firstLineChars="200"/>
        <w:rPr>
          <w:rFonts w:hint="eastAsia"/>
          <w:sz w:val="24"/>
        </w:rPr>
      </w:pPr>
      <w:r>
        <w:rPr>
          <w:rFonts w:hint="eastAsia"/>
          <w:sz w:val="24"/>
        </w:rPr>
        <w:t>4.2.1 电子投标文件上传件的递交要求详见第二章“投标人须知前附表”。</w:t>
      </w:r>
    </w:p>
    <w:p w14:paraId="0DE9AC7A">
      <w:pPr>
        <w:spacing w:line="440" w:lineRule="exact"/>
        <w:ind w:firstLine="480" w:firstLineChars="200"/>
        <w:rPr>
          <w:rFonts w:hint="eastAsia"/>
          <w:sz w:val="24"/>
        </w:rPr>
      </w:pPr>
      <w:r>
        <w:rPr>
          <w:rFonts w:hint="eastAsia"/>
          <w:sz w:val="24"/>
        </w:rPr>
        <w:t>4.2.2 逾期上传的投标文件，招标人不予受理。</w:t>
      </w:r>
    </w:p>
    <w:p w14:paraId="2052E9E0">
      <w:pPr>
        <w:spacing w:line="440" w:lineRule="exact"/>
        <w:ind w:firstLine="480" w:firstLineChars="200"/>
        <w:rPr>
          <w:rFonts w:hint="eastAsia"/>
          <w:sz w:val="24"/>
        </w:rPr>
      </w:pPr>
      <w:r>
        <w:rPr>
          <w:rFonts w:hint="eastAsia"/>
          <w:sz w:val="24"/>
        </w:rPr>
        <w:t>4.2.3投标人因周口市公共资源电子交易平台问题无法上传电子投标文件时，请在工作时间与交易中心联系。</w:t>
      </w:r>
    </w:p>
    <w:p w14:paraId="50E335C1">
      <w:pPr>
        <w:pStyle w:val="87"/>
        <w:spacing w:line="440" w:lineRule="exact"/>
        <w:rPr>
          <w:rFonts w:hint="eastAsia" w:ascii="宋体" w:hAnsi="宋体" w:eastAsia="宋体"/>
          <w:b/>
          <w:sz w:val="28"/>
          <w:szCs w:val="28"/>
        </w:rPr>
      </w:pPr>
      <w:r>
        <w:rPr>
          <w:rFonts w:hint="eastAsia" w:ascii="宋体" w:hAnsi="宋体" w:eastAsia="宋体"/>
          <w:b/>
          <w:sz w:val="28"/>
          <w:szCs w:val="28"/>
        </w:rPr>
        <w:t>4.3 投标文件的修改与撤回</w:t>
      </w:r>
    </w:p>
    <w:p w14:paraId="6E3E3B82">
      <w:pPr>
        <w:spacing w:line="440" w:lineRule="exact"/>
        <w:ind w:firstLine="480" w:firstLineChars="200"/>
        <w:rPr>
          <w:rFonts w:hint="eastAsia"/>
          <w:sz w:val="24"/>
        </w:rPr>
      </w:pPr>
      <w:r>
        <w:rPr>
          <w:rFonts w:hint="eastAsia"/>
          <w:sz w:val="24"/>
        </w:rPr>
        <w:t>4.3.1 在本章第2.2.2项规定的投标截止时间前，投标人可以多次修改或撤回已递交的投标文件，最终投标文件以投标截止时间前完成上传至周口市公共资源交易中心交易系统最后一份投标文件为准。</w:t>
      </w:r>
    </w:p>
    <w:p w14:paraId="15A6F51D">
      <w:pPr>
        <w:spacing w:line="440" w:lineRule="exact"/>
        <w:ind w:firstLine="480" w:firstLineChars="200"/>
        <w:rPr>
          <w:rFonts w:hint="eastAsia"/>
          <w:sz w:val="24"/>
        </w:rPr>
      </w:pPr>
      <w:r>
        <w:rPr>
          <w:rFonts w:hint="eastAsia"/>
          <w:sz w:val="24"/>
        </w:rPr>
        <w:t>4.3.2修改的投标文件应按照本章第3条、第4条规定进行编制和递交。</w:t>
      </w:r>
    </w:p>
    <w:p w14:paraId="0BC4D134">
      <w:pPr>
        <w:pStyle w:val="85"/>
        <w:spacing w:after="100" w:line="500" w:lineRule="exact"/>
        <w:rPr>
          <w:rFonts w:hint="eastAsia" w:ascii="黑体"/>
          <w:sz w:val="30"/>
          <w:szCs w:val="30"/>
        </w:rPr>
      </w:pPr>
      <w:bookmarkStart w:id="301" w:name="_Toc152042335"/>
      <w:bookmarkStart w:id="302" w:name="_Toc152045559"/>
      <w:bookmarkStart w:id="303" w:name="_Toc100487499"/>
      <w:bookmarkStart w:id="304" w:name="_Toc144974527"/>
      <w:r>
        <w:rPr>
          <w:rFonts w:hint="eastAsia" w:ascii="黑体"/>
          <w:sz w:val="30"/>
          <w:szCs w:val="30"/>
        </w:rPr>
        <w:t>5. 开标</w:t>
      </w:r>
      <w:bookmarkEnd w:id="301"/>
      <w:bookmarkEnd w:id="302"/>
      <w:bookmarkEnd w:id="303"/>
      <w:bookmarkEnd w:id="304"/>
    </w:p>
    <w:p w14:paraId="33529132">
      <w:pPr>
        <w:pStyle w:val="87"/>
        <w:spacing w:line="440" w:lineRule="exact"/>
        <w:rPr>
          <w:rFonts w:hint="eastAsia" w:ascii="宋体" w:hAnsi="宋体" w:eastAsia="宋体"/>
          <w:b/>
          <w:sz w:val="28"/>
          <w:szCs w:val="28"/>
        </w:rPr>
      </w:pPr>
      <w:bookmarkStart w:id="305" w:name="_Toc16268099"/>
      <w:bookmarkStart w:id="306" w:name="_Toc530388634"/>
      <w:bookmarkStart w:id="307" w:name="_Toc251319503"/>
      <w:bookmarkStart w:id="308" w:name="_Toc251248599"/>
      <w:bookmarkStart w:id="309" w:name="_Toc399073340"/>
      <w:bookmarkStart w:id="310" w:name="_Toc144974528"/>
      <w:bookmarkStart w:id="311" w:name="_Toc152045560"/>
      <w:bookmarkStart w:id="312" w:name="_Toc152042336"/>
      <w:bookmarkStart w:id="313" w:name="_Toc100487500"/>
      <w:bookmarkStart w:id="314" w:name="_Toc331688414"/>
      <w:bookmarkStart w:id="315" w:name="_Toc268109216"/>
      <w:bookmarkStart w:id="316" w:name="_Toc16268610"/>
      <w:r>
        <w:rPr>
          <w:rFonts w:hint="eastAsia" w:ascii="宋体" w:hAnsi="宋体" w:eastAsia="宋体"/>
          <w:b/>
          <w:sz w:val="28"/>
          <w:szCs w:val="28"/>
        </w:rPr>
        <w:t>5.1 开标时间和地点</w:t>
      </w:r>
      <w:bookmarkEnd w:id="305"/>
      <w:bookmarkEnd w:id="306"/>
      <w:bookmarkEnd w:id="307"/>
      <w:bookmarkEnd w:id="308"/>
      <w:bookmarkEnd w:id="309"/>
      <w:bookmarkEnd w:id="310"/>
      <w:bookmarkEnd w:id="311"/>
      <w:bookmarkEnd w:id="312"/>
      <w:bookmarkEnd w:id="313"/>
      <w:bookmarkEnd w:id="314"/>
      <w:bookmarkEnd w:id="315"/>
      <w:bookmarkEnd w:id="316"/>
    </w:p>
    <w:p w14:paraId="0F6D487A">
      <w:pPr>
        <w:spacing w:line="440" w:lineRule="exact"/>
        <w:ind w:firstLine="480" w:firstLineChars="200"/>
        <w:rPr>
          <w:rFonts w:hint="eastAsia"/>
          <w:sz w:val="24"/>
        </w:rPr>
      </w:pPr>
      <w:bookmarkStart w:id="317" w:name="_Toc152045562"/>
      <w:bookmarkStart w:id="318" w:name="_Toc144974530"/>
      <w:bookmarkStart w:id="319" w:name="_Toc152042338"/>
      <w:r>
        <w:rPr>
          <w:rFonts w:hint="eastAsia"/>
          <w:sz w:val="24"/>
        </w:rPr>
        <w:t>5.1.1 招标人在本章规定的投标截止时间（开标时间）和投标人须知前附表规定的地点开标。</w:t>
      </w:r>
    </w:p>
    <w:p w14:paraId="16E4F3D0">
      <w:pPr>
        <w:spacing w:line="440" w:lineRule="exact"/>
        <w:ind w:firstLine="480" w:firstLineChars="200"/>
        <w:rPr>
          <w:rFonts w:hint="eastAsia"/>
          <w:sz w:val="24"/>
        </w:rPr>
      </w:pPr>
      <w:r>
        <w:rPr>
          <w:rFonts w:hint="eastAsia"/>
          <w:sz w:val="24"/>
        </w:rPr>
        <w:t>5.1.2本项目采用“不见面开标”解密交易方式， 投标人无需寄送和递交非加密的电子投标文件，无需到现场参加开标会议，无需到达现场提交原件资料。</w:t>
      </w:r>
      <w:r>
        <w:rPr>
          <w:rFonts w:hint="eastAsia"/>
          <w:sz w:val="24"/>
        </w:rPr>
        <w:cr/>
      </w:r>
      <w:r>
        <w:rPr>
          <w:rFonts w:hint="eastAsia"/>
          <w:sz w:val="24"/>
        </w:rPr>
        <w:t>投标人应当在投标截止时间前，使用投标人CA数字证书登录会员系统，准时参加开标活动，并在规定时间内完成投标文件解密。</w:t>
      </w:r>
    </w:p>
    <w:p w14:paraId="243B152A">
      <w:pPr>
        <w:spacing w:line="440" w:lineRule="exact"/>
        <w:ind w:firstLine="480" w:firstLineChars="200"/>
        <w:rPr>
          <w:rFonts w:hint="eastAsia"/>
          <w:sz w:val="24"/>
        </w:rPr>
      </w:pPr>
      <w:r>
        <w:rPr>
          <w:rFonts w:hint="eastAsia"/>
          <w:sz w:val="24"/>
        </w:rPr>
        <w:t>投标人需在解密开始后30分钟内完成解密（当投标人过多时，解密时间可以适当延长）。在投标文件解密过程中，因投标人原因（如投标人准备不到位、电脑网络问题等），造成无法及时解密的，将被退回投标文件。</w:t>
      </w:r>
    </w:p>
    <w:p w14:paraId="3733ED78">
      <w:pPr>
        <w:spacing w:line="440" w:lineRule="exact"/>
        <w:ind w:firstLine="480" w:firstLineChars="200"/>
        <w:rPr>
          <w:rFonts w:hint="eastAsia"/>
          <w:sz w:val="24"/>
        </w:rPr>
      </w:pPr>
      <w:r>
        <w:rPr>
          <w:rFonts w:hint="eastAsia"/>
          <w:sz w:val="24"/>
        </w:rPr>
        <w:t>远程解密方式，请查阅周口市公共资源交易中心网站首页—下载中心—远程在线解密操作手册 。</w:t>
      </w:r>
    </w:p>
    <w:p w14:paraId="581E57A7">
      <w:pPr>
        <w:pStyle w:val="85"/>
        <w:spacing w:after="100" w:line="500" w:lineRule="exact"/>
        <w:rPr>
          <w:rFonts w:hint="eastAsia" w:ascii="黑体"/>
          <w:sz w:val="30"/>
          <w:szCs w:val="30"/>
        </w:rPr>
      </w:pPr>
      <w:bookmarkStart w:id="320" w:name="_Toc100487502"/>
      <w:r>
        <w:rPr>
          <w:rFonts w:hint="eastAsia" w:ascii="黑体"/>
          <w:sz w:val="30"/>
          <w:szCs w:val="30"/>
        </w:rPr>
        <w:t>6. 评标</w:t>
      </w:r>
      <w:bookmarkEnd w:id="317"/>
      <w:bookmarkEnd w:id="318"/>
      <w:bookmarkEnd w:id="319"/>
      <w:bookmarkEnd w:id="320"/>
    </w:p>
    <w:p w14:paraId="3F5AB4ED">
      <w:pPr>
        <w:pStyle w:val="87"/>
        <w:spacing w:line="440" w:lineRule="exact"/>
        <w:rPr>
          <w:rFonts w:hint="eastAsia" w:ascii="宋体" w:hAnsi="宋体" w:eastAsia="宋体"/>
          <w:b/>
          <w:sz w:val="28"/>
          <w:szCs w:val="28"/>
        </w:rPr>
      </w:pPr>
      <w:bookmarkStart w:id="321" w:name="_Toc268109219"/>
      <w:bookmarkStart w:id="322" w:name="_Toc251319506"/>
      <w:bookmarkStart w:id="323" w:name="_Toc399073343"/>
      <w:bookmarkStart w:id="324" w:name="_Toc530388637"/>
      <w:bookmarkStart w:id="325" w:name="_Toc152042339"/>
      <w:bookmarkStart w:id="326" w:name="_Toc152045563"/>
      <w:bookmarkStart w:id="327" w:name="_Toc251248602"/>
      <w:bookmarkStart w:id="328" w:name="_Toc144974531"/>
      <w:bookmarkStart w:id="329" w:name="_Toc100487503"/>
      <w:bookmarkStart w:id="330" w:name="_Toc16268102"/>
      <w:bookmarkStart w:id="331" w:name="_Toc16268613"/>
      <w:bookmarkStart w:id="332" w:name="_Toc331688417"/>
      <w:r>
        <w:rPr>
          <w:rFonts w:hint="eastAsia" w:ascii="宋体" w:hAnsi="宋体" w:eastAsia="宋体"/>
          <w:b/>
          <w:sz w:val="28"/>
          <w:szCs w:val="28"/>
        </w:rPr>
        <w:t>6.1 评标委员会</w:t>
      </w:r>
      <w:bookmarkEnd w:id="321"/>
      <w:bookmarkEnd w:id="322"/>
      <w:bookmarkEnd w:id="323"/>
      <w:bookmarkEnd w:id="324"/>
      <w:bookmarkEnd w:id="325"/>
      <w:bookmarkEnd w:id="326"/>
      <w:bookmarkEnd w:id="327"/>
      <w:bookmarkEnd w:id="328"/>
      <w:bookmarkEnd w:id="329"/>
      <w:bookmarkEnd w:id="330"/>
      <w:bookmarkEnd w:id="331"/>
      <w:bookmarkEnd w:id="332"/>
    </w:p>
    <w:p w14:paraId="42D3B30B">
      <w:pPr>
        <w:spacing w:line="440" w:lineRule="exact"/>
        <w:ind w:firstLine="480" w:firstLineChars="200"/>
        <w:rPr>
          <w:rFonts w:hint="eastAsia"/>
          <w:sz w:val="24"/>
        </w:rPr>
      </w:pPr>
      <w:r>
        <w:rPr>
          <w:rFonts w:hint="eastAsia"/>
          <w:sz w:val="24"/>
        </w:rPr>
        <w:t>6.1.1 评标由招标人依法组建的评标委员会负责。评标委员会由招标人或其委托的招标代理机构熟悉相关业务的代表，以及有关技术、经济等方面的专家组成。评标委员会成员人数以及技术、经济等方面专家的确定方式见投标人须知前附表。</w:t>
      </w:r>
    </w:p>
    <w:p w14:paraId="776BBEB4">
      <w:pPr>
        <w:spacing w:line="440" w:lineRule="exact"/>
        <w:ind w:firstLine="480" w:firstLineChars="200"/>
        <w:rPr>
          <w:rFonts w:hint="eastAsia"/>
          <w:sz w:val="24"/>
        </w:rPr>
      </w:pPr>
      <w:r>
        <w:rPr>
          <w:rFonts w:hint="eastAsia"/>
          <w:sz w:val="24"/>
        </w:rPr>
        <w:t>6.1.2 评标委员会成员有下列情形之一的，应当回避：</w:t>
      </w:r>
    </w:p>
    <w:p w14:paraId="65888606">
      <w:pPr>
        <w:spacing w:line="440" w:lineRule="exact"/>
        <w:ind w:firstLine="820" w:firstLineChars="342"/>
        <w:rPr>
          <w:rFonts w:hint="eastAsia"/>
          <w:sz w:val="24"/>
        </w:rPr>
      </w:pPr>
      <w:r>
        <w:rPr>
          <w:rFonts w:hint="eastAsia"/>
          <w:sz w:val="24"/>
        </w:rPr>
        <w:t>（1）招标人或投标人的主要负责人的近亲属；</w:t>
      </w:r>
    </w:p>
    <w:p w14:paraId="54486853">
      <w:pPr>
        <w:spacing w:line="440" w:lineRule="exact"/>
        <w:ind w:firstLine="820" w:firstLineChars="342"/>
        <w:rPr>
          <w:rFonts w:hint="eastAsia"/>
          <w:sz w:val="24"/>
        </w:rPr>
      </w:pPr>
      <w:r>
        <w:rPr>
          <w:rFonts w:hint="eastAsia"/>
          <w:sz w:val="24"/>
        </w:rPr>
        <w:t>（2）项目主管部门或者行政监督部门的人员；</w:t>
      </w:r>
    </w:p>
    <w:p w14:paraId="7E1A8CD0">
      <w:pPr>
        <w:spacing w:line="440" w:lineRule="exact"/>
        <w:ind w:firstLine="820" w:firstLineChars="342"/>
        <w:rPr>
          <w:rFonts w:hint="eastAsia"/>
          <w:sz w:val="24"/>
        </w:rPr>
      </w:pPr>
      <w:r>
        <w:rPr>
          <w:rFonts w:hint="eastAsia"/>
          <w:sz w:val="24"/>
        </w:rPr>
        <w:t>（3）与投标人有经济利益关系，可能影响对投标公正评审的；</w:t>
      </w:r>
    </w:p>
    <w:p w14:paraId="5B41DB46">
      <w:pPr>
        <w:spacing w:line="440" w:lineRule="exact"/>
        <w:ind w:firstLine="820" w:firstLineChars="342"/>
        <w:rPr>
          <w:rFonts w:hint="eastAsia"/>
          <w:sz w:val="24"/>
        </w:rPr>
      </w:pPr>
      <w:r>
        <w:rPr>
          <w:rFonts w:hint="eastAsia"/>
          <w:sz w:val="24"/>
        </w:rPr>
        <w:t>（4）曾因在招标、评标以及其他与招标投标有关活动中从事违法行为而受过行政处罚或刑事处罚的。</w:t>
      </w:r>
    </w:p>
    <w:p w14:paraId="2E6FFBD3">
      <w:pPr>
        <w:pStyle w:val="87"/>
        <w:spacing w:line="440" w:lineRule="exact"/>
        <w:rPr>
          <w:rFonts w:hint="eastAsia" w:ascii="宋体" w:hAnsi="宋体" w:eastAsia="宋体"/>
          <w:b/>
          <w:sz w:val="28"/>
          <w:szCs w:val="28"/>
        </w:rPr>
      </w:pPr>
      <w:bookmarkStart w:id="333" w:name="_Toc251248603"/>
      <w:bookmarkStart w:id="334" w:name="_Toc16268103"/>
      <w:bookmarkStart w:id="335" w:name="_Toc268109220"/>
      <w:bookmarkStart w:id="336" w:name="_Toc16268614"/>
      <w:bookmarkStart w:id="337" w:name="_Toc100487504"/>
      <w:bookmarkStart w:id="338" w:name="_Toc399073344"/>
      <w:bookmarkStart w:id="339" w:name="_Toc331688418"/>
      <w:bookmarkStart w:id="340" w:name="_Toc152042340"/>
      <w:bookmarkStart w:id="341" w:name="_Toc144974532"/>
      <w:bookmarkStart w:id="342" w:name="_Toc251319507"/>
      <w:bookmarkStart w:id="343" w:name="_Toc152045564"/>
      <w:bookmarkStart w:id="344" w:name="_Toc530388638"/>
      <w:r>
        <w:rPr>
          <w:rFonts w:hint="eastAsia" w:ascii="宋体" w:hAnsi="宋体" w:eastAsia="宋体"/>
          <w:b/>
          <w:sz w:val="28"/>
          <w:szCs w:val="28"/>
        </w:rPr>
        <w:t>6.2 评标原则</w:t>
      </w:r>
      <w:bookmarkEnd w:id="333"/>
      <w:bookmarkEnd w:id="334"/>
      <w:bookmarkEnd w:id="335"/>
      <w:bookmarkEnd w:id="336"/>
      <w:bookmarkEnd w:id="337"/>
      <w:bookmarkEnd w:id="338"/>
      <w:bookmarkEnd w:id="339"/>
      <w:bookmarkEnd w:id="340"/>
      <w:bookmarkEnd w:id="341"/>
      <w:bookmarkEnd w:id="342"/>
      <w:bookmarkEnd w:id="343"/>
      <w:bookmarkEnd w:id="344"/>
      <w:r>
        <w:rPr>
          <w:rFonts w:ascii="宋体" w:hAnsi="宋体" w:eastAsia="宋体"/>
          <w:b/>
          <w:sz w:val="28"/>
          <w:szCs w:val="28"/>
        </w:rPr>
        <w:tab/>
      </w:r>
    </w:p>
    <w:p w14:paraId="45128449">
      <w:pPr>
        <w:spacing w:line="440" w:lineRule="exact"/>
        <w:ind w:firstLine="480" w:firstLineChars="200"/>
        <w:rPr>
          <w:rFonts w:hint="eastAsia"/>
          <w:sz w:val="24"/>
        </w:rPr>
      </w:pPr>
      <w:r>
        <w:rPr>
          <w:rFonts w:hint="eastAsia"/>
          <w:sz w:val="24"/>
        </w:rPr>
        <w:t>评标活动遵循公平、公正、科学和择优的原则。</w:t>
      </w:r>
    </w:p>
    <w:p w14:paraId="41FE50D6">
      <w:pPr>
        <w:pStyle w:val="87"/>
        <w:spacing w:line="440" w:lineRule="exact"/>
        <w:rPr>
          <w:rFonts w:hint="eastAsia" w:ascii="宋体" w:hAnsi="宋体" w:eastAsia="宋体"/>
          <w:b/>
          <w:sz w:val="28"/>
          <w:szCs w:val="28"/>
        </w:rPr>
      </w:pPr>
      <w:bookmarkStart w:id="345" w:name="_Toc16268104"/>
      <w:bookmarkStart w:id="346" w:name="_Toc100487505"/>
      <w:bookmarkStart w:id="347" w:name="_Toc144974533"/>
      <w:bookmarkStart w:id="348" w:name="_Toc251319508"/>
      <w:bookmarkStart w:id="349" w:name="_Toc251248604"/>
      <w:bookmarkStart w:id="350" w:name="_Toc268109221"/>
      <w:bookmarkStart w:id="351" w:name="_Toc16268615"/>
      <w:bookmarkStart w:id="352" w:name="_Toc331688419"/>
      <w:bookmarkStart w:id="353" w:name="_Toc152042341"/>
      <w:bookmarkStart w:id="354" w:name="_Toc152045565"/>
      <w:bookmarkStart w:id="355" w:name="_Toc399073345"/>
      <w:bookmarkStart w:id="356" w:name="_Toc530388639"/>
      <w:r>
        <w:rPr>
          <w:rFonts w:hint="eastAsia" w:ascii="宋体" w:hAnsi="宋体" w:eastAsia="宋体"/>
          <w:b/>
          <w:sz w:val="28"/>
          <w:szCs w:val="28"/>
        </w:rPr>
        <w:t>6.3 评标</w:t>
      </w:r>
      <w:bookmarkEnd w:id="345"/>
      <w:bookmarkEnd w:id="346"/>
      <w:bookmarkEnd w:id="347"/>
      <w:bookmarkEnd w:id="348"/>
      <w:bookmarkEnd w:id="349"/>
      <w:bookmarkEnd w:id="350"/>
      <w:bookmarkEnd w:id="351"/>
      <w:bookmarkEnd w:id="352"/>
      <w:bookmarkEnd w:id="353"/>
      <w:bookmarkEnd w:id="354"/>
      <w:bookmarkEnd w:id="355"/>
      <w:bookmarkEnd w:id="356"/>
    </w:p>
    <w:p w14:paraId="78E71DDB">
      <w:pPr>
        <w:spacing w:line="440" w:lineRule="exact"/>
        <w:ind w:firstLine="480" w:firstLineChars="200"/>
        <w:rPr>
          <w:rFonts w:hint="eastAsia"/>
          <w:sz w:val="24"/>
        </w:rPr>
      </w:pPr>
      <w:r>
        <w:rPr>
          <w:rFonts w:hint="eastAsia"/>
          <w:sz w:val="24"/>
        </w:rPr>
        <w:t>评标委员会按照第三章“评标办法”规定的方法、评审因素、标准和程序对投标文件进行评审。第三章“评标办法”没有规定的方法、评审因素和标准，不作为评标依据。</w:t>
      </w:r>
    </w:p>
    <w:p w14:paraId="6D628C7A">
      <w:pPr>
        <w:pStyle w:val="85"/>
        <w:spacing w:after="100" w:line="500" w:lineRule="exact"/>
        <w:rPr>
          <w:rFonts w:hint="eastAsia" w:ascii="黑体"/>
          <w:sz w:val="30"/>
          <w:szCs w:val="30"/>
        </w:rPr>
      </w:pPr>
      <w:bookmarkStart w:id="357" w:name="_Toc152042342"/>
      <w:bookmarkStart w:id="358" w:name="_Toc144974534"/>
      <w:bookmarkStart w:id="359" w:name="_Toc100487506"/>
      <w:bookmarkStart w:id="360" w:name="_Toc152045566"/>
      <w:r>
        <w:rPr>
          <w:rFonts w:hint="eastAsia" w:ascii="黑体"/>
          <w:sz w:val="30"/>
          <w:szCs w:val="30"/>
        </w:rPr>
        <w:t>7. 合同授予</w:t>
      </w:r>
      <w:bookmarkEnd w:id="357"/>
      <w:bookmarkEnd w:id="358"/>
      <w:bookmarkEnd w:id="359"/>
      <w:bookmarkEnd w:id="360"/>
    </w:p>
    <w:p w14:paraId="2D37A1D7">
      <w:pPr>
        <w:pStyle w:val="87"/>
        <w:spacing w:line="440" w:lineRule="exact"/>
        <w:rPr>
          <w:rFonts w:hint="eastAsia" w:ascii="宋体" w:hAnsi="宋体" w:eastAsia="宋体"/>
          <w:b/>
          <w:sz w:val="28"/>
          <w:szCs w:val="28"/>
        </w:rPr>
      </w:pPr>
      <w:bookmarkStart w:id="361" w:name="_Toc399073347"/>
      <w:bookmarkStart w:id="362" w:name="_Toc268109223"/>
      <w:bookmarkStart w:id="363" w:name="_Toc152045567"/>
      <w:bookmarkStart w:id="364" w:name="_Toc152042343"/>
      <w:bookmarkStart w:id="365" w:name="_Toc251319510"/>
      <w:bookmarkStart w:id="366" w:name="_Toc100487507"/>
      <w:bookmarkStart w:id="367" w:name="_Toc16268617"/>
      <w:bookmarkStart w:id="368" w:name="_Toc331688421"/>
      <w:bookmarkStart w:id="369" w:name="_Toc144974535"/>
      <w:bookmarkStart w:id="370" w:name="_Toc16268106"/>
      <w:bookmarkStart w:id="371" w:name="_Toc251248606"/>
      <w:bookmarkStart w:id="372" w:name="_Toc530388641"/>
      <w:r>
        <w:rPr>
          <w:rFonts w:hint="eastAsia" w:ascii="宋体" w:hAnsi="宋体" w:eastAsia="宋体"/>
          <w:b/>
          <w:sz w:val="28"/>
          <w:szCs w:val="28"/>
        </w:rPr>
        <w:t>7.1 定标方式</w:t>
      </w:r>
      <w:bookmarkEnd w:id="361"/>
      <w:bookmarkEnd w:id="362"/>
      <w:bookmarkEnd w:id="363"/>
      <w:bookmarkEnd w:id="364"/>
      <w:bookmarkEnd w:id="365"/>
      <w:bookmarkEnd w:id="366"/>
      <w:bookmarkEnd w:id="367"/>
      <w:bookmarkEnd w:id="368"/>
      <w:bookmarkEnd w:id="369"/>
      <w:bookmarkEnd w:id="370"/>
      <w:bookmarkEnd w:id="371"/>
      <w:bookmarkEnd w:id="372"/>
    </w:p>
    <w:p w14:paraId="72D2FED4">
      <w:pPr>
        <w:spacing w:line="440" w:lineRule="exact"/>
        <w:ind w:firstLine="480" w:firstLineChars="200"/>
        <w:rPr>
          <w:rFonts w:hint="eastAsia"/>
          <w:sz w:val="24"/>
        </w:rPr>
      </w:pPr>
      <w:r>
        <w:rPr>
          <w:rFonts w:hint="eastAsia"/>
          <w:sz w:val="24"/>
        </w:rPr>
        <w:t>除投标人须知前附表规定评标委员会直接确定中标人外，招标人依据评标委员会推荐的中标候选人确定中标人，评标委员会推荐中标候选人的人数见投标人须知前附表。</w:t>
      </w:r>
    </w:p>
    <w:p w14:paraId="691DE398">
      <w:pPr>
        <w:pStyle w:val="87"/>
        <w:spacing w:line="440" w:lineRule="exact"/>
        <w:rPr>
          <w:rFonts w:hint="eastAsia" w:ascii="宋体" w:hAnsi="宋体" w:eastAsia="宋体"/>
          <w:b/>
          <w:sz w:val="28"/>
          <w:szCs w:val="28"/>
        </w:rPr>
      </w:pPr>
      <w:bookmarkStart w:id="373" w:name="_Toc251248607"/>
      <w:bookmarkStart w:id="374" w:name="_Toc16268107"/>
      <w:bookmarkStart w:id="375" w:name="_Toc100487508"/>
      <w:bookmarkStart w:id="376" w:name="_Toc16268618"/>
      <w:bookmarkStart w:id="377" w:name="_Toc331688422"/>
      <w:bookmarkStart w:id="378" w:name="_Toc251319511"/>
      <w:bookmarkStart w:id="379" w:name="_Toc399073348"/>
      <w:bookmarkStart w:id="380" w:name="_Toc152045568"/>
      <w:bookmarkStart w:id="381" w:name="_Toc144974536"/>
      <w:bookmarkStart w:id="382" w:name="_Toc268109224"/>
      <w:bookmarkStart w:id="383" w:name="_Toc152042344"/>
      <w:bookmarkStart w:id="384" w:name="_Toc530388642"/>
      <w:r>
        <w:rPr>
          <w:rFonts w:hint="eastAsia" w:ascii="宋体" w:hAnsi="宋体" w:eastAsia="宋体"/>
          <w:b/>
          <w:sz w:val="28"/>
          <w:szCs w:val="28"/>
        </w:rPr>
        <w:t>7.2 中标通知</w:t>
      </w:r>
      <w:bookmarkEnd w:id="373"/>
      <w:bookmarkEnd w:id="374"/>
      <w:bookmarkEnd w:id="375"/>
      <w:bookmarkEnd w:id="376"/>
      <w:bookmarkEnd w:id="377"/>
      <w:bookmarkEnd w:id="378"/>
      <w:bookmarkEnd w:id="379"/>
      <w:bookmarkEnd w:id="380"/>
      <w:bookmarkEnd w:id="381"/>
      <w:bookmarkEnd w:id="382"/>
      <w:bookmarkEnd w:id="383"/>
      <w:bookmarkEnd w:id="384"/>
    </w:p>
    <w:p w14:paraId="104967AD">
      <w:pPr>
        <w:spacing w:line="440" w:lineRule="exact"/>
        <w:ind w:firstLine="480" w:firstLineChars="200"/>
        <w:rPr>
          <w:rFonts w:hint="eastAsia"/>
          <w:sz w:val="24"/>
        </w:rPr>
      </w:pPr>
      <w:r>
        <w:rPr>
          <w:rFonts w:hint="eastAsia"/>
          <w:sz w:val="24"/>
        </w:rPr>
        <w:t>在本章第3.3款规定的投标有效期内，招标人以书面形式向中标人发出中标通知书，同时将中标结果通知未中标的投标人。</w:t>
      </w:r>
    </w:p>
    <w:p w14:paraId="1A61CD0B">
      <w:pPr>
        <w:pStyle w:val="87"/>
        <w:spacing w:line="440" w:lineRule="exact"/>
        <w:rPr>
          <w:rFonts w:hint="eastAsia" w:ascii="宋体" w:hAnsi="宋体" w:eastAsia="宋体"/>
          <w:b/>
          <w:sz w:val="28"/>
          <w:szCs w:val="28"/>
        </w:rPr>
      </w:pPr>
      <w:bookmarkStart w:id="385" w:name="_Toc152042345"/>
      <w:bookmarkStart w:id="386" w:name="_Toc100487509"/>
      <w:bookmarkStart w:id="387" w:name="_Toc16268619"/>
      <w:bookmarkStart w:id="388" w:name="_Toc251248608"/>
      <w:bookmarkStart w:id="389" w:name="_Toc331688423"/>
      <w:bookmarkStart w:id="390" w:name="_Toc399073349"/>
      <w:bookmarkStart w:id="391" w:name="_Toc251319512"/>
      <w:bookmarkStart w:id="392" w:name="_Toc530388643"/>
      <w:bookmarkStart w:id="393" w:name="_Toc268109225"/>
      <w:bookmarkStart w:id="394" w:name="_Toc152045569"/>
      <w:bookmarkStart w:id="395" w:name="_Toc16268108"/>
      <w:bookmarkStart w:id="396" w:name="_Toc144974537"/>
      <w:r>
        <w:rPr>
          <w:rFonts w:hint="eastAsia" w:ascii="宋体" w:hAnsi="宋体" w:eastAsia="宋体"/>
          <w:b/>
          <w:sz w:val="28"/>
          <w:szCs w:val="28"/>
        </w:rPr>
        <w:t>7.3 履约担保</w:t>
      </w:r>
      <w:bookmarkEnd w:id="385"/>
      <w:bookmarkEnd w:id="386"/>
      <w:bookmarkEnd w:id="387"/>
      <w:bookmarkEnd w:id="388"/>
      <w:bookmarkEnd w:id="389"/>
      <w:bookmarkEnd w:id="390"/>
      <w:bookmarkEnd w:id="391"/>
      <w:bookmarkEnd w:id="392"/>
      <w:bookmarkEnd w:id="393"/>
      <w:bookmarkEnd w:id="394"/>
      <w:bookmarkEnd w:id="395"/>
      <w:bookmarkEnd w:id="396"/>
    </w:p>
    <w:p w14:paraId="2162C50D">
      <w:pPr>
        <w:spacing w:line="440" w:lineRule="exact"/>
        <w:ind w:firstLine="480" w:firstLineChars="200"/>
        <w:rPr>
          <w:rFonts w:hint="eastAsia"/>
          <w:sz w:val="24"/>
        </w:rPr>
      </w:pPr>
      <w:r>
        <w:rPr>
          <w:rFonts w:hint="eastAsia"/>
          <w:sz w:val="24"/>
        </w:rPr>
        <w:t>7.3.1在签订合同前，中标人应按投标人须知前附表规定的金额、担保形式和招标文件第四章“合同条款及格式”规定的履约担保格式向招标人提交履约担保。</w:t>
      </w:r>
    </w:p>
    <w:p w14:paraId="16F7B9CB">
      <w:pPr>
        <w:spacing w:line="440" w:lineRule="exact"/>
        <w:ind w:firstLine="480" w:firstLineChars="200"/>
        <w:rPr>
          <w:rFonts w:hint="eastAsia"/>
          <w:sz w:val="24"/>
        </w:rPr>
      </w:pPr>
      <w:r>
        <w:rPr>
          <w:rFonts w:hint="eastAsia"/>
          <w:sz w:val="24"/>
        </w:rPr>
        <w:t>7.3.2 中标人不能按本章第7.3.1项要求提交履约担保的，视为放弃中标，其投标保证金不予退还，给招标人造成的损失超过投标保证金数额的，中标人还应当对超过部分予以赔偿。</w:t>
      </w:r>
    </w:p>
    <w:p w14:paraId="4560F9EF">
      <w:pPr>
        <w:pStyle w:val="87"/>
        <w:spacing w:line="440" w:lineRule="exact"/>
        <w:rPr>
          <w:rFonts w:hint="eastAsia" w:ascii="宋体" w:hAnsi="宋体" w:eastAsia="宋体"/>
          <w:b/>
          <w:sz w:val="28"/>
          <w:szCs w:val="28"/>
        </w:rPr>
      </w:pPr>
      <w:bookmarkStart w:id="397" w:name="_Toc251319513"/>
      <w:bookmarkStart w:id="398" w:name="_Toc530388644"/>
      <w:bookmarkStart w:id="399" w:name="_Toc16268109"/>
      <w:bookmarkStart w:id="400" w:name="_Toc144974538"/>
      <w:bookmarkStart w:id="401" w:name="_Toc152042346"/>
      <w:bookmarkStart w:id="402" w:name="_Toc399073350"/>
      <w:bookmarkStart w:id="403" w:name="_Toc152045570"/>
      <w:bookmarkStart w:id="404" w:name="_Toc331688424"/>
      <w:bookmarkStart w:id="405" w:name="_Toc268109226"/>
      <w:bookmarkStart w:id="406" w:name="_Toc100487510"/>
      <w:bookmarkStart w:id="407" w:name="_Toc16268620"/>
      <w:bookmarkStart w:id="408" w:name="_Toc251248609"/>
      <w:r>
        <w:rPr>
          <w:rFonts w:hint="eastAsia" w:ascii="宋体" w:hAnsi="宋体" w:eastAsia="宋体"/>
          <w:b/>
          <w:sz w:val="28"/>
          <w:szCs w:val="28"/>
        </w:rPr>
        <w:t>7.4 签订合同</w:t>
      </w:r>
      <w:bookmarkEnd w:id="397"/>
      <w:bookmarkEnd w:id="398"/>
      <w:bookmarkEnd w:id="399"/>
      <w:bookmarkEnd w:id="400"/>
      <w:bookmarkEnd w:id="401"/>
      <w:bookmarkEnd w:id="402"/>
      <w:bookmarkEnd w:id="403"/>
      <w:bookmarkEnd w:id="404"/>
      <w:bookmarkEnd w:id="405"/>
      <w:bookmarkEnd w:id="406"/>
      <w:bookmarkEnd w:id="407"/>
      <w:bookmarkEnd w:id="408"/>
    </w:p>
    <w:p w14:paraId="12FD8D73">
      <w:pPr>
        <w:spacing w:line="440" w:lineRule="exact"/>
        <w:ind w:firstLine="480" w:firstLineChars="200"/>
        <w:rPr>
          <w:rFonts w:hint="eastAsia"/>
          <w:sz w:val="24"/>
        </w:rPr>
      </w:pPr>
      <w:r>
        <w:rPr>
          <w:rFonts w:hint="eastAsia"/>
          <w:sz w:val="24"/>
        </w:rPr>
        <w:t xml:space="preserve">7.4.1招标人和中标人应当自中标通知书发出之日起30天内，根据招标文件和中标人的投标文件订立书面合同。中标人无正当理由拒签合同的，招标人取消其中标资格，其投标保证金不予退还；给招标人造成的损失超过投标保证金数额的，中标人还应当对超过部分予以赔偿。 </w:t>
      </w:r>
    </w:p>
    <w:p w14:paraId="2E3C2FA9">
      <w:pPr>
        <w:spacing w:line="440" w:lineRule="exact"/>
        <w:ind w:firstLine="480" w:firstLineChars="200"/>
        <w:rPr>
          <w:rFonts w:hint="eastAsia"/>
          <w:sz w:val="24"/>
        </w:rPr>
      </w:pPr>
      <w:r>
        <w:rPr>
          <w:rFonts w:hint="eastAsia"/>
          <w:sz w:val="24"/>
        </w:rPr>
        <w:t xml:space="preserve">7.4.2 发出中标通知书后，招标人无正当理由拒签合同的，招标人向中标人退还投标保证金；给中标人造成损失的，还应当赔偿损失。 </w:t>
      </w:r>
    </w:p>
    <w:p w14:paraId="6B9A408C">
      <w:pPr>
        <w:pStyle w:val="85"/>
        <w:spacing w:after="100" w:line="500" w:lineRule="exact"/>
        <w:rPr>
          <w:rFonts w:hint="eastAsia" w:ascii="黑体"/>
          <w:sz w:val="30"/>
          <w:szCs w:val="30"/>
        </w:rPr>
      </w:pPr>
      <w:bookmarkStart w:id="409" w:name="_Toc152045571"/>
      <w:bookmarkStart w:id="410" w:name="_Toc100487511"/>
      <w:bookmarkStart w:id="411" w:name="_Toc152042347"/>
      <w:bookmarkStart w:id="412" w:name="_Toc144974539"/>
      <w:r>
        <w:rPr>
          <w:rFonts w:hint="eastAsia" w:ascii="黑体"/>
          <w:sz w:val="30"/>
          <w:szCs w:val="30"/>
        </w:rPr>
        <w:t>8. 重新招标和不再招标</w:t>
      </w:r>
      <w:bookmarkEnd w:id="409"/>
      <w:bookmarkEnd w:id="410"/>
      <w:bookmarkEnd w:id="411"/>
      <w:bookmarkEnd w:id="412"/>
    </w:p>
    <w:p w14:paraId="262EF498">
      <w:pPr>
        <w:pStyle w:val="87"/>
        <w:spacing w:line="440" w:lineRule="exact"/>
        <w:rPr>
          <w:rFonts w:hint="eastAsia" w:ascii="宋体" w:hAnsi="宋体" w:eastAsia="宋体"/>
          <w:b/>
          <w:sz w:val="28"/>
          <w:szCs w:val="28"/>
        </w:rPr>
      </w:pPr>
      <w:bookmarkStart w:id="413" w:name="_Toc152045572"/>
      <w:bookmarkStart w:id="414" w:name="_Toc268109228"/>
      <w:bookmarkStart w:id="415" w:name="_Toc144974540"/>
      <w:bookmarkStart w:id="416" w:name="_Toc251319515"/>
      <w:bookmarkStart w:id="417" w:name="_Toc331688426"/>
      <w:bookmarkStart w:id="418" w:name="_Toc530388646"/>
      <w:bookmarkStart w:id="419" w:name="_Toc251248611"/>
      <w:bookmarkStart w:id="420" w:name="_Toc100487512"/>
      <w:bookmarkStart w:id="421" w:name="_Toc399073352"/>
      <w:bookmarkStart w:id="422" w:name="_Toc152042348"/>
      <w:bookmarkStart w:id="423" w:name="_Toc16268622"/>
      <w:bookmarkStart w:id="424" w:name="_Toc16268111"/>
      <w:r>
        <w:rPr>
          <w:rFonts w:hint="eastAsia" w:ascii="宋体" w:hAnsi="宋体" w:eastAsia="宋体"/>
          <w:b/>
          <w:sz w:val="28"/>
          <w:szCs w:val="28"/>
        </w:rPr>
        <w:t>8.1 重新招标</w:t>
      </w:r>
      <w:bookmarkEnd w:id="413"/>
      <w:bookmarkEnd w:id="414"/>
      <w:bookmarkEnd w:id="415"/>
      <w:bookmarkEnd w:id="416"/>
      <w:bookmarkEnd w:id="417"/>
      <w:bookmarkEnd w:id="418"/>
      <w:bookmarkEnd w:id="419"/>
      <w:bookmarkEnd w:id="420"/>
      <w:bookmarkEnd w:id="421"/>
      <w:bookmarkEnd w:id="422"/>
      <w:bookmarkEnd w:id="423"/>
      <w:bookmarkEnd w:id="424"/>
    </w:p>
    <w:p w14:paraId="1AFA1C26">
      <w:pPr>
        <w:spacing w:line="440" w:lineRule="exact"/>
        <w:ind w:firstLine="480" w:firstLineChars="200"/>
        <w:rPr>
          <w:rFonts w:hint="eastAsia"/>
          <w:sz w:val="24"/>
        </w:rPr>
      </w:pPr>
      <w:r>
        <w:rPr>
          <w:rFonts w:hint="eastAsia"/>
          <w:sz w:val="24"/>
        </w:rPr>
        <w:t>有下列情形之一的，招标人将重新招标：</w:t>
      </w:r>
    </w:p>
    <w:p w14:paraId="7EEE25CE">
      <w:pPr>
        <w:spacing w:line="440" w:lineRule="exact"/>
        <w:ind w:firstLine="410" w:firstLineChars="171"/>
        <w:rPr>
          <w:rFonts w:hint="eastAsia"/>
          <w:sz w:val="24"/>
        </w:rPr>
      </w:pPr>
      <w:r>
        <w:rPr>
          <w:rFonts w:hint="eastAsia"/>
          <w:sz w:val="24"/>
        </w:rPr>
        <w:t>（1）投标截止时间止，投标人少于3个的；</w:t>
      </w:r>
    </w:p>
    <w:p w14:paraId="4884C1E2">
      <w:pPr>
        <w:spacing w:line="440" w:lineRule="exact"/>
        <w:ind w:firstLine="410" w:firstLineChars="171"/>
        <w:rPr>
          <w:rFonts w:hint="eastAsia"/>
          <w:sz w:val="24"/>
        </w:rPr>
      </w:pPr>
      <w:r>
        <w:rPr>
          <w:rFonts w:hint="eastAsia"/>
          <w:sz w:val="24"/>
        </w:rPr>
        <w:t>（2）经评标委员会评审后否决所有投标的。</w:t>
      </w:r>
    </w:p>
    <w:p w14:paraId="1F55CD9C">
      <w:pPr>
        <w:pStyle w:val="87"/>
        <w:spacing w:line="440" w:lineRule="exact"/>
        <w:rPr>
          <w:rFonts w:hint="eastAsia" w:ascii="宋体" w:hAnsi="宋体" w:eastAsia="宋体"/>
          <w:b/>
          <w:sz w:val="28"/>
          <w:szCs w:val="28"/>
        </w:rPr>
      </w:pPr>
      <w:bookmarkStart w:id="425" w:name="_Toc251319516"/>
      <w:bookmarkStart w:id="426" w:name="_Toc251248612"/>
      <w:bookmarkStart w:id="427" w:name="_Toc16268623"/>
      <w:bookmarkStart w:id="428" w:name="_Toc100487513"/>
      <w:bookmarkStart w:id="429" w:name="_Toc268109229"/>
      <w:bookmarkStart w:id="430" w:name="_Toc152042349"/>
      <w:bookmarkStart w:id="431" w:name="_Toc331688427"/>
      <w:bookmarkStart w:id="432" w:name="_Toc16268112"/>
      <w:bookmarkStart w:id="433" w:name="_Toc399073353"/>
      <w:bookmarkStart w:id="434" w:name="_Toc144974541"/>
      <w:bookmarkStart w:id="435" w:name="_Toc152045573"/>
      <w:bookmarkStart w:id="436" w:name="_Toc530388647"/>
      <w:r>
        <w:rPr>
          <w:rFonts w:hint="eastAsia" w:ascii="宋体" w:hAnsi="宋体" w:eastAsia="宋体"/>
          <w:b/>
          <w:sz w:val="28"/>
          <w:szCs w:val="28"/>
        </w:rPr>
        <w:t>8.2 不再招标</w:t>
      </w:r>
      <w:bookmarkEnd w:id="425"/>
      <w:bookmarkEnd w:id="426"/>
      <w:bookmarkEnd w:id="427"/>
      <w:bookmarkEnd w:id="428"/>
      <w:bookmarkEnd w:id="429"/>
      <w:bookmarkEnd w:id="430"/>
      <w:bookmarkEnd w:id="431"/>
      <w:bookmarkEnd w:id="432"/>
      <w:bookmarkEnd w:id="433"/>
      <w:bookmarkEnd w:id="434"/>
      <w:bookmarkEnd w:id="435"/>
      <w:bookmarkEnd w:id="436"/>
    </w:p>
    <w:p w14:paraId="0CAB9E9E">
      <w:pPr>
        <w:spacing w:line="440" w:lineRule="exact"/>
        <w:ind w:firstLine="480" w:firstLineChars="200"/>
        <w:rPr>
          <w:rFonts w:hint="eastAsia"/>
          <w:sz w:val="24"/>
        </w:rPr>
      </w:pPr>
      <w:r>
        <w:rPr>
          <w:rFonts w:hint="eastAsia"/>
          <w:sz w:val="24"/>
        </w:rPr>
        <w:t>重新招标后投标人仍少于3个或者所有投标被否决的，属于必须审批或核准的工程建设项目，经原审批或核准部门批准后不再进行招标。</w:t>
      </w:r>
    </w:p>
    <w:p w14:paraId="08D310D9">
      <w:pPr>
        <w:pStyle w:val="85"/>
        <w:spacing w:after="100" w:line="500" w:lineRule="exact"/>
        <w:rPr>
          <w:rFonts w:hint="eastAsia" w:ascii="黑体"/>
          <w:sz w:val="30"/>
          <w:szCs w:val="30"/>
        </w:rPr>
      </w:pPr>
      <w:bookmarkStart w:id="437" w:name="_Toc152042350"/>
      <w:bookmarkStart w:id="438" w:name="_Toc152045574"/>
      <w:bookmarkStart w:id="439" w:name="_Toc100487514"/>
      <w:bookmarkStart w:id="440" w:name="_Toc144974542"/>
      <w:r>
        <w:rPr>
          <w:rFonts w:hint="eastAsia" w:ascii="黑体"/>
          <w:sz w:val="30"/>
          <w:szCs w:val="30"/>
        </w:rPr>
        <w:t>9. 纪律和监督</w:t>
      </w:r>
      <w:bookmarkEnd w:id="437"/>
      <w:bookmarkEnd w:id="438"/>
      <w:bookmarkEnd w:id="439"/>
      <w:bookmarkEnd w:id="440"/>
    </w:p>
    <w:p w14:paraId="7D4690E0">
      <w:pPr>
        <w:pStyle w:val="87"/>
        <w:spacing w:line="440" w:lineRule="exact"/>
        <w:rPr>
          <w:rFonts w:hint="eastAsia" w:ascii="宋体" w:hAnsi="宋体" w:eastAsia="宋体"/>
          <w:b/>
          <w:sz w:val="28"/>
          <w:szCs w:val="28"/>
        </w:rPr>
      </w:pPr>
      <w:bookmarkStart w:id="441" w:name="_Toc152045575"/>
      <w:bookmarkStart w:id="442" w:name="_Toc16268625"/>
      <w:bookmarkStart w:id="443" w:name="_Toc331688429"/>
      <w:bookmarkStart w:id="444" w:name="_Toc530388649"/>
      <w:bookmarkStart w:id="445" w:name="_Toc16268114"/>
      <w:bookmarkStart w:id="446" w:name="_Toc251248614"/>
      <w:bookmarkStart w:id="447" w:name="_Toc251319518"/>
      <w:bookmarkStart w:id="448" w:name="_Toc152042351"/>
      <w:bookmarkStart w:id="449" w:name="_Toc144974543"/>
      <w:bookmarkStart w:id="450" w:name="_Toc268109231"/>
      <w:bookmarkStart w:id="451" w:name="_Toc399073355"/>
      <w:bookmarkStart w:id="452" w:name="_Toc100487515"/>
      <w:r>
        <w:rPr>
          <w:rFonts w:hint="eastAsia" w:ascii="宋体" w:hAnsi="宋体" w:eastAsia="宋体"/>
          <w:b/>
          <w:sz w:val="28"/>
          <w:szCs w:val="28"/>
        </w:rPr>
        <w:t>9.1 对招标人的纪律要求</w:t>
      </w:r>
      <w:bookmarkEnd w:id="441"/>
      <w:bookmarkEnd w:id="442"/>
      <w:bookmarkEnd w:id="443"/>
      <w:bookmarkEnd w:id="444"/>
      <w:bookmarkEnd w:id="445"/>
      <w:bookmarkEnd w:id="446"/>
      <w:bookmarkEnd w:id="447"/>
      <w:bookmarkEnd w:id="448"/>
      <w:bookmarkEnd w:id="449"/>
      <w:bookmarkEnd w:id="450"/>
      <w:bookmarkEnd w:id="451"/>
      <w:bookmarkEnd w:id="452"/>
    </w:p>
    <w:p w14:paraId="03915091">
      <w:pPr>
        <w:spacing w:line="440" w:lineRule="exact"/>
        <w:ind w:firstLine="480" w:firstLineChars="200"/>
        <w:rPr>
          <w:rFonts w:hint="eastAsia"/>
          <w:sz w:val="24"/>
        </w:rPr>
      </w:pPr>
      <w:r>
        <w:rPr>
          <w:rFonts w:hint="eastAsia"/>
          <w:sz w:val="24"/>
        </w:rPr>
        <w:t>招标人不得泄漏招标投标活动中应当保密的情况和资料，不得与投标人串通损害国家利益、社会公共利益或者他人合法权益。</w:t>
      </w:r>
    </w:p>
    <w:p w14:paraId="504169DC">
      <w:pPr>
        <w:pStyle w:val="87"/>
        <w:spacing w:line="440" w:lineRule="exact"/>
        <w:rPr>
          <w:rFonts w:hint="eastAsia" w:ascii="宋体" w:hAnsi="宋体" w:eastAsia="宋体"/>
          <w:b/>
          <w:sz w:val="28"/>
          <w:szCs w:val="28"/>
        </w:rPr>
      </w:pPr>
      <w:bookmarkStart w:id="453" w:name="_Toc268109232"/>
      <w:bookmarkStart w:id="454" w:name="_Toc16268115"/>
      <w:bookmarkStart w:id="455" w:name="_Toc251248615"/>
      <w:bookmarkStart w:id="456" w:name="_Toc399073356"/>
      <w:bookmarkStart w:id="457" w:name="_Toc16268626"/>
      <w:bookmarkStart w:id="458" w:name="_Toc152042352"/>
      <w:bookmarkStart w:id="459" w:name="_Toc152045576"/>
      <w:bookmarkStart w:id="460" w:name="_Toc251319519"/>
      <w:bookmarkStart w:id="461" w:name="_Toc100487516"/>
      <w:bookmarkStart w:id="462" w:name="_Toc530388650"/>
      <w:bookmarkStart w:id="463" w:name="_Toc331688430"/>
      <w:bookmarkStart w:id="464" w:name="_Toc144974544"/>
      <w:r>
        <w:rPr>
          <w:rFonts w:hint="eastAsia" w:ascii="宋体" w:hAnsi="宋体" w:eastAsia="宋体"/>
          <w:b/>
          <w:sz w:val="28"/>
          <w:szCs w:val="28"/>
        </w:rPr>
        <w:t>9.2 对投标人的纪律要求</w:t>
      </w:r>
      <w:bookmarkEnd w:id="453"/>
      <w:bookmarkEnd w:id="454"/>
      <w:bookmarkEnd w:id="455"/>
      <w:bookmarkEnd w:id="456"/>
      <w:bookmarkEnd w:id="457"/>
      <w:bookmarkEnd w:id="458"/>
      <w:bookmarkEnd w:id="459"/>
      <w:bookmarkEnd w:id="460"/>
      <w:bookmarkEnd w:id="461"/>
      <w:bookmarkEnd w:id="462"/>
      <w:bookmarkEnd w:id="463"/>
      <w:bookmarkEnd w:id="464"/>
    </w:p>
    <w:p w14:paraId="21A9D87B">
      <w:pPr>
        <w:spacing w:line="440" w:lineRule="exact"/>
        <w:ind w:firstLine="480" w:firstLineChars="200"/>
        <w:rPr>
          <w:rFonts w:hint="eastAsia"/>
          <w:sz w:val="24"/>
        </w:rPr>
      </w:pPr>
      <w:r>
        <w:rPr>
          <w:rFonts w:hint="eastAsia"/>
          <w:sz w:val="24"/>
        </w:rPr>
        <w:t>投标人不得相互串通投标或者与招标人串通投标，不得向招标人或者评标委员会成员行贿谋取中标，不得以他人名义投标或者以其他方式弄虚作假骗取中标；投标人不得以任何方式干扰、影响评标工作。出现以上任何一款现象者，按废标处理。</w:t>
      </w:r>
    </w:p>
    <w:p w14:paraId="1E52AC36">
      <w:pPr>
        <w:pStyle w:val="87"/>
        <w:spacing w:line="440" w:lineRule="exact"/>
        <w:rPr>
          <w:rFonts w:hint="eastAsia" w:ascii="宋体" w:hAnsi="宋体" w:eastAsia="宋体"/>
          <w:b/>
          <w:sz w:val="28"/>
          <w:szCs w:val="28"/>
        </w:rPr>
      </w:pPr>
      <w:bookmarkStart w:id="465" w:name="_Toc251319520"/>
      <w:bookmarkStart w:id="466" w:name="_Toc152042353"/>
      <w:bookmarkStart w:id="467" w:name="_Toc16268627"/>
      <w:bookmarkStart w:id="468" w:name="_Toc331688431"/>
      <w:bookmarkStart w:id="469" w:name="_Toc100487517"/>
      <w:bookmarkStart w:id="470" w:name="_Toc16268116"/>
      <w:bookmarkStart w:id="471" w:name="_Toc530388651"/>
      <w:bookmarkStart w:id="472" w:name="_Toc144974545"/>
      <w:bookmarkStart w:id="473" w:name="_Toc399073357"/>
      <w:bookmarkStart w:id="474" w:name="_Toc268109233"/>
      <w:bookmarkStart w:id="475" w:name="_Toc152045577"/>
      <w:bookmarkStart w:id="476" w:name="_Toc251248616"/>
      <w:r>
        <w:rPr>
          <w:rFonts w:hint="eastAsia" w:ascii="宋体" w:hAnsi="宋体" w:eastAsia="宋体"/>
          <w:b/>
          <w:sz w:val="28"/>
          <w:szCs w:val="28"/>
        </w:rPr>
        <w:t>9.3 对评标委员会成员的纪律要求</w:t>
      </w:r>
      <w:bookmarkEnd w:id="465"/>
      <w:bookmarkEnd w:id="466"/>
      <w:bookmarkEnd w:id="467"/>
      <w:bookmarkEnd w:id="468"/>
      <w:bookmarkEnd w:id="469"/>
      <w:bookmarkEnd w:id="470"/>
      <w:bookmarkEnd w:id="471"/>
      <w:bookmarkEnd w:id="472"/>
      <w:bookmarkEnd w:id="473"/>
      <w:bookmarkEnd w:id="474"/>
      <w:bookmarkEnd w:id="475"/>
      <w:bookmarkEnd w:id="476"/>
    </w:p>
    <w:p w14:paraId="39950025">
      <w:pPr>
        <w:spacing w:line="440" w:lineRule="exact"/>
        <w:ind w:firstLine="480" w:firstLineChars="200"/>
        <w:rPr>
          <w:rFonts w:hint="eastAsia"/>
          <w:sz w:val="24"/>
        </w:rPr>
      </w:pPr>
      <w:r>
        <w:rPr>
          <w:rFonts w:hint="eastAsia"/>
          <w:sz w:val="24"/>
        </w:rPr>
        <w:t>评标委员会成员不得收受他人的财物或者其他好处，不得向他人透漏对投标文件的评审和比较、中标候选人的推荐情况以及评标有关的其他情况。在评标活动中，评标委员会成员不得擅离职守，影响评标程序正常进行，不得使用第三章“评标办法”没有规定的评审因素和标准进行评标。</w:t>
      </w:r>
    </w:p>
    <w:p w14:paraId="6D3E9D89">
      <w:pPr>
        <w:pStyle w:val="87"/>
        <w:spacing w:line="440" w:lineRule="exact"/>
        <w:rPr>
          <w:rFonts w:hint="eastAsia" w:ascii="宋体" w:hAnsi="宋体" w:eastAsia="宋体"/>
          <w:b/>
          <w:sz w:val="28"/>
          <w:szCs w:val="28"/>
        </w:rPr>
      </w:pPr>
      <w:bookmarkStart w:id="477" w:name="_Toc16268117"/>
      <w:bookmarkStart w:id="478" w:name="_Toc251319521"/>
      <w:bookmarkStart w:id="479" w:name="_Toc16268628"/>
      <w:bookmarkStart w:id="480" w:name="_Toc530388652"/>
      <w:bookmarkStart w:id="481" w:name="_Toc152045578"/>
      <w:bookmarkStart w:id="482" w:name="_Toc152042354"/>
      <w:bookmarkStart w:id="483" w:name="_Toc268109234"/>
      <w:bookmarkStart w:id="484" w:name="_Toc251248617"/>
      <w:bookmarkStart w:id="485" w:name="_Toc100487518"/>
      <w:bookmarkStart w:id="486" w:name="_Toc399073358"/>
      <w:bookmarkStart w:id="487" w:name="_Toc331688432"/>
      <w:bookmarkStart w:id="488" w:name="_Toc144974546"/>
      <w:r>
        <w:rPr>
          <w:rFonts w:hint="eastAsia" w:ascii="宋体" w:hAnsi="宋体" w:eastAsia="宋体"/>
          <w:b/>
          <w:sz w:val="28"/>
          <w:szCs w:val="28"/>
        </w:rPr>
        <w:t>9.4 对与评标活动有关的工作人员的纪律要求</w:t>
      </w:r>
      <w:bookmarkEnd w:id="477"/>
      <w:bookmarkEnd w:id="478"/>
      <w:bookmarkEnd w:id="479"/>
      <w:bookmarkEnd w:id="480"/>
      <w:bookmarkEnd w:id="481"/>
      <w:bookmarkEnd w:id="482"/>
      <w:bookmarkEnd w:id="483"/>
      <w:bookmarkEnd w:id="484"/>
      <w:bookmarkEnd w:id="485"/>
      <w:bookmarkEnd w:id="486"/>
      <w:bookmarkEnd w:id="487"/>
    </w:p>
    <w:p w14:paraId="32E330D4">
      <w:pPr>
        <w:spacing w:line="440" w:lineRule="exact"/>
        <w:ind w:firstLine="480" w:firstLineChars="200"/>
        <w:rPr>
          <w:rFonts w:hint="eastAsia"/>
          <w:sz w:val="24"/>
        </w:rPr>
      </w:pPr>
      <w:bookmarkStart w:id="489" w:name="_Toc152042355"/>
      <w:r>
        <w:rPr>
          <w:rFonts w:hint="eastAsia"/>
          <w:sz w:val="24"/>
        </w:rPr>
        <w:t>与评标活动有关的工作人员不得收受他人的财物或者其他好处，不得向他人透漏对投标文件的评审和比较、中标候选人的推荐情况以及评标有关的其他情况。在评标活动中，与评标活动有关的工作人员不得擅离职守，影响评标程序正常进行。</w:t>
      </w:r>
      <w:bookmarkEnd w:id="489"/>
    </w:p>
    <w:p w14:paraId="3B592B47">
      <w:pPr>
        <w:pStyle w:val="87"/>
        <w:spacing w:line="440" w:lineRule="exact"/>
        <w:rPr>
          <w:rFonts w:hint="eastAsia" w:ascii="宋体" w:hAnsi="宋体" w:eastAsia="宋体"/>
          <w:b/>
          <w:sz w:val="28"/>
          <w:szCs w:val="28"/>
        </w:rPr>
      </w:pPr>
      <w:bookmarkStart w:id="490" w:name="_Toc16268118"/>
      <w:bookmarkStart w:id="491" w:name="_Toc530388653"/>
      <w:bookmarkStart w:id="492" w:name="_Toc399073359"/>
      <w:bookmarkStart w:id="493" w:name="_Toc331688433"/>
      <w:bookmarkStart w:id="494" w:name="_Toc16268629"/>
      <w:bookmarkStart w:id="495" w:name="_Toc251319522"/>
      <w:bookmarkStart w:id="496" w:name="_Toc152045579"/>
      <w:bookmarkStart w:id="497" w:name="_Toc268109235"/>
      <w:bookmarkStart w:id="498" w:name="_Toc100487519"/>
      <w:bookmarkStart w:id="499" w:name="_Toc251248618"/>
      <w:bookmarkStart w:id="500" w:name="_Toc152042356"/>
      <w:r>
        <w:rPr>
          <w:rFonts w:hint="eastAsia" w:ascii="宋体" w:hAnsi="宋体" w:eastAsia="宋体"/>
          <w:b/>
          <w:sz w:val="28"/>
          <w:szCs w:val="28"/>
        </w:rPr>
        <w:t>9.5 投诉</w:t>
      </w:r>
      <w:bookmarkEnd w:id="488"/>
      <w:bookmarkEnd w:id="490"/>
      <w:bookmarkEnd w:id="491"/>
      <w:bookmarkEnd w:id="492"/>
      <w:bookmarkEnd w:id="493"/>
      <w:bookmarkEnd w:id="494"/>
      <w:bookmarkEnd w:id="495"/>
      <w:bookmarkEnd w:id="496"/>
      <w:bookmarkEnd w:id="497"/>
      <w:bookmarkEnd w:id="498"/>
      <w:bookmarkEnd w:id="499"/>
      <w:bookmarkEnd w:id="500"/>
    </w:p>
    <w:p w14:paraId="27352DAD">
      <w:pPr>
        <w:spacing w:line="440" w:lineRule="exact"/>
        <w:ind w:firstLine="480" w:firstLineChars="200"/>
        <w:rPr>
          <w:rFonts w:hint="eastAsia"/>
          <w:sz w:val="24"/>
        </w:rPr>
      </w:pPr>
      <w:r>
        <w:rPr>
          <w:rFonts w:hint="eastAsia"/>
          <w:sz w:val="24"/>
        </w:rPr>
        <w:t>除开标、评标期间外，投标人和其他利害关系人认为本次招标活动违反法律、法规和规章规定的，有权向有关行政监督部门投诉。</w:t>
      </w:r>
    </w:p>
    <w:p w14:paraId="3ECC88D6">
      <w:pPr>
        <w:pStyle w:val="85"/>
        <w:spacing w:after="100" w:line="500" w:lineRule="exact"/>
        <w:rPr>
          <w:rFonts w:hint="eastAsia" w:ascii="黑体"/>
          <w:sz w:val="30"/>
          <w:szCs w:val="30"/>
        </w:rPr>
      </w:pPr>
      <w:bookmarkStart w:id="501" w:name="_Toc152042357"/>
      <w:bookmarkStart w:id="502" w:name="_Toc152045580"/>
      <w:bookmarkStart w:id="503" w:name="_Toc144974547"/>
      <w:bookmarkStart w:id="504" w:name="_Toc100487520"/>
      <w:r>
        <w:rPr>
          <w:rFonts w:hint="eastAsia" w:ascii="黑体"/>
          <w:sz w:val="30"/>
          <w:szCs w:val="30"/>
        </w:rPr>
        <w:t>10. 需要补充的其他内容</w:t>
      </w:r>
      <w:bookmarkEnd w:id="501"/>
      <w:bookmarkEnd w:id="502"/>
      <w:bookmarkEnd w:id="503"/>
      <w:bookmarkEnd w:id="504"/>
    </w:p>
    <w:p w14:paraId="0415CE87">
      <w:pPr>
        <w:spacing w:line="440" w:lineRule="exact"/>
        <w:ind w:firstLine="480" w:firstLineChars="200"/>
        <w:rPr>
          <w:rFonts w:hint="eastAsia"/>
          <w:sz w:val="24"/>
        </w:rPr>
      </w:pPr>
      <w:r>
        <w:rPr>
          <w:rFonts w:hint="eastAsia"/>
          <w:sz w:val="24"/>
        </w:rPr>
        <w:t>需要补充的其他内容：见投标人须知前附表。</w:t>
      </w:r>
    </w:p>
    <w:p w14:paraId="523B30A2">
      <w:pPr>
        <w:adjustRightInd w:val="0"/>
        <w:snapToGrid w:val="0"/>
        <w:spacing w:line="360" w:lineRule="auto"/>
        <w:ind w:firstLine="480" w:firstLineChars="200"/>
        <w:rPr>
          <w:rFonts w:hint="eastAsia"/>
          <w:color w:val="000000"/>
          <w:sz w:val="24"/>
        </w:rPr>
      </w:pPr>
    </w:p>
    <w:p w14:paraId="1943DC9E">
      <w:pPr>
        <w:spacing w:line="400" w:lineRule="exact"/>
        <w:rPr>
          <w:rFonts w:hint="eastAsia"/>
        </w:rPr>
      </w:pPr>
      <w:r>
        <w:br w:type="page"/>
      </w:r>
    </w:p>
    <w:p w14:paraId="71B8AD2F">
      <w:pPr>
        <w:pStyle w:val="87"/>
        <w:outlineLvl w:val="1"/>
        <w:rPr>
          <w:rFonts w:hint="eastAsia"/>
          <w:sz w:val="28"/>
          <w:szCs w:val="28"/>
        </w:rPr>
      </w:pPr>
      <w:bookmarkStart w:id="505" w:name="_Toc399073361"/>
      <w:bookmarkStart w:id="506" w:name="_Toc268109237"/>
      <w:bookmarkStart w:id="507" w:name="_Toc152045581"/>
      <w:bookmarkStart w:id="508" w:name="_Toc331688435"/>
      <w:bookmarkStart w:id="509" w:name="_Toc144974548"/>
      <w:bookmarkStart w:id="510" w:name="_Toc152042358"/>
      <w:bookmarkStart w:id="511" w:name="_Toc100487521"/>
      <w:bookmarkStart w:id="512" w:name="_Toc251319524"/>
      <w:r>
        <w:rPr>
          <w:rFonts w:hint="eastAsia"/>
          <w:sz w:val="28"/>
          <w:szCs w:val="28"/>
        </w:rPr>
        <w:t>附表一：开标记录表</w:t>
      </w:r>
      <w:bookmarkEnd w:id="505"/>
      <w:bookmarkEnd w:id="506"/>
      <w:bookmarkEnd w:id="507"/>
      <w:bookmarkEnd w:id="508"/>
      <w:bookmarkEnd w:id="509"/>
      <w:bookmarkEnd w:id="510"/>
      <w:bookmarkEnd w:id="511"/>
      <w:bookmarkEnd w:id="512"/>
    </w:p>
    <w:p w14:paraId="03840C9C">
      <w:pPr>
        <w:spacing w:line="400" w:lineRule="exact"/>
      </w:pPr>
      <w:r>
        <w:t xml:space="preserve">              </w:t>
      </w:r>
    </w:p>
    <w:p w14:paraId="10364F1B">
      <w:pPr>
        <w:spacing w:line="400" w:lineRule="exact"/>
        <w:jc w:val="center"/>
        <w:rPr>
          <w:rFonts w:hint="eastAsia" w:ascii="黑体" w:eastAsia="黑体"/>
          <w:sz w:val="30"/>
          <w:szCs w:val="30"/>
        </w:rPr>
      </w:pPr>
      <w:r>
        <w:rPr>
          <w:rFonts w:hint="eastAsia" w:ascii="黑体" w:eastAsia="黑体"/>
          <w:sz w:val="30"/>
          <w:szCs w:val="30"/>
          <w:u w:val="single"/>
        </w:rPr>
        <w:t xml:space="preserve">             </w:t>
      </w:r>
      <w:r>
        <w:rPr>
          <w:rFonts w:hint="eastAsia" w:ascii="黑体" w:eastAsia="黑体"/>
          <w:sz w:val="30"/>
          <w:szCs w:val="30"/>
        </w:rPr>
        <w:t>（项目名称）</w:t>
      </w:r>
      <w:r>
        <w:rPr>
          <w:rFonts w:hint="eastAsia" w:ascii="黑体" w:eastAsia="黑体"/>
          <w:sz w:val="30"/>
          <w:szCs w:val="30"/>
          <w:u w:val="single"/>
        </w:rPr>
        <w:t xml:space="preserve">     </w:t>
      </w:r>
      <w:r>
        <w:rPr>
          <w:rFonts w:hint="eastAsia" w:ascii="黑体" w:eastAsia="黑体"/>
          <w:sz w:val="30"/>
          <w:szCs w:val="30"/>
        </w:rPr>
        <w:t>标段施工开标记录表</w:t>
      </w:r>
    </w:p>
    <w:p w14:paraId="2B9AF120">
      <w:pPr>
        <w:spacing w:line="400" w:lineRule="exact"/>
      </w:pPr>
    </w:p>
    <w:p w14:paraId="27C179C7">
      <w:pPr>
        <w:spacing w:line="400" w:lineRule="exact"/>
        <w:jc w:val="right"/>
        <w:rPr>
          <w:rFonts w:hint="eastAsia"/>
        </w:rPr>
      </w:pPr>
      <w:r>
        <w:rPr>
          <w:rFonts w:hint="eastAsia"/>
        </w:rPr>
        <w:t>开标时间：</w:t>
      </w:r>
      <w:r>
        <w:rPr>
          <w:rFonts w:hint="eastAsia"/>
          <w:u w:val="single"/>
        </w:rPr>
        <w:t xml:space="preserve">    </w:t>
      </w:r>
      <w:r>
        <w:rPr>
          <w:rFonts w:hint="eastAsia"/>
        </w:rPr>
        <w:t>年</w:t>
      </w:r>
      <w:r>
        <w:rPr>
          <w:rFonts w:hint="eastAsia"/>
          <w:u w:val="single"/>
        </w:rPr>
        <w:t xml:space="preserve">    </w:t>
      </w:r>
      <w:r>
        <w:rPr>
          <w:rFonts w:hint="eastAsia"/>
        </w:rPr>
        <w:t>月</w:t>
      </w:r>
      <w:r>
        <w:rPr>
          <w:rFonts w:hint="eastAsia"/>
          <w:u w:val="single"/>
        </w:rPr>
        <w:t xml:space="preserve">    </w:t>
      </w:r>
      <w:r>
        <w:rPr>
          <w:rFonts w:hint="eastAsia"/>
        </w:rPr>
        <w:t>日</w:t>
      </w:r>
      <w:r>
        <w:rPr>
          <w:rFonts w:hint="eastAsia"/>
          <w:u w:val="single"/>
        </w:rPr>
        <w:t xml:space="preserve">    </w:t>
      </w:r>
      <w:r>
        <w:rPr>
          <w:rFonts w:hint="eastAsia"/>
        </w:rPr>
        <w:t>时</w:t>
      </w:r>
      <w:r>
        <w:rPr>
          <w:rFonts w:hint="eastAsia"/>
          <w:u w:val="single"/>
        </w:rPr>
        <w:t xml:space="preserve">    </w:t>
      </w:r>
      <w:r>
        <w:rPr>
          <w:rFonts w:hint="eastAsia"/>
        </w:rPr>
        <w:t>分</w:t>
      </w:r>
    </w:p>
    <w:tbl>
      <w:tblPr>
        <w:tblStyle w:val="42"/>
        <w:tblW w:w="0" w:type="auto"/>
        <w:tblInd w:w="0" w:type="dxa"/>
        <w:tblLayout w:type="fixed"/>
        <w:tblCellMar>
          <w:top w:w="0" w:type="dxa"/>
          <w:left w:w="108" w:type="dxa"/>
          <w:bottom w:w="0" w:type="dxa"/>
          <w:right w:w="108" w:type="dxa"/>
        </w:tblCellMar>
      </w:tblPr>
      <w:tblGrid>
        <w:gridCol w:w="482"/>
        <w:gridCol w:w="1218"/>
        <w:gridCol w:w="1392"/>
        <w:gridCol w:w="1588"/>
        <w:gridCol w:w="1788"/>
        <w:gridCol w:w="1187"/>
        <w:gridCol w:w="710"/>
        <w:gridCol w:w="742"/>
        <w:gridCol w:w="781"/>
      </w:tblGrid>
      <w:tr w14:paraId="1635C789">
        <w:tblPrEx>
          <w:tblCellMar>
            <w:top w:w="0" w:type="dxa"/>
            <w:left w:w="108" w:type="dxa"/>
            <w:bottom w:w="0" w:type="dxa"/>
            <w:right w:w="108" w:type="dxa"/>
          </w:tblCellMar>
        </w:tblPrEx>
        <w:tc>
          <w:tcPr>
            <w:tcW w:w="482" w:type="dxa"/>
            <w:tcBorders>
              <w:top w:val="single" w:color="auto" w:sz="4" w:space="0"/>
              <w:left w:val="single" w:color="auto" w:sz="4" w:space="0"/>
              <w:bottom w:val="single" w:color="auto" w:sz="4" w:space="0"/>
              <w:right w:val="single" w:color="auto" w:sz="4" w:space="0"/>
            </w:tcBorders>
            <w:noWrap w:val="0"/>
            <w:vAlign w:val="top"/>
          </w:tcPr>
          <w:p w14:paraId="51B4CBE1">
            <w:pPr>
              <w:spacing w:line="360" w:lineRule="exact"/>
              <w:jc w:val="left"/>
              <w:textAlignment w:val="center"/>
              <w:rPr>
                <w:rFonts w:ascii="华文细黑" w:hAnsi="华文细黑"/>
                <w:sz w:val="24"/>
              </w:rPr>
            </w:pPr>
            <w:r>
              <w:rPr>
                <w:rFonts w:ascii="华文细黑" w:hAnsi="华文细黑"/>
                <w:sz w:val="24"/>
              </w:rPr>
              <w:t>序号</w:t>
            </w:r>
          </w:p>
        </w:tc>
        <w:tc>
          <w:tcPr>
            <w:tcW w:w="1218" w:type="dxa"/>
            <w:tcBorders>
              <w:top w:val="single" w:color="auto" w:sz="4" w:space="0"/>
              <w:left w:val="single" w:color="auto" w:sz="4" w:space="0"/>
              <w:bottom w:val="single" w:color="auto" w:sz="4" w:space="0"/>
              <w:right w:val="single" w:color="auto" w:sz="4" w:space="0"/>
            </w:tcBorders>
            <w:noWrap w:val="0"/>
            <w:vAlign w:val="top"/>
          </w:tcPr>
          <w:p w14:paraId="7A3389B3">
            <w:pPr>
              <w:spacing w:line="500" w:lineRule="exact"/>
              <w:jc w:val="left"/>
              <w:textAlignment w:val="center"/>
              <w:rPr>
                <w:rFonts w:ascii="华文细黑" w:hAnsi="华文细黑"/>
                <w:sz w:val="24"/>
              </w:rPr>
            </w:pPr>
            <w:r>
              <w:rPr>
                <w:rFonts w:ascii="华文细黑" w:hAnsi="华文细黑"/>
                <w:sz w:val="24"/>
              </w:rPr>
              <w:t>投标人</w:t>
            </w:r>
          </w:p>
        </w:tc>
        <w:tc>
          <w:tcPr>
            <w:tcW w:w="1392" w:type="dxa"/>
            <w:tcBorders>
              <w:top w:val="single" w:color="auto" w:sz="4" w:space="0"/>
              <w:left w:val="single" w:color="auto" w:sz="4" w:space="0"/>
              <w:bottom w:val="single" w:color="auto" w:sz="4" w:space="0"/>
              <w:right w:val="single" w:color="auto" w:sz="4" w:space="0"/>
            </w:tcBorders>
            <w:noWrap w:val="0"/>
            <w:vAlign w:val="top"/>
          </w:tcPr>
          <w:p w14:paraId="0906CC2F">
            <w:pPr>
              <w:spacing w:line="500" w:lineRule="exact"/>
              <w:jc w:val="left"/>
              <w:textAlignment w:val="center"/>
              <w:rPr>
                <w:rFonts w:ascii="华文细黑" w:hAnsi="华文细黑"/>
                <w:sz w:val="24"/>
              </w:rPr>
            </w:pPr>
            <w:r>
              <w:rPr>
                <w:rFonts w:ascii="华文细黑" w:hAnsi="华文细黑"/>
                <w:sz w:val="24"/>
              </w:rPr>
              <w:t>密封情况</w:t>
            </w:r>
          </w:p>
        </w:tc>
        <w:tc>
          <w:tcPr>
            <w:tcW w:w="1588" w:type="dxa"/>
            <w:tcBorders>
              <w:top w:val="single" w:color="auto" w:sz="4" w:space="0"/>
              <w:left w:val="single" w:color="auto" w:sz="4" w:space="0"/>
              <w:bottom w:val="single" w:color="auto" w:sz="4" w:space="0"/>
              <w:right w:val="single" w:color="auto" w:sz="4" w:space="0"/>
            </w:tcBorders>
            <w:noWrap w:val="0"/>
            <w:vAlign w:val="top"/>
          </w:tcPr>
          <w:p w14:paraId="203207CE">
            <w:pPr>
              <w:spacing w:line="500" w:lineRule="exact"/>
              <w:jc w:val="left"/>
              <w:textAlignment w:val="center"/>
              <w:rPr>
                <w:rFonts w:ascii="华文细黑" w:hAnsi="华文细黑"/>
                <w:sz w:val="24"/>
              </w:rPr>
            </w:pPr>
            <w:r>
              <w:rPr>
                <w:rFonts w:ascii="华文细黑" w:hAnsi="华文细黑"/>
                <w:sz w:val="24"/>
              </w:rPr>
              <w:t>投标保证金</w:t>
            </w:r>
          </w:p>
        </w:tc>
        <w:tc>
          <w:tcPr>
            <w:tcW w:w="1788" w:type="dxa"/>
            <w:tcBorders>
              <w:top w:val="single" w:color="auto" w:sz="4" w:space="0"/>
              <w:left w:val="single" w:color="auto" w:sz="4" w:space="0"/>
              <w:bottom w:val="single" w:color="auto" w:sz="4" w:space="0"/>
              <w:right w:val="single" w:color="auto" w:sz="4" w:space="0"/>
            </w:tcBorders>
            <w:noWrap w:val="0"/>
            <w:vAlign w:val="top"/>
          </w:tcPr>
          <w:p w14:paraId="0A609678">
            <w:pPr>
              <w:spacing w:line="500" w:lineRule="exact"/>
              <w:jc w:val="left"/>
              <w:textAlignment w:val="center"/>
              <w:rPr>
                <w:rFonts w:ascii="华文细黑" w:hAnsi="华文细黑"/>
                <w:sz w:val="24"/>
              </w:rPr>
            </w:pPr>
            <w:r>
              <w:rPr>
                <w:rFonts w:ascii="华文细黑" w:hAnsi="华文细黑"/>
                <w:sz w:val="24"/>
              </w:rPr>
              <w:t>投标报价（元）</w:t>
            </w:r>
          </w:p>
        </w:tc>
        <w:tc>
          <w:tcPr>
            <w:tcW w:w="1187" w:type="dxa"/>
            <w:tcBorders>
              <w:top w:val="single" w:color="auto" w:sz="4" w:space="0"/>
              <w:left w:val="single" w:color="auto" w:sz="4" w:space="0"/>
              <w:bottom w:val="single" w:color="auto" w:sz="4" w:space="0"/>
              <w:right w:val="single" w:color="auto" w:sz="4" w:space="0"/>
            </w:tcBorders>
            <w:noWrap w:val="0"/>
            <w:vAlign w:val="top"/>
          </w:tcPr>
          <w:p w14:paraId="22155C8B">
            <w:pPr>
              <w:spacing w:line="500" w:lineRule="exact"/>
              <w:jc w:val="left"/>
              <w:textAlignment w:val="center"/>
              <w:rPr>
                <w:rFonts w:ascii="华文细黑" w:hAnsi="华文细黑"/>
                <w:sz w:val="24"/>
              </w:rPr>
            </w:pPr>
            <w:r>
              <w:rPr>
                <w:rFonts w:ascii="华文细黑" w:hAnsi="华文细黑"/>
                <w:sz w:val="24"/>
              </w:rPr>
              <w:t>质量目标</w:t>
            </w:r>
          </w:p>
        </w:tc>
        <w:tc>
          <w:tcPr>
            <w:tcW w:w="710" w:type="dxa"/>
            <w:tcBorders>
              <w:top w:val="single" w:color="auto" w:sz="4" w:space="0"/>
              <w:left w:val="single" w:color="auto" w:sz="4" w:space="0"/>
              <w:bottom w:val="single" w:color="auto" w:sz="4" w:space="0"/>
              <w:right w:val="single" w:color="auto" w:sz="4" w:space="0"/>
            </w:tcBorders>
            <w:noWrap w:val="0"/>
            <w:vAlign w:val="top"/>
          </w:tcPr>
          <w:p w14:paraId="65247AFA">
            <w:pPr>
              <w:spacing w:line="500" w:lineRule="exact"/>
              <w:jc w:val="left"/>
              <w:textAlignment w:val="center"/>
              <w:rPr>
                <w:rFonts w:ascii="华文细黑" w:hAnsi="华文细黑"/>
                <w:sz w:val="24"/>
              </w:rPr>
            </w:pPr>
            <w:r>
              <w:rPr>
                <w:rFonts w:ascii="华文细黑" w:hAnsi="华文细黑"/>
                <w:sz w:val="24"/>
              </w:rPr>
              <w:t>工期</w:t>
            </w:r>
          </w:p>
        </w:tc>
        <w:tc>
          <w:tcPr>
            <w:tcW w:w="742" w:type="dxa"/>
            <w:tcBorders>
              <w:top w:val="single" w:color="auto" w:sz="4" w:space="0"/>
              <w:left w:val="single" w:color="auto" w:sz="4" w:space="0"/>
              <w:bottom w:val="single" w:color="auto" w:sz="4" w:space="0"/>
              <w:right w:val="single" w:color="auto" w:sz="4" w:space="0"/>
            </w:tcBorders>
            <w:noWrap w:val="0"/>
            <w:vAlign w:val="top"/>
          </w:tcPr>
          <w:p w14:paraId="1629C616">
            <w:pPr>
              <w:spacing w:line="500" w:lineRule="exact"/>
              <w:jc w:val="left"/>
              <w:textAlignment w:val="center"/>
              <w:rPr>
                <w:rFonts w:ascii="华文细黑" w:hAnsi="华文细黑"/>
                <w:sz w:val="24"/>
              </w:rPr>
            </w:pPr>
            <w:r>
              <w:rPr>
                <w:rFonts w:ascii="华文细黑" w:hAnsi="华文细黑"/>
                <w:sz w:val="24"/>
              </w:rPr>
              <w:t>备注</w:t>
            </w:r>
          </w:p>
        </w:tc>
        <w:tc>
          <w:tcPr>
            <w:tcW w:w="781" w:type="dxa"/>
            <w:tcBorders>
              <w:top w:val="single" w:color="auto" w:sz="4" w:space="0"/>
              <w:left w:val="single" w:color="auto" w:sz="4" w:space="0"/>
              <w:bottom w:val="single" w:color="auto" w:sz="4" w:space="0"/>
              <w:right w:val="single" w:color="auto" w:sz="4" w:space="0"/>
            </w:tcBorders>
            <w:noWrap w:val="0"/>
            <w:vAlign w:val="top"/>
          </w:tcPr>
          <w:p w14:paraId="3274C7F4">
            <w:pPr>
              <w:spacing w:line="500" w:lineRule="exact"/>
              <w:jc w:val="left"/>
              <w:textAlignment w:val="center"/>
              <w:rPr>
                <w:rFonts w:ascii="华文细黑" w:hAnsi="华文细黑"/>
                <w:sz w:val="24"/>
              </w:rPr>
            </w:pPr>
            <w:r>
              <w:rPr>
                <w:rFonts w:ascii="华文细黑" w:hAnsi="华文细黑"/>
                <w:sz w:val="24"/>
              </w:rPr>
              <w:t>签名</w:t>
            </w:r>
          </w:p>
        </w:tc>
      </w:tr>
      <w:tr w14:paraId="61DEE087">
        <w:tblPrEx>
          <w:tblCellMar>
            <w:top w:w="0" w:type="dxa"/>
            <w:left w:w="108" w:type="dxa"/>
            <w:bottom w:w="0" w:type="dxa"/>
            <w:right w:w="108" w:type="dxa"/>
          </w:tblCellMar>
        </w:tblPrEx>
        <w:tc>
          <w:tcPr>
            <w:tcW w:w="482" w:type="dxa"/>
            <w:tcBorders>
              <w:top w:val="single" w:color="auto" w:sz="4" w:space="0"/>
              <w:left w:val="single" w:color="auto" w:sz="4" w:space="0"/>
              <w:bottom w:val="single" w:color="auto" w:sz="4" w:space="0"/>
              <w:right w:val="single" w:color="auto" w:sz="4" w:space="0"/>
            </w:tcBorders>
            <w:noWrap w:val="0"/>
            <w:vAlign w:val="top"/>
          </w:tcPr>
          <w:p w14:paraId="53A0DB30">
            <w:pPr>
              <w:spacing w:line="500" w:lineRule="exact"/>
              <w:jc w:val="left"/>
              <w:textAlignment w:val="center"/>
              <w:rPr>
                <w:rFonts w:ascii="华文细黑" w:hAnsi="华文细黑"/>
                <w:sz w:val="24"/>
              </w:rPr>
            </w:pPr>
          </w:p>
        </w:tc>
        <w:tc>
          <w:tcPr>
            <w:tcW w:w="1218" w:type="dxa"/>
            <w:tcBorders>
              <w:top w:val="single" w:color="auto" w:sz="4" w:space="0"/>
              <w:left w:val="single" w:color="auto" w:sz="4" w:space="0"/>
              <w:bottom w:val="single" w:color="auto" w:sz="4" w:space="0"/>
              <w:right w:val="single" w:color="auto" w:sz="4" w:space="0"/>
            </w:tcBorders>
            <w:noWrap w:val="0"/>
            <w:vAlign w:val="top"/>
          </w:tcPr>
          <w:p w14:paraId="29FE905E">
            <w:pPr>
              <w:spacing w:line="500" w:lineRule="exact"/>
              <w:jc w:val="left"/>
              <w:textAlignment w:val="center"/>
              <w:rPr>
                <w:rFonts w:ascii="华文细黑" w:hAnsi="华文细黑"/>
                <w:sz w:val="24"/>
              </w:rPr>
            </w:pPr>
          </w:p>
        </w:tc>
        <w:tc>
          <w:tcPr>
            <w:tcW w:w="1392" w:type="dxa"/>
            <w:tcBorders>
              <w:top w:val="single" w:color="auto" w:sz="4" w:space="0"/>
              <w:left w:val="single" w:color="auto" w:sz="4" w:space="0"/>
              <w:bottom w:val="single" w:color="auto" w:sz="4" w:space="0"/>
              <w:right w:val="single" w:color="auto" w:sz="4" w:space="0"/>
            </w:tcBorders>
            <w:noWrap w:val="0"/>
            <w:vAlign w:val="top"/>
          </w:tcPr>
          <w:p w14:paraId="1EE84DBD">
            <w:pPr>
              <w:spacing w:line="500" w:lineRule="exact"/>
              <w:jc w:val="left"/>
              <w:textAlignment w:val="center"/>
              <w:rPr>
                <w:rFonts w:ascii="华文细黑" w:hAnsi="华文细黑"/>
                <w:sz w:val="24"/>
              </w:rPr>
            </w:pPr>
          </w:p>
        </w:tc>
        <w:tc>
          <w:tcPr>
            <w:tcW w:w="1588" w:type="dxa"/>
            <w:tcBorders>
              <w:top w:val="single" w:color="auto" w:sz="4" w:space="0"/>
              <w:left w:val="single" w:color="auto" w:sz="4" w:space="0"/>
              <w:bottom w:val="single" w:color="auto" w:sz="4" w:space="0"/>
              <w:right w:val="single" w:color="auto" w:sz="4" w:space="0"/>
            </w:tcBorders>
            <w:noWrap w:val="0"/>
            <w:vAlign w:val="top"/>
          </w:tcPr>
          <w:p w14:paraId="6BA88FF3">
            <w:pPr>
              <w:spacing w:line="500" w:lineRule="exact"/>
              <w:jc w:val="left"/>
              <w:textAlignment w:val="center"/>
              <w:rPr>
                <w:rFonts w:ascii="华文细黑" w:hAnsi="华文细黑"/>
                <w:sz w:val="24"/>
              </w:rPr>
            </w:pPr>
          </w:p>
        </w:tc>
        <w:tc>
          <w:tcPr>
            <w:tcW w:w="1788" w:type="dxa"/>
            <w:tcBorders>
              <w:top w:val="single" w:color="auto" w:sz="4" w:space="0"/>
              <w:left w:val="single" w:color="auto" w:sz="4" w:space="0"/>
              <w:bottom w:val="single" w:color="auto" w:sz="4" w:space="0"/>
              <w:right w:val="single" w:color="auto" w:sz="4" w:space="0"/>
            </w:tcBorders>
            <w:noWrap w:val="0"/>
            <w:vAlign w:val="top"/>
          </w:tcPr>
          <w:p w14:paraId="30F73474">
            <w:pPr>
              <w:spacing w:line="500" w:lineRule="exact"/>
              <w:jc w:val="left"/>
              <w:textAlignment w:val="center"/>
              <w:rPr>
                <w:rFonts w:ascii="华文细黑" w:hAnsi="华文细黑"/>
                <w:sz w:val="24"/>
              </w:rPr>
            </w:pPr>
          </w:p>
        </w:tc>
        <w:tc>
          <w:tcPr>
            <w:tcW w:w="1187" w:type="dxa"/>
            <w:tcBorders>
              <w:top w:val="single" w:color="auto" w:sz="4" w:space="0"/>
              <w:left w:val="single" w:color="auto" w:sz="4" w:space="0"/>
              <w:bottom w:val="single" w:color="auto" w:sz="4" w:space="0"/>
              <w:right w:val="single" w:color="auto" w:sz="4" w:space="0"/>
            </w:tcBorders>
            <w:noWrap w:val="0"/>
            <w:vAlign w:val="top"/>
          </w:tcPr>
          <w:p w14:paraId="30DD29DB">
            <w:pPr>
              <w:spacing w:line="500" w:lineRule="exact"/>
              <w:jc w:val="left"/>
              <w:textAlignment w:val="center"/>
              <w:rPr>
                <w:rFonts w:ascii="华文细黑" w:hAnsi="华文细黑"/>
                <w:sz w:val="24"/>
              </w:rPr>
            </w:pPr>
          </w:p>
        </w:tc>
        <w:tc>
          <w:tcPr>
            <w:tcW w:w="710" w:type="dxa"/>
            <w:tcBorders>
              <w:top w:val="single" w:color="auto" w:sz="4" w:space="0"/>
              <w:left w:val="single" w:color="auto" w:sz="4" w:space="0"/>
              <w:bottom w:val="single" w:color="auto" w:sz="4" w:space="0"/>
              <w:right w:val="single" w:color="auto" w:sz="4" w:space="0"/>
            </w:tcBorders>
            <w:noWrap w:val="0"/>
            <w:vAlign w:val="top"/>
          </w:tcPr>
          <w:p w14:paraId="0D815596">
            <w:pPr>
              <w:spacing w:line="500" w:lineRule="exact"/>
              <w:jc w:val="left"/>
              <w:textAlignment w:val="center"/>
              <w:rPr>
                <w:rFonts w:ascii="华文细黑" w:hAnsi="华文细黑"/>
                <w:sz w:val="24"/>
              </w:rPr>
            </w:pPr>
          </w:p>
        </w:tc>
        <w:tc>
          <w:tcPr>
            <w:tcW w:w="742" w:type="dxa"/>
            <w:tcBorders>
              <w:top w:val="single" w:color="auto" w:sz="4" w:space="0"/>
              <w:left w:val="single" w:color="auto" w:sz="4" w:space="0"/>
              <w:bottom w:val="single" w:color="auto" w:sz="4" w:space="0"/>
              <w:right w:val="single" w:color="auto" w:sz="4" w:space="0"/>
            </w:tcBorders>
            <w:noWrap w:val="0"/>
            <w:vAlign w:val="top"/>
          </w:tcPr>
          <w:p w14:paraId="1116DA89">
            <w:pPr>
              <w:spacing w:line="500" w:lineRule="exact"/>
              <w:jc w:val="left"/>
              <w:textAlignment w:val="center"/>
              <w:rPr>
                <w:rFonts w:ascii="华文细黑" w:hAnsi="华文细黑"/>
                <w:sz w:val="24"/>
              </w:rPr>
            </w:pPr>
          </w:p>
        </w:tc>
        <w:tc>
          <w:tcPr>
            <w:tcW w:w="781" w:type="dxa"/>
            <w:tcBorders>
              <w:top w:val="single" w:color="auto" w:sz="4" w:space="0"/>
              <w:left w:val="single" w:color="auto" w:sz="4" w:space="0"/>
              <w:bottom w:val="single" w:color="auto" w:sz="4" w:space="0"/>
              <w:right w:val="single" w:color="auto" w:sz="4" w:space="0"/>
            </w:tcBorders>
            <w:noWrap w:val="0"/>
            <w:vAlign w:val="top"/>
          </w:tcPr>
          <w:p w14:paraId="481E072C">
            <w:pPr>
              <w:spacing w:line="500" w:lineRule="exact"/>
              <w:jc w:val="left"/>
              <w:textAlignment w:val="center"/>
              <w:rPr>
                <w:rFonts w:ascii="华文细黑" w:hAnsi="华文细黑"/>
                <w:sz w:val="24"/>
              </w:rPr>
            </w:pPr>
          </w:p>
        </w:tc>
      </w:tr>
      <w:tr w14:paraId="762F12DB">
        <w:tblPrEx>
          <w:tblCellMar>
            <w:top w:w="0" w:type="dxa"/>
            <w:left w:w="108" w:type="dxa"/>
            <w:bottom w:w="0" w:type="dxa"/>
            <w:right w:w="108" w:type="dxa"/>
          </w:tblCellMar>
        </w:tblPrEx>
        <w:tc>
          <w:tcPr>
            <w:tcW w:w="482" w:type="dxa"/>
            <w:tcBorders>
              <w:top w:val="single" w:color="auto" w:sz="4" w:space="0"/>
              <w:left w:val="single" w:color="auto" w:sz="4" w:space="0"/>
              <w:bottom w:val="single" w:color="auto" w:sz="4" w:space="0"/>
              <w:right w:val="single" w:color="auto" w:sz="4" w:space="0"/>
            </w:tcBorders>
            <w:noWrap w:val="0"/>
            <w:vAlign w:val="top"/>
          </w:tcPr>
          <w:p w14:paraId="5C9C404A">
            <w:pPr>
              <w:spacing w:line="500" w:lineRule="exact"/>
              <w:jc w:val="left"/>
              <w:textAlignment w:val="center"/>
              <w:rPr>
                <w:rFonts w:ascii="华文细黑" w:hAnsi="华文细黑"/>
                <w:sz w:val="24"/>
              </w:rPr>
            </w:pPr>
          </w:p>
        </w:tc>
        <w:tc>
          <w:tcPr>
            <w:tcW w:w="1218" w:type="dxa"/>
            <w:tcBorders>
              <w:top w:val="single" w:color="auto" w:sz="4" w:space="0"/>
              <w:left w:val="single" w:color="auto" w:sz="4" w:space="0"/>
              <w:bottom w:val="single" w:color="auto" w:sz="4" w:space="0"/>
              <w:right w:val="single" w:color="auto" w:sz="4" w:space="0"/>
            </w:tcBorders>
            <w:noWrap w:val="0"/>
            <w:vAlign w:val="top"/>
          </w:tcPr>
          <w:p w14:paraId="66C99F9B">
            <w:pPr>
              <w:spacing w:line="500" w:lineRule="exact"/>
              <w:jc w:val="left"/>
              <w:textAlignment w:val="center"/>
              <w:rPr>
                <w:rFonts w:ascii="华文细黑" w:hAnsi="华文细黑"/>
                <w:sz w:val="24"/>
              </w:rPr>
            </w:pPr>
          </w:p>
        </w:tc>
        <w:tc>
          <w:tcPr>
            <w:tcW w:w="1392" w:type="dxa"/>
            <w:tcBorders>
              <w:top w:val="single" w:color="auto" w:sz="4" w:space="0"/>
              <w:left w:val="single" w:color="auto" w:sz="4" w:space="0"/>
              <w:bottom w:val="single" w:color="auto" w:sz="4" w:space="0"/>
              <w:right w:val="single" w:color="auto" w:sz="4" w:space="0"/>
            </w:tcBorders>
            <w:noWrap w:val="0"/>
            <w:vAlign w:val="top"/>
          </w:tcPr>
          <w:p w14:paraId="223D397B">
            <w:pPr>
              <w:spacing w:line="500" w:lineRule="exact"/>
              <w:jc w:val="left"/>
              <w:textAlignment w:val="center"/>
              <w:rPr>
                <w:rFonts w:ascii="华文细黑" w:hAnsi="华文细黑"/>
                <w:sz w:val="24"/>
              </w:rPr>
            </w:pPr>
          </w:p>
        </w:tc>
        <w:tc>
          <w:tcPr>
            <w:tcW w:w="1588" w:type="dxa"/>
            <w:tcBorders>
              <w:top w:val="single" w:color="auto" w:sz="4" w:space="0"/>
              <w:left w:val="single" w:color="auto" w:sz="4" w:space="0"/>
              <w:bottom w:val="single" w:color="auto" w:sz="4" w:space="0"/>
              <w:right w:val="single" w:color="auto" w:sz="4" w:space="0"/>
            </w:tcBorders>
            <w:noWrap w:val="0"/>
            <w:vAlign w:val="top"/>
          </w:tcPr>
          <w:p w14:paraId="307D9E28">
            <w:pPr>
              <w:spacing w:line="500" w:lineRule="exact"/>
              <w:jc w:val="left"/>
              <w:textAlignment w:val="center"/>
              <w:rPr>
                <w:rFonts w:ascii="华文细黑" w:hAnsi="华文细黑"/>
                <w:sz w:val="24"/>
              </w:rPr>
            </w:pPr>
          </w:p>
        </w:tc>
        <w:tc>
          <w:tcPr>
            <w:tcW w:w="1788" w:type="dxa"/>
            <w:tcBorders>
              <w:top w:val="single" w:color="auto" w:sz="4" w:space="0"/>
              <w:left w:val="single" w:color="auto" w:sz="4" w:space="0"/>
              <w:bottom w:val="single" w:color="auto" w:sz="4" w:space="0"/>
              <w:right w:val="single" w:color="auto" w:sz="4" w:space="0"/>
            </w:tcBorders>
            <w:noWrap w:val="0"/>
            <w:vAlign w:val="top"/>
          </w:tcPr>
          <w:p w14:paraId="6C4616E2">
            <w:pPr>
              <w:spacing w:line="500" w:lineRule="exact"/>
              <w:jc w:val="left"/>
              <w:textAlignment w:val="center"/>
              <w:rPr>
                <w:rFonts w:ascii="华文细黑" w:hAnsi="华文细黑"/>
                <w:sz w:val="24"/>
              </w:rPr>
            </w:pPr>
          </w:p>
        </w:tc>
        <w:tc>
          <w:tcPr>
            <w:tcW w:w="1187" w:type="dxa"/>
            <w:tcBorders>
              <w:top w:val="single" w:color="auto" w:sz="4" w:space="0"/>
              <w:left w:val="single" w:color="auto" w:sz="4" w:space="0"/>
              <w:bottom w:val="single" w:color="auto" w:sz="4" w:space="0"/>
              <w:right w:val="single" w:color="auto" w:sz="4" w:space="0"/>
            </w:tcBorders>
            <w:noWrap w:val="0"/>
            <w:vAlign w:val="top"/>
          </w:tcPr>
          <w:p w14:paraId="10437F64">
            <w:pPr>
              <w:spacing w:line="500" w:lineRule="exact"/>
              <w:jc w:val="left"/>
              <w:textAlignment w:val="center"/>
              <w:rPr>
                <w:rFonts w:ascii="华文细黑" w:hAnsi="华文细黑"/>
                <w:sz w:val="24"/>
              </w:rPr>
            </w:pPr>
          </w:p>
        </w:tc>
        <w:tc>
          <w:tcPr>
            <w:tcW w:w="710" w:type="dxa"/>
            <w:tcBorders>
              <w:top w:val="single" w:color="auto" w:sz="4" w:space="0"/>
              <w:left w:val="single" w:color="auto" w:sz="4" w:space="0"/>
              <w:bottom w:val="single" w:color="auto" w:sz="4" w:space="0"/>
              <w:right w:val="single" w:color="auto" w:sz="4" w:space="0"/>
            </w:tcBorders>
            <w:noWrap w:val="0"/>
            <w:vAlign w:val="top"/>
          </w:tcPr>
          <w:p w14:paraId="779034CD">
            <w:pPr>
              <w:spacing w:line="500" w:lineRule="exact"/>
              <w:jc w:val="left"/>
              <w:textAlignment w:val="center"/>
              <w:rPr>
                <w:rFonts w:ascii="华文细黑" w:hAnsi="华文细黑"/>
                <w:sz w:val="24"/>
              </w:rPr>
            </w:pPr>
          </w:p>
        </w:tc>
        <w:tc>
          <w:tcPr>
            <w:tcW w:w="742" w:type="dxa"/>
            <w:tcBorders>
              <w:top w:val="single" w:color="auto" w:sz="4" w:space="0"/>
              <w:left w:val="single" w:color="auto" w:sz="4" w:space="0"/>
              <w:bottom w:val="single" w:color="auto" w:sz="4" w:space="0"/>
              <w:right w:val="single" w:color="auto" w:sz="4" w:space="0"/>
            </w:tcBorders>
            <w:noWrap w:val="0"/>
            <w:vAlign w:val="top"/>
          </w:tcPr>
          <w:p w14:paraId="3B3BA1D2">
            <w:pPr>
              <w:spacing w:line="500" w:lineRule="exact"/>
              <w:jc w:val="left"/>
              <w:textAlignment w:val="center"/>
              <w:rPr>
                <w:rFonts w:ascii="华文细黑" w:hAnsi="华文细黑"/>
                <w:sz w:val="24"/>
              </w:rPr>
            </w:pPr>
          </w:p>
        </w:tc>
        <w:tc>
          <w:tcPr>
            <w:tcW w:w="781" w:type="dxa"/>
            <w:tcBorders>
              <w:top w:val="single" w:color="auto" w:sz="4" w:space="0"/>
              <w:left w:val="single" w:color="auto" w:sz="4" w:space="0"/>
              <w:bottom w:val="single" w:color="auto" w:sz="4" w:space="0"/>
              <w:right w:val="single" w:color="auto" w:sz="4" w:space="0"/>
            </w:tcBorders>
            <w:noWrap w:val="0"/>
            <w:vAlign w:val="top"/>
          </w:tcPr>
          <w:p w14:paraId="38D12FBA">
            <w:pPr>
              <w:spacing w:line="500" w:lineRule="exact"/>
              <w:jc w:val="left"/>
              <w:textAlignment w:val="center"/>
              <w:rPr>
                <w:rFonts w:ascii="华文细黑" w:hAnsi="华文细黑"/>
                <w:sz w:val="24"/>
              </w:rPr>
            </w:pPr>
          </w:p>
        </w:tc>
      </w:tr>
      <w:tr w14:paraId="321486B0">
        <w:tblPrEx>
          <w:tblCellMar>
            <w:top w:w="0" w:type="dxa"/>
            <w:left w:w="108" w:type="dxa"/>
            <w:bottom w:w="0" w:type="dxa"/>
            <w:right w:w="108" w:type="dxa"/>
          </w:tblCellMar>
        </w:tblPrEx>
        <w:tc>
          <w:tcPr>
            <w:tcW w:w="482" w:type="dxa"/>
            <w:tcBorders>
              <w:top w:val="single" w:color="auto" w:sz="4" w:space="0"/>
              <w:left w:val="single" w:color="auto" w:sz="4" w:space="0"/>
              <w:bottom w:val="single" w:color="auto" w:sz="4" w:space="0"/>
              <w:right w:val="single" w:color="auto" w:sz="4" w:space="0"/>
            </w:tcBorders>
            <w:noWrap w:val="0"/>
            <w:vAlign w:val="top"/>
          </w:tcPr>
          <w:p w14:paraId="09C29F7A">
            <w:pPr>
              <w:spacing w:line="500" w:lineRule="exact"/>
              <w:jc w:val="left"/>
              <w:textAlignment w:val="center"/>
              <w:rPr>
                <w:rFonts w:ascii="华文细黑" w:hAnsi="华文细黑"/>
                <w:sz w:val="24"/>
              </w:rPr>
            </w:pPr>
          </w:p>
        </w:tc>
        <w:tc>
          <w:tcPr>
            <w:tcW w:w="1218" w:type="dxa"/>
            <w:tcBorders>
              <w:top w:val="single" w:color="auto" w:sz="4" w:space="0"/>
              <w:left w:val="single" w:color="auto" w:sz="4" w:space="0"/>
              <w:bottom w:val="single" w:color="auto" w:sz="4" w:space="0"/>
              <w:right w:val="single" w:color="auto" w:sz="4" w:space="0"/>
            </w:tcBorders>
            <w:noWrap w:val="0"/>
            <w:vAlign w:val="top"/>
          </w:tcPr>
          <w:p w14:paraId="7C86BE43">
            <w:pPr>
              <w:spacing w:line="500" w:lineRule="exact"/>
              <w:jc w:val="left"/>
              <w:textAlignment w:val="center"/>
              <w:rPr>
                <w:rFonts w:ascii="华文细黑" w:hAnsi="华文细黑"/>
                <w:sz w:val="24"/>
              </w:rPr>
            </w:pPr>
          </w:p>
        </w:tc>
        <w:tc>
          <w:tcPr>
            <w:tcW w:w="1392" w:type="dxa"/>
            <w:tcBorders>
              <w:top w:val="single" w:color="auto" w:sz="4" w:space="0"/>
              <w:left w:val="single" w:color="auto" w:sz="4" w:space="0"/>
              <w:bottom w:val="single" w:color="auto" w:sz="4" w:space="0"/>
              <w:right w:val="single" w:color="auto" w:sz="4" w:space="0"/>
            </w:tcBorders>
            <w:noWrap w:val="0"/>
            <w:vAlign w:val="top"/>
          </w:tcPr>
          <w:p w14:paraId="2860FEF7">
            <w:pPr>
              <w:spacing w:line="500" w:lineRule="exact"/>
              <w:jc w:val="left"/>
              <w:textAlignment w:val="center"/>
              <w:rPr>
                <w:rFonts w:ascii="华文细黑" w:hAnsi="华文细黑"/>
                <w:sz w:val="24"/>
              </w:rPr>
            </w:pPr>
          </w:p>
        </w:tc>
        <w:tc>
          <w:tcPr>
            <w:tcW w:w="1588" w:type="dxa"/>
            <w:tcBorders>
              <w:top w:val="single" w:color="auto" w:sz="4" w:space="0"/>
              <w:left w:val="single" w:color="auto" w:sz="4" w:space="0"/>
              <w:bottom w:val="single" w:color="auto" w:sz="4" w:space="0"/>
              <w:right w:val="single" w:color="auto" w:sz="4" w:space="0"/>
            </w:tcBorders>
            <w:noWrap w:val="0"/>
            <w:vAlign w:val="top"/>
          </w:tcPr>
          <w:p w14:paraId="608BCFDA">
            <w:pPr>
              <w:spacing w:line="500" w:lineRule="exact"/>
              <w:jc w:val="left"/>
              <w:textAlignment w:val="center"/>
              <w:rPr>
                <w:rFonts w:ascii="华文细黑" w:hAnsi="华文细黑"/>
                <w:sz w:val="24"/>
              </w:rPr>
            </w:pPr>
          </w:p>
        </w:tc>
        <w:tc>
          <w:tcPr>
            <w:tcW w:w="1788" w:type="dxa"/>
            <w:tcBorders>
              <w:top w:val="single" w:color="auto" w:sz="4" w:space="0"/>
              <w:left w:val="single" w:color="auto" w:sz="4" w:space="0"/>
              <w:bottom w:val="single" w:color="auto" w:sz="4" w:space="0"/>
              <w:right w:val="single" w:color="auto" w:sz="4" w:space="0"/>
            </w:tcBorders>
            <w:noWrap w:val="0"/>
            <w:vAlign w:val="top"/>
          </w:tcPr>
          <w:p w14:paraId="147B46C9">
            <w:pPr>
              <w:spacing w:line="500" w:lineRule="exact"/>
              <w:jc w:val="left"/>
              <w:textAlignment w:val="center"/>
              <w:rPr>
                <w:rFonts w:ascii="华文细黑" w:hAnsi="华文细黑"/>
                <w:sz w:val="24"/>
              </w:rPr>
            </w:pPr>
          </w:p>
        </w:tc>
        <w:tc>
          <w:tcPr>
            <w:tcW w:w="1187" w:type="dxa"/>
            <w:tcBorders>
              <w:top w:val="single" w:color="auto" w:sz="4" w:space="0"/>
              <w:left w:val="single" w:color="auto" w:sz="4" w:space="0"/>
              <w:bottom w:val="single" w:color="auto" w:sz="4" w:space="0"/>
              <w:right w:val="single" w:color="auto" w:sz="4" w:space="0"/>
            </w:tcBorders>
            <w:noWrap w:val="0"/>
            <w:vAlign w:val="top"/>
          </w:tcPr>
          <w:p w14:paraId="1E97EA18">
            <w:pPr>
              <w:spacing w:line="500" w:lineRule="exact"/>
              <w:jc w:val="left"/>
              <w:textAlignment w:val="center"/>
              <w:rPr>
                <w:rFonts w:ascii="华文细黑" w:hAnsi="华文细黑"/>
                <w:sz w:val="24"/>
              </w:rPr>
            </w:pPr>
          </w:p>
        </w:tc>
        <w:tc>
          <w:tcPr>
            <w:tcW w:w="710" w:type="dxa"/>
            <w:tcBorders>
              <w:top w:val="single" w:color="auto" w:sz="4" w:space="0"/>
              <w:left w:val="single" w:color="auto" w:sz="4" w:space="0"/>
              <w:bottom w:val="single" w:color="auto" w:sz="4" w:space="0"/>
              <w:right w:val="single" w:color="auto" w:sz="4" w:space="0"/>
            </w:tcBorders>
            <w:noWrap w:val="0"/>
            <w:vAlign w:val="top"/>
          </w:tcPr>
          <w:p w14:paraId="0F85EBAA">
            <w:pPr>
              <w:spacing w:line="500" w:lineRule="exact"/>
              <w:jc w:val="left"/>
              <w:textAlignment w:val="center"/>
              <w:rPr>
                <w:rFonts w:ascii="华文细黑" w:hAnsi="华文细黑"/>
                <w:sz w:val="24"/>
              </w:rPr>
            </w:pPr>
          </w:p>
        </w:tc>
        <w:tc>
          <w:tcPr>
            <w:tcW w:w="742" w:type="dxa"/>
            <w:tcBorders>
              <w:top w:val="single" w:color="auto" w:sz="4" w:space="0"/>
              <w:left w:val="single" w:color="auto" w:sz="4" w:space="0"/>
              <w:bottom w:val="single" w:color="auto" w:sz="4" w:space="0"/>
              <w:right w:val="single" w:color="auto" w:sz="4" w:space="0"/>
            </w:tcBorders>
            <w:noWrap w:val="0"/>
            <w:vAlign w:val="top"/>
          </w:tcPr>
          <w:p w14:paraId="47B5F574">
            <w:pPr>
              <w:spacing w:line="500" w:lineRule="exact"/>
              <w:jc w:val="left"/>
              <w:textAlignment w:val="center"/>
              <w:rPr>
                <w:rFonts w:ascii="华文细黑" w:hAnsi="华文细黑"/>
                <w:sz w:val="24"/>
              </w:rPr>
            </w:pPr>
          </w:p>
        </w:tc>
        <w:tc>
          <w:tcPr>
            <w:tcW w:w="781" w:type="dxa"/>
            <w:tcBorders>
              <w:top w:val="single" w:color="auto" w:sz="4" w:space="0"/>
              <w:left w:val="single" w:color="auto" w:sz="4" w:space="0"/>
              <w:bottom w:val="single" w:color="auto" w:sz="4" w:space="0"/>
              <w:right w:val="single" w:color="auto" w:sz="4" w:space="0"/>
            </w:tcBorders>
            <w:noWrap w:val="0"/>
            <w:vAlign w:val="top"/>
          </w:tcPr>
          <w:p w14:paraId="4779D914">
            <w:pPr>
              <w:spacing w:line="500" w:lineRule="exact"/>
              <w:jc w:val="left"/>
              <w:textAlignment w:val="center"/>
              <w:rPr>
                <w:rFonts w:ascii="华文细黑" w:hAnsi="华文细黑"/>
                <w:sz w:val="24"/>
              </w:rPr>
            </w:pPr>
          </w:p>
        </w:tc>
      </w:tr>
      <w:tr w14:paraId="1758FF66">
        <w:tblPrEx>
          <w:tblCellMar>
            <w:top w:w="0" w:type="dxa"/>
            <w:left w:w="108" w:type="dxa"/>
            <w:bottom w:w="0" w:type="dxa"/>
            <w:right w:w="108" w:type="dxa"/>
          </w:tblCellMar>
        </w:tblPrEx>
        <w:tc>
          <w:tcPr>
            <w:tcW w:w="482" w:type="dxa"/>
            <w:tcBorders>
              <w:top w:val="single" w:color="auto" w:sz="4" w:space="0"/>
              <w:left w:val="single" w:color="auto" w:sz="4" w:space="0"/>
              <w:bottom w:val="single" w:color="auto" w:sz="4" w:space="0"/>
              <w:right w:val="single" w:color="auto" w:sz="4" w:space="0"/>
            </w:tcBorders>
            <w:noWrap w:val="0"/>
            <w:vAlign w:val="top"/>
          </w:tcPr>
          <w:p w14:paraId="6904C082">
            <w:pPr>
              <w:spacing w:line="500" w:lineRule="exact"/>
              <w:jc w:val="left"/>
              <w:textAlignment w:val="center"/>
              <w:rPr>
                <w:rFonts w:ascii="华文细黑" w:hAnsi="华文细黑"/>
                <w:sz w:val="24"/>
              </w:rPr>
            </w:pPr>
          </w:p>
        </w:tc>
        <w:tc>
          <w:tcPr>
            <w:tcW w:w="1218" w:type="dxa"/>
            <w:tcBorders>
              <w:top w:val="single" w:color="auto" w:sz="4" w:space="0"/>
              <w:left w:val="single" w:color="auto" w:sz="4" w:space="0"/>
              <w:bottom w:val="single" w:color="auto" w:sz="4" w:space="0"/>
              <w:right w:val="single" w:color="auto" w:sz="4" w:space="0"/>
            </w:tcBorders>
            <w:noWrap w:val="0"/>
            <w:vAlign w:val="top"/>
          </w:tcPr>
          <w:p w14:paraId="7A6844F7">
            <w:pPr>
              <w:spacing w:line="500" w:lineRule="exact"/>
              <w:jc w:val="left"/>
              <w:textAlignment w:val="center"/>
              <w:rPr>
                <w:rFonts w:ascii="华文细黑" w:hAnsi="华文细黑"/>
                <w:sz w:val="24"/>
              </w:rPr>
            </w:pPr>
          </w:p>
        </w:tc>
        <w:tc>
          <w:tcPr>
            <w:tcW w:w="1392" w:type="dxa"/>
            <w:tcBorders>
              <w:top w:val="single" w:color="auto" w:sz="4" w:space="0"/>
              <w:left w:val="single" w:color="auto" w:sz="4" w:space="0"/>
              <w:bottom w:val="single" w:color="auto" w:sz="4" w:space="0"/>
              <w:right w:val="single" w:color="auto" w:sz="4" w:space="0"/>
            </w:tcBorders>
            <w:noWrap w:val="0"/>
            <w:vAlign w:val="top"/>
          </w:tcPr>
          <w:p w14:paraId="557456F1">
            <w:pPr>
              <w:spacing w:line="500" w:lineRule="exact"/>
              <w:jc w:val="left"/>
              <w:textAlignment w:val="center"/>
              <w:rPr>
                <w:rFonts w:ascii="华文细黑" w:hAnsi="华文细黑"/>
                <w:sz w:val="24"/>
              </w:rPr>
            </w:pPr>
          </w:p>
        </w:tc>
        <w:tc>
          <w:tcPr>
            <w:tcW w:w="1588" w:type="dxa"/>
            <w:tcBorders>
              <w:top w:val="single" w:color="auto" w:sz="4" w:space="0"/>
              <w:left w:val="single" w:color="auto" w:sz="4" w:space="0"/>
              <w:bottom w:val="single" w:color="auto" w:sz="4" w:space="0"/>
              <w:right w:val="single" w:color="auto" w:sz="4" w:space="0"/>
            </w:tcBorders>
            <w:noWrap w:val="0"/>
            <w:vAlign w:val="top"/>
          </w:tcPr>
          <w:p w14:paraId="5BABB11F">
            <w:pPr>
              <w:spacing w:line="500" w:lineRule="exact"/>
              <w:jc w:val="left"/>
              <w:textAlignment w:val="center"/>
              <w:rPr>
                <w:rFonts w:ascii="华文细黑" w:hAnsi="华文细黑"/>
                <w:sz w:val="24"/>
              </w:rPr>
            </w:pPr>
          </w:p>
        </w:tc>
        <w:tc>
          <w:tcPr>
            <w:tcW w:w="1788" w:type="dxa"/>
            <w:tcBorders>
              <w:top w:val="single" w:color="auto" w:sz="4" w:space="0"/>
              <w:left w:val="single" w:color="auto" w:sz="4" w:space="0"/>
              <w:bottom w:val="single" w:color="auto" w:sz="4" w:space="0"/>
              <w:right w:val="single" w:color="auto" w:sz="4" w:space="0"/>
            </w:tcBorders>
            <w:noWrap w:val="0"/>
            <w:vAlign w:val="top"/>
          </w:tcPr>
          <w:p w14:paraId="51AEC497">
            <w:pPr>
              <w:spacing w:line="500" w:lineRule="exact"/>
              <w:jc w:val="left"/>
              <w:textAlignment w:val="center"/>
              <w:rPr>
                <w:rFonts w:ascii="华文细黑" w:hAnsi="华文细黑"/>
                <w:sz w:val="24"/>
              </w:rPr>
            </w:pPr>
          </w:p>
        </w:tc>
        <w:tc>
          <w:tcPr>
            <w:tcW w:w="1187" w:type="dxa"/>
            <w:tcBorders>
              <w:top w:val="single" w:color="auto" w:sz="4" w:space="0"/>
              <w:left w:val="single" w:color="auto" w:sz="4" w:space="0"/>
              <w:bottom w:val="single" w:color="auto" w:sz="4" w:space="0"/>
              <w:right w:val="single" w:color="auto" w:sz="4" w:space="0"/>
            </w:tcBorders>
            <w:noWrap w:val="0"/>
            <w:vAlign w:val="top"/>
          </w:tcPr>
          <w:p w14:paraId="65D8505C">
            <w:pPr>
              <w:spacing w:line="500" w:lineRule="exact"/>
              <w:jc w:val="left"/>
              <w:textAlignment w:val="center"/>
              <w:rPr>
                <w:rFonts w:ascii="华文细黑" w:hAnsi="华文细黑"/>
                <w:sz w:val="24"/>
              </w:rPr>
            </w:pPr>
          </w:p>
        </w:tc>
        <w:tc>
          <w:tcPr>
            <w:tcW w:w="710" w:type="dxa"/>
            <w:tcBorders>
              <w:top w:val="single" w:color="auto" w:sz="4" w:space="0"/>
              <w:left w:val="single" w:color="auto" w:sz="4" w:space="0"/>
              <w:bottom w:val="single" w:color="auto" w:sz="4" w:space="0"/>
              <w:right w:val="single" w:color="auto" w:sz="4" w:space="0"/>
            </w:tcBorders>
            <w:noWrap w:val="0"/>
            <w:vAlign w:val="top"/>
          </w:tcPr>
          <w:p w14:paraId="7801ECF0">
            <w:pPr>
              <w:spacing w:line="500" w:lineRule="exact"/>
              <w:jc w:val="left"/>
              <w:textAlignment w:val="center"/>
              <w:rPr>
                <w:rFonts w:ascii="华文细黑" w:hAnsi="华文细黑"/>
                <w:sz w:val="24"/>
              </w:rPr>
            </w:pPr>
          </w:p>
        </w:tc>
        <w:tc>
          <w:tcPr>
            <w:tcW w:w="742" w:type="dxa"/>
            <w:tcBorders>
              <w:top w:val="single" w:color="auto" w:sz="4" w:space="0"/>
              <w:left w:val="single" w:color="auto" w:sz="4" w:space="0"/>
              <w:bottom w:val="single" w:color="auto" w:sz="4" w:space="0"/>
              <w:right w:val="single" w:color="auto" w:sz="4" w:space="0"/>
            </w:tcBorders>
            <w:noWrap w:val="0"/>
            <w:vAlign w:val="top"/>
          </w:tcPr>
          <w:p w14:paraId="103F07FE">
            <w:pPr>
              <w:spacing w:line="500" w:lineRule="exact"/>
              <w:jc w:val="left"/>
              <w:textAlignment w:val="center"/>
              <w:rPr>
                <w:rFonts w:ascii="华文细黑" w:hAnsi="华文细黑"/>
                <w:sz w:val="24"/>
              </w:rPr>
            </w:pPr>
          </w:p>
        </w:tc>
        <w:tc>
          <w:tcPr>
            <w:tcW w:w="781" w:type="dxa"/>
            <w:tcBorders>
              <w:top w:val="single" w:color="auto" w:sz="4" w:space="0"/>
              <w:left w:val="single" w:color="auto" w:sz="4" w:space="0"/>
              <w:bottom w:val="single" w:color="auto" w:sz="4" w:space="0"/>
              <w:right w:val="single" w:color="auto" w:sz="4" w:space="0"/>
            </w:tcBorders>
            <w:noWrap w:val="0"/>
            <w:vAlign w:val="top"/>
          </w:tcPr>
          <w:p w14:paraId="0282D99A">
            <w:pPr>
              <w:spacing w:line="500" w:lineRule="exact"/>
              <w:jc w:val="left"/>
              <w:textAlignment w:val="center"/>
              <w:rPr>
                <w:rFonts w:ascii="华文细黑" w:hAnsi="华文细黑"/>
                <w:sz w:val="24"/>
              </w:rPr>
            </w:pPr>
          </w:p>
        </w:tc>
      </w:tr>
      <w:tr w14:paraId="1F8C6C34">
        <w:tblPrEx>
          <w:tblCellMar>
            <w:top w:w="0" w:type="dxa"/>
            <w:left w:w="108" w:type="dxa"/>
            <w:bottom w:w="0" w:type="dxa"/>
            <w:right w:w="108" w:type="dxa"/>
          </w:tblCellMar>
        </w:tblPrEx>
        <w:tc>
          <w:tcPr>
            <w:tcW w:w="482" w:type="dxa"/>
            <w:tcBorders>
              <w:top w:val="single" w:color="auto" w:sz="4" w:space="0"/>
              <w:left w:val="single" w:color="auto" w:sz="4" w:space="0"/>
              <w:bottom w:val="single" w:color="auto" w:sz="4" w:space="0"/>
              <w:right w:val="single" w:color="auto" w:sz="4" w:space="0"/>
            </w:tcBorders>
            <w:noWrap w:val="0"/>
            <w:vAlign w:val="top"/>
          </w:tcPr>
          <w:p w14:paraId="6944723E">
            <w:pPr>
              <w:spacing w:line="500" w:lineRule="exact"/>
              <w:jc w:val="left"/>
              <w:textAlignment w:val="center"/>
              <w:rPr>
                <w:rFonts w:ascii="华文细黑" w:hAnsi="华文细黑"/>
                <w:sz w:val="24"/>
              </w:rPr>
            </w:pPr>
          </w:p>
        </w:tc>
        <w:tc>
          <w:tcPr>
            <w:tcW w:w="1218" w:type="dxa"/>
            <w:tcBorders>
              <w:top w:val="single" w:color="auto" w:sz="4" w:space="0"/>
              <w:left w:val="single" w:color="auto" w:sz="4" w:space="0"/>
              <w:bottom w:val="single" w:color="auto" w:sz="4" w:space="0"/>
              <w:right w:val="single" w:color="auto" w:sz="4" w:space="0"/>
            </w:tcBorders>
            <w:noWrap w:val="0"/>
            <w:vAlign w:val="top"/>
          </w:tcPr>
          <w:p w14:paraId="53B8AA7D">
            <w:pPr>
              <w:spacing w:line="500" w:lineRule="exact"/>
              <w:jc w:val="left"/>
              <w:textAlignment w:val="center"/>
              <w:rPr>
                <w:rFonts w:ascii="华文细黑" w:hAnsi="华文细黑"/>
                <w:sz w:val="24"/>
              </w:rPr>
            </w:pPr>
          </w:p>
        </w:tc>
        <w:tc>
          <w:tcPr>
            <w:tcW w:w="1392" w:type="dxa"/>
            <w:tcBorders>
              <w:top w:val="single" w:color="auto" w:sz="4" w:space="0"/>
              <w:left w:val="single" w:color="auto" w:sz="4" w:space="0"/>
              <w:bottom w:val="single" w:color="auto" w:sz="4" w:space="0"/>
              <w:right w:val="single" w:color="auto" w:sz="4" w:space="0"/>
            </w:tcBorders>
            <w:noWrap w:val="0"/>
            <w:vAlign w:val="top"/>
          </w:tcPr>
          <w:p w14:paraId="1A523E99">
            <w:pPr>
              <w:spacing w:line="500" w:lineRule="exact"/>
              <w:jc w:val="left"/>
              <w:textAlignment w:val="center"/>
              <w:rPr>
                <w:rFonts w:ascii="华文细黑" w:hAnsi="华文细黑"/>
                <w:sz w:val="24"/>
              </w:rPr>
            </w:pPr>
          </w:p>
        </w:tc>
        <w:tc>
          <w:tcPr>
            <w:tcW w:w="1588" w:type="dxa"/>
            <w:tcBorders>
              <w:top w:val="single" w:color="auto" w:sz="4" w:space="0"/>
              <w:left w:val="single" w:color="auto" w:sz="4" w:space="0"/>
              <w:bottom w:val="single" w:color="auto" w:sz="4" w:space="0"/>
              <w:right w:val="single" w:color="auto" w:sz="4" w:space="0"/>
            </w:tcBorders>
            <w:noWrap w:val="0"/>
            <w:vAlign w:val="top"/>
          </w:tcPr>
          <w:p w14:paraId="33E900DD">
            <w:pPr>
              <w:spacing w:line="500" w:lineRule="exact"/>
              <w:jc w:val="left"/>
              <w:textAlignment w:val="center"/>
              <w:rPr>
                <w:rFonts w:ascii="华文细黑" w:hAnsi="华文细黑"/>
                <w:sz w:val="24"/>
              </w:rPr>
            </w:pPr>
          </w:p>
        </w:tc>
        <w:tc>
          <w:tcPr>
            <w:tcW w:w="1788" w:type="dxa"/>
            <w:tcBorders>
              <w:top w:val="single" w:color="auto" w:sz="4" w:space="0"/>
              <w:left w:val="single" w:color="auto" w:sz="4" w:space="0"/>
              <w:bottom w:val="single" w:color="auto" w:sz="4" w:space="0"/>
              <w:right w:val="single" w:color="auto" w:sz="4" w:space="0"/>
            </w:tcBorders>
            <w:noWrap w:val="0"/>
            <w:vAlign w:val="top"/>
          </w:tcPr>
          <w:p w14:paraId="4B869F58">
            <w:pPr>
              <w:spacing w:line="500" w:lineRule="exact"/>
              <w:jc w:val="left"/>
              <w:textAlignment w:val="center"/>
              <w:rPr>
                <w:rFonts w:ascii="华文细黑" w:hAnsi="华文细黑"/>
                <w:sz w:val="24"/>
              </w:rPr>
            </w:pPr>
          </w:p>
        </w:tc>
        <w:tc>
          <w:tcPr>
            <w:tcW w:w="1187" w:type="dxa"/>
            <w:tcBorders>
              <w:top w:val="single" w:color="auto" w:sz="4" w:space="0"/>
              <w:left w:val="single" w:color="auto" w:sz="4" w:space="0"/>
              <w:bottom w:val="single" w:color="auto" w:sz="4" w:space="0"/>
              <w:right w:val="single" w:color="auto" w:sz="4" w:space="0"/>
            </w:tcBorders>
            <w:noWrap w:val="0"/>
            <w:vAlign w:val="top"/>
          </w:tcPr>
          <w:p w14:paraId="4520D4F9">
            <w:pPr>
              <w:spacing w:line="500" w:lineRule="exact"/>
              <w:jc w:val="left"/>
              <w:textAlignment w:val="center"/>
              <w:rPr>
                <w:rFonts w:ascii="华文细黑" w:hAnsi="华文细黑"/>
                <w:sz w:val="24"/>
              </w:rPr>
            </w:pPr>
          </w:p>
        </w:tc>
        <w:tc>
          <w:tcPr>
            <w:tcW w:w="710" w:type="dxa"/>
            <w:tcBorders>
              <w:top w:val="single" w:color="auto" w:sz="4" w:space="0"/>
              <w:left w:val="single" w:color="auto" w:sz="4" w:space="0"/>
              <w:bottom w:val="single" w:color="auto" w:sz="4" w:space="0"/>
              <w:right w:val="single" w:color="auto" w:sz="4" w:space="0"/>
            </w:tcBorders>
            <w:noWrap w:val="0"/>
            <w:vAlign w:val="top"/>
          </w:tcPr>
          <w:p w14:paraId="1C3FB5D2">
            <w:pPr>
              <w:spacing w:line="500" w:lineRule="exact"/>
              <w:jc w:val="left"/>
              <w:textAlignment w:val="center"/>
              <w:rPr>
                <w:rFonts w:ascii="华文细黑" w:hAnsi="华文细黑"/>
                <w:sz w:val="24"/>
              </w:rPr>
            </w:pPr>
          </w:p>
        </w:tc>
        <w:tc>
          <w:tcPr>
            <w:tcW w:w="742" w:type="dxa"/>
            <w:tcBorders>
              <w:top w:val="single" w:color="auto" w:sz="4" w:space="0"/>
              <w:left w:val="single" w:color="auto" w:sz="4" w:space="0"/>
              <w:bottom w:val="single" w:color="auto" w:sz="4" w:space="0"/>
              <w:right w:val="single" w:color="auto" w:sz="4" w:space="0"/>
            </w:tcBorders>
            <w:noWrap w:val="0"/>
            <w:vAlign w:val="top"/>
          </w:tcPr>
          <w:p w14:paraId="5F402911">
            <w:pPr>
              <w:spacing w:line="500" w:lineRule="exact"/>
              <w:jc w:val="left"/>
              <w:textAlignment w:val="center"/>
              <w:rPr>
                <w:rFonts w:ascii="华文细黑" w:hAnsi="华文细黑"/>
                <w:sz w:val="24"/>
              </w:rPr>
            </w:pPr>
          </w:p>
        </w:tc>
        <w:tc>
          <w:tcPr>
            <w:tcW w:w="781" w:type="dxa"/>
            <w:tcBorders>
              <w:top w:val="single" w:color="auto" w:sz="4" w:space="0"/>
              <w:left w:val="single" w:color="auto" w:sz="4" w:space="0"/>
              <w:bottom w:val="single" w:color="auto" w:sz="4" w:space="0"/>
              <w:right w:val="single" w:color="auto" w:sz="4" w:space="0"/>
            </w:tcBorders>
            <w:noWrap w:val="0"/>
            <w:vAlign w:val="top"/>
          </w:tcPr>
          <w:p w14:paraId="4B3F5870">
            <w:pPr>
              <w:spacing w:line="500" w:lineRule="exact"/>
              <w:jc w:val="left"/>
              <w:textAlignment w:val="center"/>
              <w:rPr>
                <w:rFonts w:ascii="华文细黑" w:hAnsi="华文细黑"/>
                <w:sz w:val="24"/>
              </w:rPr>
            </w:pPr>
          </w:p>
        </w:tc>
      </w:tr>
      <w:tr w14:paraId="659C1F81">
        <w:tblPrEx>
          <w:tblCellMar>
            <w:top w:w="0" w:type="dxa"/>
            <w:left w:w="108" w:type="dxa"/>
            <w:bottom w:w="0" w:type="dxa"/>
            <w:right w:w="108" w:type="dxa"/>
          </w:tblCellMar>
        </w:tblPrEx>
        <w:tc>
          <w:tcPr>
            <w:tcW w:w="482" w:type="dxa"/>
            <w:tcBorders>
              <w:top w:val="single" w:color="auto" w:sz="4" w:space="0"/>
              <w:left w:val="single" w:color="auto" w:sz="4" w:space="0"/>
              <w:bottom w:val="single" w:color="auto" w:sz="4" w:space="0"/>
              <w:right w:val="single" w:color="auto" w:sz="4" w:space="0"/>
            </w:tcBorders>
            <w:noWrap w:val="0"/>
            <w:vAlign w:val="top"/>
          </w:tcPr>
          <w:p w14:paraId="2111DB84">
            <w:pPr>
              <w:spacing w:line="500" w:lineRule="exact"/>
              <w:jc w:val="left"/>
              <w:textAlignment w:val="center"/>
              <w:rPr>
                <w:rFonts w:ascii="华文细黑" w:hAnsi="华文细黑"/>
                <w:sz w:val="24"/>
              </w:rPr>
            </w:pPr>
          </w:p>
        </w:tc>
        <w:tc>
          <w:tcPr>
            <w:tcW w:w="1218" w:type="dxa"/>
            <w:tcBorders>
              <w:top w:val="single" w:color="auto" w:sz="4" w:space="0"/>
              <w:left w:val="single" w:color="auto" w:sz="4" w:space="0"/>
              <w:bottom w:val="single" w:color="auto" w:sz="4" w:space="0"/>
              <w:right w:val="single" w:color="auto" w:sz="4" w:space="0"/>
            </w:tcBorders>
            <w:noWrap w:val="0"/>
            <w:vAlign w:val="top"/>
          </w:tcPr>
          <w:p w14:paraId="3008E2FC">
            <w:pPr>
              <w:spacing w:line="500" w:lineRule="exact"/>
              <w:jc w:val="left"/>
              <w:textAlignment w:val="center"/>
              <w:rPr>
                <w:rFonts w:ascii="华文细黑" w:hAnsi="华文细黑"/>
                <w:sz w:val="24"/>
              </w:rPr>
            </w:pPr>
          </w:p>
        </w:tc>
        <w:tc>
          <w:tcPr>
            <w:tcW w:w="1392" w:type="dxa"/>
            <w:tcBorders>
              <w:top w:val="single" w:color="auto" w:sz="4" w:space="0"/>
              <w:left w:val="single" w:color="auto" w:sz="4" w:space="0"/>
              <w:bottom w:val="single" w:color="auto" w:sz="4" w:space="0"/>
              <w:right w:val="single" w:color="auto" w:sz="4" w:space="0"/>
            </w:tcBorders>
            <w:noWrap w:val="0"/>
            <w:vAlign w:val="top"/>
          </w:tcPr>
          <w:p w14:paraId="76CF832B">
            <w:pPr>
              <w:spacing w:line="500" w:lineRule="exact"/>
              <w:jc w:val="left"/>
              <w:textAlignment w:val="center"/>
              <w:rPr>
                <w:rFonts w:ascii="华文细黑" w:hAnsi="华文细黑"/>
                <w:sz w:val="24"/>
              </w:rPr>
            </w:pPr>
          </w:p>
        </w:tc>
        <w:tc>
          <w:tcPr>
            <w:tcW w:w="1588" w:type="dxa"/>
            <w:tcBorders>
              <w:top w:val="single" w:color="auto" w:sz="4" w:space="0"/>
              <w:left w:val="single" w:color="auto" w:sz="4" w:space="0"/>
              <w:bottom w:val="single" w:color="auto" w:sz="4" w:space="0"/>
              <w:right w:val="single" w:color="auto" w:sz="4" w:space="0"/>
            </w:tcBorders>
            <w:noWrap w:val="0"/>
            <w:vAlign w:val="top"/>
          </w:tcPr>
          <w:p w14:paraId="5BA850E5">
            <w:pPr>
              <w:spacing w:line="500" w:lineRule="exact"/>
              <w:jc w:val="left"/>
              <w:textAlignment w:val="center"/>
              <w:rPr>
                <w:rFonts w:ascii="华文细黑" w:hAnsi="华文细黑"/>
                <w:sz w:val="24"/>
              </w:rPr>
            </w:pPr>
          </w:p>
        </w:tc>
        <w:tc>
          <w:tcPr>
            <w:tcW w:w="1788" w:type="dxa"/>
            <w:tcBorders>
              <w:top w:val="single" w:color="auto" w:sz="4" w:space="0"/>
              <w:left w:val="single" w:color="auto" w:sz="4" w:space="0"/>
              <w:bottom w:val="single" w:color="auto" w:sz="4" w:space="0"/>
              <w:right w:val="single" w:color="auto" w:sz="4" w:space="0"/>
            </w:tcBorders>
            <w:noWrap w:val="0"/>
            <w:vAlign w:val="top"/>
          </w:tcPr>
          <w:p w14:paraId="22FFE5B5">
            <w:pPr>
              <w:spacing w:line="500" w:lineRule="exact"/>
              <w:jc w:val="left"/>
              <w:textAlignment w:val="center"/>
              <w:rPr>
                <w:rFonts w:ascii="华文细黑" w:hAnsi="华文细黑"/>
                <w:sz w:val="24"/>
              </w:rPr>
            </w:pPr>
          </w:p>
        </w:tc>
        <w:tc>
          <w:tcPr>
            <w:tcW w:w="1187" w:type="dxa"/>
            <w:tcBorders>
              <w:top w:val="single" w:color="auto" w:sz="4" w:space="0"/>
              <w:left w:val="single" w:color="auto" w:sz="4" w:space="0"/>
              <w:bottom w:val="single" w:color="auto" w:sz="4" w:space="0"/>
              <w:right w:val="single" w:color="auto" w:sz="4" w:space="0"/>
            </w:tcBorders>
            <w:noWrap w:val="0"/>
            <w:vAlign w:val="top"/>
          </w:tcPr>
          <w:p w14:paraId="06B1B8D6">
            <w:pPr>
              <w:spacing w:line="500" w:lineRule="exact"/>
              <w:jc w:val="left"/>
              <w:textAlignment w:val="center"/>
              <w:rPr>
                <w:rFonts w:ascii="华文细黑" w:hAnsi="华文细黑"/>
                <w:sz w:val="24"/>
              </w:rPr>
            </w:pPr>
          </w:p>
        </w:tc>
        <w:tc>
          <w:tcPr>
            <w:tcW w:w="710" w:type="dxa"/>
            <w:tcBorders>
              <w:top w:val="single" w:color="auto" w:sz="4" w:space="0"/>
              <w:left w:val="single" w:color="auto" w:sz="4" w:space="0"/>
              <w:bottom w:val="single" w:color="auto" w:sz="4" w:space="0"/>
              <w:right w:val="single" w:color="auto" w:sz="4" w:space="0"/>
            </w:tcBorders>
            <w:noWrap w:val="0"/>
            <w:vAlign w:val="top"/>
          </w:tcPr>
          <w:p w14:paraId="44741020">
            <w:pPr>
              <w:spacing w:line="500" w:lineRule="exact"/>
              <w:jc w:val="left"/>
              <w:textAlignment w:val="center"/>
              <w:rPr>
                <w:rFonts w:ascii="华文细黑" w:hAnsi="华文细黑"/>
                <w:sz w:val="24"/>
              </w:rPr>
            </w:pPr>
          </w:p>
        </w:tc>
        <w:tc>
          <w:tcPr>
            <w:tcW w:w="742" w:type="dxa"/>
            <w:tcBorders>
              <w:top w:val="single" w:color="auto" w:sz="4" w:space="0"/>
              <w:left w:val="single" w:color="auto" w:sz="4" w:space="0"/>
              <w:bottom w:val="single" w:color="auto" w:sz="4" w:space="0"/>
              <w:right w:val="single" w:color="auto" w:sz="4" w:space="0"/>
            </w:tcBorders>
            <w:noWrap w:val="0"/>
            <w:vAlign w:val="top"/>
          </w:tcPr>
          <w:p w14:paraId="586B6BF7">
            <w:pPr>
              <w:spacing w:line="500" w:lineRule="exact"/>
              <w:jc w:val="left"/>
              <w:textAlignment w:val="center"/>
              <w:rPr>
                <w:rFonts w:ascii="华文细黑" w:hAnsi="华文细黑"/>
                <w:sz w:val="24"/>
              </w:rPr>
            </w:pPr>
          </w:p>
        </w:tc>
        <w:tc>
          <w:tcPr>
            <w:tcW w:w="781" w:type="dxa"/>
            <w:tcBorders>
              <w:top w:val="single" w:color="auto" w:sz="4" w:space="0"/>
              <w:left w:val="single" w:color="auto" w:sz="4" w:space="0"/>
              <w:bottom w:val="single" w:color="auto" w:sz="4" w:space="0"/>
              <w:right w:val="single" w:color="auto" w:sz="4" w:space="0"/>
            </w:tcBorders>
            <w:noWrap w:val="0"/>
            <w:vAlign w:val="top"/>
          </w:tcPr>
          <w:p w14:paraId="16786D93">
            <w:pPr>
              <w:spacing w:line="500" w:lineRule="exact"/>
              <w:jc w:val="left"/>
              <w:textAlignment w:val="center"/>
              <w:rPr>
                <w:rFonts w:ascii="华文细黑" w:hAnsi="华文细黑"/>
                <w:sz w:val="24"/>
              </w:rPr>
            </w:pPr>
          </w:p>
        </w:tc>
      </w:tr>
      <w:tr w14:paraId="78A9AB95">
        <w:tblPrEx>
          <w:tblCellMar>
            <w:top w:w="0" w:type="dxa"/>
            <w:left w:w="108" w:type="dxa"/>
            <w:bottom w:w="0" w:type="dxa"/>
            <w:right w:w="108" w:type="dxa"/>
          </w:tblCellMar>
        </w:tblPrEx>
        <w:tc>
          <w:tcPr>
            <w:tcW w:w="482" w:type="dxa"/>
            <w:tcBorders>
              <w:top w:val="single" w:color="auto" w:sz="4" w:space="0"/>
              <w:left w:val="single" w:color="auto" w:sz="4" w:space="0"/>
              <w:bottom w:val="single" w:color="auto" w:sz="4" w:space="0"/>
              <w:right w:val="single" w:color="auto" w:sz="4" w:space="0"/>
            </w:tcBorders>
            <w:noWrap w:val="0"/>
            <w:vAlign w:val="top"/>
          </w:tcPr>
          <w:p w14:paraId="33A737A7">
            <w:pPr>
              <w:spacing w:line="500" w:lineRule="exact"/>
              <w:jc w:val="left"/>
              <w:textAlignment w:val="center"/>
              <w:rPr>
                <w:rFonts w:ascii="华文细黑" w:hAnsi="华文细黑"/>
                <w:sz w:val="24"/>
              </w:rPr>
            </w:pPr>
          </w:p>
        </w:tc>
        <w:tc>
          <w:tcPr>
            <w:tcW w:w="1218" w:type="dxa"/>
            <w:tcBorders>
              <w:top w:val="single" w:color="auto" w:sz="4" w:space="0"/>
              <w:left w:val="single" w:color="auto" w:sz="4" w:space="0"/>
              <w:bottom w:val="single" w:color="auto" w:sz="4" w:space="0"/>
              <w:right w:val="single" w:color="auto" w:sz="4" w:space="0"/>
            </w:tcBorders>
            <w:noWrap w:val="0"/>
            <w:vAlign w:val="top"/>
          </w:tcPr>
          <w:p w14:paraId="622FFBCC">
            <w:pPr>
              <w:spacing w:line="500" w:lineRule="exact"/>
              <w:jc w:val="left"/>
              <w:textAlignment w:val="center"/>
              <w:rPr>
                <w:rFonts w:ascii="华文细黑" w:hAnsi="华文细黑"/>
                <w:sz w:val="24"/>
              </w:rPr>
            </w:pPr>
          </w:p>
        </w:tc>
        <w:tc>
          <w:tcPr>
            <w:tcW w:w="1392" w:type="dxa"/>
            <w:tcBorders>
              <w:top w:val="single" w:color="auto" w:sz="4" w:space="0"/>
              <w:left w:val="single" w:color="auto" w:sz="4" w:space="0"/>
              <w:bottom w:val="single" w:color="auto" w:sz="4" w:space="0"/>
              <w:right w:val="single" w:color="auto" w:sz="4" w:space="0"/>
            </w:tcBorders>
            <w:noWrap w:val="0"/>
            <w:vAlign w:val="top"/>
          </w:tcPr>
          <w:p w14:paraId="22029FB4">
            <w:pPr>
              <w:spacing w:line="500" w:lineRule="exact"/>
              <w:jc w:val="left"/>
              <w:textAlignment w:val="center"/>
              <w:rPr>
                <w:rFonts w:ascii="华文细黑" w:hAnsi="华文细黑"/>
                <w:sz w:val="24"/>
              </w:rPr>
            </w:pPr>
          </w:p>
        </w:tc>
        <w:tc>
          <w:tcPr>
            <w:tcW w:w="1588" w:type="dxa"/>
            <w:tcBorders>
              <w:top w:val="single" w:color="auto" w:sz="4" w:space="0"/>
              <w:left w:val="single" w:color="auto" w:sz="4" w:space="0"/>
              <w:bottom w:val="single" w:color="auto" w:sz="4" w:space="0"/>
              <w:right w:val="single" w:color="auto" w:sz="4" w:space="0"/>
            </w:tcBorders>
            <w:noWrap w:val="0"/>
            <w:vAlign w:val="top"/>
          </w:tcPr>
          <w:p w14:paraId="6DF33E02">
            <w:pPr>
              <w:spacing w:line="500" w:lineRule="exact"/>
              <w:jc w:val="left"/>
              <w:textAlignment w:val="center"/>
              <w:rPr>
                <w:rFonts w:ascii="华文细黑" w:hAnsi="华文细黑"/>
                <w:sz w:val="24"/>
              </w:rPr>
            </w:pPr>
          </w:p>
        </w:tc>
        <w:tc>
          <w:tcPr>
            <w:tcW w:w="1788" w:type="dxa"/>
            <w:tcBorders>
              <w:top w:val="single" w:color="auto" w:sz="4" w:space="0"/>
              <w:left w:val="single" w:color="auto" w:sz="4" w:space="0"/>
              <w:bottom w:val="single" w:color="auto" w:sz="4" w:space="0"/>
              <w:right w:val="single" w:color="auto" w:sz="4" w:space="0"/>
            </w:tcBorders>
            <w:noWrap w:val="0"/>
            <w:vAlign w:val="top"/>
          </w:tcPr>
          <w:p w14:paraId="26EC5CD4">
            <w:pPr>
              <w:spacing w:line="500" w:lineRule="exact"/>
              <w:jc w:val="left"/>
              <w:textAlignment w:val="center"/>
              <w:rPr>
                <w:rFonts w:ascii="华文细黑" w:hAnsi="华文细黑"/>
                <w:sz w:val="24"/>
              </w:rPr>
            </w:pPr>
          </w:p>
        </w:tc>
        <w:tc>
          <w:tcPr>
            <w:tcW w:w="1187" w:type="dxa"/>
            <w:tcBorders>
              <w:top w:val="single" w:color="auto" w:sz="4" w:space="0"/>
              <w:left w:val="single" w:color="auto" w:sz="4" w:space="0"/>
              <w:bottom w:val="single" w:color="auto" w:sz="4" w:space="0"/>
              <w:right w:val="single" w:color="auto" w:sz="4" w:space="0"/>
            </w:tcBorders>
            <w:noWrap w:val="0"/>
            <w:vAlign w:val="top"/>
          </w:tcPr>
          <w:p w14:paraId="4E3E75DB">
            <w:pPr>
              <w:spacing w:line="500" w:lineRule="exact"/>
              <w:jc w:val="left"/>
              <w:textAlignment w:val="center"/>
              <w:rPr>
                <w:rFonts w:ascii="华文细黑" w:hAnsi="华文细黑"/>
                <w:sz w:val="24"/>
              </w:rPr>
            </w:pPr>
          </w:p>
        </w:tc>
        <w:tc>
          <w:tcPr>
            <w:tcW w:w="710" w:type="dxa"/>
            <w:tcBorders>
              <w:top w:val="single" w:color="auto" w:sz="4" w:space="0"/>
              <w:left w:val="single" w:color="auto" w:sz="4" w:space="0"/>
              <w:bottom w:val="single" w:color="auto" w:sz="4" w:space="0"/>
              <w:right w:val="single" w:color="auto" w:sz="4" w:space="0"/>
            </w:tcBorders>
            <w:noWrap w:val="0"/>
            <w:vAlign w:val="top"/>
          </w:tcPr>
          <w:p w14:paraId="7FE83F0F">
            <w:pPr>
              <w:spacing w:line="500" w:lineRule="exact"/>
              <w:jc w:val="left"/>
              <w:textAlignment w:val="center"/>
              <w:rPr>
                <w:rFonts w:ascii="华文细黑" w:hAnsi="华文细黑"/>
                <w:sz w:val="24"/>
              </w:rPr>
            </w:pPr>
          </w:p>
        </w:tc>
        <w:tc>
          <w:tcPr>
            <w:tcW w:w="742" w:type="dxa"/>
            <w:tcBorders>
              <w:top w:val="single" w:color="auto" w:sz="4" w:space="0"/>
              <w:left w:val="single" w:color="auto" w:sz="4" w:space="0"/>
              <w:bottom w:val="single" w:color="auto" w:sz="4" w:space="0"/>
              <w:right w:val="single" w:color="auto" w:sz="4" w:space="0"/>
            </w:tcBorders>
            <w:noWrap w:val="0"/>
            <w:vAlign w:val="top"/>
          </w:tcPr>
          <w:p w14:paraId="09EBFB5F">
            <w:pPr>
              <w:spacing w:line="500" w:lineRule="exact"/>
              <w:jc w:val="left"/>
              <w:textAlignment w:val="center"/>
              <w:rPr>
                <w:rFonts w:ascii="华文细黑" w:hAnsi="华文细黑"/>
                <w:sz w:val="24"/>
              </w:rPr>
            </w:pPr>
          </w:p>
        </w:tc>
        <w:tc>
          <w:tcPr>
            <w:tcW w:w="781" w:type="dxa"/>
            <w:tcBorders>
              <w:top w:val="single" w:color="auto" w:sz="4" w:space="0"/>
              <w:left w:val="single" w:color="auto" w:sz="4" w:space="0"/>
              <w:bottom w:val="single" w:color="auto" w:sz="4" w:space="0"/>
              <w:right w:val="single" w:color="auto" w:sz="4" w:space="0"/>
            </w:tcBorders>
            <w:noWrap w:val="0"/>
            <w:vAlign w:val="top"/>
          </w:tcPr>
          <w:p w14:paraId="7F54DC3C">
            <w:pPr>
              <w:spacing w:line="500" w:lineRule="exact"/>
              <w:jc w:val="left"/>
              <w:textAlignment w:val="center"/>
              <w:rPr>
                <w:rFonts w:ascii="华文细黑" w:hAnsi="华文细黑"/>
                <w:sz w:val="24"/>
              </w:rPr>
            </w:pPr>
          </w:p>
        </w:tc>
      </w:tr>
      <w:tr w14:paraId="33550CBF">
        <w:tblPrEx>
          <w:tblCellMar>
            <w:top w:w="0" w:type="dxa"/>
            <w:left w:w="108" w:type="dxa"/>
            <w:bottom w:w="0" w:type="dxa"/>
            <w:right w:w="108" w:type="dxa"/>
          </w:tblCellMar>
        </w:tblPrEx>
        <w:tc>
          <w:tcPr>
            <w:tcW w:w="482" w:type="dxa"/>
            <w:tcBorders>
              <w:top w:val="single" w:color="auto" w:sz="4" w:space="0"/>
              <w:left w:val="single" w:color="auto" w:sz="4" w:space="0"/>
              <w:bottom w:val="single" w:color="auto" w:sz="4" w:space="0"/>
              <w:right w:val="single" w:color="auto" w:sz="4" w:space="0"/>
            </w:tcBorders>
            <w:noWrap w:val="0"/>
            <w:vAlign w:val="top"/>
          </w:tcPr>
          <w:p w14:paraId="7B49491D">
            <w:pPr>
              <w:spacing w:line="500" w:lineRule="exact"/>
              <w:jc w:val="left"/>
              <w:textAlignment w:val="center"/>
              <w:rPr>
                <w:rFonts w:ascii="华文细黑" w:hAnsi="华文细黑"/>
                <w:sz w:val="24"/>
              </w:rPr>
            </w:pPr>
          </w:p>
        </w:tc>
        <w:tc>
          <w:tcPr>
            <w:tcW w:w="1218" w:type="dxa"/>
            <w:tcBorders>
              <w:top w:val="single" w:color="auto" w:sz="4" w:space="0"/>
              <w:left w:val="single" w:color="auto" w:sz="4" w:space="0"/>
              <w:bottom w:val="single" w:color="auto" w:sz="4" w:space="0"/>
              <w:right w:val="single" w:color="auto" w:sz="4" w:space="0"/>
            </w:tcBorders>
            <w:noWrap w:val="0"/>
            <w:vAlign w:val="top"/>
          </w:tcPr>
          <w:p w14:paraId="024F80F2">
            <w:pPr>
              <w:spacing w:line="500" w:lineRule="exact"/>
              <w:jc w:val="left"/>
              <w:textAlignment w:val="center"/>
              <w:rPr>
                <w:rFonts w:ascii="华文细黑" w:hAnsi="华文细黑"/>
                <w:sz w:val="24"/>
              </w:rPr>
            </w:pPr>
          </w:p>
        </w:tc>
        <w:tc>
          <w:tcPr>
            <w:tcW w:w="1392" w:type="dxa"/>
            <w:tcBorders>
              <w:top w:val="single" w:color="auto" w:sz="4" w:space="0"/>
              <w:left w:val="single" w:color="auto" w:sz="4" w:space="0"/>
              <w:bottom w:val="single" w:color="auto" w:sz="4" w:space="0"/>
              <w:right w:val="single" w:color="auto" w:sz="4" w:space="0"/>
            </w:tcBorders>
            <w:noWrap w:val="0"/>
            <w:vAlign w:val="top"/>
          </w:tcPr>
          <w:p w14:paraId="74A346D9">
            <w:pPr>
              <w:spacing w:line="500" w:lineRule="exact"/>
              <w:jc w:val="left"/>
              <w:textAlignment w:val="center"/>
              <w:rPr>
                <w:rFonts w:ascii="华文细黑" w:hAnsi="华文细黑"/>
                <w:sz w:val="24"/>
              </w:rPr>
            </w:pPr>
          </w:p>
        </w:tc>
        <w:tc>
          <w:tcPr>
            <w:tcW w:w="1588" w:type="dxa"/>
            <w:tcBorders>
              <w:top w:val="single" w:color="auto" w:sz="4" w:space="0"/>
              <w:left w:val="single" w:color="auto" w:sz="4" w:space="0"/>
              <w:bottom w:val="single" w:color="auto" w:sz="4" w:space="0"/>
              <w:right w:val="single" w:color="auto" w:sz="4" w:space="0"/>
            </w:tcBorders>
            <w:noWrap w:val="0"/>
            <w:vAlign w:val="top"/>
          </w:tcPr>
          <w:p w14:paraId="7F9885BF">
            <w:pPr>
              <w:spacing w:line="500" w:lineRule="exact"/>
              <w:jc w:val="left"/>
              <w:textAlignment w:val="center"/>
              <w:rPr>
                <w:rFonts w:ascii="华文细黑" w:hAnsi="华文细黑"/>
                <w:sz w:val="24"/>
              </w:rPr>
            </w:pPr>
          </w:p>
        </w:tc>
        <w:tc>
          <w:tcPr>
            <w:tcW w:w="1788" w:type="dxa"/>
            <w:tcBorders>
              <w:top w:val="single" w:color="auto" w:sz="4" w:space="0"/>
              <w:left w:val="single" w:color="auto" w:sz="4" w:space="0"/>
              <w:bottom w:val="single" w:color="auto" w:sz="4" w:space="0"/>
              <w:right w:val="single" w:color="auto" w:sz="4" w:space="0"/>
            </w:tcBorders>
            <w:noWrap w:val="0"/>
            <w:vAlign w:val="top"/>
          </w:tcPr>
          <w:p w14:paraId="53F5386C">
            <w:pPr>
              <w:spacing w:line="500" w:lineRule="exact"/>
              <w:jc w:val="left"/>
              <w:textAlignment w:val="center"/>
              <w:rPr>
                <w:rFonts w:ascii="华文细黑" w:hAnsi="华文细黑"/>
                <w:sz w:val="24"/>
              </w:rPr>
            </w:pPr>
          </w:p>
        </w:tc>
        <w:tc>
          <w:tcPr>
            <w:tcW w:w="1187" w:type="dxa"/>
            <w:tcBorders>
              <w:top w:val="single" w:color="auto" w:sz="4" w:space="0"/>
              <w:left w:val="single" w:color="auto" w:sz="4" w:space="0"/>
              <w:bottom w:val="single" w:color="auto" w:sz="4" w:space="0"/>
              <w:right w:val="single" w:color="auto" w:sz="4" w:space="0"/>
            </w:tcBorders>
            <w:noWrap w:val="0"/>
            <w:vAlign w:val="top"/>
          </w:tcPr>
          <w:p w14:paraId="589A6A92">
            <w:pPr>
              <w:spacing w:line="500" w:lineRule="exact"/>
              <w:jc w:val="left"/>
              <w:textAlignment w:val="center"/>
              <w:rPr>
                <w:rFonts w:ascii="华文细黑" w:hAnsi="华文细黑"/>
                <w:sz w:val="24"/>
              </w:rPr>
            </w:pPr>
          </w:p>
        </w:tc>
        <w:tc>
          <w:tcPr>
            <w:tcW w:w="710" w:type="dxa"/>
            <w:tcBorders>
              <w:top w:val="single" w:color="auto" w:sz="4" w:space="0"/>
              <w:left w:val="single" w:color="auto" w:sz="4" w:space="0"/>
              <w:bottom w:val="single" w:color="auto" w:sz="4" w:space="0"/>
              <w:right w:val="single" w:color="auto" w:sz="4" w:space="0"/>
            </w:tcBorders>
            <w:noWrap w:val="0"/>
            <w:vAlign w:val="top"/>
          </w:tcPr>
          <w:p w14:paraId="39157B7C">
            <w:pPr>
              <w:spacing w:line="500" w:lineRule="exact"/>
              <w:jc w:val="left"/>
              <w:textAlignment w:val="center"/>
              <w:rPr>
                <w:rFonts w:ascii="华文细黑" w:hAnsi="华文细黑"/>
                <w:sz w:val="24"/>
              </w:rPr>
            </w:pPr>
          </w:p>
        </w:tc>
        <w:tc>
          <w:tcPr>
            <w:tcW w:w="742" w:type="dxa"/>
            <w:tcBorders>
              <w:top w:val="single" w:color="auto" w:sz="4" w:space="0"/>
              <w:left w:val="single" w:color="auto" w:sz="4" w:space="0"/>
              <w:bottom w:val="single" w:color="auto" w:sz="4" w:space="0"/>
              <w:right w:val="single" w:color="auto" w:sz="4" w:space="0"/>
            </w:tcBorders>
            <w:noWrap w:val="0"/>
            <w:vAlign w:val="top"/>
          </w:tcPr>
          <w:p w14:paraId="2441C14E">
            <w:pPr>
              <w:spacing w:line="500" w:lineRule="exact"/>
              <w:jc w:val="left"/>
              <w:textAlignment w:val="center"/>
              <w:rPr>
                <w:rFonts w:ascii="华文细黑" w:hAnsi="华文细黑"/>
                <w:sz w:val="24"/>
              </w:rPr>
            </w:pPr>
          </w:p>
        </w:tc>
        <w:tc>
          <w:tcPr>
            <w:tcW w:w="781" w:type="dxa"/>
            <w:tcBorders>
              <w:top w:val="single" w:color="auto" w:sz="4" w:space="0"/>
              <w:left w:val="single" w:color="auto" w:sz="4" w:space="0"/>
              <w:bottom w:val="single" w:color="auto" w:sz="4" w:space="0"/>
              <w:right w:val="single" w:color="auto" w:sz="4" w:space="0"/>
            </w:tcBorders>
            <w:noWrap w:val="0"/>
            <w:vAlign w:val="top"/>
          </w:tcPr>
          <w:p w14:paraId="4858C8C6">
            <w:pPr>
              <w:spacing w:line="500" w:lineRule="exact"/>
              <w:jc w:val="left"/>
              <w:textAlignment w:val="center"/>
              <w:rPr>
                <w:rFonts w:ascii="华文细黑" w:hAnsi="华文细黑"/>
                <w:sz w:val="24"/>
              </w:rPr>
            </w:pPr>
          </w:p>
        </w:tc>
      </w:tr>
      <w:tr w14:paraId="18AF2DDC">
        <w:tblPrEx>
          <w:tblCellMar>
            <w:top w:w="0" w:type="dxa"/>
            <w:left w:w="108" w:type="dxa"/>
            <w:bottom w:w="0" w:type="dxa"/>
            <w:right w:w="108" w:type="dxa"/>
          </w:tblCellMar>
        </w:tblPrEx>
        <w:tc>
          <w:tcPr>
            <w:tcW w:w="482" w:type="dxa"/>
            <w:tcBorders>
              <w:top w:val="single" w:color="auto" w:sz="4" w:space="0"/>
              <w:left w:val="single" w:color="auto" w:sz="4" w:space="0"/>
              <w:bottom w:val="single" w:color="auto" w:sz="4" w:space="0"/>
              <w:right w:val="single" w:color="auto" w:sz="4" w:space="0"/>
            </w:tcBorders>
            <w:noWrap w:val="0"/>
            <w:vAlign w:val="top"/>
          </w:tcPr>
          <w:p w14:paraId="074666CB">
            <w:pPr>
              <w:spacing w:line="500" w:lineRule="exact"/>
              <w:jc w:val="left"/>
              <w:textAlignment w:val="center"/>
              <w:rPr>
                <w:rFonts w:ascii="华文细黑" w:hAnsi="华文细黑"/>
                <w:sz w:val="24"/>
              </w:rPr>
            </w:pPr>
          </w:p>
        </w:tc>
        <w:tc>
          <w:tcPr>
            <w:tcW w:w="1218" w:type="dxa"/>
            <w:tcBorders>
              <w:top w:val="single" w:color="auto" w:sz="4" w:space="0"/>
              <w:left w:val="single" w:color="auto" w:sz="4" w:space="0"/>
              <w:bottom w:val="single" w:color="auto" w:sz="4" w:space="0"/>
              <w:right w:val="single" w:color="auto" w:sz="4" w:space="0"/>
            </w:tcBorders>
            <w:noWrap w:val="0"/>
            <w:vAlign w:val="top"/>
          </w:tcPr>
          <w:p w14:paraId="36586168">
            <w:pPr>
              <w:spacing w:line="500" w:lineRule="exact"/>
              <w:jc w:val="left"/>
              <w:textAlignment w:val="center"/>
              <w:rPr>
                <w:rFonts w:ascii="华文细黑" w:hAnsi="华文细黑"/>
                <w:sz w:val="24"/>
              </w:rPr>
            </w:pPr>
          </w:p>
        </w:tc>
        <w:tc>
          <w:tcPr>
            <w:tcW w:w="1392" w:type="dxa"/>
            <w:tcBorders>
              <w:top w:val="single" w:color="auto" w:sz="4" w:space="0"/>
              <w:left w:val="single" w:color="auto" w:sz="4" w:space="0"/>
              <w:bottom w:val="single" w:color="auto" w:sz="4" w:space="0"/>
              <w:right w:val="single" w:color="auto" w:sz="4" w:space="0"/>
            </w:tcBorders>
            <w:noWrap w:val="0"/>
            <w:vAlign w:val="top"/>
          </w:tcPr>
          <w:p w14:paraId="5A4D0B61">
            <w:pPr>
              <w:spacing w:line="500" w:lineRule="exact"/>
              <w:jc w:val="left"/>
              <w:textAlignment w:val="center"/>
              <w:rPr>
                <w:rFonts w:ascii="华文细黑" w:hAnsi="华文细黑"/>
                <w:sz w:val="24"/>
              </w:rPr>
            </w:pPr>
          </w:p>
        </w:tc>
        <w:tc>
          <w:tcPr>
            <w:tcW w:w="1588" w:type="dxa"/>
            <w:tcBorders>
              <w:top w:val="single" w:color="auto" w:sz="4" w:space="0"/>
              <w:left w:val="single" w:color="auto" w:sz="4" w:space="0"/>
              <w:bottom w:val="single" w:color="auto" w:sz="4" w:space="0"/>
              <w:right w:val="single" w:color="auto" w:sz="4" w:space="0"/>
            </w:tcBorders>
            <w:noWrap w:val="0"/>
            <w:vAlign w:val="top"/>
          </w:tcPr>
          <w:p w14:paraId="6228D2CE">
            <w:pPr>
              <w:spacing w:line="500" w:lineRule="exact"/>
              <w:jc w:val="left"/>
              <w:textAlignment w:val="center"/>
              <w:rPr>
                <w:rFonts w:ascii="华文细黑" w:hAnsi="华文细黑"/>
                <w:sz w:val="24"/>
              </w:rPr>
            </w:pPr>
          </w:p>
        </w:tc>
        <w:tc>
          <w:tcPr>
            <w:tcW w:w="1788" w:type="dxa"/>
            <w:tcBorders>
              <w:top w:val="single" w:color="auto" w:sz="4" w:space="0"/>
              <w:left w:val="single" w:color="auto" w:sz="4" w:space="0"/>
              <w:bottom w:val="single" w:color="auto" w:sz="4" w:space="0"/>
              <w:right w:val="single" w:color="auto" w:sz="4" w:space="0"/>
            </w:tcBorders>
            <w:noWrap w:val="0"/>
            <w:vAlign w:val="top"/>
          </w:tcPr>
          <w:p w14:paraId="3066FC9E">
            <w:pPr>
              <w:spacing w:line="500" w:lineRule="exact"/>
              <w:jc w:val="left"/>
              <w:textAlignment w:val="center"/>
              <w:rPr>
                <w:rFonts w:ascii="华文细黑" w:hAnsi="华文细黑"/>
                <w:sz w:val="24"/>
              </w:rPr>
            </w:pPr>
          </w:p>
        </w:tc>
        <w:tc>
          <w:tcPr>
            <w:tcW w:w="1187" w:type="dxa"/>
            <w:tcBorders>
              <w:top w:val="single" w:color="auto" w:sz="4" w:space="0"/>
              <w:left w:val="single" w:color="auto" w:sz="4" w:space="0"/>
              <w:bottom w:val="single" w:color="auto" w:sz="4" w:space="0"/>
              <w:right w:val="single" w:color="auto" w:sz="4" w:space="0"/>
            </w:tcBorders>
            <w:noWrap w:val="0"/>
            <w:vAlign w:val="top"/>
          </w:tcPr>
          <w:p w14:paraId="4EAE7B43">
            <w:pPr>
              <w:spacing w:line="500" w:lineRule="exact"/>
              <w:jc w:val="left"/>
              <w:textAlignment w:val="center"/>
              <w:rPr>
                <w:rFonts w:ascii="华文细黑" w:hAnsi="华文细黑"/>
                <w:sz w:val="24"/>
              </w:rPr>
            </w:pPr>
          </w:p>
        </w:tc>
        <w:tc>
          <w:tcPr>
            <w:tcW w:w="710" w:type="dxa"/>
            <w:tcBorders>
              <w:top w:val="single" w:color="auto" w:sz="4" w:space="0"/>
              <w:left w:val="single" w:color="auto" w:sz="4" w:space="0"/>
              <w:bottom w:val="single" w:color="auto" w:sz="4" w:space="0"/>
              <w:right w:val="single" w:color="auto" w:sz="4" w:space="0"/>
            </w:tcBorders>
            <w:noWrap w:val="0"/>
            <w:vAlign w:val="top"/>
          </w:tcPr>
          <w:p w14:paraId="20913523">
            <w:pPr>
              <w:spacing w:line="500" w:lineRule="exact"/>
              <w:jc w:val="left"/>
              <w:textAlignment w:val="center"/>
              <w:rPr>
                <w:rFonts w:ascii="华文细黑" w:hAnsi="华文细黑"/>
                <w:sz w:val="24"/>
              </w:rPr>
            </w:pPr>
          </w:p>
        </w:tc>
        <w:tc>
          <w:tcPr>
            <w:tcW w:w="742" w:type="dxa"/>
            <w:tcBorders>
              <w:top w:val="single" w:color="auto" w:sz="4" w:space="0"/>
              <w:left w:val="single" w:color="auto" w:sz="4" w:space="0"/>
              <w:bottom w:val="single" w:color="auto" w:sz="4" w:space="0"/>
              <w:right w:val="single" w:color="auto" w:sz="4" w:space="0"/>
            </w:tcBorders>
            <w:noWrap w:val="0"/>
            <w:vAlign w:val="top"/>
          </w:tcPr>
          <w:p w14:paraId="3A19117D">
            <w:pPr>
              <w:spacing w:line="500" w:lineRule="exact"/>
              <w:jc w:val="left"/>
              <w:textAlignment w:val="center"/>
              <w:rPr>
                <w:rFonts w:ascii="华文细黑" w:hAnsi="华文细黑"/>
                <w:sz w:val="24"/>
              </w:rPr>
            </w:pPr>
          </w:p>
        </w:tc>
        <w:tc>
          <w:tcPr>
            <w:tcW w:w="781" w:type="dxa"/>
            <w:tcBorders>
              <w:top w:val="single" w:color="auto" w:sz="4" w:space="0"/>
              <w:left w:val="single" w:color="auto" w:sz="4" w:space="0"/>
              <w:bottom w:val="single" w:color="auto" w:sz="4" w:space="0"/>
              <w:right w:val="single" w:color="auto" w:sz="4" w:space="0"/>
            </w:tcBorders>
            <w:noWrap w:val="0"/>
            <w:vAlign w:val="top"/>
          </w:tcPr>
          <w:p w14:paraId="718FDA53">
            <w:pPr>
              <w:spacing w:line="500" w:lineRule="exact"/>
              <w:jc w:val="left"/>
              <w:textAlignment w:val="center"/>
              <w:rPr>
                <w:rFonts w:ascii="华文细黑" w:hAnsi="华文细黑"/>
                <w:sz w:val="24"/>
              </w:rPr>
            </w:pPr>
          </w:p>
        </w:tc>
      </w:tr>
      <w:tr w14:paraId="1A9E3FCA">
        <w:tblPrEx>
          <w:tblCellMar>
            <w:top w:w="0" w:type="dxa"/>
            <w:left w:w="108" w:type="dxa"/>
            <w:bottom w:w="0" w:type="dxa"/>
            <w:right w:w="108" w:type="dxa"/>
          </w:tblCellMar>
        </w:tblPrEx>
        <w:tc>
          <w:tcPr>
            <w:tcW w:w="482" w:type="dxa"/>
            <w:tcBorders>
              <w:top w:val="single" w:color="auto" w:sz="4" w:space="0"/>
              <w:left w:val="single" w:color="auto" w:sz="4" w:space="0"/>
              <w:bottom w:val="single" w:color="auto" w:sz="4" w:space="0"/>
              <w:right w:val="single" w:color="auto" w:sz="4" w:space="0"/>
            </w:tcBorders>
            <w:noWrap w:val="0"/>
            <w:vAlign w:val="top"/>
          </w:tcPr>
          <w:p w14:paraId="3B78D8AC">
            <w:pPr>
              <w:spacing w:line="500" w:lineRule="exact"/>
              <w:jc w:val="left"/>
              <w:textAlignment w:val="center"/>
              <w:rPr>
                <w:rFonts w:ascii="华文细黑" w:hAnsi="华文细黑"/>
                <w:sz w:val="24"/>
              </w:rPr>
            </w:pPr>
          </w:p>
        </w:tc>
        <w:tc>
          <w:tcPr>
            <w:tcW w:w="1218" w:type="dxa"/>
            <w:tcBorders>
              <w:top w:val="single" w:color="auto" w:sz="4" w:space="0"/>
              <w:left w:val="single" w:color="auto" w:sz="4" w:space="0"/>
              <w:bottom w:val="single" w:color="auto" w:sz="4" w:space="0"/>
              <w:right w:val="single" w:color="auto" w:sz="4" w:space="0"/>
            </w:tcBorders>
            <w:noWrap w:val="0"/>
            <w:vAlign w:val="top"/>
          </w:tcPr>
          <w:p w14:paraId="7497399F">
            <w:pPr>
              <w:spacing w:line="500" w:lineRule="exact"/>
              <w:jc w:val="left"/>
              <w:textAlignment w:val="center"/>
              <w:rPr>
                <w:rFonts w:ascii="华文细黑" w:hAnsi="华文细黑"/>
                <w:sz w:val="24"/>
              </w:rPr>
            </w:pPr>
          </w:p>
        </w:tc>
        <w:tc>
          <w:tcPr>
            <w:tcW w:w="1392" w:type="dxa"/>
            <w:tcBorders>
              <w:top w:val="single" w:color="auto" w:sz="4" w:space="0"/>
              <w:left w:val="single" w:color="auto" w:sz="4" w:space="0"/>
              <w:bottom w:val="single" w:color="auto" w:sz="4" w:space="0"/>
              <w:right w:val="single" w:color="auto" w:sz="4" w:space="0"/>
            </w:tcBorders>
            <w:noWrap w:val="0"/>
            <w:vAlign w:val="top"/>
          </w:tcPr>
          <w:p w14:paraId="203095C8">
            <w:pPr>
              <w:spacing w:line="500" w:lineRule="exact"/>
              <w:jc w:val="left"/>
              <w:textAlignment w:val="center"/>
              <w:rPr>
                <w:rFonts w:ascii="华文细黑" w:hAnsi="华文细黑"/>
                <w:sz w:val="24"/>
              </w:rPr>
            </w:pPr>
          </w:p>
        </w:tc>
        <w:tc>
          <w:tcPr>
            <w:tcW w:w="1588" w:type="dxa"/>
            <w:tcBorders>
              <w:top w:val="single" w:color="auto" w:sz="4" w:space="0"/>
              <w:left w:val="single" w:color="auto" w:sz="4" w:space="0"/>
              <w:bottom w:val="single" w:color="auto" w:sz="4" w:space="0"/>
              <w:right w:val="single" w:color="auto" w:sz="4" w:space="0"/>
            </w:tcBorders>
            <w:noWrap w:val="0"/>
            <w:vAlign w:val="top"/>
          </w:tcPr>
          <w:p w14:paraId="56014DCC">
            <w:pPr>
              <w:spacing w:line="500" w:lineRule="exact"/>
              <w:jc w:val="left"/>
              <w:textAlignment w:val="center"/>
              <w:rPr>
                <w:rFonts w:ascii="华文细黑" w:hAnsi="华文细黑"/>
                <w:sz w:val="24"/>
              </w:rPr>
            </w:pPr>
          </w:p>
        </w:tc>
        <w:tc>
          <w:tcPr>
            <w:tcW w:w="1788" w:type="dxa"/>
            <w:tcBorders>
              <w:top w:val="single" w:color="auto" w:sz="4" w:space="0"/>
              <w:left w:val="single" w:color="auto" w:sz="4" w:space="0"/>
              <w:bottom w:val="single" w:color="auto" w:sz="4" w:space="0"/>
              <w:right w:val="single" w:color="auto" w:sz="4" w:space="0"/>
            </w:tcBorders>
            <w:noWrap w:val="0"/>
            <w:vAlign w:val="top"/>
          </w:tcPr>
          <w:p w14:paraId="1D4D4244">
            <w:pPr>
              <w:spacing w:line="500" w:lineRule="exact"/>
              <w:jc w:val="left"/>
              <w:textAlignment w:val="center"/>
              <w:rPr>
                <w:rFonts w:ascii="华文细黑" w:hAnsi="华文细黑"/>
                <w:sz w:val="24"/>
              </w:rPr>
            </w:pPr>
          </w:p>
        </w:tc>
        <w:tc>
          <w:tcPr>
            <w:tcW w:w="1187" w:type="dxa"/>
            <w:tcBorders>
              <w:top w:val="single" w:color="auto" w:sz="4" w:space="0"/>
              <w:left w:val="single" w:color="auto" w:sz="4" w:space="0"/>
              <w:bottom w:val="single" w:color="auto" w:sz="4" w:space="0"/>
              <w:right w:val="single" w:color="auto" w:sz="4" w:space="0"/>
            </w:tcBorders>
            <w:noWrap w:val="0"/>
            <w:vAlign w:val="top"/>
          </w:tcPr>
          <w:p w14:paraId="59B33A5C">
            <w:pPr>
              <w:spacing w:line="500" w:lineRule="exact"/>
              <w:jc w:val="left"/>
              <w:textAlignment w:val="center"/>
              <w:rPr>
                <w:rFonts w:ascii="华文细黑" w:hAnsi="华文细黑"/>
                <w:sz w:val="24"/>
              </w:rPr>
            </w:pPr>
          </w:p>
        </w:tc>
        <w:tc>
          <w:tcPr>
            <w:tcW w:w="710" w:type="dxa"/>
            <w:tcBorders>
              <w:top w:val="single" w:color="auto" w:sz="4" w:space="0"/>
              <w:left w:val="single" w:color="auto" w:sz="4" w:space="0"/>
              <w:bottom w:val="single" w:color="auto" w:sz="4" w:space="0"/>
              <w:right w:val="single" w:color="auto" w:sz="4" w:space="0"/>
            </w:tcBorders>
            <w:noWrap w:val="0"/>
            <w:vAlign w:val="top"/>
          </w:tcPr>
          <w:p w14:paraId="7AD28C4B">
            <w:pPr>
              <w:spacing w:line="500" w:lineRule="exact"/>
              <w:jc w:val="left"/>
              <w:textAlignment w:val="center"/>
              <w:rPr>
                <w:rFonts w:ascii="华文细黑" w:hAnsi="华文细黑"/>
                <w:sz w:val="24"/>
              </w:rPr>
            </w:pPr>
          </w:p>
        </w:tc>
        <w:tc>
          <w:tcPr>
            <w:tcW w:w="742" w:type="dxa"/>
            <w:tcBorders>
              <w:top w:val="single" w:color="auto" w:sz="4" w:space="0"/>
              <w:left w:val="single" w:color="auto" w:sz="4" w:space="0"/>
              <w:bottom w:val="single" w:color="auto" w:sz="4" w:space="0"/>
              <w:right w:val="single" w:color="auto" w:sz="4" w:space="0"/>
            </w:tcBorders>
            <w:noWrap w:val="0"/>
            <w:vAlign w:val="top"/>
          </w:tcPr>
          <w:p w14:paraId="35237781">
            <w:pPr>
              <w:spacing w:line="500" w:lineRule="exact"/>
              <w:jc w:val="left"/>
              <w:textAlignment w:val="center"/>
              <w:rPr>
                <w:rFonts w:ascii="华文细黑" w:hAnsi="华文细黑"/>
                <w:sz w:val="24"/>
              </w:rPr>
            </w:pPr>
          </w:p>
        </w:tc>
        <w:tc>
          <w:tcPr>
            <w:tcW w:w="781" w:type="dxa"/>
            <w:tcBorders>
              <w:top w:val="single" w:color="auto" w:sz="4" w:space="0"/>
              <w:left w:val="single" w:color="auto" w:sz="4" w:space="0"/>
              <w:bottom w:val="single" w:color="auto" w:sz="4" w:space="0"/>
              <w:right w:val="single" w:color="auto" w:sz="4" w:space="0"/>
            </w:tcBorders>
            <w:noWrap w:val="0"/>
            <w:vAlign w:val="top"/>
          </w:tcPr>
          <w:p w14:paraId="694875EF">
            <w:pPr>
              <w:spacing w:line="500" w:lineRule="exact"/>
              <w:jc w:val="left"/>
              <w:textAlignment w:val="center"/>
              <w:rPr>
                <w:rFonts w:ascii="华文细黑" w:hAnsi="华文细黑"/>
                <w:sz w:val="24"/>
              </w:rPr>
            </w:pPr>
          </w:p>
        </w:tc>
      </w:tr>
      <w:tr w14:paraId="6A2B4348">
        <w:tblPrEx>
          <w:tblCellMar>
            <w:top w:w="0" w:type="dxa"/>
            <w:left w:w="108" w:type="dxa"/>
            <w:bottom w:w="0" w:type="dxa"/>
            <w:right w:w="108" w:type="dxa"/>
          </w:tblCellMar>
        </w:tblPrEx>
        <w:tc>
          <w:tcPr>
            <w:tcW w:w="482" w:type="dxa"/>
            <w:tcBorders>
              <w:top w:val="single" w:color="auto" w:sz="4" w:space="0"/>
              <w:left w:val="single" w:color="auto" w:sz="4" w:space="0"/>
              <w:bottom w:val="single" w:color="auto" w:sz="4" w:space="0"/>
              <w:right w:val="single" w:color="auto" w:sz="4" w:space="0"/>
            </w:tcBorders>
            <w:noWrap w:val="0"/>
            <w:vAlign w:val="top"/>
          </w:tcPr>
          <w:p w14:paraId="5855A867">
            <w:pPr>
              <w:spacing w:line="500" w:lineRule="exact"/>
              <w:jc w:val="left"/>
              <w:textAlignment w:val="center"/>
              <w:rPr>
                <w:rFonts w:ascii="华文细黑" w:hAnsi="华文细黑"/>
                <w:sz w:val="24"/>
              </w:rPr>
            </w:pPr>
          </w:p>
        </w:tc>
        <w:tc>
          <w:tcPr>
            <w:tcW w:w="1218" w:type="dxa"/>
            <w:tcBorders>
              <w:top w:val="single" w:color="auto" w:sz="4" w:space="0"/>
              <w:left w:val="single" w:color="auto" w:sz="4" w:space="0"/>
              <w:bottom w:val="single" w:color="auto" w:sz="4" w:space="0"/>
              <w:right w:val="single" w:color="auto" w:sz="4" w:space="0"/>
            </w:tcBorders>
            <w:noWrap w:val="0"/>
            <w:vAlign w:val="top"/>
          </w:tcPr>
          <w:p w14:paraId="5E9E051B">
            <w:pPr>
              <w:spacing w:line="500" w:lineRule="exact"/>
              <w:jc w:val="left"/>
              <w:textAlignment w:val="center"/>
              <w:rPr>
                <w:rFonts w:ascii="华文细黑" w:hAnsi="华文细黑"/>
                <w:sz w:val="24"/>
              </w:rPr>
            </w:pPr>
          </w:p>
        </w:tc>
        <w:tc>
          <w:tcPr>
            <w:tcW w:w="1392" w:type="dxa"/>
            <w:tcBorders>
              <w:top w:val="single" w:color="auto" w:sz="4" w:space="0"/>
              <w:left w:val="single" w:color="auto" w:sz="4" w:space="0"/>
              <w:bottom w:val="single" w:color="auto" w:sz="4" w:space="0"/>
              <w:right w:val="single" w:color="auto" w:sz="4" w:space="0"/>
            </w:tcBorders>
            <w:noWrap w:val="0"/>
            <w:vAlign w:val="top"/>
          </w:tcPr>
          <w:p w14:paraId="4F7ED194">
            <w:pPr>
              <w:spacing w:line="500" w:lineRule="exact"/>
              <w:jc w:val="left"/>
              <w:textAlignment w:val="center"/>
              <w:rPr>
                <w:rFonts w:ascii="华文细黑" w:hAnsi="华文细黑"/>
                <w:sz w:val="24"/>
              </w:rPr>
            </w:pPr>
          </w:p>
        </w:tc>
        <w:tc>
          <w:tcPr>
            <w:tcW w:w="1588" w:type="dxa"/>
            <w:tcBorders>
              <w:top w:val="single" w:color="auto" w:sz="4" w:space="0"/>
              <w:left w:val="single" w:color="auto" w:sz="4" w:space="0"/>
              <w:bottom w:val="single" w:color="auto" w:sz="4" w:space="0"/>
              <w:right w:val="single" w:color="auto" w:sz="4" w:space="0"/>
            </w:tcBorders>
            <w:noWrap w:val="0"/>
            <w:vAlign w:val="top"/>
          </w:tcPr>
          <w:p w14:paraId="38A8A8A6">
            <w:pPr>
              <w:spacing w:line="500" w:lineRule="exact"/>
              <w:jc w:val="left"/>
              <w:textAlignment w:val="center"/>
              <w:rPr>
                <w:rFonts w:ascii="华文细黑" w:hAnsi="华文细黑"/>
                <w:sz w:val="24"/>
              </w:rPr>
            </w:pPr>
          </w:p>
        </w:tc>
        <w:tc>
          <w:tcPr>
            <w:tcW w:w="1788" w:type="dxa"/>
            <w:tcBorders>
              <w:top w:val="single" w:color="auto" w:sz="4" w:space="0"/>
              <w:left w:val="single" w:color="auto" w:sz="4" w:space="0"/>
              <w:bottom w:val="single" w:color="auto" w:sz="4" w:space="0"/>
              <w:right w:val="single" w:color="auto" w:sz="4" w:space="0"/>
            </w:tcBorders>
            <w:noWrap w:val="0"/>
            <w:vAlign w:val="top"/>
          </w:tcPr>
          <w:p w14:paraId="4F7D7245">
            <w:pPr>
              <w:spacing w:line="500" w:lineRule="exact"/>
              <w:jc w:val="left"/>
              <w:textAlignment w:val="center"/>
              <w:rPr>
                <w:rFonts w:ascii="华文细黑" w:hAnsi="华文细黑"/>
                <w:sz w:val="24"/>
              </w:rPr>
            </w:pPr>
          </w:p>
        </w:tc>
        <w:tc>
          <w:tcPr>
            <w:tcW w:w="1187" w:type="dxa"/>
            <w:tcBorders>
              <w:top w:val="single" w:color="auto" w:sz="4" w:space="0"/>
              <w:left w:val="single" w:color="auto" w:sz="4" w:space="0"/>
              <w:bottom w:val="single" w:color="auto" w:sz="4" w:space="0"/>
              <w:right w:val="single" w:color="auto" w:sz="4" w:space="0"/>
            </w:tcBorders>
            <w:noWrap w:val="0"/>
            <w:vAlign w:val="top"/>
          </w:tcPr>
          <w:p w14:paraId="10DCB1E7">
            <w:pPr>
              <w:spacing w:line="500" w:lineRule="exact"/>
              <w:jc w:val="left"/>
              <w:textAlignment w:val="center"/>
              <w:rPr>
                <w:rFonts w:ascii="华文细黑" w:hAnsi="华文细黑"/>
                <w:sz w:val="24"/>
              </w:rPr>
            </w:pPr>
          </w:p>
        </w:tc>
        <w:tc>
          <w:tcPr>
            <w:tcW w:w="710" w:type="dxa"/>
            <w:tcBorders>
              <w:top w:val="single" w:color="auto" w:sz="4" w:space="0"/>
              <w:left w:val="single" w:color="auto" w:sz="4" w:space="0"/>
              <w:bottom w:val="single" w:color="auto" w:sz="4" w:space="0"/>
              <w:right w:val="single" w:color="auto" w:sz="4" w:space="0"/>
            </w:tcBorders>
            <w:noWrap w:val="0"/>
            <w:vAlign w:val="top"/>
          </w:tcPr>
          <w:p w14:paraId="1EAB5A7D">
            <w:pPr>
              <w:spacing w:line="500" w:lineRule="exact"/>
              <w:jc w:val="left"/>
              <w:textAlignment w:val="center"/>
              <w:rPr>
                <w:rFonts w:ascii="华文细黑" w:hAnsi="华文细黑"/>
                <w:sz w:val="24"/>
              </w:rPr>
            </w:pPr>
          </w:p>
        </w:tc>
        <w:tc>
          <w:tcPr>
            <w:tcW w:w="742" w:type="dxa"/>
            <w:tcBorders>
              <w:top w:val="single" w:color="auto" w:sz="4" w:space="0"/>
              <w:left w:val="single" w:color="auto" w:sz="4" w:space="0"/>
              <w:bottom w:val="single" w:color="auto" w:sz="4" w:space="0"/>
              <w:right w:val="single" w:color="auto" w:sz="4" w:space="0"/>
            </w:tcBorders>
            <w:noWrap w:val="0"/>
            <w:vAlign w:val="top"/>
          </w:tcPr>
          <w:p w14:paraId="1EDA2D3E">
            <w:pPr>
              <w:spacing w:line="500" w:lineRule="exact"/>
              <w:jc w:val="left"/>
              <w:textAlignment w:val="center"/>
              <w:rPr>
                <w:rFonts w:ascii="华文细黑" w:hAnsi="华文细黑"/>
                <w:sz w:val="24"/>
              </w:rPr>
            </w:pPr>
          </w:p>
        </w:tc>
        <w:tc>
          <w:tcPr>
            <w:tcW w:w="781" w:type="dxa"/>
            <w:tcBorders>
              <w:top w:val="single" w:color="auto" w:sz="4" w:space="0"/>
              <w:left w:val="single" w:color="auto" w:sz="4" w:space="0"/>
              <w:bottom w:val="single" w:color="auto" w:sz="4" w:space="0"/>
              <w:right w:val="single" w:color="auto" w:sz="4" w:space="0"/>
            </w:tcBorders>
            <w:noWrap w:val="0"/>
            <w:vAlign w:val="top"/>
          </w:tcPr>
          <w:p w14:paraId="27A3B6E8">
            <w:pPr>
              <w:spacing w:line="500" w:lineRule="exact"/>
              <w:jc w:val="left"/>
              <w:textAlignment w:val="center"/>
              <w:rPr>
                <w:rFonts w:ascii="华文细黑" w:hAnsi="华文细黑"/>
                <w:sz w:val="24"/>
              </w:rPr>
            </w:pPr>
          </w:p>
        </w:tc>
      </w:tr>
      <w:tr w14:paraId="5D9CE948">
        <w:tblPrEx>
          <w:tblCellMar>
            <w:top w:w="0" w:type="dxa"/>
            <w:left w:w="108" w:type="dxa"/>
            <w:bottom w:w="0" w:type="dxa"/>
            <w:right w:w="108" w:type="dxa"/>
          </w:tblCellMar>
        </w:tblPrEx>
        <w:tc>
          <w:tcPr>
            <w:tcW w:w="482" w:type="dxa"/>
            <w:tcBorders>
              <w:top w:val="single" w:color="auto" w:sz="4" w:space="0"/>
              <w:left w:val="single" w:color="auto" w:sz="4" w:space="0"/>
              <w:bottom w:val="single" w:color="auto" w:sz="4" w:space="0"/>
              <w:right w:val="single" w:color="auto" w:sz="4" w:space="0"/>
            </w:tcBorders>
            <w:noWrap w:val="0"/>
            <w:vAlign w:val="top"/>
          </w:tcPr>
          <w:p w14:paraId="660CBB37">
            <w:pPr>
              <w:spacing w:line="500" w:lineRule="exact"/>
              <w:jc w:val="left"/>
              <w:textAlignment w:val="center"/>
              <w:rPr>
                <w:rFonts w:ascii="华文细黑" w:hAnsi="华文细黑"/>
                <w:sz w:val="24"/>
              </w:rPr>
            </w:pPr>
          </w:p>
        </w:tc>
        <w:tc>
          <w:tcPr>
            <w:tcW w:w="1218" w:type="dxa"/>
            <w:tcBorders>
              <w:top w:val="single" w:color="auto" w:sz="4" w:space="0"/>
              <w:left w:val="single" w:color="auto" w:sz="4" w:space="0"/>
              <w:bottom w:val="single" w:color="auto" w:sz="4" w:space="0"/>
              <w:right w:val="single" w:color="auto" w:sz="4" w:space="0"/>
            </w:tcBorders>
            <w:noWrap w:val="0"/>
            <w:vAlign w:val="top"/>
          </w:tcPr>
          <w:p w14:paraId="35DC8AAB">
            <w:pPr>
              <w:spacing w:line="500" w:lineRule="exact"/>
              <w:jc w:val="left"/>
              <w:textAlignment w:val="center"/>
              <w:rPr>
                <w:rFonts w:ascii="华文细黑" w:hAnsi="华文细黑"/>
                <w:sz w:val="24"/>
              </w:rPr>
            </w:pPr>
          </w:p>
        </w:tc>
        <w:tc>
          <w:tcPr>
            <w:tcW w:w="1392" w:type="dxa"/>
            <w:tcBorders>
              <w:top w:val="single" w:color="auto" w:sz="4" w:space="0"/>
              <w:left w:val="single" w:color="auto" w:sz="4" w:space="0"/>
              <w:bottom w:val="single" w:color="auto" w:sz="4" w:space="0"/>
              <w:right w:val="single" w:color="auto" w:sz="4" w:space="0"/>
            </w:tcBorders>
            <w:noWrap w:val="0"/>
            <w:vAlign w:val="top"/>
          </w:tcPr>
          <w:p w14:paraId="7FF5D56C">
            <w:pPr>
              <w:spacing w:line="500" w:lineRule="exact"/>
              <w:jc w:val="left"/>
              <w:textAlignment w:val="center"/>
              <w:rPr>
                <w:rFonts w:ascii="华文细黑" w:hAnsi="华文细黑"/>
                <w:sz w:val="24"/>
              </w:rPr>
            </w:pPr>
          </w:p>
        </w:tc>
        <w:tc>
          <w:tcPr>
            <w:tcW w:w="1588" w:type="dxa"/>
            <w:tcBorders>
              <w:top w:val="single" w:color="auto" w:sz="4" w:space="0"/>
              <w:left w:val="single" w:color="auto" w:sz="4" w:space="0"/>
              <w:bottom w:val="single" w:color="auto" w:sz="4" w:space="0"/>
              <w:right w:val="single" w:color="auto" w:sz="4" w:space="0"/>
            </w:tcBorders>
            <w:noWrap w:val="0"/>
            <w:vAlign w:val="top"/>
          </w:tcPr>
          <w:p w14:paraId="6205BEC7">
            <w:pPr>
              <w:spacing w:line="500" w:lineRule="exact"/>
              <w:jc w:val="left"/>
              <w:textAlignment w:val="center"/>
              <w:rPr>
                <w:rFonts w:ascii="华文细黑" w:hAnsi="华文细黑"/>
                <w:sz w:val="24"/>
              </w:rPr>
            </w:pPr>
          </w:p>
        </w:tc>
        <w:tc>
          <w:tcPr>
            <w:tcW w:w="1788" w:type="dxa"/>
            <w:tcBorders>
              <w:top w:val="single" w:color="auto" w:sz="4" w:space="0"/>
              <w:left w:val="single" w:color="auto" w:sz="4" w:space="0"/>
              <w:bottom w:val="single" w:color="auto" w:sz="4" w:space="0"/>
              <w:right w:val="single" w:color="auto" w:sz="4" w:space="0"/>
            </w:tcBorders>
            <w:noWrap w:val="0"/>
            <w:vAlign w:val="top"/>
          </w:tcPr>
          <w:p w14:paraId="0360D32D">
            <w:pPr>
              <w:spacing w:line="500" w:lineRule="exact"/>
              <w:jc w:val="left"/>
              <w:textAlignment w:val="center"/>
              <w:rPr>
                <w:rFonts w:ascii="华文细黑" w:hAnsi="华文细黑"/>
                <w:sz w:val="24"/>
              </w:rPr>
            </w:pPr>
          </w:p>
        </w:tc>
        <w:tc>
          <w:tcPr>
            <w:tcW w:w="1187" w:type="dxa"/>
            <w:tcBorders>
              <w:top w:val="single" w:color="auto" w:sz="4" w:space="0"/>
              <w:left w:val="single" w:color="auto" w:sz="4" w:space="0"/>
              <w:bottom w:val="single" w:color="auto" w:sz="4" w:space="0"/>
              <w:right w:val="single" w:color="auto" w:sz="4" w:space="0"/>
            </w:tcBorders>
            <w:noWrap w:val="0"/>
            <w:vAlign w:val="top"/>
          </w:tcPr>
          <w:p w14:paraId="7F90D88D">
            <w:pPr>
              <w:spacing w:line="500" w:lineRule="exact"/>
              <w:jc w:val="left"/>
              <w:textAlignment w:val="center"/>
              <w:rPr>
                <w:rFonts w:ascii="华文细黑" w:hAnsi="华文细黑"/>
                <w:sz w:val="24"/>
              </w:rPr>
            </w:pPr>
          </w:p>
        </w:tc>
        <w:tc>
          <w:tcPr>
            <w:tcW w:w="710" w:type="dxa"/>
            <w:tcBorders>
              <w:top w:val="single" w:color="auto" w:sz="4" w:space="0"/>
              <w:left w:val="single" w:color="auto" w:sz="4" w:space="0"/>
              <w:bottom w:val="single" w:color="auto" w:sz="4" w:space="0"/>
              <w:right w:val="single" w:color="auto" w:sz="4" w:space="0"/>
            </w:tcBorders>
            <w:noWrap w:val="0"/>
            <w:vAlign w:val="top"/>
          </w:tcPr>
          <w:p w14:paraId="38C915E8">
            <w:pPr>
              <w:spacing w:line="500" w:lineRule="exact"/>
              <w:jc w:val="left"/>
              <w:textAlignment w:val="center"/>
              <w:rPr>
                <w:rFonts w:ascii="华文细黑" w:hAnsi="华文细黑"/>
                <w:sz w:val="24"/>
              </w:rPr>
            </w:pPr>
          </w:p>
        </w:tc>
        <w:tc>
          <w:tcPr>
            <w:tcW w:w="742" w:type="dxa"/>
            <w:tcBorders>
              <w:top w:val="single" w:color="auto" w:sz="4" w:space="0"/>
              <w:left w:val="single" w:color="auto" w:sz="4" w:space="0"/>
              <w:bottom w:val="single" w:color="auto" w:sz="4" w:space="0"/>
              <w:right w:val="single" w:color="auto" w:sz="4" w:space="0"/>
            </w:tcBorders>
            <w:noWrap w:val="0"/>
            <w:vAlign w:val="top"/>
          </w:tcPr>
          <w:p w14:paraId="15820F19">
            <w:pPr>
              <w:spacing w:line="500" w:lineRule="exact"/>
              <w:jc w:val="left"/>
              <w:textAlignment w:val="center"/>
              <w:rPr>
                <w:rFonts w:ascii="华文细黑" w:hAnsi="华文细黑"/>
                <w:sz w:val="24"/>
              </w:rPr>
            </w:pPr>
          </w:p>
        </w:tc>
        <w:tc>
          <w:tcPr>
            <w:tcW w:w="781" w:type="dxa"/>
            <w:tcBorders>
              <w:top w:val="single" w:color="auto" w:sz="4" w:space="0"/>
              <w:left w:val="single" w:color="auto" w:sz="4" w:space="0"/>
              <w:bottom w:val="single" w:color="auto" w:sz="4" w:space="0"/>
              <w:right w:val="single" w:color="auto" w:sz="4" w:space="0"/>
            </w:tcBorders>
            <w:noWrap w:val="0"/>
            <w:vAlign w:val="top"/>
          </w:tcPr>
          <w:p w14:paraId="497724DB">
            <w:pPr>
              <w:spacing w:line="500" w:lineRule="exact"/>
              <w:jc w:val="left"/>
              <w:textAlignment w:val="center"/>
              <w:rPr>
                <w:rFonts w:ascii="华文细黑" w:hAnsi="华文细黑"/>
                <w:sz w:val="24"/>
              </w:rPr>
            </w:pPr>
          </w:p>
        </w:tc>
      </w:tr>
      <w:tr w14:paraId="64B48BD8">
        <w:tblPrEx>
          <w:tblCellMar>
            <w:top w:w="0" w:type="dxa"/>
            <w:left w:w="108" w:type="dxa"/>
            <w:bottom w:w="0" w:type="dxa"/>
            <w:right w:w="108" w:type="dxa"/>
          </w:tblCellMar>
        </w:tblPrEx>
        <w:tc>
          <w:tcPr>
            <w:tcW w:w="482" w:type="dxa"/>
            <w:tcBorders>
              <w:top w:val="single" w:color="auto" w:sz="4" w:space="0"/>
              <w:left w:val="single" w:color="auto" w:sz="4" w:space="0"/>
              <w:bottom w:val="single" w:color="auto" w:sz="4" w:space="0"/>
              <w:right w:val="single" w:color="auto" w:sz="4" w:space="0"/>
            </w:tcBorders>
            <w:noWrap w:val="0"/>
            <w:vAlign w:val="top"/>
          </w:tcPr>
          <w:p w14:paraId="714961E2">
            <w:pPr>
              <w:spacing w:line="500" w:lineRule="exact"/>
              <w:jc w:val="left"/>
              <w:textAlignment w:val="center"/>
              <w:rPr>
                <w:rFonts w:ascii="华文细黑" w:hAnsi="华文细黑"/>
                <w:sz w:val="24"/>
              </w:rPr>
            </w:pPr>
          </w:p>
        </w:tc>
        <w:tc>
          <w:tcPr>
            <w:tcW w:w="1218" w:type="dxa"/>
            <w:tcBorders>
              <w:top w:val="single" w:color="auto" w:sz="4" w:space="0"/>
              <w:left w:val="single" w:color="auto" w:sz="4" w:space="0"/>
              <w:bottom w:val="single" w:color="auto" w:sz="4" w:space="0"/>
              <w:right w:val="single" w:color="auto" w:sz="4" w:space="0"/>
            </w:tcBorders>
            <w:noWrap w:val="0"/>
            <w:vAlign w:val="top"/>
          </w:tcPr>
          <w:p w14:paraId="0D606E6A">
            <w:pPr>
              <w:spacing w:line="500" w:lineRule="exact"/>
              <w:jc w:val="left"/>
              <w:textAlignment w:val="center"/>
              <w:rPr>
                <w:rFonts w:ascii="华文细黑" w:hAnsi="华文细黑"/>
                <w:sz w:val="24"/>
              </w:rPr>
            </w:pPr>
          </w:p>
        </w:tc>
        <w:tc>
          <w:tcPr>
            <w:tcW w:w="1392" w:type="dxa"/>
            <w:tcBorders>
              <w:top w:val="single" w:color="auto" w:sz="4" w:space="0"/>
              <w:left w:val="single" w:color="auto" w:sz="4" w:space="0"/>
              <w:bottom w:val="single" w:color="auto" w:sz="4" w:space="0"/>
              <w:right w:val="single" w:color="auto" w:sz="4" w:space="0"/>
            </w:tcBorders>
            <w:noWrap w:val="0"/>
            <w:vAlign w:val="top"/>
          </w:tcPr>
          <w:p w14:paraId="595C96DF">
            <w:pPr>
              <w:spacing w:line="500" w:lineRule="exact"/>
              <w:jc w:val="left"/>
              <w:textAlignment w:val="center"/>
              <w:rPr>
                <w:rFonts w:ascii="华文细黑" w:hAnsi="华文细黑"/>
                <w:sz w:val="24"/>
              </w:rPr>
            </w:pPr>
          </w:p>
        </w:tc>
        <w:tc>
          <w:tcPr>
            <w:tcW w:w="1588" w:type="dxa"/>
            <w:tcBorders>
              <w:top w:val="single" w:color="auto" w:sz="4" w:space="0"/>
              <w:left w:val="single" w:color="auto" w:sz="4" w:space="0"/>
              <w:bottom w:val="single" w:color="auto" w:sz="4" w:space="0"/>
              <w:right w:val="single" w:color="auto" w:sz="4" w:space="0"/>
            </w:tcBorders>
            <w:noWrap w:val="0"/>
            <w:vAlign w:val="top"/>
          </w:tcPr>
          <w:p w14:paraId="0BB6AE10">
            <w:pPr>
              <w:spacing w:line="500" w:lineRule="exact"/>
              <w:jc w:val="left"/>
              <w:textAlignment w:val="center"/>
              <w:rPr>
                <w:rFonts w:ascii="华文细黑" w:hAnsi="华文细黑"/>
                <w:sz w:val="24"/>
              </w:rPr>
            </w:pPr>
          </w:p>
        </w:tc>
        <w:tc>
          <w:tcPr>
            <w:tcW w:w="1788" w:type="dxa"/>
            <w:tcBorders>
              <w:top w:val="single" w:color="auto" w:sz="4" w:space="0"/>
              <w:left w:val="single" w:color="auto" w:sz="4" w:space="0"/>
              <w:bottom w:val="single" w:color="auto" w:sz="4" w:space="0"/>
              <w:right w:val="single" w:color="auto" w:sz="4" w:space="0"/>
            </w:tcBorders>
            <w:noWrap w:val="0"/>
            <w:vAlign w:val="top"/>
          </w:tcPr>
          <w:p w14:paraId="5FECF278">
            <w:pPr>
              <w:spacing w:line="500" w:lineRule="exact"/>
              <w:jc w:val="left"/>
              <w:textAlignment w:val="center"/>
              <w:rPr>
                <w:rFonts w:ascii="华文细黑" w:hAnsi="华文细黑"/>
                <w:sz w:val="24"/>
              </w:rPr>
            </w:pPr>
          </w:p>
        </w:tc>
        <w:tc>
          <w:tcPr>
            <w:tcW w:w="1187" w:type="dxa"/>
            <w:tcBorders>
              <w:top w:val="single" w:color="auto" w:sz="4" w:space="0"/>
              <w:left w:val="single" w:color="auto" w:sz="4" w:space="0"/>
              <w:bottom w:val="single" w:color="auto" w:sz="4" w:space="0"/>
              <w:right w:val="single" w:color="auto" w:sz="4" w:space="0"/>
            </w:tcBorders>
            <w:noWrap w:val="0"/>
            <w:vAlign w:val="top"/>
          </w:tcPr>
          <w:p w14:paraId="4508CFC9">
            <w:pPr>
              <w:spacing w:line="500" w:lineRule="exact"/>
              <w:jc w:val="left"/>
              <w:textAlignment w:val="center"/>
              <w:rPr>
                <w:rFonts w:ascii="华文细黑" w:hAnsi="华文细黑"/>
                <w:sz w:val="24"/>
              </w:rPr>
            </w:pPr>
          </w:p>
        </w:tc>
        <w:tc>
          <w:tcPr>
            <w:tcW w:w="710" w:type="dxa"/>
            <w:tcBorders>
              <w:top w:val="single" w:color="auto" w:sz="4" w:space="0"/>
              <w:left w:val="single" w:color="auto" w:sz="4" w:space="0"/>
              <w:bottom w:val="single" w:color="auto" w:sz="4" w:space="0"/>
              <w:right w:val="single" w:color="auto" w:sz="4" w:space="0"/>
            </w:tcBorders>
            <w:noWrap w:val="0"/>
            <w:vAlign w:val="top"/>
          </w:tcPr>
          <w:p w14:paraId="3024B1BE">
            <w:pPr>
              <w:spacing w:line="500" w:lineRule="exact"/>
              <w:jc w:val="left"/>
              <w:textAlignment w:val="center"/>
              <w:rPr>
                <w:rFonts w:ascii="华文细黑" w:hAnsi="华文细黑"/>
                <w:sz w:val="24"/>
              </w:rPr>
            </w:pPr>
          </w:p>
        </w:tc>
        <w:tc>
          <w:tcPr>
            <w:tcW w:w="742" w:type="dxa"/>
            <w:tcBorders>
              <w:top w:val="single" w:color="auto" w:sz="4" w:space="0"/>
              <w:left w:val="single" w:color="auto" w:sz="4" w:space="0"/>
              <w:bottom w:val="single" w:color="auto" w:sz="4" w:space="0"/>
              <w:right w:val="single" w:color="auto" w:sz="4" w:space="0"/>
            </w:tcBorders>
            <w:noWrap w:val="0"/>
            <w:vAlign w:val="top"/>
          </w:tcPr>
          <w:p w14:paraId="7556FF10">
            <w:pPr>
              <w:spacing w:line="500" w:lineRule="exact"/>
              <w:jc w:val="left"/>
              <w:textAlignment w:val="center"/>
              <w:rPr>
                <w:rFonts w:ascii="华文细黑" w:hAnsi="华文细黑"/>
                <w:sz w:val="24"/>
              </w:rPr>
            </w:pPr>
          </w:p>
        </w:tc>
        <w:tc>
          <w:tcPr>
            <w:tcW w:w="781" w:type="dxa"/>
            <w:tcBorders>
              <w:top w:val="single" w:color="auto" w:sz="4" w:space="0"/>
              <w:left w:val="single" w:color="auto" w:sz="4" w:space="0"/>
              <w:bottom w:val="single" w:color="auto" w:sz="4" w:space="0"/>
              <w:right w:val="single" w:color="auto" w:sz="4" w:space="0"/>
            </w:tcBorders>
            <w:noWrap w:val="0"/>
            <w:vAlign w:val="top"/>
          </w:tcPr>
          <w:p w14:paraId="240597F3">
            <w:pPr>
              <w:spacing w:line="500" w:lineRule="exact"/>
              <w:jc w:val="left"/>
              <w:textAlignment w:val="center"/>
              <w:rPr>
                <w:rFonts w:ascii="华文细黑" w:hAnsi="华文细黑"/>
                <w:sz w:val="24"/>
              </w:rPr>
            </w:pPr>
          </w:p>
        </w:tc>
      </w:tr>
      <w:tr w14:paraId="71249EA6">
        <w:tblPrEx>
          <w:tblCellMar>
            <w:top w:w="0" w:type="dxa"/>
            <w:left w:w="108" w:type="dxa"/>
            <w:bottom w:w="0" w:type="dxa"/>
            <w:right w:w="108" w:type="dxa"/>
          </w:tblCellMar>
        </w:tblPrEx>
        <w:tc>
          <w:tcPr>
            <w:tcW w:w="482" w:type="dxa"/>
            <w:tcBorders>
              <w:top w:val="single" w:color="auto" w:sz="4" w:space="0"/>
              <w:left w:val="single" w:color="auto" w:sz="4" w:space="0"/>
              <w:bottom w:val="single" w:color="auto" w:sz="4" w:space="0"/>
              <w:right w:val="single" w:color="auto" w:sz="4" w:space="0"/>
            </w:tcBorders>
            <w:noWrap w:val="0"/>
            <w:vAlign w:val="top"/>
          </w:tcPr>
          <w:p w14:paraId="37E1153A">
            <w:pPr>
              <w:spacing w:line="500" w:lineRule="exact"/>
              <w:jc w:val="left"/>
              <w:textAlignment w:val="center"/>
              <w:rPr>
                <w:rFonts w:ascii="华文细黑" w:hAnsi="华文细黑"/>
                <w:sz w:val="24"/>
              </w:rPr>
            </w:pPr>
          </w:p>
        </w:tc>
        <w:tc>
          <w:tcPr>
            <w:tcW w:w="1218" w:type="dxa"/>
            <w:tcBorders>
              <w:top w:val="single" w:color="auto" w:sz="4" w:space="0"/>
              <w:left w:val="single" w:color="auto" w:sz="4" w:space="0"/>
              <w:bottom w:val="single" w:color="auto" w:sz="4" w:space="0"/>
              <w:right w:val="single" w:color="auto" w:sz="4" w:space="0"/>
            </w:tcBorders>
            <w:noWrap w:val="0"/>
            <w:vAlign w:val="top"/>
          </w:tcPr>
          <w:p w14:paraId="786DDB5D">
            <w:pPr>
              <w:spacing w:line="500" w:lineRule="exact"/>
              <w:jc w:val="left"/>
              <w:textAlignment w:val="center"/>
              <w:rPr>
                <w:rFonts w:ascii="华文细黑" w:hAnsi="华文细黑"/>
                <w:sz w:val="24"/>
              </w:rPr>
            </w:pPr>
          </w:p>
        </w:tc>
        <w:tc>
          <w:tcPr>
            <w:tcW w:w="1392" w:type="dxa"/>
            <w:tcBorders>
              <w:top w:val="single" w:color="auto" w:sz="4" w:space="0"/>
              <w:left w:val="single" w:color="auto" w:sz="4" w:space="0"/>
              <w:bottom w:val="single" w:color="auto" w:sz="4" w:space="0"/>
              <w:right w:val="single" w:color="auto" w:sz="4" w:space="0"/>
            </w:tcBorders>
            <w:noWrap w:val="0"/>
            <w:vAlign w:val="top"/>
          </w:tcPr>
          <w:p w14:paraId="00E801CD">
            <w:pPr>
              <w:spacing w:line="500" w:lineRule="exact"/>
              <w:jc w:val="left"/>
              <w:textAlignment w:val="center"/>
              <w:rPr>
                <w:rFonts w:ascii="华文细黑" w:hAnsi="华文细黑"/>
                <w:sz w:val="24"/>
              </w:rPr>
            </w:pPr>
          </w:p>
        </w:tc>
        <w:tc>
          <w:tcPr>
            <w:tcW w:w="1588" w:type="dxa"/>
            <w:tcBorders>
              <w:top w:val="single" w:color="auto" w:sz="4" w:space="0"/>
              <w:left w:val="single" w:color="auto" w:sz="4" w:space="0"/>
              <w:bottom w:val="single" w:color="auto" w:sz="4" w:space="0"/>
              <w:right w:val="single" w:color="auto" w:sz="4" w:space="0"/>
            </w:tcBorders>
            <w:noWrap w:val="0"/>
            <w:vAlign w:val="top"/>
          </w:tcPr>
          <w:p w14:paraId="4EB22781">
            <w:pPr>
              <w:spacing w:line="500" w:lineRule="exact"/>
              <w:jc w:val="left"/>
              <w:textAlignment w:val="center"/>
              <w:rPr>
                <w:rFonts w:ascii="华文细黑" w:hAnsi="华文细黑"/>
                <w:sz w:val="24"/>
              </w:rPr>
            </w:pPr>
          </w:p>
        </w:tc>
        <w:tc>
          <w:tcPr>
            <w:tcW w:w="1788" w:type="dxa"/>
            <w:tcBorders>
              <w:top w:val="single" w:color="auto" w:sz="4" w:space="0"/>
              <w:left w:val="single" w:color="auto" w:sz="4" w:space="0"/>
              <w:bottom w:val="single" w:color="auto" w:sz="4" w:space="0"/>
              <w:right w:val="single" w:color="auto" w:sz="4" w:space="0"/>
            </w:tcBorders>
            <w:noWrap w:val="0"/>
            <w:vAlign w:val="top"/>
          </w:tcPr>
          <w:p w14:paraId="39A2EAA4">
            <w:pPr>
              <w:spacing w:line="500" w:lineRule="exact"/>
              <w:jc w:val="left"/>
              <w:textAlignment w:val="center"/>
              <w:rPr>
                <w:rFonts w:ascii="华文细黑" w:hAnsi="华文细黑"/>
                <w:sz w:val="24"/>
              </w:rPr>
            </w:pPr>
          </w:p>
        </w:tc>
        <w:tc>
          <w:tcPr>
            <w:tcW w:w="1187" w:type="dxa"/>
            <w:tcBorders>
              <w:top w:val="single" w:color="auto" w:sz="4" w:space="0"/>
              <w:left w:val="single" w:color="auto" w:sz="4" w:space="0"/>
              <w:bottom w:val="single" w:color="auto" w:sz="4" w:space="0"/>
              <w:right w:val="single" w:color="auto" w:sz="4" w:space="0"/>
            </w:tcBorders>
            <w:noWrap w:val="0"/>
            <w:vAlign w:val="top"/>
          </w:tcPr>
          <w:p w14:paraId="14B31874">
            <w:pPr>
              <w:spacing w:line="500" w:lineRule="exact"/>
              <w:jc w:val="left"/>
              <w:textAlignment w:val="center"/>
              <w:rPr>
                <w:rFonts w:ascii="华文细黑" w:hAnsi="华文细黑"/>
                <w:sz w:val="24"/>
              </w:rPr>
            </w:pPr>
          </w:p>
        </w:tc>
        <w:tc>
          <w:tcPr>
            <w:tcW w:w="710" w:type="dxa"/>
            <w:tcBorders>
              <w:top w:val="single" w:color="auto" w:sz="4" w:space="0"/>
              <w:left w:val="single" w:color="auto" w:sz="4" w:space="0"/>
              <w:bottom w:val="single" w:color="auto" w:sz="4" w:space="0"/>
              <w:right w:val="single" w:color="auto" w:sz="4" w:space="0"/>
            </w:tcBorders>
            <w:noWrap w:val="0"/>
            <w:vAlign w:val="top"/>
          </w:tcPr>
          <w:p w14:paraId="2C17AF60">
            <w:pPr>
              <w:spacing w:line="500" w:lineRule="exact"/>
              <w:jc w:val="left"/>
              <w:textAlignment w:val="center"/>
              <w:rPr>
                <w:rFonts w:ascii="华文细黑" w:hAnsi="华文细黑"/>
                <w:sz w:val="24"/>
              </w:rPr>
            </w:pPr>
          </w:p>
        </w:tc>
        <w:tc>
          <w:tcPr>
            <w:tcW w:w="742" w:type="dxa"/>
            <w:tcBorders>
              <w:top w:val="single" w:color="auto" w:sz="4" w:space="0"/>
              <w:left w:val="single" w:color="auto" w:sz="4" w:space="0"/>
              <w:bottom w:val="single" w:color="auto" w:sz="4" w:space="0"/>
              <w:right w:val="single" w:color="auto" w:sz="4" w:space="0"/>
            </w:tcBorders>
            <w:noWrap w:val="0"/>
            <w:vAlign w:val="top"/>
          </w:tcPr>
          <w:p w14:paraId="2B746598">
            <w:pPr>
              <w:spacing w:line="500" w:lineRule="exact"/>
              <w:jc w:val="left"/>
              <w:textAlignment w:val="center"/>
              <w:rPr>
                <w:rFonts w:ascii="华文细黑" w:hAnsi="华文细黑"/>
                <w:sz w:val="24"/>
              </w:rPr>
            </w:pPr>
          </w:p>
        </w:tc>
        <w:tc>
          <w:tcPr>
            <w:tcW w:w="781" w:type="dxa"/>
            <w:tcBorders>
              <w:top w:val="single" w:color="auto" w:sz="4" w:space="0"/>
              <w:left w:val="single" w:color="auto" w:sz="4" w:space="0"/>
              <w:bottom w:val="single" w:color="auto" w:sz="4" w:space="0"/>
              <w:right w:val="single" w:color="auto" w:sz="4" w:space="0"/>
            </w:tcBorders>
            <w:noWrap w:val="0"/>
            <w:vAlign w:val="top"/>
          </w:tcPr>
          <w:p w14:paraId="3E06D07A">
            <w:pPr>
              <w:spacing w:line="500" w:lineRule="exact"/>
              <w:jc w:val="left"/>
              <w:textAlignment w:val="center"/>
              <w:rPr>
                <w:rFonts w:ascii="华文细黑" w:hAnsi="华文细黑"/>
                <w:sz w:val="24"/>
              </w:rPr>
            </w:pPr>
          </w:p>
        </w:tc>
      </w:tr>
      <w:tr w14:paraId="5054B60C">
        <w:tblPrEx>
          <w:tblCellMar>
            <w:top w:w="0" w:type="dxa"/>
            <w:left w:w="108" w:type="dxa"/>
            <w:bottom w:w="0" w:type="dxa"/>
            <w:right w:w="108" w:type="dxa"/>
          </w:tblCellMar>
        </w:tblPrEx>
        <w:tc>
          <w:tcPr>
            <w:tcW w:w="482" w:type="dxa"/>
            <w:tcBorders>
              <w:top w:val="single" w:color="auto" w:sz="4" w:space="0"/>
              <w:left w:val="single" w:color="auto" w:sz="4" w:space="0"/>
              <w:bottom w:val="single" w:color="auto" w:sz="4" w:space="0"/>
              <w:right w:val="single" w:color="auto" w:sz="4" w:space="0"/>
            </w:tcBorders>
            <w:noWrap w:val="0"/>
            <w:vAlign w:val="top"/>
          </w:tcPr>
          <w:p w14:paraId="02A42FB4">
            <w:pPr>
              <w:spacing w:line="500" w:lineRule="exact"/>
              <w:jc w:val="left"/>
              <w:textAlignment w:val="center"/>
              <w:rPr>
                <w:rFonts w:ascii="华文细黑" w:hAnsi="华文细黑"/>
                <w:sz w:val="24"/>
              </w:rPr>
            </w:pPr>
          </w:p>
        </w:tc>
        <w:tc>
          <w:tcPr>
            <w:tcW w:w="1218" w:type="dxa"/>
            <w:tcBorders>
              <w:top w:val="single" w:color="auto" w:sz="4" w:space="0"/>
              <w:left w:val="single" w:color="auto" w:sz="4" w:space="0"/>
              <w:bottom w:val="single" w:color="auto" w:sz="4" w:space="0"/>
              <w:right w:val="single" w:color="auto" w:sz="4" w:space="0"/>
            </w:tcBorders>
            <w:noWrap w:val="0"/>
            <w:vAlign w:val="top"/>
          </w:tcPr>
          <w:p w14:paraId="5C66F30F">
            <w:pPr>
              <w:spacing w:line="500" w:lineRule="exact"/>
              <w:jc w:val="left"/>
              <w:textAlignment w:val="center"/>
              <w:rPr>
                <w:rFonts w:ascii="华文细黑" w:hAnsi="华文细黑"/>
                <w:sz w:val="24"/>
              </w:rPr>
            </w:pPr>
          </w:p>
        </w:tc>
        <w:tc>
          <w:tcPr>
            <w:tcW w:w="1392" w:type="dxa"/>
            <w:tcBorders>
              <w:top w:val="single" w:color="auto" w:sz="4" w:space="0"/>
              <w:left w:val="single" w:color="auto" w:sz="4" w:space="0"/>
              <w:bottom w:val="single" w:color="auto" w:sz="4" w:space="0"/>
              <w:right w:val="single" w:color="auto" w:sz="4" w:space="0"/>
            </w:tcBorders>
            <w:noWrap w:val="0"/>
            <w:vAlign w:val="top"/>
          </w:tcPr>
          <w:p w14:paraId="3D960272">
            <w:pPr>
              <w:spacing w:line="500" w:lineRule="exact"/>
              <w:jc w:val="left"/>
              <w:textAlignment w:val="center"/>
              <w:rPr>
                <w:rFonts w:ascii="华文细黑" w:hAnsi="华文细黑"/>
                <w:sz w:val="24"/>
              </w:rPr>
            </w:pPr>
          </w:p>
        </w:tc>
        <w:tc>
          <w:tcPr>
            <w:tcW w:w="1588" w:type="dxa"/>
            <w:tcBorders>
              <w:top w:val="single" w:color="auto" w:sz="4" w:space="0"/>
              <w:left w:val="single" w:color="auto" w:sz="4" w:space="0"/>
              <w:bottom w:val="single" w:color="auto" w:sz="4" w:space="0"/>
              <w:right w:val="single" w:color="auto" w:sz="4" w:space="0"/>
            </w:tcBorders>
            <w:noWrap w:val="0"/>
            <w:vAlign w:val="top"/>
          </w:tcPr>
          <w:p w14:paraId="4F5EA402">
            <w:pPr>
              <w:spacing w:line="500" w:lineRule="exact"/>
              <w:jc w:val="left"/>
              <w:textAlignment w:val="center"/>
              <w:rPr>
                <w:rFonts w:ascii="华文细黑" w:hAnsi="华文细黑"/>
                <w:sz w:val="24"/>
              </w:rPr>
            </w:pPr>
          </w:p>
        </w:tc>
        <w:tc>
          <w:tcPr>
            <w:tcW w:w="1788" w:type="dxa"/>
            <w:tcBorders>
              <w:top w:val="single" w:color="auto" w:sz="4" w:space="0"/>
              <w:left w:val="single" w:color="auto" w:sz="4" w:space="0"/>
              <w:bottom w:val="single" w:color="auto" w:sz="4" w:space="0"/>
              <w:right w:val="single" w:color="auto" w:sz="4" w:space="0"/>
            </w:tcBorders>
            <w:noWrap w:val="0"/>
            <w:vAlign w:val="top"/>
          </w:tcPr>
          <w:p w14:paraId="0AC68994">
            <w:pPr>
              <w:spacing w:line="500" w:lineRule="exact"/>
              <w:jc w:val="left"/>
              <w:textAlignment w:val="center"/>
              <w:rPr>
                <w:rFonts w:ascii="华文细黑" w:hAnsi="华文细黑"/>
                <w:sz w:val="24"/>
              </w:rPr>
            </w:pPr>
          </w:p>
        </w:tc>
        <w:tc>
          <w:tcPr>
            <w:tcW w:w="1187" w:type="dxa"/>
            <w:tcBorders>
              <w:top w:val="single" w:color="auto" w:sz="4" w:space="0"/>
              <w:left w:val="single" w:color="auto" w:sz="4" w:space="0"/>
              <w:bottom w:val="single" w:color="auto" w:sz="4" w:space="0"/>
              <w:right w:val="single" w:color="auto" w:sz="4" w:space="0"/>
            </w:tcBorders>
            <w:noWrap w:val="0"/>
            <w:vAlign w:val="top"/>
          </w:tcPr>
          <w:p w14:paraId="1DAC8FE4">
            <w:pPr>
              <w:spacing w:line="500" w:lineRule="exact"/>
              <w:jc w:val="left"/>
              <w:textAlignment w:val="center"/>
              <w:rPr>
                <w:rFonts w:ascii="华文细黑" w:hAnsi="华文细黑"/>
                <w:sz w:val="24"/>
              </w:rPr>
            </w:pPr>
          </w:p>
        </w:tc>
        <w:tc>
          <w:tcPr>
            <w:tcW w:w="710" w:type="dxa"/>
            <w:tcBorders>
              <w:top w:val="single" w:color="auto" w:sz="4" w:space="0"/>
              <w:left w:val="single" w:color="auto" w:sz="4" w:space="0"/>
              <w:bottom w:val="single" w:color="auto" w:sz="4" w:space="0"/>
              <w:right w:val="single" w:color="auto" w:sz="4" w:space="0"/>
            </w:tcBorders>
            <w:noWrap w:val="0"/>
            <w:vAlign w:val="top"/>
          </w:tcPr>
          <w:p w14:paraId="4C29345E">
            <w:pPr>
              <w:spacing w:line="500" w:lineRule="exact"/>
              <w:jc w:val="left"/>
              <w:textAlignment w:val="center"/>
              <w:rPr>
                <w:rFonts w:ascii="华文细黑" w:hAnsi="华文细黑"/>
                <w:sz w:val="24"/>
              </w:rPr>
            </w:pPr>
          </w:p>
        </w:tc>
        <w:tc>
          <w:tcPr>
            <w:tcW w:w="742" w:type="dxa"/>
            <w:tcBorders>
              <w:top w:val="single" w:color="auto" w:sz="4" w:space="0"/>
              <w:left w:val="single" w:color="auto" w:sz="4" w:space="0"/>
              <w:bottom w:val="single" w:color="auto" w:sz="4" w:space="0"/>
              <w:right w:val="single" w:color="auto" w:sz="4" w:space="0"/>
            </w:tcBorders>
            <w:noWrap w:val="0"/>
            <w:vAlign w:val="top"/>
          </w:tcPr>
          <w:p w14:paraId="7156E988">
            <w:pPr>
              <w:spacing w:line="500" w:lineRule="exact"/>
              <w:jc w:val="left"/>
              <w:textAlignment w:val="center"/>
              <w:rPr>
                <w:rFonts w:ascii="华文细黑" w:hAnsi="华文细黑"/>
                <w:sz w:val="24"/>
              </w:rPr>
            </w:pPr>
          </w:p>
        </w:tc>
        <w:tc>
          <w:tcPr>
            <w:tcW w:w="781" w:type="dxa"/>
            <w:tcBorders>
              <w:top w:val="single" w:color="auto" w:sz="4" w:space="0"/>
              <w:left w:val="single" w:color="auto" w:sz="4" w:space="0"/>
              <w:bottom w:val="single" w:color="auto" w:sz="4" w:space="0"/>
              <w:right w:val="single" w:color="auto" w:sz="4" w:space="0"/>
            </w:tcBorders>
            <w:noWrap w:val="0"/>
            <w:vAlign w:val="top"/>
          </w:tcPr>
          <w:p w14:paraId="7ABDA8E6">
            <w:pPr>
              <w:spacing w:line="500" w:lineRule="exact"/>
              <w:jc w:val="left"/>
              <w:textAlignment w:val="center"/>
              <w:rPr>
                <w:rFonts w:ascii="华文细黑" w:hAnsi="华文细黑"/>
                <w:sz w:val="24"/>
              </w:rPr>
            </w:pPr>
          </w:p>
        </w:tc>
      </w:tr>
      <w:tr w14:paraId="646B4944">
        <w:tblPrEx>
          <w:tblCellMar>
            <w:top w:w="0" w:type="dxa"/>
            <w:left w:w="108" w:type="dxa"/>
            <w:bottom w:w="0" w:type="dxa"/>
            <w:right w:w="108" w:type="dxa"/>
          </w:tblCellMar>
        </w:tblPrEx>
        <w:tc>
          <w:tcPr>
            <w:tcW w:w="3092" w:type="dxa"/>
            <w:gridSpan w:val="3"/>
            <w:tcBorders>
              <w:top w:val="single" w:color="auto" w:sz="4" w:space="0"/>
              <w:left w:val="single" w:color="auto" w:sz="4" w:space="0"/>
              <w:bottom w:val="single" w:color="auto" w:sz="4" w:space="0"/>
              <w:right w:val="single" w:color="auto" w:sz="4" w:space="0"/>
            </w:tcBorders>
            <w:noWrap w:val="0"/>
            <w:vAlign w:val="top"/>
          </w:tcPr>
          <w:p w14:paraId="64F88F19">
            <w:pPr>
              <w:spacing w:line="500" w:lineRule="exact"/>
              <w:jc w:val="left"/>
              <w:textAlignment w:val="center"/>
              <w:rPr>
                <w:rFonts w:hint="eastAsia" w:ascii="华文细黑" w:hAnsi="华文细黑"/>
                <w:sz w:val="24"/>
              </w:rPr>
            </w:pPr>
            <w:r>
              <w:rPr>
                <w:rFonts w:ascii="华文细黑" w:hAnsi="华文细黑"/>
                <w:sz w:val="24"/>
              </w:rPr>
              <w:t>招标人</w:t>
            </w:r>
            <w:r>
              <w:rPr>
                <w:rFonts w:hint="eastAsia" w:ascii="华文细黑" w:hAnsi="华文细黑"/>
                <w:sz w:val="24"/>
              </w:rPr>
              <w:t>控制价</w:t>
            </w:r>
          </w:p>
        </w:tc>
        <w:tc>
          <w:tcPr>
            <w:tcW w:w="6796" w:type="dxa"/>
            <w:gridSpan w:val="6"/>
            <w:tcBorders>
              <w:top w:val="single" w:color="auto" w:sz="4" w:space="0"/>
              <w:left w:val="single" w:color="auto" w:sz="4" w:space="0"/>
              <w:bottom w:val="single" w:color="auto" w:sz="4" w:space="0"/>
              <w:right w:val="single" w:color="auto" w:sz="4" w:space="0"/>
            </w:tcBorders>
            <w:noWrap w:val="0"/>
            <w:vAlign w:val="top"/>
          </w:tcPr>
          <w:p w14:paraId="633A86E8">
            <w:pPr>
              <w:spacing w:line="500" w:lineRule="exact"/>
              <w:jc w:val="left"/>
              <w:textAlignment w:val="center"/>
              <w:rPr>
                <w:rFonts w:ascii="华文细黑" w:hAnsi="华文细黑"/>
                <w:sz w:val="24"/>
              </w:rPr>
            </w:pPr>
          </w:p>
        </w:tc>
      </w:tr>
    </w:tbl>
    <w:p w14:paraId="0D7EF7A6">
      <w:pPr>
        <w:spacing w:line="440" w:lineRule="exact"/>
        <w:rPr>
          <w:szCs w:val="21"/>
        </w:rPr>
      </w:pPr>
      <w:r>
        <w:rPr>
          <w:rFonts w:hint="eastAsia"/>
        </w:rPr>
        <w:t>　　</w:t>
      </w:r>
      <w:r>
        <w:rPr>
          <w:rFonts w:hint="eastAsia"/>
          <w:szCs w:val="21"/>
        </w:rPr>
        <w:t>　</w:t>
      </w:r>
    </w:p>
    <w:p w14:paraId="7A619FC9">
      <w:pPr>
        <w:spacing w:line="620" w:lineRule="exact"/>
        <w:rPr>
          <w:sz w:val="24"/>
        </w:rPr>
      </w:pPr>
      <w:r>
        <w:rPr>
          <w:sz w:val="24"/>
        </w:rPr>
        <w:t>招标人代表：</w:t>
      </w:r>
      <w:r>
        <w:rPr>
          <w:sz w:val="24"/>
          <w:u w:val="single"/>
        </w:rPr>
        <w:t xml:space="preserve">            </w:t>
      </w:r>
      <w:r>
        <w:rPr>
          <w:sz w:val="24"/>
        </w:rPr>
        <w:t xml:space="preserve"> 记录人：</w:t>
      </w:r>
      <w:r>
        <w:rPr>
          <w:sz w:val="24"/>
          <w:u w:val="single"/>
        </w:rPr>
        <w:t xml:space="preserve">            </w:t>
      </w:r>
      <w:r>
        <w:rPr>
          <w:sz w:val="24"/>
        </w:rPr>
        <w:t xml:space="preserve"> 监标人：</w:t>
      </w:r>
      <w:r>
        <w:rPr>
          <w:sz w:val="24"/>
          <w:u w:val="single"/>
        </w:rPr>
        <w:t xml:space="preserve">            </w:t>
      </w:r>
      <w:r>
        <w:rPr>
          <w:sz w:val="24"/>
        </w:rPr>
        <w:t xml:space="preserve"> </w:t>
      </w:r>
    </w:p>
    <w:p w14:paraId="3059A88B">
      <w:pPr>
        <w:spacing w:line="620" w:lineRule="exact"/>
        <w:rPr>
          <w:rFonts w:hint="eastAsia"/>
          <w:sz w:val="24"/>
        </w:rPr>
      </w:pPr>
      <w:r>
        <w:rPr>
          <w:sz w:val="24"/>
        </w:rPr>
        <w:t xml:space="preserve">                                    </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24901C66">
      <w:pPr>
        <w:spacing w:line="440" w:lineRule="exact"/>
        <w:rPr>
          <w:rFonts w:hint="eastAsia"/>
          <w:szCs w:val="21"/>
        </w:rPr>
      </w:pPr>
      <w:r>
        <w:br w:type="page"/>
      </w:r>
    </w:p>
    <w:p w14:paraId="040E8B3D">
      <w:pPr>
        <w:pStyle w:val="87"/>
        <w:outlineLvl w:val="1"/>
        <w:rPr>
          <w:sz w:val="28"/>
          <w:szCs w:val="28"/>
        </w:rPr>
      </w:pPr>
      <w:bookmarkStart w:id="513" w:name="_Toc152042359"/>
      <w:bookmarkStart w:id="514" w:name="_Toc331688436"/>
      <w:bookmarkStart w:id="515" w:name="_Toc251319525"/>
      <w:bookmarkStart w:id="516" w:name="_Toc100487522"/>
      <w:bookmarkStart w:id="517" w:name="_Toc399073362"/>
      <w:bookmarkStart w:id="518" w:name="_Toc268109238"/>
      <w:bookmarkStart w:id="519" w:name="_Toc144974549"/>
      <w:bookmarkStart w:id="520" w:name="_Toc152045582"/>
      <w:r>
        <w:rPr>
          <w:sz w:val="28"/>
          <w:szCs w:val="28"/>
        </w:rPr>
        <w:t>附表二：问题澄清通知</w:t>
      </w:r>
      <w:bookmarkEnd w:id="513"/>
      <w:bookmarkEnd w:id="514"/>
      <w:bookmarkEnd w:id="515"/>
      <w:bookmarkEnd w:id="516"/>
      <w:bookmarkEnd w:id="517"/>
      <w:bookmarkEnd w:id="518"/>
      <w:bookmarkEnd w:id="519"/>
      <w:bookmarkEnd w:id="520"/>
    </w:p>
    <w:p w14:paraId="122180DD">
      <w:pPr>
        <w:spacing w:line="440" w:lineRule="exact"/>
        <w:jc w:val="center"/>
        <w:rPr>
          <w:rFonts w:hint="eastAsia"/>
          <w:szCs w:val="21"/>
        </w:rPr>
      </w:pPr>
    </w:p>
    <w:p w14:paraId="0C9E2D15">
      <w:pPr>
        <w:spacing w:line="400" w:lineRule="exact"/>
        <w:jc w:val="center"/>
        <w:rPr>
          <w:rFonts w:ascii="黑体" w:eastAsia="黑体"/>
          <w:sz w:val="30"/>
          <w:szCs w:val="30"/>
        </w:rPr>
      </w:pPr>
      <w:r>
        <w:rPr>
          <w:rFonts w:ascii="黑体" w:eastAsia="黑体"/>
          <w:sz w:val="30"/>
          <w:szCs w:val="30"/>
        </w:rPr>
        <w:t>问题澄清通知</w:t>
      </w:r>
    </w:p>
    <w:p w14:paraId="3D5FB7FC">
      <w:pPr>
        <w:spacing w:line="440" w:lineRule="exact"/>
        <w:rPr>
          <w:sz w:val="24"/>
        </w:rPr>
      </w:pPr>
      <w:r>
        <w:rPr>
          <w:szCs w:val="21"/>
        </w:rPr>
        <w:t xml:space="preserve">                              </w:t>
      </w:r>
      <w:r>
        <w:rPr>
          <w:sz w:val="24"/>
        </w:rPr>
        <w:t xml:space="preserve"> </w:t>
      </w:r>
      <w:r>
        <w:rPr>
          <w:rFonts w:hint="eastAsia"/>
          <w:sz w:val="24"/>
        </w:rPr>
        <w:t xml:space="preserve"> </w:t>
      </w:r>
      <w:r>
        <w:rPr>
          <w:sz w:val="24"/>
        </w:rPr>
        <w:t>编号：</w:t>
      </w:r>
    </w:p>
    <w:p w14:paraId="3689515E">
      <w:pPr>
        <w:spacing w:line="440" w:lineRule="exact"/>
        <w:rPr>
          <w:szCs w:val="21"/>
        </w:rPr>
      </w:pPr>
    </w:p>
    <w:p w14:paraId="7FFB4908">
      <w:pPr>
        <w:spacing w:line="500" w:lineRule="exact"/>
        <w:rPr>
          <w:sz w:val="24"/>
        </w:rPr>
      </w:pPr>
      <w:r>
        <w:rPr>
          <w:sz w:val="24"/>
        </w:rPr>
        <w:t xml:space="preserve">  </w:t>
      </w:r>
      <w:r>
        <w:rPr>
          <w:sz w:val="24"/>
          <w:u w:val="single"/>
        </w:rPr>
        <w:t xml:space="preserve">            </w:t>
      </w:r>
      <w:r>
        <w:rPr>
          <w:sz w:val="24"/>
        </w:rPr>
        <w:t>（投标人名称）：</w:t>
      </w:r>
    </w:p>
    <w:p w14:paraId="187FF3C5">
      <w:pPr>
        <w:spacing w:line="500" w:lineRule="exact"/>
        <w:rPr>
          <w:sz w:val="24"/>
        </w:rPr>
      </w:pPr>
    </w:p>
    <w:p w14:paraId="1B261B22">
      <w:pPr>
        <w:spacing w:line="500" w:lineRule="exact"/>
        <w:rPr>
          <w:sz w:val="24"/>
        </w:rPr>
      </w:pPr>
      <w:r>
        <w:rPr>
          <w:sz w:val="24"/>
        </w:rPr>
        <w:t xml:space="preserve">　　  </w:t>
      </w:r>
      <w:r>
        <w:rPr>
          <w:sz w:val="24"/>
          <w:u w:val="single"/>
        </w:rPr>
        <w:t xml:space="preserve">　             </w:t>
      </w:r>
      <w:r>
        <w:rPr>
          <w:sz w:val="24"/>
        </w:rPr>
        <w:t xml:space="preserve"> （项目名称）</w:t>
      </w:r>
      <w:r>
        <w:rPr>
          <w:sz w:val="24"/>
          <w:u w:val="single"/>
        </w:rPr>
        <w:t xml:space="preserve">        </w:t>
      </w:r>
      <w:r>
        <w:rPr>
          <w:sz w:val="24"/>
        </w:rPr>
        <w:t>标段施工招标的评标委员会，对你方的投标文件进行了仔细的审查，现需你方对下列问题以书面形式予以澄清：</w:t>
      </w:r>
    </w:p>
    <w:p w14:paraId="53F6F3B4">
      <w:pPr>
        <w:spacing w:line="500" w:lineRule="exact"/>
        <w:rPr>
          <w:sz w:val="24"/>
        </w:rPr>
      </w:pPr>
      <w:r>
        <w:rPr>
          <w:sz w:val="24"/>
        </w:rPr>
        <w:t>　　</w:t>
      </w:r>
    </w:p>
    <w:p w14:paraId="20DD9CE6">
      <w:pPr>
        <w:spacing w:line="500" w:lineRule="exact"/>
        <w:rPr>
          <w:sz w:val="24"/>
        </w:rPr>
      </w:pPr>
      <w:r>
        <w:rPr>
          <w:sz w:val="24"/>
        </w:rPr>
        <w:t xml:space="preserve">    1.</w:t>
      </w:r>
    </w:p>
    <w:p w14:paraId="495BD51B">
      <w:pPr>
        <w:spacing w:line="500" w:lineRule="exact"/>
        <w:rPr>
          <w:sz w:val="24"/>
        </w:rPr>
      </w:pPr>
      <w:r>
        <w:rPr>
          <w:sz w:val="24"/>
        </w:rPr>
        <w:t xml:space="preserve">    2.</w:t>
      </w:r>
    </w:p>
    <w:p w14:paraId="070BAC9F">
      <w:pPr>
        <w:spacing w:line="500" w:lineRule="exact"/>
        <w:rPr>
          <w:sz w:val="24"/>
        </w:rPr>
      </w:pPr>
      <w:r>
        <w:rPr>
          <w:sz w:val="24"/>
        </w:rPr>
        <w:t xml:space="preserve">     ......   </w:t>
      </w:r>
    </w:p>
    <w:p w14:paraId="5334A0BC">
      <w:pPr>
        <w:spacing w:line="500" w:lineRule="exact"/>
        <w:rPr>
          <w:sz w:val="24"/>
        </w:rPr>
      </w:pPr>
      <w:r>
        <w:rPr>
          <w:sz w:val="24"/>
        </w:rPr>
        <w:t>　　　</w:t>
      </w:r>
    </w:p>
    <w:p w14:paraId="022B6547">
      <w:pPr>
        <w:spacing w:line="500" w:lineRule="exact"/>
        <w:rPr>
          <w:rFonts w:hint="eastAsia"/>
          <w:sz w:val="24"/>
        </w:rPr>
      </w:pPr>
      <w:r>
        <w:rPr>
          <w:sz w:val="24"/>
        </w:rPr>
        <w:t>　　请将上述问题的澄清于</w:t>
      </w:r>
      <w:r>
        <w:rPr>
          <w:sz w:val="24"/>
          <w:u w:val="single"/>
        </w:rPr>
        <w:t xml:space="preserve">     </w:t>
      </w:r>
      <w:r>
        <w:rPr>
          <w:sz w:val="24"/>
        </w:rPr>
        <w:t>年</w:t>
      </w:r>
      <w:r>
        <w:rPr>
          <w:sz w:val="24"/>
          <w:u w:val="single"/>
        </w:rPr>
        <w:t xml:space="preserve">     </w:t>
      </w:r>
      <w:r>
        <w:rPr>
          <w:sz w:val="24"/>
        </w:rPr>
        <w:t>月</w:t>
      </w:r>
      <w:r>
        <w:rPr>
          <w:sz w:val="24"/>
          <w:u w:val="single"/>
        </w:rPr>
        <w:t xml:space="preserve">   </w:t>
      </w:r>
      <w:r>
        <w:rPr>
          <w:rFonts w:hint="eastAsia"/>
          <w:sz w:val="24"/>
          <w:u w:val="single"/>
        </w:rPr>
        <w:t xml:space="preserve">  </w:t>
      </w:r>
      <w:r>
        <w:rPr>
          <w:sz w:val="24"/>
        </w:rPr>
        <w:t>日</w:t>
      </w:r>
      <w:r>
        <w:rPr>
          <w:sz w:val="24"/>
          <w:u w:val="single"/>
        </w:rPr>
        <w:t xml:space="preserve">   </w:t>
      </w:r>
      <w:r>
        <w:rPr>
          <w:rFonts w:hint="eastAsia"/>
          <w:sz w:val="24"/>
          <w:u w:val="single"/>
        </w:rPr>
        <w:t xml:space="preserve">  </w:t>
      </w:r>
      <w:r>
        <w:rPr>
          <w:sz w:val="24"/>
        </w:rPr>
        <w:t>时前递交至</w:t>
      </w:r>
      <w:r>
        <w:rPr>
          <w:sz w:val="24"/>
          <w:u w:val="single"/>
        </w:rPr>
        <w:t xml:space="preserve">     </w:t>
      </w:r>
      <w:r>
        <w:rPr>
          <w:rFonts w:hint="eastAsia"/>
          <w:sz w:val="24"/>
          <w:u w:val="single"/>
        </w:rPr>
        <w:t xml:space="preserve">    </w:t>
      </w:r>
      <w:r>
        <w:rPr>
          <w:sz w:val="24"/>
        </w:rPr>
        <w:t>（详细地址）</w:t>
      </w:r>
      <w:r>
        <w:rPr>
          <w:rFonts w:hint="eastAsia"/>
          <w:sz w:val="24"/>
        </w:rPr>
        <w:t>或</w:t>
      </w:r>
      <w:r>
        <w:rPr>
          <w:rFonts w:hint="eastAsia" w:ascii="宋体" w:hAnsi="宋体"/>
          <w:sz w:val="24"/>
        </w:rPr>
        <w:t>传真至</w:t>
      </w:r>
      <w:r>
        <w:rPr>
          <w:rFonts w:hint="eastAsia" w:ascii="宋体" w:hAnsi="宋体"/>
          <w:sz w:val="24"/>
          <w:u w:val="single"/>
        </w:rPr>
        <w:t xml:space="preserve">         </w:t>
      </w:r>
      <w:r>
        <w:rPr>
          <w:rFonts w:hint="eastAsia" w:ascii="宋体" w:hAnsi="宋体"/>
          <w:sz w:val="24"/>
        </w:rPr>
        <w:t>（传真号码）。采用传真方式的，应在</w:t>
      </w:r>
      <w:r>
        <w:rPr>
          <w:sz w:val="24"/>
          <w:u w:val="single"/>
        </w:rPr>
        <w:t xml:space="preserve">   </w:t>
      </w:r>
      <w:r>
        <w:rPr>
          <w:rFonts w:hint="eastAsia"/>
          <w:sz w:val="24"/>
          <w:u w:val="single"/>
        </w:rPr>
        <w:t xml:space="preserve">  </w:t>
      </w:r>
      <w:r>
        <w:rPr>
          <w:rFonts w:ascii="宋体" w:hAnsi="宋体"/>
          <w:sz w:val="24"/>
        </w:rPr>
        <w:t>年</w:t>
      </w:r>
      <w:r>
        <w:rPr>
          <w:sz w:val="24"/>
          <w:u w:val="single"/>
        </w:rPr>
        <w:t xml:space="preserve">   </w:t>
      </w:r>
      <w:r>
        <w:rPr>
          <w:rFonts w:hint="eastAsia"/>
          <w:sz w:val="24"/>
          <w:u w:val="single"/>
        </w:rPr>
        <w:t xml:space="preserve">  </w:t>
      </w:r>
      <w:r>
        <w:rPr>
          <w:rFonts w:ascii="宋体" w:hAnsi="宋体"/>
          <w:sz w:val="24"/>
        </w:rPr>
        <w:t>月</w:t>
      </w:r>
      <w:r>
        <w:rPr>
          <w:sz w:val="24"/>
          <w:u w:val="single"/>
        </w:rPr>
        <w:t xml:space="preserve">   </w:t>
      </w:r>
      <w:r>
        <w:rPr>
          <w:rFonts w:hint="eastAsia"/>
          <w:sz w:val="24"/>
          <w:u w:val="single"/>
        </w:rPr>
        <w:t xml:space="preserve">  </w:t>
      </w:r>
      <w:r>
        <w:rPr>
          <w:rFonts w:ascii="宋体" w:hAnsi="宋体"/>
          <w:sz w:val="24"/>
        </w:rPr>
        <w:t>日</w:t>
      </w:r>
      <w:r>
        <w:rPr>
          <w:sz w:val="24"/>
          <w:u w:val="single"/>
        </w:rPr>
        <w:t xml:space="preserve">   </w:t>
      </w:r>
      <w:r>
        <w:rPr>
          <w:rFonts w:hint="eastAsia"/>
          <w:sz w:val="24"/>
          <w:u w:val="single"/>
        </w:rPr>
        <w:t xml:space="preserve">  </w:t>
      </w:r>
      <w:r>
        <w:rPr>
          <w:rFonts w:hint="eastAsia" w:ascii="宋体" w:hAnsi="宋体"/>
          <w:sz w:val="24"/>
        </w:rPr>
        <w:t>时前将原件递交至</w:t>
      </w:r>
      <w:r>
        <w:rPr>
          <w:sz w:val="24"/>
          <w:u w:val="single"/>
        </w:rPr>
        <w:t xml:space="preserve">     </w:t>
      </w:r>
      <w:r>
        <w:rPr>
          <w:rFonts w:hint="eastAsia"/>
          <w:sz w:val="24"/>
          <w:u w:val="single"/>
        </w:rPr>
        <w:t xml:space="preserve">    </w:t>
      </w:r>
      <w:r>
        <w:rPr>
          <w:sz w:val="24"/>
        </w:rPr>
        <w:t>（详细地址）。</w:t>
      </w:r>
    </w:p>
    <w:p w14:paraId="2A1BF8E8">
      <w:pPr>
        <w:spacing w:line="500" w:lineRule="exact"/>
        <w:rPr>
          <w:sz w:val="24"/>
        </w:rPr>
      </w:pPr>
    </w:p>
    <w:p w14:paraId="49DAA296">
      <w:pPr>
        <w:spacing w:line="500" w:lineRule="exact"/>
        <w:rPr>
          <w:sz w:val="24"/>
        </w:rPr>
      </w:pPr>
    </w:p>
    <w:p w14:paraId="307D8610">
      <w:pPr>
        <w:spacing w:line="500" w:lineRule="exact"/>
        <w:rPr>
          <w:rFonts w:hint="eastAsia"/>
          <w:sz w:val="24"/>
        </w:rPr>
      </w:pPr>
      <w:r>
        <w:rPr>
          <w:sz w:val="24"/>
        </w:rPr>
        <w:t xml:space="preserve">                               评标</w:t>
      </w:r>
      <w:r>
        <w:rPr>
          <w:rFonts w:hint="eastAsia"/>
          <w:sz w:val="24"/>
        </w:rPr>
        <w:t>工作组负责人</w:t>
      </w:r>
      <w:r>
        <w:rPr>
          <w:sz w:val="24"/>
        </w:rPr>
        <w:t>：</w:t>
      </w:r>
      <w:r>
        <w:rPr>
          <w:sz w:val="24"/>
          <w:u w:val="single"/>
        </w:rPr>
        <w:t xml:space="preserve">           </w:t>
      </w:r>
      <w:r>
        <w:rPr>
          <w:sz w:val="24"/>
        </w:rPr>
        <w:t>（签字）</w:t>
      </w:r>
    </w:p>
    <w:p w14:paraId="532E5F66">
      <w:pPr>
        <w:spacing w:line="500" w:lineRule="exact"/>
        <w:rPr>
          <w:sz w:val="24"/>
        </w:rPr>
      </w:pPr>
      <w:r>
        <w:rPr>
          <w:rFonts w:hint="eastAsia"/>
          <w:sz w:val="24"/>
        </w:rPr>
        <w:t xml:space="preserve">                                          </w:t>
      </w:r>
    </w:p>
    <w:p w14:paraId="642E4A19">
      <w:pPr>
        <w:spacing w:line="500" w:lineRule="exact"/>
        <w:rPr>
          <w:sz w:val="24"/>
        </w:rPr>
      </w:pPr>
      <w:r>
        <w:rPr>
          <w:sz w:val="24"/>
        </w:rPr>
        <w:t xml:space="preserve">                                  </w:t>
      </w:r>
      <w:r>
        <w:rPr>
          <w:sz w:val="24"/>
          <w:u w:val="single"/>
        </w:rPr>
        <w:t xml:space="preserve">        </w:t>
      </w:r>
      <w:r>
        <w:rPr>
          <w:sz w:val="24"/>
        </w:rPr>
        <w:t xml:space="preserve"> 年 </w:t>
      </w:r>
      <w:r>
        <w:rPr>
          <w:sz w:val="24"/>
          <w:u w:val="single"/>
        </w:rPr>
        <w:t xml:space="preserve">   </w:t>
      </w:r>
      <w:r>
        <w:rPr>
          <w:rFonts w:hint="eastAsia"/>
          <w:sz w:val="24"/>
          <w:u w:val="single"/>
        </w:rPr>
        <w:t xml:space="preserve">    </w:t>
      </w:r>
      <w:r>
        <w:rPr>
          <w:sz w:val="24"/>
          <w:u w:val="single"/>
        </w:rPr>
        <w:t xml:space="preserve"> </w:t>
      </w:r>
      <w:r>
        <w:rPr>
          <w:sz w:val="24"/>
        </w:rPr>
        <w:t xml:space="preserve">月 </w:t>
      </w:r>
      <w:r>
        <w:rPr>
          <w:sz w:val="24"/>
          <w:u w:val="single"/>
        </w:rPr>
        <w:t xml:space="preserve"> </w:t>
      </w:r>
      <w:r>
        <w:rPr>
          <w:rFonts w:hint="eastAsia"/>
          <w:sz w:val="24"/>
          <w:u w:val="single"/>
        </w:rPr>
        <w:t xml:space="preserve">      </w:t>
      </w:r>
      <w:r>
        <w:rPr>
          <w:sz w:val="24"/>
          <w:u w:val="single"/>
        </w:rPr>
        <w:t xml:space="preserve"> </w:t>
      </w:r>
      <w:r>
        <w:rPr>
          <w:sz w:val="24"/>
        </w:rPr>
        <w:t>日</w:t>
      </w:r>
    </w:p>
    <w:p w14:paraId="2F7B4D35">
      <w:pPr>
        <w:spacing w:line="500" w:lineRule="exact"/>
        <w:rPr>
          <w:sz w:val="24"/>
        </w:rPr>
      </w:pPr>
    </w:p>
    <w:p w14:paraId="7C019F80">
      <w:pPr>
        <w:spacing w:line="400" w:lineRule="exact"/>
        <w:rPr>
          <w:rFonts w:hint="eastAsia"/>
        </w:rPr>
      </w:pPr>
      <w:r>
        <w:br w:type="page"/>
      </w:r>
    </w:p>
    <w:p w14:paraId="217A818A">
      <w:pPr>
        <w:pStyle w:val="87"/>
        <w:outlineLvl w:val="1"/>
        <w:rPr>
          <w:rFonts w:hint="eastAsia"/>
          <w:sz w:val="28"/>
          <w:szCs w:val="28"/>
        </w:rPr>
      </w:pPr>
      <w:bookmarkStart w:id="521" w:name="_Toc251319526"/>
      <w:bookmarkStart w:id="522" w:name="_Toc268109239"/>
      <w:bookmarkStart w:id="523" w:name="_Toc100487523"/>
      <w:bookmarkStart w:id="524" w:name="_Toc152042360"/>
      <w:bookmarkStart w:id="525" w:name="_Toc144974550"/>
      <w:bookmarkStart w:id="526" w:name="_Toc331688437"/>
      <w:bookmarkStart w:id="527" w:name="_Toc399073363"/>
      <w:bookmarkStart w:id="528" w:name="_Toc152045583"/>
      <w:r>
        <w:rPr>
          <w:rFonts w:hint="eastAsia"/>
          <w:sz w:val="28"/>
          <w:szCs w:val="28"/>
        </w:rPr>
        <w:t>附表三：问题的澄清</w:t>
      </w:r>
      <w:bookmarkEnd w:id="521"/>
      <w:bookmarkEnd w:id="522"/>
      <w:bookmarkEnd w:id="523"/>
      <w:bookmarkEnd w:id="524"/>
      <w:bookmarkEnd w:id="525"/>
      <w:bookmarkEnd w:id="526"/>
      <w:bookmarkEnd w:id="527"/>
      <w:bookmarkEnd w:id="528"/>
    </w:p>
    <w:p w14:paraId="3AC0BB7D">
      <w:pPr>
        <w:spacing w:line="400" w:lineRule="exact"/>
        <w:jc w:val="center"/>
        <w:rPr>
          <w:rFonts w:hint="eastAsia" w:ascii="黑体" w:eastAsia="黑体"/>
          <w:sz w:val="28"/>
          <w:szCs w:val="28"/>
        </w:rPr>
      </w:pPr>
    </w:p>
    <w:p w14:paraId="07DB62F9">
      <w:pPr>
        <w:spacing w:line="400" w:lineRule="exact"/>
        <w:jc w:val="center"/>
        <w:rPr>
          <w:rFonts w:hint="eastAsia" w:ascii="黑体" w:eastAsia="黑体"/>
          <w:sz w:val="30"/>
          <w:szCs w:val="30"/>
        </w:rPr>
      </w:pPr>
      <w:r>
        <w:rPr>
          <w:rFonts w:hint="eastAsia" w:ascii="黑体" w:eastAsia="黑体"/>
          <w:sz w:val="30"/>
          <w:szCs w:val="30"/>
        </w:rPr>
        <w:t>问题的澄清</w:t>
      </w:r>
    </w:p>
    <w:p w14:paraId="60C1534C">
      <w:pPr>
        <w:spacing w:line="500" w:lineRule="exact"/>
        <w:ind w:firstLine="3960" w:firstLineChars="1650"/>
        <w:rPr>
          <w:rFonts w:hint="eastAsia"/>
          <w:sz w:val="24"/>
        </w:rPr>
      </w:pPr>
      <w:r>
        <w:rPr>
          <w:rFonts w:hint="eastAsia"/>
          <w:sz w:val="24"/>
        </w:rPr>
        <w:t xml:space="preserve">编号： </w:t>
      </w:r>
    </w:p>
    <w:p w14:paraId="121C1621">
      <w:pPr>
        <w:spacing w:line="500" w:lineRule="exact"/>
        <w:rPr>
          <w:sz w:val="24"/>
        </w:rPr>
      </w:pPr>
    </w:p>
    <w:p w14:paraId="4C541A39">
      <w:pPr>
        <w:spacing w:line="500" w:lineRule="exact"/>
        <w:rPr>
          <w:sz w:val="24"/>
        </w:rPr>
      </w:pPr>
      <w:r>
        <w:rPr>
          <w:sz w:val="24"/>
          <w:u w:val="single"/>
        </w:rPr>
        <w:t xml:space="preserve">                  （</w:t>
      </w:r>
      <w:r>
        <w:rPr>
          <w:sz w:val="24"/>
        </w:rPr>
        <w:t>项目名称）</w:t>
      </w:r>
      <w:r>
        <w:rPr>
          <w:sz w:val="24"/>
          <w:u w:val="single"/>
        </w:rPr>
        <w:t xml:space="preserve">         </w:t>
      </w:r>
      <w:r>
        <w:rPr>
          <w:sz w:val="24"/>
        </w:rPr>
        <w:t>标段施工招标评标委员会：</w:t>
      </w:r>
    </w:p>
    <w:p w14:paraId="37324CBB">
      <w:pPr>
        <w:spacing w:line="500" w:lineRule="exact"/>
        <w:rPr>
          <w:sz w:val="24"/>
        </w:rPr>
      </w:pPr>
    </w:p>
    <w:p w14:paraId="527554BF">
      <w:pPr>
        <w:spacing w:line="500" w:lineRule="exact"/>
        <w:rPr>
          <w:sz w:val="24"/>
        </w:rPr>
      </w:pPr>
      <w:r>
        <w:rPr>
          <w:sz w:val="24"/>
        </w:rPr>
        <w:t>　　问题澄清通知（编号：</w:t>
      </w:r>
      <w:r>
        <w:rPr>
          <w:sz w:val="24"/>
          <w:u w:val="single"/>
        </w:rPr>
        <w:t xml:space="preserve">        </w:t>
      </w:r>
      <w:r>
        <w:rPr>
          <w:sz w:val="24"/>
        </w:rPr>
        <w:t>）已收悉，现澄清如下：</w:t>
      </w:r>
    </w:p>
    <w:p w14:paraId="0BC2E08C">
      <w:pPr>
        <w:spacing w:line="500" w:lineRule="exact"/>
        <w:rPr>
          <w:sz w:val="24"/>
        </w:rPr>
      </w:pPr>
      <w:r>
        <w:rPr>
          <w:sz w:val="24"/>
        </w:rPr>
        <w:t>　     1.</w:t>
      </w:r>
    </w:p>
    <w:p w14:paraId="49BDAB64">
      <w:pPr>
        <w:spacing w:line="500" w:lineRule="exact"/>
        <w:rPr>
          <w:sz w:val="24"/>
        </w:rPr>
      </w:pPr>
      <w:r>
        <w:rPr>
          <w:sz w:val="24"/>
        </w:rPr>
        <w:t>　     2.</w:t>
      </w:r>
    </w:p>
    <w:p w14:paraId="25721793">
      <w:pPr>
        <w:spacing w:line="500" w:lineRule="exact"/>
        <w:rPr>
          <w:sz w:val="24"/>
        </w:rPr>
      </w:pPr>
      <w:r>
        <w:rPr>
          <w:sz w:val="24"/>
        </w:rPr>
        <w:t xml:space="preserve">　   </w:t>
      </w:r>
    </w:p>
    <w:p w14:paraId="70E0DE91">
      <w:pPr>
        <w:spacing w:line="500" w:lineRule="exact"/>
        <w:rPr>
          <w:sz w:val="24"/>
        </w:rPr>
      </w:pPr>
      <w:r>
        <w:rPr>
          <w:sz w:val="24"/>
        </w:rPr>
        <w:t>　    .....</w:t>
      </w:r>
    </w:p>
    <w:p w14:paraId="1C703D93">
      <w:pPr>
        <w:spacing w:line="500" w:lineRule="exact"/>
        <w:rPr>
          <w:sz w:val="24"/>
        </w:rPr>
      </w:pPr>
      <w:r>
        <w:rPr>
          <w:sz w:val="24"/>
        </w:rPr>
        <w:t xml:space="preserve">                       </w:t>
      </w:r>
    </w:p>
    <w:p w14:paraId="27713B5C">
      <w:pPr>
        <w:spacing w:line="500" w:lineRule="exact"/>
        <w:rPr>
          <w:sz w:val="24"/>
        </w:rPr>
      </w:pPr>
      <w:r>
        <w:rPr>
          <w:sz w:val="24"/>
        </w:rPr>
        <w:t xml:space="preserve">　 </w:t>
      </w:r>
    </w:p>
    <w:p w14:paraId="0D1236F4">
      <w:pPr>
        <w:spacing w:line="500" w:lineRule="exact"/>
        <w:rPr>
          <w:sz w:val="24"/>
        </w:rPr>
      </w:pPr>
    </w:p>
    <w:p w14:paraId="2512357D">
      <w:pPr>
        <w:spacing w:line="500" w:lineRule="exact"/>
        <w:rPr>
          <w:sz w:val="24"/>
        </w:rPr>
      </w:pPr>
    </w:p>
    <w:p w14:paraId="15A88CC1">
      <w:pPr>
        <w:spacing w:line="500" w:lineRule="exact"/>
        <w:rPr>
          <w:sz w:val="24"/>
        </w:rPr>
      </w:pPr>
    </w:p>
    <w:p w14:paraId="54EBB5C0">
      <w:pPr>
        <w:spacing w:line="500" w:lineRule="exact"/>
        <w:rPr>
          <w:sz w:val="24"/>
        </w:rPr>
      </w:pPr>
    </w:p>
    <w:p w14:paraId="4A9A9513">
      <w:pPr>
        <w:spacing w:line="500" w:lineRule="exact"/>
        <w:rPr>
          <w:sz w:val="24"/>
        </w:rPr>
      </w:pPr>
      <w:r>
        <w:rPr>
          <w:sz w:val="24"/>
        </w:rPr>
        <w:t>　　　　　　　　　　　　　　　投标人：</w:t>
      </w:r>
      <w:r>
        <w:rPr>
          <w:sz w:val="24"/>
          <w:u w:val="single"/>
        </w:rPr>
        <w:t xml:space="preserve">                      </w:t>
      </w:r>
      <w:r>
        <w:rPr>
          <w:rFonts w:hint="eastAsia"/>
          <w:sz w:val="24"/>
          <w:u w:val="single"/>
        </w:rPr>
        <w:t xml:space="preserve">  </w:t>
      </w:r>
      <w:r>
        <w:rPr>
          <w:sz w:val="24"/>
        </w:rPr>
        <w:t>（盖单位章）</w:t>
      </w:r>
    </w:p>
    <w:p w14:paraId="2C9B10CD">
      <w:pPr>
        <w:spacing w:line="500" w:lineRule="exact"/>
        <w:rPr>
          <w:sz w:val="24"/>
        </w:rPr>
      </w:pPr>
      <w:r>
        <w:rPr>
          <w:sz w:val="24"/>
        </w:rPr>
        <w:t>　　　　　　　　　　　　　　　</w:t>
      </w:r>
    </w:p>
    <w:p w14:paraId="30BABD27">
      <w:pPr>
        <w:spacing w:line="500" w:lineRule="exact"/>
        <w:rPr>
          <w:sz w:val="24"/>
        </w:rPr>
      </w:pPr>
      <w:r>
        <w:rPr>
          <w:sz w:val="24"/>
        </w:rPr>
        <w:t>　　　　　　　　　　　　　　　法定代表人或其委托代理人：</w:t>
      </w:r>
      <w:r>
        <w:rPr>
          <w:sz w:val="24"/>
          <w:u w:val="single"/>
        </w:rPr>
        <w:t xml:space="preserve">        </w:t>
      </w:r>
      <w:r>
        <w:rPr>
          <w:sz w:val="24"/>
        </w:rPr>
        <w:t>（签字</w:t>
      </w:r>
      <w:r>
        <w:rPr>
          <w:rFonts w:hint="eastAsia"/>
          <w:sz w:val="24"/>
        </w:rPr>
        <w:t>或盖章</w:t>
      </w:r>
      <w:r>
        <w:rPr>
          <w:sz w:val="24"/>
        </w:rPr>
        <w:t>）</w:t>
      </w:r>
    </w:p>
    <w:p w14:paraId="126A6F32">
      <w:pPr>
        <w:spacing w:line="500" w:lineRule="exact"/>
        <w:rPr>
          <w:sz w:val="24"/>
        </w:rPr>
      </w:pPr>
      <w:r>
        <w:rPr>
          <w:sz w:val="24"/>
        </w:rPr>
        <w:t>　　　　　　　　　　　　　　　</w:t>
      </w:r>
    </w:p>
    <w:p w14:paraId="74766C5F">
      <w:pPr>
        <w:spacing w:line="500" w:lineRule="exact"/>
        <w:rPr>
          <w:sz w:val="24"/>
        </w:rPr>
      </w:pPr>
      <w:r>
        <w:rPr>
          <w:sz w:val="24"/>
        </w:rPr>
        <w:t xml:space="preserve">　　　　　　　　　　　　　　　        </w:t>
      </w:r>
      <w:r>
        <w:rPr>
          <w:rFonts w:hint="eastAsia"/>
          <w:sz w:val="24"/>
        </w:rPr>
        <w:t xml:space="preserve">    </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4F57EA3A">
      <w:pPr>
        <w:spacing w:line="400" w:lineRule="exact"/>
      </w:pPr>
    </w:p>
    <w:p w14:paraId="1BDC25FF">
      <w:pPr>
        <w:spacing w:line="400" w:lineRule="exact"/>
      </w:pPr>
      <w:r>
        <w:br w:type="page"/>
      </w:r>
    </w:p>
    <w:p w14:paraId="5C21679E">
      <w:pPr>
        <w:pStyle w:val="87"/>
        <w:outlineLvl w:val="1"/>
        <w:rPr>
          <w:rFonts w:hint="eastAsia"/>
          <w:sz w:val="28"/>
          <w:szCs w:val="28"/>
        </w:rPr>
      </w:pPr>
      <w:bookmarkStart w:id="529" w:name="_Toc144974551"/>
      <w:bookmarkStart w:id="530" w:name="_Toc100487524"/>
      <w:bookmarkStart w:id="531" w:name="_Toc251319527"/>
      <w:bookmarkStart w:id="532" w:name="_Toc399073364"/>
      <w:bookmarkStart w:id="533" w:name="_Toc331688438"/>
      <w:bookmarkStart w:id="534" w:name="_Toc268109240"/>
      <w:bookmarkStart w:id="535" w:name="_Toc152045584"/>
      <w:bookmarkStart w:id="536" w:name="_Toc152042361"/>
      <w:r>
        <w:rPr>
          <w:rFonts w:hint="eastAsia"/>
          <w:sz w:val="28"/>
          <w:szCs w:val="28"/>
        </w:rPr>
        <w:t>附表四：中标通知书</w:t>
      </w:r>
      <w:bookmarkEnd w:id="529"/>
      <w:bookmarkEnd w:id="530"/>
      <w:bookmarkEnd w:id="531"/>
      <w:bookmarkEnd w:id="532"/>
      <w:bookmarkEnd w:id="533"/>
      <w:bookmarkEnd w:id="534"/>
      <w:bookmarkEnd w:id="535"/>
      <w:bookmarkEnd w:id="536"/>
    </w:p>
    <w:p w14:paraId="018F8FDF">
      <w:pPr>
        <w:spacing w:line="400" w:lineRule="exact"/>
      </w:pPr>
    </w:p>
    <w:p w14:paraId="6CAD9506">
      <w:pPr>
        <w:spacing w:line="400" w:lineRule="exact"/>
        <w:jc w:val="center"/>
        <w:rPr>
          <w:rFonts w:hint="eastAsia" w:ascii="黑体" w:eastAsia="黑体"/>
          <w:sz w:val="30"/>
          <w:szCs w:val="30"/>
        </w:rPr>
      </w:pPr>
      <w:r>
        <w:rPr>
          <w:rFonts w:hint="eastAsia" w:ascii="黑体" w:eastAsia="黑体"/>
          <w:sz w:val="30"/>
          <w:szCs w:val="30"/>
        </w:rPr>
        <w:t>中标通知书</w:t>
      </w:r>
    </w:p>
    <w:p w14:paraId="198ABFAA">
      <w:pPr>
        <w:spacing w:line="400" w:lineRule="exact"/>
      </w:pPr>
      <w:r>
        <w:t xml:space="preserve">                              </w:t>
      </w:r>
    </w:p>
    <w:p w14:paraId="1F6A65A9">
      <w:pPr>
        <w:spacing w:line="500" w:lineRule="exact"/>
        <w:rPr>
          <w:sz w:val="24"/>
        </w:rPr>
      </w:pPr>
      <w:r>
        <w:rPr>
          <w:sz w:val="24"/>
          <w:u w:val="single"/>
        </w:rPr>
        <w:t xml:space="preserve">                   </w:t>
      </w:r>
      <w:r>
        <w:rPr>
          <w:sz w:val="24"/>
        </w:rPr>
        <w:t>（中标人名称）：</w:t>
      </w:r>
    </w:p>
    <w:p w14:paraId="3AF3C86F">
      <w:pPr>
        <w:spacing w:line="500" w:lineRule="exact"/>
        <w:rPr>
          <w:sz w:val="24"/>
        </w:rPr>
      </w:pPr>
    </w:p>
    <w:p w14:paraId="47AA3E11">
      <w:pPr>
        <w:spacing w:line="500" w:lineRule="exact"/>
        <w:rPr>
          <w:sz w:val="24"/>
        </w:rPr>
      </w:pPr>
      <w:r>
        <w:rPr>
          <w:sz w:val="24"/>
        </w:rPr>
        <w:t>　　你方于</w:t>
      </w:r>
      <w:r>
        <w:rPr>
          <w:sz w:val="24"/>
          <w:u w:val="single"/>
        </w:rPr>
        <w:t xml:space="preserve">         </w:t>
      </w:r>
      <w:r>
        <w:rPr>
          <w:sz w:val="24"/>
        </w:rPr>
        <w:t>（投标日期）所递交的</w:t>
      </w:r>
      <w:r>
        <w:rPr>
          <w:sz w:val="24"/>
          <w:u w:val="single"/>
        </w:rPr>
        <w:t xml:space="preserve">    </w:t>
      </w:r>
      <w:r>
        <w:rPr>
          <w:rFonts w:hint="eastAsia"/>
          <w:sz w:val="24"/>
          <w:u w:val="single"/>
        </w:rPr>
        <w:t xml:space="preserve">  </w:t>
      </w:r>
      <w:r>
        <w:rPr>
          <w:sz w:val="24"/>
          <w:u w:val="single"/>
        </w:rPr>
        <w:t xml:space="preserve">     </w:t>
      </w:r>
      <w:r>
        <w:rPr>
          <w:sz w:val="24"/>
        </w:rPr>
        <w:t>（项目名称）</w:t>
      </w:r>
      <w:r>
        <w:rPr>
          <w:sz w:val="24"/>
          <w:u w:val="single"/>
        </w:rPr>
        <w:t xml:space="preserve">       </w:t>
      </w:r>
      <w:r>
        <w:rPr>
          <w:sz w:val="24"/>
        </w:rPr>
        <w:t>标段施工投标文件已被我方接受，被确定为中标人。</w:t>
      </w:r>
    </w:p>
    <w:p w14:paraId="6D8A5D91">
      <w:pPr>
        <w:spacing w:line="500" w:lineRule="exact"/>
        <w:rPr>
          <w:sz w:val="24"/>
        </w:rPr>
      </w:pPr>
      <w:r>
        <w:rPr>
          <w:sz w:val="24"/>
        </w:rPr>
        <w:t>　　中标价：</w:t>
      </w:r>
      <w:r>
        <w:rPr>
          <w:sz w:val="24"/>
          <w:u w:val="single"/>
        </w:rPr>
        <w:t xml:space="preserve">                   </w:t>
      </w:r>
      <w:r>
        <w:rPr>
          <w:sz w:val="24"/>
        </w:rPr>
        <w:t>元。</w:t>
      </w:r>
    </w:p>
    <w:p w14:paraId="067397FD">
      <w:pPr>
        <w:spacing w:line="500" w:lineRule="exact"/>
        <w:rPr>
          <w:sz w:val="24"/>
        </w:rPr>
      </w:pPr>
      <w:r>
        <w:rPr>
          <w:sz w:val="24"/>
        </w:rPr>
        <w:t>　　工期：</w:t>
      </w:r>
      <w:r>
        <w:rPr>
          <w:sz w:val="24"/>
          <w:u w:val="single"/>
        </w:rPr>
        <w:t xml:space="preserve">      </w:t>
      </w:r>
      <w:r>
        <w:rPr>
          <w:sz w:val="24"/>
        </w:rPr>
        <w:t>日历天。</w:t>
      </w:r>
    </w:p>
    <w:p w14:paraId="749570F2">
      <w:pPr>
        <w:spacing w:line="500" w:lineRule="exact"/>
        <w:rPr>
          <w:sz w:val="24"/>
        </w:rPr>
      </w:pPr>
      <w:r>
        <w:rPr>
          <w:sz w:val="24"/>
        </w:rPr>
        <w:t>　  工程质量：符合</w:t>
      </w:r>
      <w:r>
        <w:rPr>
          <w:sz w:val="24"/>
          <w:u w:val="single"/>
        </w:rPr>
        <w:t xml:space="preserve">                      </w:t>
      </w:r>
      <w:r>
        <w:rPr>
          <w:sz w:val="24"/>
        </w:rPr>
        <w:t>标准。</w:t>
      </w:r>
    </w:p>
    <w:p w14:paraId="457A9157">
      <w:pPr>
        <w:spacing w:line="500" w:lineRule="exact"/>
        <w:rPr>
          <w:sz w:val="24"/>
        </w:rPr>
      </w:pPr>
      <w:r>
        <w:rPr>
          <w:sz w:val="24"/>
        </w:rPr>
        <w:t>　　项目经理：</w:t>
      </w:r>
      <w:r>
        <w:rPr>
          <w:sz w:val="24"/>
          <w:u w:val="single"/>
        </w:rPr>
        <w:t xml:space="preserve">              </w:t>
      </w:r>
      <w:r>
        <w:rPr>
          <w:sz w:val="24"/>
        </w:rPr>
        <w:t>（姓名）。</w:t>
      </w:r>
    </w:p>
    <w:p w14:paraId="7E69C18F">
      <w:pPr>
        <w:spacing w:line="500" w:lineRule="exact"/>
        <w:rPr>
          <w:sz w:val="24"/>
        </w:rPr>
      </w:pPr>
      <w:r>
        <w:rPr>
          <w:sz w:val="24"/>
        </w:rPr>
        <w:t>　　请你方在接到本通知书后的</w:t>
      </w:r>
      <w:r>
        <w:rPr>
          <w:sz w:val="24"/>
          <w:u w:val="single"/>
        </w:rPr>
        <w:t xml:space="preserve">     </w:t>
      </w:r>
      <w:r>
        <w:rPr>
          <w:sz w:val="24"/>
        </w:rPr>
        <w:t>日内到</w:t>
      </w:r>
      <w:r>
        <w:rPr>
          <w:sz w:val="24"/>
          <w:u w:val="single"/>
        </w:rPr>
        <w:t xml:space="preserve">                      </w:t>
      </w:r>
      <w:r>
        <w:rPr>
          <w:sz w:val="24"/>
        </w:rPr>
        <w:t>（指定地点）与我方签订施工承包合同，在此之前按招标文件第二章“投标人须知”第7.3款规定向我方提交履约担保。</w:t>
      </w:r>
    </w:p>
    <w:p w14:paraId="23DD7A8F">
      <w:pPr>
        <w:spacing w:line="500" w:lineRule="exact"/>
        <w:rPr>
          <w:sz w:val="24"/>
        </w:rPr>
      </w:pPr>
      <w:r>
        <w:rPr>
          <w:sz w:val="24"/>
        </w:rPr>
        <w:t>　　特此通知。</w:t>
      </w:r>
    </w:p>
    <w:p w14:paraId="74DC715D">
      <w:pPr>
        <w:spacing w:line="500" w:lineRule="exact"/>
        <w:rPr>
          <w:sz w:val="24"/>
        </w:rPr>
      </w:pPr>
    </w:p>
    <w:p w14:paraId="3CDF5EC5">
      <w:pPr>
        <w:spacing w:line="500" w:lineRule="exact"/>
        <w:rPr>
          <w:sz w:val="24"/>
        </w:rPr>
      </w:pPr>
    </w:p>
    <w:p w14:paraId="10087319">
      <w:pPr>
        <w:spacing w:line="500" w:lineRule="exact"/>
        <w:rPr>
          <w:sz w:val="24"/>
        </w:rPr>
      </w:pPr>
    </w:p>
    <w:p w14:paraId="21D65D8B">
      <w:pPr>
        <w:spacing w:line="500" w:lineRule="exact"/>
        <w:ind w:firstLine="3700" w:firstLineChars="1542"/>
        <w:rPr>
          <w:sz w:val="24"/>
        </w:rPr>
      </w:pPr>
      <w:r>
        <w:rPr>
          <w:sz w:val="24"/>
        </w:rPr>
        <w:t>招标人：</w:t>
      </w:r>
      <w:r>
        <w:rPr>
          <w:sz w:val="24"/>
          <w:u w:val="single"/>
        </w:rPr>
        <w:t xml:space="preserve">              </w:t>
      </w:r>
      <w:r>
        <w:rPr>
          <w:sz w:val="24"/>
        </w:rPr>
        <w:t xml:space="preserve">（盖单位章）            </w:t>
      </w:r>
    </w:p>
    <w:p w14:paraId="1C848111">
      <w:pPr>
        <w:spacing w:line="500" w:lineRule="exact"/>
        <w:ind w:firstLine="3700" w:firstLineChars="1542"/>
        <w:rPr>
          <w:sz w:val="24"/>
        </w:rPr>
      </w:pPr>
      <w:r>
        <w:rPr>
          <w:sz w:val="24"/>
        </w:rPr>
        <w:t>法定代表人：</w:t>
      </w:r>
      <w:r>
        <w:rPr>
          <w:sz w:val="24"/>
          <w:u w:val="single"/>
        </w:rPr>
        <w:t xml:space="preserve">            </w:t>
      </w:r>
      <w:r>
        <w:rPr>
          <w:sz w:val="24"/>
        </w:rPr>
        <w:t>（签字</w:t>
      </w:r>
      <w:r>
        <w:rPr>
          <w:rFonts w:hint="eastAsia"/>
          <w:sz w:val="24"/>
        </w:rPr>
        <w:t>或盖章</w:t>
      </w:r>
      <w:r>
        <w:rPr>
          <w:sz w:val="24"/>
        </w:rPr>
        <w:t>）</w:t>
      </w:r>
    </w:p>
    <w:p w14:paraId="24ECC5AA">
      <w:pPr>
        <w:spacing w:line="500" w:lineRule="exact"/>
        <w:ind w:firstLine="4055" w:firstLineChars="1690"/>
        <w:rPr>
          <w:sz w:val="24"/>
        </w:rPr>
      </w:pPr>
      <w:r>
        <w:rPr>
          <w:sz w:val="24"/>
        </w:rPr>
        <w:t xml:space="preserve"> </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20F001C4">
      <w:pPr>
        <w:spacing w:line="500" w:lineRule="exact"/>
        <w:rPr>
          <w:rFonts w:hint="eastAsia"/>
          <w:sz w:val="24"/>
        </w:rPr>
      </w:pPr>
    </w:p>
    <w:p w14:paraId="08B5CAC1">
      <w:pPr>
        <w:spacing w:line="400" w:lineRule="exact"/>
      </w:pPr>
      <w:r>
        <w:br w:type="page"/>
      </w:r>
    </w:p>
    <w:p w14:paraId="70BBAB0B">
      <w:pPr>
        <w:pStyle w:val="87"/>
        <w:outlineLvl w:val="1"/>
        <w:rPr>
          <w:rFonts w:hint="eastAsia"/>
          <w:sz w:val="28"/>
          <w:szCs w:val="28"/>
        </w:rPr>
      </w:pPr>
      <w:bookmarkStart w:id="537" w:name="_Toc144974552"/>
      <w:bookmarkStart w:id="538" w:name="_Toc152045585"/>
      <w:bookmarkStart w:id="539" w:name="_Toc331688439"/>
      <w:bookmarkStart w:id="540" w:name="_Toc268109241"/>
      <w:bookmarkStart w:id="541" w:name="_Toc152042362"/>
      <w:bookmarkStart w:id="542" w:name="_Toc399073365"/>
      <w:bookmarkStart w:id="543" w:name="_Toc251319528"/>
      <w:bookmarkStart w:id="544" w:name="_Toc100487525"/>
      <w:r>
        <w:rPr>
          <w:rFonts w:hint="eastAsia"/>
          <w:sz w:val="28"/>
          <w:szCs w:val="28"/>
        </w:rPr>
        <w:t>附表五：中标结果通知书</w:t>
      </w:r>
      <w:bookmarkEnd w:id="537"/>
      <w:bookmarkEnd w:id="538"/>
      <w:bookmarkEnd w:id="539"/>
      <w:bookmarkEnd w:id="540"/>
      <w:bookmarkEnd w:id="541"/>
      <w:bookmarkEnd w:id="542"/>
      <w:bookmarkEnd w:id="543"/>
      <w:bookmarkEnd w:id="544"/>
    </w:p>
    <w:p w14:paraId="6761923F">
      <w:pPr>
        <w:spacing w:line="400" w:lineRule="exact"/>
        <w:rPr>
          <w:rFonts w:hint="eastAsia"/>
        </w:rPr>
      </w:pPr>
    </w:p>
    <w:p w14:paraId="12E72F7A">
      <w:pPr>
        <w:spacing w:line="400" w:lineRule="exact"/>
        <w:jc w:val="center"/>
        <w:rPr>
          <w:rFonts w:hint="eastAsia" w:ascii="黑体" w:eastAsia="黑体"/>
          <w:sz w:val="30"/>
          <w:szCs w:val="30"/>
        </w:rPr>
      </w:pPr>
      <w:r>
        <w:rPr>
          <w:rFonts w:hint="eastAsia" w:ascii="黑体" w:eastAsia="黑体"/>
          <w:sz w:val="30"/>
          <w:szCs w:val="30"/>
        </w:rPr>
        <w:t>中标结果通知书</w:t>
      </w:r>
    </w:p>
    <w:p w14:paraId="03BD0C0C">
      <w:pPr>
        <w:spacing w:line="400" w:lineRule="exact"/>
      </w:pPr>
    </w:p>
    <w:p w14:paraId="36FE585D">
      <w:pPr>
        <w:spacing w:line="500" w:lineRule="exact"/>
        <w:rPr>
          <w:sz w:val="24"/>
        </w:rPr>
      </w:pPr>
      <w:r>
        <w:rPr>
          <w:sz w:val="24"/>
          <w:u w:val="single"/>
        </w:rPr>
        <w:t xml:space="preserve">                  </w:t>
      </w:r>
      <w:r>
        <w:rPr>
          <w:sz w:val="24"/>
        </w:rPr>
        <w:t>（未中标人名称）：</w:t>
      </w:r>
    </w:p>
    <w:p w14:paraId="48AEAA37">
      <w:pPr>
        <w:spacing w:line="500" w:lineRule="exact"/>
        <w:rPr>
          <w:sz w:val="24"/>
        </w:rPr>
      </w:pPr>
      <w:r>
        <w:rPr>
          <w:sz w:val="24"/>
        </w:rPr>
        <w:t xml:space="preserve">    </w:t>
      </w:r>
    </w:p>
    <w:p w14:paraId="38AE6FCA">
      <w:pPr>
        <w:spacing w:line="500" w:lineRule="exact"/>
        <w:rPr>
          <w:sz w:val="24"/>
        </w:rPr>
      </w:pPr>
      <w:r>
        <w:rPr>
          <w:sz w:val="24"/>
        </w:rPr>
        <w:t>　　我方已接受</w:t>
      </w:r>
      <w:r>
        <w:rPr>
          <w:sz w:val="24"/>
          <w:u w:val="single"/>
        </w:rPr>
        <w:t xml:space="preserve">                  </w:t>
      </w:r>
      <w:r>
        <w:rPr>
          <w:sz w:val="24"/>
        </w:rPr>
        <w:t xml:space="preserve"> （中标人名称）于</w:t>
      </w:r>
      <w:r>
        <w:rPr>
          <w:sz w:val="24"/>
          <w:u w:val="single"/>
        </w:rPr>
        <w:t xml:space="preserve">              </w:t>
      </w:r>
      <w:r>
        <w:rPr>
          <w:sz w:val="24"/>
        </w:rPr>
        <w:t>（投标日期）所递交的</w:t>
      </w:r>
      <w:r>
        <w:rPr>
          <w:sz w:val="24"/>
          <w:u w:val="single"/>
        </w:rPr>
        <w:t xml:space="preserve">            </w:t>
      </w:r>
      <w:r>
        <w:rPr>
          <w:sz w:val="24"/>
        </w:rPr>
        <w:t>（项目名称）</w:t>
      </w:r>
      <w:r>
        <w:rPr>
          <w:sz w:val="24"/>
          <w:u w:val="single"/>
        </w:rPr>
        <w:t xml:space="preserve">    </w:t>
      </w:r>
      <w:r>
        <w:rPr>
          <w:rFonts w:hint="eastAsia"/>
          <w:sz w:val="24"/>
          <w:u w:val="single"/>
        </w:rPr>
        <w:t xml:space="preserve"> </w:t>
      </w:r>
      <w:r>
        <w:rPr>
          <w:sz w:val="24"/>
          <w:u w:val="single"/>
        </w:rPr>
        <w:t xml:space="preserve"> </w:t>
      </w:r>
      <w:r>
        <w:rPr>
          <w:sz w:val="24"/>
        </w:rPr>
        <w:t>标段施工投标文件，确定</w:t>
      </w:r>
      <w:r>
        <w:rPr>
          <w:sz w:val="24"/>
          <w:u w:val="single"/>
        </w:rPr>
        <w:t xml:space="preserve">            </w:t>
      </w:r>
      <w:r>
        <w:rPr>
          <w:sz w:val="24"/>
        </w:rPr>
        <w:t>（中标人名称）为中标人。</w:t>
      </w:r>
    </w:p>
    <w:p w14:paraId="259F4CB9">
      <w:pPr>
        <w:spacing w:line="500" w:lineRule="exact"/>
        <w:rPr>
          <w:sz w:val="24"/>
        </w:rPr>
      </w:pPr>
      <w:r>
        <w:rPr>
          <w:sz w:val="24"/>
        </w:rPr>
        <w:t>　　</w:t>
      </w:r>
    </w:p>
    <w:p w14:paraId="7933CFC1">
      <w:pPr>
        <w:spacing w:line="500" w:lineRule="exact"/>
        <w:rPr>
          <w:sz w:val="24"/>
        </w:rPr>
      </w:pPr>
      <w:r>
        <w:rPr>
          <w:sz w:val="24"/>
        </w:rPr>
        <w:t>　　感谢你单位对我们工作的大力支持！</w:t>
      </w:r>
    </w:p>
    <w:p w14:paraId="4ACEEF41">
      <w:pPr>
        <w:spacing w:line="500" w:lineRule="exact"/>
        <w:rPr>
          <w:sz w:val="24"/>
        </w:rPr>
      </w:pPr>
    </w:p>
    <w:p w14:paraId="64816B70">
      <w:pPr>
        <w:spacing w:line="500" w:lineRule="exact"/>
        <w:rPr>
          <w:sz w:val="24"/>
        </w:rPr>
      </w:pPr>
    </w:p>
    <w:p w14:paraId="7EDB79CE">
      <w:pPr>
        <w:spacing w:line="500" w:lineRule="exact"/>
        <w:rPr>
          <w:sz w:val="24"/>
        </w:rPr>
      </w:pPr>
    </w:p>
    <w:p w14:paraId="14C344B5">
      <w:pPr>
        <w:spacing w:line="500" w:lineRule="exact"/>
        <w:rPr>
          <w:sz w:val="24"/>
        </w:rPr>
      </w:pPr>
      <w:r>
        <w:rPr>
          <w:sz w:val="24"/>
        </w:rPr>
        <w:t xml:space="preserve">                                招标人：</w:t>
      </w:r>
      <w:r>
        <w:rPr>
          <w:sz w:val="24"/>
          <w:u w:val="single"/>
        </w:rPr>
        <w:t xml:space="preserve">             </w:t>
      </w:r>
      <w:r>
        <w:rPr>
          <w:rFonts w:hint="eastAsia"/>
          <w:sz w:val="24"/>
          <w:u w:val="single"/>
        </w:rPr>
        <w:t xml:space="preserve">   </w:t>
      </w:r>
      <w:r>
        <w:rPr>
          <w:sz w:val="24"/>
        </w:rPr>
        <w:t>（盖单位章）</w:t>
      </w:r>
    </w:p>
    <w:p w14:paraId="2603280F">
      <w:pPr>
        <w:spacing w:line="500" w:lineRule="exact"/>
        <w:rPr>
          <w:sz w:val="24"/>
        </w:rPr>
      </w:pPr>
    </w:p>
    <w:p w14:paraId="06B8EE89">
      <w:pPr>
        <w:spacing w:line="500" w:lineRule="exact"/>
        <w:rPr>
          <w:sz w:val="24"/>
        </w:rPr>
      </w:pPr>
      <w:r>
        <w:rPr>
          <w:sz w:val="24"/>
        </w:rPr>
        <w:t xml:space="preserve">                                法定代表人：</w:t>
      </w:r>
      <w:r>
        <w:rPr>
          <w:sz w:val="24"/>
          <w:u w:val="single"/>
        </w:rPr>
        <w:t xml:space="preserve">               </w:t>
      </w:r>
      <w:r>
        <w:rPr>
          <w:rFonts w:hint="eastAsia"/>
          <w:sz w:val="24"/>
          <w:u w:val="single"/>
        </w:rPr>
        <w:t xml:space="preserve"> </w:t>
      </w:r>
      <w:r>
        <w:rPr>
          <w:sz w:val="24"/>
        </w:rPr>
        <w:t>（签字</w:t>
      </w:r>
      <w:r>
        <w:rPr>
          <w:rFonts w:hint="eastAsia"/>
          <w:sz w:val="24"/>
        </w:rPr>
        <w:t>或盖章</w:t>
      </w:r>
      <w:r>
        <w:rPr>
          <w:sz w:val="24"/>
        </w:rPr>
        <w:t>）</w:t>
      </w:r>
    </w:p>
    <w:p w14:paraId="32C3E75C">
      <w:pPr>
        <w:spacing w:line="500" w:lineRule="exact"/>
        <w:rPr>
          <w:sz w:val="24"/>
        </w:rPr>
      </w:pPr>
    </w:p>
    <w:p w14:paraId="63E54F1B">
      <w:pPr>
        <w:spacing w:line="500" w:lineRule="exact"/>
        <w:rPr>
          <w:sz w:val="24"/>
        </w:rPr>
      </w:pPr>
      <w:r>
        <w:rPr>
          <w:sz w:val="24"/>
        </w:rPr>
        <w:t xml:space="preserve">                                    </w:t>
      </w:r>
      <w:r>
        <w:rPr>
          <w:rFonts w:hint="eastAsia"/>
          <w:sz w:val="24"/>
        </w:rPr>
        <w:t xml:space="preserve">    </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623B203D">
      <w:pPr>
        <w:spacing w:line="500" w:lineRule="exact"/>
        <w:rPr>
          <w:rFonts w:hint="eastAsia"/>
          <w:sz w:val="24"/>
        </w:rPr>
      </w:pPr>
    </w:p>
    <w:p w14:paraId="7C375813">
      <w:pPr>
        <w:spacing w:line="400" w:lineRule="exact"/>
        <w:rPr>
          <w:rFonts w:hint="eastAsia"/>
        </w:rPr>
      </w:pPr>
      <w:r>
        <w:br w:type="page"/>
      </w:r>
    </w:p>
    <w:p w14:paraId="1129304F">
      <w:pPr>
        <w:pStyle w:val="87"/>
        <w:outlineLvl w:val="1"/>
        <w:rPr>
          <w:rFonts w:hint="eastAsia"/>
          <w:sz w:val="28"/>
          <w:szCs w:val="28"/>
        </w:rPr>
      </w:pPr>
      <w:bookmarkStart w:id="545" w:name="_Toc152042363"/>
      <w:bookmarkStart w:id="546" w:name="_Toc251319529"/>
      <w:bookmarkStart w:id="547" w:name="_Toc268109242"/>
      <w:bookmarkStart w:id="548" w:name="_Toc331688440"/>
      <w:bookmarkStart w:id="549" w:name="_Toc399073366"/>
      <w:bookmarkStart w:id="550" w:name="_Toc144974553"/>
      <w:bookmarkStart w:id="551" w:name="_Toc100487526"/>
      <w:bookmarkStart w:id="552" w:name="_Toc152045586"/>
      <w:r>
        <w:rPr>
          <w:rFonts w:hint="eastAsia"/>
          <w:sz w:val="28"/>
          <w:szCs w:val="28"/>
        </w:rPr>
        <w:t>附表六：确认通知</w:t>
      </w:r>
      <w:bookmarkEnd w:id="545"/>
      <w:bookmarkEnd w:id="546"/>
      <w:bookmarkEnd w:id="547"/>
      <w:bookmarkEnd w:id="548"/>
      <w:bookmarkEnd w:id="549"/>
      <w:bookmarkEnd w:id="550"/>
      <w:bookmarkEnd w:id="551"/>
      <w:bookmarkEnd w:id="552"/>
    </w:p>
    <w:p w14:paraId="1B2E11CE">
      <w:pPr>
        <w:spacing w:line="400" w:lineRule="exact"/>
        <w:rPr>
          <w:rFonts w:hint="eastAsia"/>
        </w:rPr>
      </w:pPr>
    </w:p>
    <w:p w14:paraId="78029D11">
      <w:pPr>
        <w:spacing w:line="400" w:lineRule="exact"/>
        <w:jc w:val="center"/>
        <w:rPr>
          <w:rFonts w:hint="eastAsia" w:ascii="黑体" w:eastAsia="黑体"/>
          <w:sz w:val="30"/>
          <w:szCs w:val="30"/>
        </w:rPr>
      </w:pPr>
      <w:r>
        <w:rPr>
          <w:rFonts w:hint="eastAsia" w:ascii="黑体" w:eastAsia="黑体"/>
          <w:sz w:val="30"/>
          <w:szCs w:val="30"/>
        </w:rPr>
        <w:t>确认通知</w:t>
      </w:r>
    </w:p>
    <w:p w14:paraId="13098A80">
      <w:pPr>
        <w:spacing w:line="400" w:lineRule="exact"/>
      </w:pPr>
    </w:p>
    <w:p w14:paraId="2114C1B0">
      <w:pPr>
        <w:spacing w:line="500" w:lineRule="exact"/>
        <w:rPr>
          <w:sz w:val="24"/>
        </w:rPr>
      </w:pPr>
      <w:r>
        <w:rPr>
          <w:sz w:val="24"/>
          <w:u w:val="single"/>
        </w:rPr>
        <w:t xml:space="preserve">            </w:t>
      </w:r>
      <w:r>
        <w:rPr>
          <w:sz w:val="24"/>
        </w:rPr>
        <w:t>（招标人名称）：</w:t>
      </w:r>
    </w:p>
    <w:p w14:paraId="5649A2D3">
      <w:pPr>
        <w:spacing w:line="500" w:lineRule="exact"/>
        <w:rPr>
          <w:sz w:val="24"/>
        </w:rPr>
      </w:pPr>
      <w:r>
        <w:rPr>
          <w:sz w:val="24"/>
        </w:rPr>
        <w:t>　　</w:t>
      </w:r>
    </w:p>
    <w:p w14:paraId="52B879A5">
      <w:pPr>
        <w:spacing w:line="500" w:lineRule="exact"/>
        <w:rPr>
          <w:sz w:val="24"/>
        </w:rPr>
      </w:pPr>
      <w:r>
        <w:rPr>
          <w:sz w:val="24"/>
        </w:rPr>
        <w:t>　　我方已接到你方</w:t>
      </w:r>
      <w:r>
        <w:rPr>
          <w:sz w:val="24"/>
          <w:u w:val="single"/>
        </w:rPr>
        <w:t xml:space="preserve">  </w:t>
      </w:r>
      <w:r>
        <w:rPr>
          <w:rFonts w:hint="eastAsia"/>
          <w:sz w:val="24"/>
          <w:u w:val="single"/>
        </w:rPr>
        <w:t xml:space="preserve"> </w:t>
      </w:r>
      <w:r>
        <w:rPr>
          <w:sz w:val="24"/>
          <w:u w:val="single"/>
        </w:rPr>
        <w:t xml:space="preserve">  </w:t>
      </w:r>
      <w:r>
        <w:rPr>
          <w:sz w:val="24"/>
        </w:rPr>
        <w:t>年</w:t>
      </w:r>
      <w:r>
        <w:rPr>
          <w:sz w:val="24"/>
          <w:u w:val="single"/>
        </w:rPr>
        <w:t xml:space="preserve">  </w:t>
      </w:r>
      <w:r>
        <w:rPr>
          <w:rFonts w:hint="eastAsia"/>
          <w:sz w:val="24"/>
          <w:u w:val="single"/>
        </w:rPr>
        <w:t xml:space="preserve"> </w:t>
      </w:r>
      <w:r>
        <w:rPr>
          <w:sz w:val="24"/>
          <w:u w:val="single"/>
        </w:rPr>
        <w:t xml:space="preserve">  </w:t>
      </w:r>
      <w:r>
        <w:rPr>
          <w:sz w:val="24"/>
        </w:rPr>
        <w:t>月</w:t>
      </w:r>
      <w:r>
        <w:rPr>
          <w:sz w:val="24"/>
          <w:u w:val="single"/>
        </w:rPr>
        <w:t xml:space="preserve">  </w:t>
      </w:r>
      <w:r>
        <w:rPr>
          <w:rFonts w:hint="eastAsia"/>
          <w:sz w:val="24"/>
          <w:u w:val="single"/>
        </w:rPr>
        <w:t xml:space="preserve"> </w:t>
      </w:r>
      <w:r>
        <w:rPr>
          <w:sz w:val="24"/>
          <w:u w:val="single"/>
        </w:rPr>
        <w:t xml:space="preserve">  </w:t>
      </w:r>
      <w:r>
        <w:rPr>
          <w:sz w:val="24"/>
        </w:rPr>
        <w:t>日发出的</w:t>
      </w:r>
      <w:r>
        <w:rPr>
          <w:sz w:val="24"/>
          <w:u w:val="single"/>
        </w:rPr>
        <w:t xml:space="preserve">  </w:t>
      </w:r>
      <w:r>
        <w:rPr>
          <w:rFonts w:hint="eastAsia"/>
          <w:sz w:val="24"/>
          <w:u w:val="single"/>
        </w:rPr>
        <w:t xml:space="preserve">    </w:t>
      </w:r>
      <w:r>
        <w:rPr>
          <w:sz w:val="24"/>
          <w:u w:val="single"/>
        </w:rPr>
        <w:t xml:space="preserve">  </w:t>
      </w:r>
      <w:r>
        <w:rPr>
          <w:sz w:val="24"/>
        </w:rPr>
        <w:t>（项目名称）</w:t>
      </w:r>
      <w:r>
        <w:rPr>
          <w:sz w:val="24"/>
          <w:u w:val="single"/>
        </w:rPr>
        <w:t xml:space="preserve">  </w:t>
      </w:r>
      <w:r>
        <w:rPr>
          <w:rFonts w:hint="eastAsia"/>
          <w:sz w:val="24"/>
          <w:u w:val="single"/>
        </w:rPr>
        <w:t xml:space="preserve">    </w:t>
      </w:r>
      <w:r>
        <w:rPr>
          <w:sz w:val="24"/>
          <w:u w:val="single"/>
        </w:rPr>
        <w:t xml:space="preserve">  </w:t>
      </w:r>
      <w:r>
        <w:rPr>
          <w:sz w:val="24"/>
        </w:rPr>
        <w:t>标段</w:t>
      </w:r>
      <w:r>
        <w:rPr>
          <w:rFonts w:hint="eastAsia"/>
          <w:sz w:val="24"/>
        </w:rPr>
        <w:t>施工招标</w:t>
      </w:r>
      <w:r>
        <w:rPr>
          <w:sz w:val="24"/>
        </w:rPr>
        <w:t>关于</w:t>
      </w:r>
      <w:r>
        <w:rPr>
          <w:sz w:val="24"/>
          <w:u w:val="single"/>
        </w:rPr>
        <w:t xml:space="preserve">     </w:t>
      </w:r>
      <w:r>
        <w:rPr>
          <w:rFonts w:hint="eastAsia"/>
          <w:sz w:val="24"/>
          <w:u w:val="single"/>
        </w:rPr>
        <w:t xml:space="preserve">        </w:t>
      </w:r>
      <w:r>
        <w:rPr>
          <w:sz w:val="24"/>
          <w:u w:val="single"/>
        </w:rPr>
        <w:t xml:space="preserve">  </w:t>
      </w:r>
      <w:r>
        <w:rPr>
          <w:sz w:val="24"/>
        </w:rPr>
        <w:t>的通知，我方已于</w:t>
      </w:r>
      <w:r>
        <w:rPr>
          <w:sz w:val="24"/>
          <w:u w:val="single"/>
        </w:rPr>
        <w:t xml:space="preserve">    </w:t>
      </w:r>
      <w:r>
        <w:rPr>
          <w:sz w:val="24"/>
        </w:rPr>
        <w:t>年</w:t>
      </w:r>
      <w:r>
        <w:rPr>
          <w:sz w:val="24"/>
          <w:u w:val="single"/>
        </w:rPr>
        <w:t xml:space="preserve">    </w:t>
      </w:r>
      <w:r>
        <w:rPr>
          <w:sz w:val="24"/>
        </w:rPr>
        <w:t>月</w:t>
      </w:r>
      <w:r>
        <w:rPr>
          <w:sz w:val="24"/>
          <w:u w:val="single"/>
        </w:rPr>
        <w:t xml:space="preserve"> </w:t>
      </w:r>
      <w:r>
        <w:rPr>
          <w:rFonts w:hint="eastAsia"/>
          <w:sz w:val="24"/>
          <w:u w:val="single"/>
        </w:rPr>
        <w:t xml:space="preserve">  </w:t>
      </w:r>
      <w:r>
        <w:rPr>
          <w:sz w:val="24"/>
          <w:u w:val="single"/>
        </w:rPr>
        <w:t xml:space="preserve">  </w:t>
      </w:r>
      <w:r>
        <w:rPr>
          <w:sz w:val="24"/>
        </w:rPr>
        <w:t>日收到。</w:t>
      </w:r>
    </w:p>
    <w:p w14:paraId="47037C04">
      <w:pPr>
        <w:spacing w:line="500" w:lineRule="exact"/>
        <w:rPr>
          <w:sz w:val="24"/>
        </w:rPr>
      </w:pPr>
      <w:r>
        <w:rPr>
          <w:sz w:val="24"/>
        </w:rPr>
        <w:t>　　特此确认。</w:t>
      </w:r>
    </w:p>
    <w:p w14:paraId="7F087B90">
      <w:pPr>
        <w:spacing w:line="500" w:lineRule="exact"/>
        <w:rPr>
          <w:sz w:val="24"/>
        </w:rPr>
      </w:pPr>
    </w:p>
    <w:p w14:paraId="6F071639">
      <w:pPr>
        <w:spacing w:line="500" w:lineRule="exact"/>
        <w:rPr>
          <w:sz w:val="24"/>
        </w:rPr>
      </w:pPr>
    </w:p>
    <w:p w14:paraId="58CF7837">
      <w:pPr>
        <w:spacing w:line="500" w:lineRule="exact"/>
        <w:rPr>
          <w:sz w:val="24"/>
        </w:rPr>
      </w:pPr>
      <w:r>
        <w:rPr>
          <w:sz w:val="24"/>
        </w:rPr>
        <w:t xml:space="preserve">                              投标人：</w:t>
      </w:r>
      <w:r>
        <w:rPr>
          <w:sz w:val="24"/>
          <w:u w:val="single"/>
        </w:rPr>
        <w:t xml:space="preserve">             </w:t>
      </w:r>
      <w:r>
        <w:rPr>
          <w:sz w:val="24"/>
        </w:rPr>
        <w:t xml:space="preserve"> （盖单位章）</w:t>
      </w:r>
    </w:p>
    <w:p w14:paraId="7B1F1F87">
      <w:pPr>
        <w:spacing w:line="500" w:lineRule="exact"/>
        <w:rPr>
          <w:sz w:val="24"/>
        </w:rPr>
      </w:pPr>
    </w:p>
    <w:p w14:paraId="2C0D7D84">
      <w:pPr>
        <w:spacing w:line="500" w:lineRule="exact"/>
        <w:ind w:firstLine="240" w:firstLineChars="100"/>
        <w:rPr>
          <w:rFonts w:hint="eastAsia"/>
          <w:sz w:val="24"/>
        </w:rPr>
      </w:pPr>
      <w:r>
        <w:rPr>
          <w:sz w:val="24"/>
        </w:rPr>
        <w:t xml:space="preserve">                                  </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4D4C3138">
      <w:pPr>
        <w:spacing w:line="500" w:lineRule="exact"/>
        <w:ind w:firstLine="240" w:firstLineChars="100"/>
        <w:rPr>
          <w:rFonts w:hint="eastAsia"/>
          <w:sz w:val="24"/>
        </w:rPr>
      </w:pPr>
    </w:p>
    <w:p w14:paraId="5BB8F181">
      <w:pPr>
        <w:spacing w:line="500" w:lineRule="exact"/>
        <w:ind w:firstLine="240" w:firstLineChars="100"/>
        <w:rPr>
          <w:rFonts w:hint="eastAsia"/>
          <w:sz w:val="24"/>
        </w:rPr>
      </w:pPr>
    </w:p>
    <w:p w14:paraId="504C6CD3">
      <w:pPr>
        <w:spacing w:line="400" w:lineRule="exact"/>
      </w:pPr>
      <w:r>
        <w:br w:type="page"/>
      </w:r>
    </w:p>
    <w:p w14:paraId="39D2AA19">
      <w:pPr>
        <w:pStyle w:val="3"/>
        <w:spacing w:before="120" w:after="120" w:line="400" w:lineRule="exact"/>
        <w:jc w:val="center"/>
        <w:rPr>
          <w:rFonts w:hint="eastAsia" w:ascii="黑体" w:hAnsi="黑体" w:eastAsia="黑体"/>
          <w:b w:val="0"/>
          <w:bCs w:val="0"/>
          <w:sz w:val="32"/>
        </w:rPr>
      </w:pPr>
      <w:bookmarkStart w:id="553" w:name="_Toc144974565"/>
      <w:bookmarkStart w:id="554" w:name="_Toc152045598"/>
      <w:bookmarkStart w:id="555" w:name="_Toc100487527"/>
      <w:bookmarkStart w:id="556" w:name="_Toc152042375"/>
      <w:r>
        <w:rPr>
          <w:rFonts w:hint="eastAsia" w:ascii="黑体" w:hAnsi="黑体" w:eastAsia="黑体"/>
          <w:b w:val="0"/>
          <w:bCs w:val="0"/>
          <w:sz w:val="32"/>
        </w:rPr>
        <w:t>第三章 评标办法（综合评估法）</w:t>
      </w:r>
      <w:bookmarkEnd w:id="553"/>
      <w:bookmarkEnd w:id="554"/>
      <w:bookmarkEnd w:id="555"/>
      <w:bookmarkEnd w:id="556"/>
    </w:p>
    <w:p w14:paraId="771C1226">
      <w:pPr>
        <w:pStyle w:val="85"/>
        <w:spacing w:line="360" w:lineRule="auto"/>
        <w:jc w:val="center"/>
        <w:rPr>
          <w:rFonts w:hint="eastAsia" w:ascii="宋体" w:hAnsi="宋体" w:eastAsia="宋体"/>
          <w:b/>
        </w:rPr>
      </w:pPr>
      <w:r>
        <w:rPr>
          <w:rFonts w:hint="eastAsia"/>
        </w:rPr>
        <w:t>　　　　</w:t>
      </w:r>
      <w:bookmarkStart w:id="557" w:name="_Toc306955498"/>
      <w:bookmarkStart w:id="558" w:name="_Toc331688442"/>
      <w:bookmarkStart w:id="559" w:name="_Toc100487528"/>
      <w:r>
        <w:rPr>
          <w:rFonts w:hint="eastAsia" w:ascii="宋体" w:hAnsi="宋体" w:eastAsia="宋体"/>
          <w:b/>
        </w:rPr>
        <w:t>评标办法前附表</w:t>
      </w:r>
      <w:bookmarkEnd w:id="557"/>
      <w:bookmarkEnd w:id="558"/>
      <w:bookmarkEnd w:id="559"/>
    </w:p>
    <w:tbl>
      <w:tblPr>
        <w:tblStyle w:val="42"/>
        <w:tblW w:w="9463"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16"/>
        <w:gridCol w:w="101"/>
        <w:gridCol w:w="857"/>
        <w:gridCol w:w="2738"/>
        <w:gridCol w:w="4951"/>
      </w:tblGrid>
      <w:tr w14:paraId="351E76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71" w:hRule="atLeast"/>
          <w:jc w:val="center"/>
        </w:trPr>
        <w:tc>
          <w:tcPr>
            <w:tcW w:w="1774" w:type="dxa"/>
            <w:gridSpan w:val="3"/>
            <w:noWrap w:val="0"/>
            <w:vAlign w:val="center"/>
          </w:tcPr>
          <w:p w14:paraId="7D3B8830">
            <w:pPr>
              <w:widowControl/>
              <w:adjustRightInd w:val="0"/>
              <w:jc w:val="center"/>
              <w:rPr>
                <w:rFonts w:hint="eastAsia" w:ascii="宋体" w:hAnsi="宋体" w:cs="仿宋_GB2312"/>
                <w:b/>
                <w:kern w:val="0"/>
                <w:sz w:val="24"/>
              </w:rPr>
            </w:pPr>
            <w:r>
              <w:rPr>
                <w:rFonts w:hint="eastAsia" w:ascii="宋体" w:hAnsi="宋体" w:cs="仿宋_GB2312"/>
                <w:b/>
                <w:kern w:val="0"/>
                <w:sz w:val="24"/>
              </w:rPr>
              <w:t>条款号</w:t>
            </w:r>
          </w:p>
        </w:tc>
        <w:tc>
          <w:tcPr>
            <w:tcW w:w="2738" w:type="dxa"/>
            <w:noWrap w:val="0"/>
            <w:vAlign w:val="center"/>
          </w:tcPr>
          <w:p w14:paraId="45568577">
            <w:pPr>
              <w:widowControl/>
              <w:adjustRightInd w:val="0"/>
              <w:jc w:val="center"/>
              <w:rPr>
                <w:rFonts w:hint="eastAsia" w:ascii="宋体" w:hAnsi="宋体" w:cs="仿宋_GB2312"/>
                <w:b/>
                <w:kern w:val="0"/>
                <w:sz w:val="24"/>
              </w:rPr>
            </w:pPr>
            <w:r>
              <w:rPr>
                <w:rFonts w:hint="eastAsia" w:ascii="宋体" w:hAnsi="宋体" w:cs="仿宋_GB2312"/>
                <w:b/>
                <w:kern w:val="0"/>
                <w:sz w:val="24"/>
              </w:rPr>
              <w:t>评审因素</w:t>
            </w:r>
          </w:p>
        </w:tc>
        <w:tc>
          <w:tcPr>
            <w:tcW w:w="4951" w:type="dxa"/>
            <w:noWrap w:val="0"/>
            <w:vAlign w:val="center"/>
          </w:tcPr>
          <w:p w14:paraId="6D1C3A00">
            <w:pPr>
              <w:widowControl/>
              <w:adjustRightInd w:val="0"/>
              <w:jc w:val="center"/>
              <w:rPr>
                <w:rFonts w:hint="eastAsia" w:ascii="宋体" w:hAnsi="宋体" w:cs="仿宋_GB2312"/>
                <w:b/>
                <w:kern w:val="0"/>
                <w:sz w:val="24"/>
              </w:rPr>
            </w:pPr>
            <w:r>
              <w:rPr>
                <w:rFonts w:hint="eastAsia" w:ascii="宋体" w:hAnsi="宋体" w:cs="仿宋_GB2312"/>
                <w:b/>
                <w:kern w:val="0"/>
                <w:sz w:val="24"/>
              </w:rPr>
              <w:t>评审标准</w:t>
            </w:r>
          </w:p>
        </w:tc>
      </w:tr>
      <w:tr w14:paraId="7BB0B54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3" w:hRule="atLeast"/>
          <w:jc w:val="center"/>
        </w:trPr>
        <w:tc>
          <w:tcPr>
            <w:tcW w:w="917" w:type="dxa"/>
            <w:gridSpan w:val="2"/>
            <w:vMerge w:val="restart"/>
            <w:noWrap w:val="0"/>
            <w:vAlign w:val="center"/>
          </w:tcPr>
          <w:p w14:paraId="0652CA39">
            <w:pPr>
              <w:widowControl/>
              <w:adjustRightInd w:val="0"/>
              <w:jc w:val="center"/>
              <w:rPr>
                <w:rFonts w:hint="eastAsia" w:ascii="宋体" w:hAnsi="宋体" w:cs="仿宋_GB2312"/>
                <w:kern w:val="0"/>
                <w:sz w:val="24"/>
              </w:rPr>
            </w:pPr>
            <w:r>
              <w:rPr>
                <w:rFonts w:hint="eastAsia" w:ascii="宋体" w:hAnsi="宋体" w:cs="TimesNewRomanPSMT"/>
                <w:kern w:val="0"/>
                <w:sz w:val="24"/>
              </w:rPr>
              <w:t>2.1.1</w:t>
            </w:r>
          </w:p>
        </w:tc>
        <w:tc>
          <w:tcPr>
            <w:tcW w:w="857" w:type="dxa"/>
            <w:vMerge w:val="restart"/>
            <w:noWrap w:val="0"/>
            <w:vAlign w:val="center"/>
          </w:tcPr>
          <w:p w14:paraId="11753ED4">
            <w:pPr>
              <w:widowControl/>
              <w:adjustRightInd w:val="0"/>
              <w:jc w:val="center"/>
              <w:rPr>
                <w:rFonts w:hint="eastAsia" w:ascii="宋体" w:hAnsi="宋体" w:cs="仿宋_GB2312"/>
                <w:kern w:val="0"/>
                <w:sz w:val="24"/>
              </w:rPr>
            </w:pPr>
            <w:r>
              <w:rPr>
                <w:rFonts w:hint="eastAsia" w:ascii="宋体" w:hAnsi="宋体" w:cs="仿宋_GB2312"/>
                <w:kern w:val="0"/>
                <w:sz w:val="24"/>
              </w:rPr>
              <w:t>形</w:t>
            </w:r>
          </w:p>
          <w:p w14:paraId="5C997938">
            <w:pPr>
              <w:widowControl/>
              <w:adjustRightInd w:val="0"/>
              <w:jc w:val="center"/>
              <w:rPr>
                <w:rFonts w:hint="eastAsia" w:ascii="宋体" w:hAnsi="宋体" w:cs="仿宋_GB2312"/>
                <w:kern w:val="0"/>
                <w:sz w:val="24"/>
              </w:rPr>
            </w:pPr>
            <w:r>
              <w:rPr>
                <w:rFonts w:hint="eastAsia" w:ascii="宋体" w:hAnsi="宋体" w:cs="仿宋_GB2312"/>
                <w:kern w:val="0"/>
                <w:sz w:val="24"/>
              </w:rPr>
              <w:t>式</w:t>
            </w:r>
          </w:p>
          <w:p w14:paraId="10CA4174">
            <w:pPr>
              <w:widowControl/>
              <w:adjustRightInd w:val="0"/>
              <w:jc w:val="center"/>
              <w:rPr>
                <w:rFonts w:hint="eastAsia" w:ascii="宋体" w:hAnsi="宋体" w:cs="仿宋_GB2312"/>
                <w:kern w:val="0"/>
                <w:sz w:val="24"/>
              </w:rPr>
            </w:pPr>
            <w:r>
              <w:rPr>
                <w:rFonts w:hint="eastAsia" w:ascii="宋体" w:hAnsi="宋体" w:cs="仿宋_GB2312"/>
                <w:kern w:val="0"/>
                <w:sz w:val="24"/>
              </w:rPr>
              <w:t>评</w:t>
            </w:r>
          </w:p>
          <w:p w14:paraId="543A7D21">
            <w:pPr>
              <w:widowControl/>
              <w:adjustRightInd w:val="0"/>
              <w:jc w:val="center"/>
              <w:rPr>
                <w:rFonts w:hint="eastAsia" w:ascii="宋体" w:hAnsi="宋体" w:cs="仿宋_GB2312"/>
                <w:kern w:val="0"/>
                <w:sz w:val="24"/>
              </w:rPr>
            </w:pPr>
            <w:r>
              <w:rPr>
                <w:rFonts w:hint="eastAsia" w:ascii="宋体" w:hAnsi="宋体" w:cs="仿宋_GB2312"/>
                <w:kern w:val="0"/>
                <w:sz w:val="24"/>
              </w:rPr>
              <w:t>审</w:t>
            </w:r>
          </w:p>
          <w:p w14:paraId="71005D5B">
            <w:pPr>
              <w:widowControl/>
              <w:adjustRightInd w:val="0"/>
              <w:jc w:val="center"/>
              <w:rPr>
                <w:rFonts w:hint="eastAsia" w:ascii="宋体" w:hAnsi="宋体" w:cs="仿宋_GB2312"/>
                <w:kern w:val="0"/>
                <w:sz w:val="24"/>
              </w:rPr>
            </w:pPr>
            <w:r>
              <w:rPr>
                <w:rFonts w:hint="eastAsia" w:ascii="宋体" w:hAnsi="宋体" w:cs="仿宋_GB2312"/>
                <w:kern w:val="0"/>
                <w:sz w:val="24"/>
              </w:rPr>
              <w:t>标</w:t>
            </w:r>
          </w:p>
          <w:p w14:paraId="6E6277D4">
            <w:pPr>
              <w:widowControl/>
              <w:adjustRightInd w:val="0"/>
              <w:jc w:val="center"/>
              <w:rPr>
                <w:rFonts w:hint="eastAsia" w:ascii="宋体" w:hAnsi="宋体" w:cs="仿宋_GB2312"/>
                <w:kern w:val="0"/>
                <w:sz w:val="24"/>
              </w:rPr>
            </w:pPr>
            <w:r>
              <w:rPr>
                <w:rFonts w:hint="eastAsia" w:ascii="宋体" w:hAnsi="宋体" w:cs="仿宋_GB2312"/>
                <w:kern w:val="0"/>
                <w:sz w:val="24"/>
              </w:rPr>
              <w:t>准</w:t>
            </w:r>
          </w:p>
        </w:tc>
        <w:tc>
          <w:tcPr>
            <w:tcW w:w="2738" w:type="dxa"/>
            <w:noWrap w:val="0"/>
            <w:vAlign w:val="center"/>
          </w:tcPr>
          <w:p w14:paraId="439C5CAB">
            <w:pPr>
              <w:widowControl/>
              <w:adjustRightInd w:val="0"/>
              <w:rPr>
                <w:rFonts w:hint="eastAsia" w:ascii="宋体" w:hAnsi="宋体" w:cs="仿宋_GB2312"/>
                <w:kern w:val="0"/>
                <w:sz w:val="24"/>
              </w:rPr>
            </w:pPr>
            <w:r>
              <w:rPr>
                <w:rFonts w:hint="eastAsia" w:ascii="宋体" w:hAnsi="宋体" w:cs="仿宋_GB2312"/>
                <w:kern w:val="0"/>
                <w:sz w:val="24"/>
              </w:rPr>
              <w:t>投标人名称</w:t>
            </w:r>
          </w:p>
        </w:tc>
        <w:tc>
          <w:tcPr>
            <w:tcW w:w="4951" w:type="dxa"/>
            <w:noWrap w:val="0"/>
            <w:vAlign w:val="center"/>
          </w:tcPr>
          <w:p w14:paraId="5F0CDBF4">
            <w:pPr>
              <w:widowControl/>
              <w:adjustRightInd w:val="0"/>
              <w:rPr>
                <w:rFonts w:hint="eastAsia" w:ascii="宋体" w:hAnsi="宋体" w:cs="仿宋_GB2312"/>
                <w:kern w:val="0"/>
                <w:sz w:val="24"/>
              </w:rPr>
            </w:pPr>
            <w:r>
              <w:rPr>
                <w:rFonts w:hint="eastAsia" w:ascii="宋体" w:hAnsi="宋体" w:cs="仿宋_GB2312"/>
                <w:kern w:val="0"/>
                <w:sz w:val="24"/>
              </w:rPr>
              <w:t>与营业执照、资质证书、安全生产许可证一致</w:t>
            </w:r>
          </w:p>
        </w:tc>
      </w:tr>
      <w:tr w14:paraId="5E22EEA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3" w:hRule="atLeast"/>
          <w:jc w:val="center"/>
        </w:trPr>
        <w:tc>
          <w:tcPr>
            <w:tcW w:w="917" w:type="dxa"/>
            <w:gridSpan w:val="2"/>
            <w:vMerge w:val="continue"/>
            <w:noWrap w:val="0"/>
            <w:vAlign w:val="top"/>
          </w:tcPr>
          <w:p w14:paraId="3AEC5FA2">
            <w:pPr>
              <w:widowControl/>
              <w:adjustRightInd w:val="0"/>
              <w:jc w:val="left"/>
              <w:rPr>
                <w:rFonts w:hint="eastAsia" w:ascii="宋体" w:hAnsi="宋体" w:cs="仿宋_GB2312"/>
                <w:kern w:val="0"/>
                <w:sz w:val="24"/>
              </w:rPr>
            </w:pPr>
          </w:p>
        </w:tc>
        <w:tc>
          <w:tcPr>
            <w:tcW w:w="857" w:type="dxa"/>
            <w:vMerge w:val="continue"/>
            <w:noWrap w:val="0"/>
            <w:vAlign w:val="top"/>
          </w:tcPr>
          <w:p w14:paraId="43858F1B">
            <w:pPr>
              <w:widowControl/>
              <w:adjustRightInd w:val="0"/>
              <w:jc w:val="left"/>
              <w:rPr>
                <w:rFonts w:hint="eastAsia" w:ascii="宋体" w:hAnsi="宋体" w:cs="仿宋_GB2312"/>
                <w:kern w:val="0"/>
                <w:sz w:val="24"/>
              </w:rPr>
            </w:pPr>
          </w:p>
        </w:tc>
        <w:tc>
          <w:tcPr>
            <w:tcW w:w="2738" w:type="dxa"/>
            <w:noWrap w:val="0"/>
            <w:vAlign w:val="center"/>
          </w:tcPr>
          <w:p w14:paraId="50CF7330">
            <w:pPr>
              <w:widowControl/>
              <w:adjustRightInd w:val="0"/>
              <w:rPr>
                <w:rFonts w:hint="eastAsia" w:ascii="宋体" w:hAnsi="宋体" w:cs="仿宋_GB2312"/>
                <w:kern w:val="0"/>
                <w:sz w:val="24"/>
              </w:rPr>
            </w:pPr>
            <w:r>
              <w:rPr>
                <w:rFonts w:hint="eastAsia" w:ascii="宋体" w:hAnsi="宋体" w:cs="仿宋_GB2312"/>
                <w:kern w:val="0"/>
                <w:sz w:val="24"/>
              </w:rPr>
              <w:t>投标函签字盖章</w:t>
            </w:r>
          </w:p>
        </w:tc>
        <w:tc>
          <w:tcPr>
            <w:tcW w:w="4951" w:type="dxa"/>
            <w:noWrap w:val="0"/>
            <w:vAlign w:val="center"/>
          </w:tcPr>
          <w:p w14:paraId="0F6C8075">
            <w:pPr>
              <w:widowControl/>
              <w:adjustRightInd w:val="0"/>
              <w:ind w:right="-107" w:rightChars="-51"/>
              <w:rPr>
                <w:rFonts w:hint="eastAsia" w:ascii="宋体" w:hAnsi="宋体" w:cs="仿宋_GB2312"/>
                <w:kern w:val="0"/>
                <w:sz w:val="24"/>
              </w:rPr>
            </w:pPr>
            <w:r>
              <w:rPr>
                <w:rFonts w:hint="eastAsia" w:ascii="宋体" w:hAnsi="宋体" w:cs="仿宋_GB2312"/>
                <w:kern w:val="0"/>
                <w:sz w:val="24"/>
              </w:rPr>
              <w:t>有法定代表人或其委托代理人签字和加盖单位章</w:t>
            </w:r>
          </w:p>
        </w:tc>
      </w:tr>
      <w:tr w14:paraId="72E55A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3" w:hRule="atLeast"/>
          <w:jc w:val="center"/>
        </w:trPr>
        <w:tc>
          <w:tcPr>
            <w:tcW w:w="917" w:type="dxa"/>
            <w:gridSpan w:val="2"/>
            <w:vMerge w:val="continue"/>
            <w:noWrap w:val="0"/>
            <w:vAlign w:val="top"/>
          </w:tcPr>
          <w:p w14:paraId="6D1CF048">
            <w:pPr>
              <w:widowControl/>
              <w:adjustRightInd w:val="0"/>
              <w:jc w:val="left"/>
              <w:rPr>
                <w:rFonts w:hint="eastAsia" w:ascii="宋体" w:hAnsi="宋体" w:cs="仿宋_GB2312"/>
                <w:kern w:val="0"/>
                <w:sz w:val="24"/>
              </w:rPr>
            </w:pPr>
          </w:p>
        </w:tc>
        <w:tc>
          <w:tcPr>
            <w:tcW w:w="857" w:type="dxa"/>
            <w:vMerge w:val="continue"/>
            <w:noWrap w:val="0"/>
            <w:vAlign w:val="top"/>
          </w:tcPr>
          <w:p w14:paraId="4BDD090D">
            <w:pPr>
              <w:widowControl/>
              <w:adjustRightInd w:val="0"/>
              <w:jc w:val="left"/>
              <w:rPr>
                <w:rFonts w:hint="eastAsia" w:ascii="宋体" w:hAnsi="宋体" w:cs="仿宋_GB2312"/>
                <w:kern w:val="0"/>
                <w:sz w:val="24"/>
              </w:rPr>
            </w:pPr>
          </w:p>
        </w:tc>
        <w:tc>
          <w:tcPr>
            <w:tcW w:w="2738" w:type="dxa"/>
            <w:noWrap w:val="0"/>
            <w:vAlign w:val="center"/>
          </w:tcPr>
          <w:p w14:paraId="6EF6D475">
            <w:pPr>
              <w:widowControl/>
              <w:adjustRightInd w:val="0"/>
              <w:rPr>
                <w:rFonts w:hint="eastAsia" w:ascii="宋体" w:hAnsi="宋体" w:cs="仿宋_GB2312"/>
                <w:kern w:val="0"/>
                <w:sz w:val="24"/>
              </w:rPr>
            </w:pPr>
            <w:r>
              <w:rPr>
                <w:rFonts w:hint="eastAsia" w:ascii="宋体" w:hAnsi="宋体" w:cs="仿宋_GB2312"/>
                <w:kern w:val="0"/>
                <w:sz w:val="24"/>
              </w:rPr>
              <w:t>投标文件格式</w:t>
            </w:r>
          </w:p>
        </w:tc>
        <w:tc>
          <w:tcPr>
            <w:tcW w:w="4951" w:type="dxa"/>
            <w:noWrap w:val="0"/>
            <w:vAlign w:val="center"/>
          </w:tcPr>
          <w:p w14:paraId="6129F5EC">
            <w:pPr>
              <w:widowControl/>
              <w:adjustRightInd w:val="0"/>
              <w:ind w:right="-107" w:rightChars="-51"/>
              <w:rPr>
                <w:rFonts w:hint="eastAsia" w:ascii="宋体" w:hAnsi="宋体" w:cs="仿宋_GB2312"/>
                <w:kern w:val="0"/>
                <w:sz w:val="24"/>
              </w:rPr>
            </w:pPr>
            <w:r>
              <w:rPr>
                <w:rFonts w:hint="eastAsia" w:ascii="宋体" w:hAnsi="宋体" w:cs="仿宋_GB2312"/>
                <w:kern w:val="0"/>
                <w:sz w:val="24"/>
              </w:rPr>
              <w:t>符合第七章</w:t>
            </w:r>
            <w:r>
              <w:rPr>
                <w:rFonts w:hint="eastAsia" w:ascii="宋体" w:hAnsi="宋体"/>
                <w:kern w:val="0"/>
                <w:sz w:val="24"/>
              </w:rPr>
              <w:t>“</w:t>
            </w:r>
            <w:r>
              <w:rPr>
                <w:rFonts w:hint="eastAsia" w:ascii="宋体" w:hAnsi="宋体" w:cs="仿宋_GB2312"/>
                <w:kern w:val="0"/>
                <w:sz w:val="24"/>
              </w:rPr>
              <w:t>投标文件格式</w:t>
            </w:r>
            <w:r>
              <w:rPr>
                <w:rFonts w:hint="eastAsia" w:ascii="宋体" w:hAnsi="宋体"/>
                <w:kern w:val="0"/>
                <w:sz w:val="24"/>
              </w:rPr>
              <w:t>”</w:t>
            </w:r>
            <w:r>
              <w:rPr>
                <w:rFonts w:hint="eastAsia" w:ascii="宋体" w:hAnsi="宋体" w:cs="仿宋_GB2312"/>
                <w:kern w:val="0"/>
                <w:sz w:val="24"/>
              </w:rPr>
              <w:t>的要求</w:t>
            </w:r>
          </w:p>
        </w:tc>
      </w:tr>
      <w:tr w14:paraId="2B5179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3" w:hRule="atLeast"/>
          <w:jc w:val="center"/>
        </w:trPr>
        <w:tc>
          <w:tcPr>
            <w:tcW w:w="917" w:type="dxa"/>
            <w:gridSpan w:val="2"/>
            <w:vMerge w:val="continue"/>
            <w:noWrap w:val="0"/>
            <w:vAlign w:val="top"/>
          </w:tcPr>
          <w:p w14:paraId="558E1014">
            <w:pPr>
              <w:widowControl/>
              <w:adjustRightInd w:val="0"/>
              <w:jc w:val="left"/>
              <w:rPr>
                <w:rFonts w:hint="eastAsia" w:ascii="宋体" w:hAnsi="宋体" w:cs="仿宋_GB2312"/>
                <w:kern w:val="0"/>
                <w:sz w:val="24"/>
              </w:rPr>
            </w:pPr>
          </w:p>
        </w:tc>
        <w:tc>
          <w:tcPr>
            <w:tcW w:w="857" w:type="dxa"/>
            <w:vMerge w:val="continue"/>
            <w:noWrap w:val="0"/>
            <w:vAlign w:val="top"/>
          </w:tcPr>
          <w:p w14:paraId="59188F42">
            <w:pPr>
              <w:widowControl/>
              <w:adjustRightInd w:val="0"/>
              <w:jc w:val="left"/>
              <w:rPr>
                <w:rFonts w:hint="eastAsia" w:ascii="宋体" w:hAnsi="宋体" w:cs="仿宋_GB2312"/>
                <w:kern w:val="0"/>
                <w:sz w:val="24"/>
              </w:rPr>
            </w:pPr>
          </w:p>
        </w:tc>
        <w:tc>
          <w:tcPr>
            <w:tcW w:w="2738" w:type="dxa"/>
            <w:noWrap w:val="0"/>
            <w:vAlign w:val="center"/>
          </w:tcPr>
          <w:p w14:paraId="0AF6B546">
            <w:pPr>
              <w:widowControl/>
              <w:adjustRightInd w:val="0"/>
              <w:rPr>
                <w:rFonts w:hint="eastAsia" w:ascii="宋体" w:hAnsi="宋体" w:cs="仿宋_GB2312"/>
                <w:kern w:val="0"/>
                <w:sz w:val="24"/>
              </w:rPr>
            </w:pPr>
            <w:r>
              <w:rPr>
                <w:rFonts w:hint="eastAsia" w:ascii="宋体" w:hAnsi="宋体" w:cs="仿宋_GB2312"/>
                <w:kern w:val="0"/>
                <w:sz w:val="24"/>
              </w:rPr>
              <w:t>报价唯一</w:t>
            </w:r>
          </w:p>
        </w:tc>
        <w:tc>
          <w:tcPr>
            <w:tcW w:w="4951" w:type="dxa"/>
            <w:noWrap w:val="0"/>
            <w:vAlign w:val="center"/>
          </w:tcPr>
          <w:p w14:paraId="7E9B34D0">
            <w:pPr>
              <w:widowControl/>
              <w:adjustRightInd w:val="0"/>
              <w:ind w:right="-107" w:rightChars="-51"/>
              <w:rPr>
                <w:rFonts w:hint="eastAsia" w:ascii="宋体" w:hAnsi="宋体" w:cs="仿宋_GB2312"/>
                <w:kern w:val="0"/>
                <w:sz w:val="24"/>
              </w:rPr>
            </w:pPr>
            <w:r>
              <w:rPr>
                <w:rFonts w:hint="eastAsia" w:ascii="宋体" w:hAnsi="宋体" w:cs="仿宋_GB2312"/>
                <w:kern w:val="0"/>
                <w:sz w:val="24"/>
              </w:rPr>
              <w:t>只能有一个有效报价</w:t>
            </w:r>
          </w:p>
        </w:tc>
      </w:tr>
      <w:tr w14:paraId="426E60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3" w:hRule="atLeast"/>
          <w:jc w:val="center"/>
        </w:trPr>
        <w:tc>
          <w:tcPr>
            <w:tcW w:w="917" w:type="dxa"/>
            <w:gridSpan w:val="2"/>
            <w:vMerge w:val="restart"/>
            <w:noWrap w:val="0"/>
            <w:vAlign w:val="center"/>
          </w:tcPr>
          <w:p w14:paraId="001FAEA6">
            <w:pPr>
              <w:widowControl/>
              <w:adjustRightInd w:val="0"/>
              <w:jc w:val="center"/>
              <w:rPr>
                <w:rFonts w:hint="eastAsia" w:ascii="宋体" w:hAnsi="宋体" w:cs="TimesNewRomanPSMT"/>
                <w:kern w:val="0"/>
                <w:sz w:val="24"/>
              </w:rPr>
            </w:pPr>
            <w:r>
              <w:rPr>
                <w:rFonts w:hint="eastAsia" w:ascii="宋体" w:hAnsi="宋体" w:cs="TimesNewRomanPSMT"/>
                <w:kern w:val="0"/>
                <w:sz w:val="24"/>
              </w:rPr>
              <w:t>2.1.2</w:t>
            </w:r>
          </w:p>
        </w:tc>
        <w:tc>
          <w:tcPr>
            <w:tcW w:w="857" w:type="dxa"/>
            <w:vMerge w:val="restart"/>
            <w:noWrap w:val="0"/>
            <w:vAlign w:val="center"/>
          </w:tcPr>
          <w:p w14:paraId="1E01EEB8">
            <w:pPr>
              <w:widowControl/>
              <w:adjustRightInd w:val="0"/>
              <w:jc w:val="center"/>
              <w:rPr>
                <w:rFonts w:hint="eastAsia" w:ascii="宋体" w:hAnsi="宋体" w:cs="仿宋_GB2312"/>
                <w:kern w:val="0"/>
                <w:sz w:val="24"/>
              </w:rPr>
            </w:pPr>
            <w:r>
              <w:rPr>
                <w:rFonts w:hint="eastAsia" w:ascii="宋体" w:hAnsi="宋体" w:cs="仿宋_GB2312"/>
                <w:kern w:val="0"/>
                <w:sz w:val="24"/>
              </w:rPr>
              <w:t>资</w:t>
            </w:r>
          </w:p>
          <w:p w14:paraId="6EB7C06E">
            <w:pPr>
              <w:widowControl/>
              <w:adjustRightInd w:val="0"/>
              <w:jc w:val="center"/>
              <w:rPr>
                <w:rFonts w:hint="eastAsia" w:ascii="宋体" w:hAnsi="宋体" w:cs="仿宋_GB2312"/>
                <w:kern w:val="0"/>
                <w:sz w:val="24"/>
              </w:rPr>
            </w:pPr>
            <w:r>
              <w:rPr>
                <w:rFonts w:hint="eastAsia" w:ascii="宋体" w:hAnsi="宋体" w:cs="仿宋_GB2312"/>
                <w:kern w:val="0"/>
                <w:sz w:val="24"/>
              </w:rPr>
              <w:t>格</w:t>
            </w:r>
          </w:p>
          <w:p w14:paraId="6290E189">
            <w:pPr>
              <w:widowControl/>
              <w:adjustRightInd w:val="0"/>
              <w:jc w:val="center"/>
              <w:rPr>
                <w:rFonts w:hint="eastAsia" w:ascii="宋体" w:hAnsi="宋体" w:cs="仿宋_GB2312"/>
                <w:kern w:val="0"/>
                <w:sz w:val="24"/>
              </w:rPr>
            </w:pPr>
            <w:r>
              <w:rPr>
                <w:rFonts w:hint="eastAsia" w:ascii="宋体" w:hAnsi="宋体" w:cs="仿宋_GB2312"/>
                <w:kern w:val="0"/>
                <w:sz w:val="24"/>
              </w:rPr>
              <w:t>评</w:t>
            </w:r>
          </w:p>
          <w:p w14:paraId="4A0C3BFE">
            <w:pPr>
              <w:widowControl/>
              <w:adjustRightInd w:val="0"/>
              <w:jc w:val="center"/>
              <w:rPr>
                <w:rFonts w:hint="eastAsia" w:ascii="宋体" w:hAnsi="宋体" w:cs="仿宋_GB2312"/>
                <w:kern w:val="0"/>
                <w:sz w:val="24"/>
              </w:rPr>
            </w:pPr>
            <w:r>
              <w:rPr>
                <w:rFonts w:hint="eastAsia" w:ascii="宋体" w:hAnsi="宋体" w:cs="仿宋_GB2312"/>
                <w:kern w:val="0"/>
                <w:sz w:val="24"/>
              </w:rPr>
              <w:t>审</w:t>
            </w:r>
          </w:p>
          <w:p w14:paraId="68E37082">
            <w:pPr>
              <w:widowControl/>
              <w:adjustRightInd w:val="0"/>
              <w:jc w:val="center"/>
              <w:rPr>
                <w:rFonts w:hint="eastAsia" w:ascii="宋体" w:hAnsi="宋体" w:cs="仿宋_GB2312"/>
                <w:kern w:val="0"/>
                <w:sz w:val="24"/>
              </w:rPr>
            </w:pPr>
            <w:r>
              <w:rPr>
                <w:rFonts w:hint="eastAsia" w:ascii="宋体" w:hAnsi="宋体" w:cs="仿宋_GB2312"/>
                <w:kern w:val="0"/>
                <w:sz w:val="24"/>
              </w:rPr>
              <w:t>标</w:t>
            </w:r>
          </w:p>
          <w:p w14:paraId="5C422DCC">
            <w:pPr>
              <w:widowControl/>
              <w:adjustRightInd w:val="0"/>
              <w:jc w:val="center"/>
              <w:rPr>
                <w:rFonts w:hint="eastAsia" w:ascii="宋体" w:hAnsi="宋体" w:cs="TimesNewRomanPSMT"/>
                <w:kern w:val="0"/>
                <w:sz w:val="24"/>
              </w:rPr>
            </w:pPr>
            <w:r>
              <w:rPr>
                <w:rFonts w:hint="eastAsia" w:ascii="宋体" w:hAnsi="宋体" w:cs="仿宋_GB2312"/>
                <w:kern w:val="0"/>
                <w:sz w:val="24"/>
              </w:rPr>
              <w:t>准</w:t>
            </w:r>
          </w:p>
        </w:tc>
        <w:tc>
          <w:tcPr>
            <w:tcW w:w="2738" w:type="dxa"/>
            <w:noWrap w:val="0"/>
            <w:vAlign w:val="center"/>
          </w:tcPr>
          <w:p w14:paraId="27626CDD">
            <w:pPr>
              <w:widowControl/>
              <w:adjustRightInd w:val="0"/>
              <w:rPr>
                <w:rFonts w:hint="eastAsia" w:ascii="宋体" w:hAnsi="宋体" w:cs="仿宋_GB2312"/>
                <w:kern w:val="0"/>
                <w:sz w:val="24"/>
              </w:rPr>
            </w:pPr>
            <w:r>
              <w:rPr>
                <w:rFonts w:hint="eastAsia" w:ascii="宋体" w:hAnsi="宋体" w:cs="仿宋_GB2312"/>
                <w:kern w:val="0"/>
                <w:sz w:val="24"/>
              </w:rPr>
              <w:t>营业执照</w:t>
            </w:r>
          </w:p>
        </w:tc>
        <w:tc>
          <w:tcPr>
            <w:tcW w:w="4951" w:type="dxa"/>
            <w:noWrap w:val="0"/>
            <w:vAlign w:val="center"/>
          </w:tcPr>
          <w:p w14:paraId="6C873878">
            <w:pPr>
              <w:widowControl/>
              <w:adjustRightInd w:val="0"/>
              <w:ind w:right="-107" w:rightChars="-51"/>
              <w:rPr>
                <w:rFonts w:hint="eastAsia" w:ascii="宋体" w:hAnsi="宋体" w:cs="仿宋_GB2312"/>
                <w:kern w:val="0"/>
                <w:sz w:val="24"/>
              </w:rPr>
            </w:pPr>
            <w:r>
              <w:rPr>
                <w:rFonts w:hint="eastAsia" w:ascii="宋体" w:hAnsi="宋体" w:cs="仿宋_GB2312"/>
                <w:kern w:val="0"/>
                <w:sz w:val="24"/>
              </w:rPr>
              <w:t>具备有效的营业执照</w:t>
            </w:r>
          </w:p>
        </w:tc>
      </w:tr>
      <w:tr w14:paraId="587698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3" w:hRule="atLeast"/>
          <w:jc w:val="center"/>
        </w:trPr>
        <w:tc>
          <w:tcPr>
            <w:tcW w:w="917" w:type="dxa"/>
            <w:gridSpan w:val="2"/>
            <w:vMerge w:val="continue"/>
            <w:noWrap w:val="0"/>
            <w:vAlign w:val="top"/>
          </w:tcPr>
          <w:p w14:paraId="3BE1E1E2">
            <w:pPr>
              <w:widowControl/>
              <w:adjustRightInd w:val="0"/>
              <w:jc w:val="left"/>
              <w:rPr>
                <w:rFonts w:hint="eastAsia" w:ascii="宋体" w:hAnsi="宋体" w:cs="仿宋_GB2312"/>
                <w:kern w:val="0"/>
                <w:sz w:val="24"/>
              </w:rPr>
            </w:pPr>
          </w:p>
        </w:tc>
        <w:tc>
          <w:tcPr>
            <w:tcW w:w="857" w:type="dxa"/>
            <w:vMerge w:val="continue"/>
            <w:noWrap w:val="0"/>
            <w:vAlign w:val="top"/>
          </w:tcPr>
          <w:p w14:paraId="17F04B3D">
            <w:pPr>
              <w:widowControl/>
              <w:adjustRightInd w:val="0"/>
              <w:jc w:val="left"/>
              <w:rPr>
                <w:rFonts w:hint="eastAsia" w:ascii="宋体" w:hAnsi="宋体" w:cs="仿宋_GB2312"/>
                <w:kern w:val="0"/>
                <w:sz w:val="24"/>
              </w:rPr>
            </w:pPr>
          </w:p>
        </w:tc>
        <w:tc>
          <w:tcPr>
            <w:tcW w:w="2738" w:type="dxa"/>
            <w:noWrap w:val="0"/>
            <w:vAlign w:val="center"/>
          </w:tcPr>
          <w:p w14:paraId="36DD5252">
            <w:pPr>
              <w:widowControl/>
              <w:adjustRightInd w:val="0"/>
              <w:rPr>
                <w:rFonts w:hint="eastAsia" w:ascii="宋体" w:hAnsi="宋体" w:cs="仿宋_GB2312"/>
                <w:kern w:val="0"/>
                <w:sz w:val="24"/>
              </w:rPr>
            </w:pPr>
            <w:r>
              <w:rPr>
                <w:rFonts w:hint="eastAsia" w:ascii="宋体" w:hAnsi="宋体" w:cs="仿宋_GB2312"/>
                <w:kern w:val="0"/>
                <w:sz w:val="24"/>
              </w:rPr>
              <w:t>安全生产许可证</w:t>
            </w:r>
          </w:p>
        </w:tc>
        <w:tc>
          <w:tcPr>
            <w:tcW w:w="4951" w:type="dxa"/>
            <w:noWrap w:val="0"/>
            <w:vAlign w:val="center"/>
          </w:tcPr>
          <w:p w14:paraId="4EBAA562">
            <w:pPr>
              <w:widowControl/>
              <w:adjustRightInd w:val="0"/>
              <w:ind w:right="-107" w:rightChars="-51"/>
              <w:rPr>
                <w:rFonts w:hint="eastAsia" w:ascii="宋体" w:hAnsi="宋体" w:cs="仿宋_GB2312"/>
                <w:kern w:val="0"/>
                <w:sz w:val="24"/>
              </w:rPr>
            </w:pPr>
            <w:r>
              <w:rPr>
                <w:rFonts w:hint="eastAsia" w:ascii="宋体" w:hAnsi="宋体" w:cs="仿宋_GB2312"/>
                <w:kern w:val="0"/>
                <w:sz w:val="24"/>
              </w:rPr>
              <w:t>具备有效的安全生产许可证</w:t>
            </w:r>
          </w:p>
        </w:tc>
      </w:tr>
      <w:tr w14:paraId="235E60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3" w:hRule="atLeast"/>
          <w:jc w:val="center"/>
        </w:trPr>
        <w:tc>
          <w:tcPr>
            <w:tcW w:w="917" w:type="dxa"/>
            <w:gridSpan w:val="2"/>
            <w:vMerge w:val="continue"/>
            <w:noWrap w:val="0"/>
            <w:vAlign w:val="top"/>
          </w:tcPr>
          <w:p w14:paraId="1BA1B8C9">
            <w:pPr>
              <w:widowControl/>
              <w:adjustRightInd w:val="0"/>
              <w:jc w:val="left"/>
              <w:rPr>
                <w:rFonts w:hint="eastAsia" w:ascii="宋体" w:hAnsi="宋体" w:cs="仿宋_GB2312"/>
                <w:kern w:val="0"/>
                <w:sz w:val="24"/>
              </w:rPr>
            </w:pPr>
          </w:p>
        </w:tc>
        <w:tc>
          <w:tcPr>
            <w:tcW w:w="857" w:type="dxa"/>
            <w:vMerge w:val="continue"/>
            <w:noWrap w:val="0"/>
            <w:vAlign w:val="top"/>
          </w:tcPr>
          <w:p w14:paraId="3C98B9F7">
            <w:pPr>
              <w:widowControl/>
              <w:adjustRightInd w:val="0"/>
              <w:jc w:val="left"/>
              <w:rPr>
                <w:rFonts w:hint="eastAsia" w:ascii="宋体" w:hAnsi="宋体" w:cs="仿宋_GB2312"/>
                <w:kern w:val="0"/>
                <w:sz w:val="24"/>
              </w:rPr>
            </w:pPr>
          </w:p>
        </w:tc>
        <w:tc>
          <w:tcPr>
            <w:tcW w:w="2738" w:type="dxa"/>
            <w:noWrap w:val="0"/>
            <w:vAlign w:val="center"/>
          </w:tcPr>
          <w:p w14:paraId="5BCC7DA6">
            <w:pPr>
              <w:widowControl/>
              <w:adjustRightInd w:val="0"/>
              <w:rPr>
                <w:rFonts w:hint="eastAsia" w:ascii="宋体" w:hAnsi="宋体" w:cs="仿宋_GB2312"/>
                <w:kern w:val="0"/>
                <w:sz w:val="24"/>
              </w:rPr>
            </w:pPr>
            <w:r>
              <w:rPr>
                <w:rFonts w:hint="eastAsia" w:ascii="宋体" w:hAnsi="宋体" w:cs="仿宋_GB2312"/>
                <w:kern w:val="0"/>
                <w:sz w:val="24"/>
              </w:rPr>
              <w:t>资质等级</w:t>
            </w:r>
          </w:p>
        </w:tc>
        <w:tc>
          <w:tcPr>
            <w:tcW w:w="4951" w:type="dxa"/>
            <w:noWrap w:val="0"/>
            <w:vAlign w:val="center"/>
          </w:tcPr>
          <w:p w14:paraId="2039BB02">
            <w:pPr>
              <w:widowControl/>
              <w:adjustRightInd w:val="0"/>
              <w:ind w:right="-107" w:rightChars="-51"/>
              <w:rPr>
                <w:rFonts w:hint="eastAsia" w:ascii="宋体" w:hAnsi="宋体" w:cs="仿宋_GB2312"/>
                <w:kern w:val="0"/>
                <w:sz w:val="24"/>
              </w:rPr>
            </w:pPr>
            <w:r>
              <w:rPr>
                <w:rFonts w:hint="eastAsia" w:ascii="宋体" w:hAnsi="宋体" w:cs="仿宋_GB2312"/>
                <w:kern w:val="0"/>
                <w:sz w:val="24"/>
              </w:rPr>
              <w:t>符合第二章</w:t>
            </w:r>
            <w:r>
              <w:rPr>
                <w:rFonts w:hint="eastAsia" w:ascii="宋体" w:hAnsi="宋体"/>
                <w:kern w:val="0"/>
                <w:sz w:val="24"/>
              </w:rPr>
              <w:t>“</w:t>
            </w:r>
            <w:r>
              <w:rPr>
                <w:rFonts w:hint="eastAsia" w:ascii="宋体" w:hAnsi="宋体" w:cs="仿宋_GB2312"/>
                <w:kern w:val="0"/>
                <w:sz w:val="24"/>
              </w:rPr>
              <w:t>投标人须知</w:t>
            </w:r>
            <w:r>
              <w:rPr>
                <w:rFonts w:hint="eastAsia" w:ascii="宋体" w:hAnsi="宋体"/>
                <w:kern w:val="0"/>
                <w:sz w:val="24"/>
              </w:rPr>
              <w:t>”</w:t>
            </w:r>
            <w:r>
              <w:rPr>
                <w:rFonts w:hint="eastAsia" w:ascii="宋体" w:hAnsi="宋体" w:cs="仿宋_GB2312"/>
                <w:kern w:val="0"/>
                <w:sz w:val="24"/>
              </w:rPr>
              <w:t>第</w:t>
            </w:r>
            <w:r>
              <w:rPr>
                <w:rFonts w:hint="eastAsia" w:ascii="宋体" w:hAnsi="宋体" w:cs="TimesNewRomanPSMT"/>
                <w:kern w:val="0"/>
                <w:sz w:val="24"/>
              </w:rPr>
              <w:t xml:space="preserve">1.4.1 </w:t>
            </w:r>
            <w:r>
              <w:rPr>
                <w:rFonts w:hint="eastAsia" w:ascii="宋体" w:hAnsi="宋体" w:cs="仿宋_GB2312"/>
                <w:kern w:val="0"/>
                <w:sz w:val="24"/>
              </w:rPr>
              <w:t>项规定</w:t>
            </w:r>
          </w:p>
        </w:tc>
      </w:tr>
      <w:tr w14:paraId="2CAB27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3" w:hRule="atLeast"/>
          <w:jc w:val="center"/>
        </w:trPr>
        <w:tc>
          <w:tcPr>
            <w:tcW w:w="917" w:type="dxa"/>
            <w:gridSpan w:val="2"/>
            <w:vMerge w:val="continue"/>
            <w:noWrap w:val="0"/>
            <w:vAlign w:val="top"/>
          </w:tcPr>
          <w:p w14:paraId="3FEF904D">
            <w:pPr>
              <w:widowControl/>
              <w:adjustRightInd w:val="0"/>
              <w:jc w:val="left"/>
              <w:rPr>
                <w:rFonts w:hint="eastAsia" w:ascii="宋体" w:hAnsi="宋体" w:cs="仿宋_GB2312"/>
                <w:kern w:val="0"/>
                <w:sz w:val="24"/>
              </w:rPr>
            </w:pPr>
          </w:p>
        </w:tc>
        <w:tc>
          <w:tcPr>
            <w:tcW w:w="857" w:type="dxa"/>
            <w:vMerge w:val="continue"/>
            <w:noWrap w:val="0"/>
            <w:vAlign w:val="top"/>
          </w:tcPr>
          <w:p w14:paraId="630689F1">
            <w:pPr>
              <w:widowControl/>
              <w:adjustRightInd w:val="0"/>
              <w:jc w:val="left"/>
              <w:rPr>
                <w:rFonts w:hint="eastAsia" w:ascii="宋体" w:hAnsi="宋体" w:cs="仿宋_GB2312"/>
                <w:kern w:val="0"/>
                <w:sz w:val="24"/>
              </w:rPr>
            </w:pPr>
          </w:p>
        </w:tc>
        <w:tc>
          <w:tcPr>
            <w:tcW w:w="2738" w:type="dxa"/>
            <w:noWrap w:val="0"/>
            <w:vAlign w:val="center"/>
          </w:tcPr>
          <w:p w14:paraId="45D1ED8C">
            <w:pPr>
              <w:widowControl/>
              <w:adjustRightInd w:val="0"/>
              <w:rPr>
                <w:rFonts w:hint="eastAsia" w:ascii="宋体" w:hAnsi="宋体" w:cs="仿宋_GB2312"/>
                <w:kern w:val="0"/>
                <w:sz w:val="24"/>
              </w:rPr>
            </w:pPr>
            <w:r>
              <w:rPr>
                <w:rFonts w:hint="eastAsia" w:ascii="宋体" w:hAnsi="宋体" w:cs="仿宋_GB2312"/>
                <w:kern w:val="0"/>
                <w:sz w:val="24"/>
              </w:rPr>
              <w:t>项目经理</w:t>
            </w:r>
          </w:p>
        </w:tc>
        <w:tc>
          <w:tcPr>
            <w:tcW w:w="4951" w:type="dxa"/>
            <w:noWrap w:val="0"/>
            <w:vAlign w:val="center"/>
          </w:tcPr>
          <w:p w14:paraId="12B8A5E8">
            <w:pPr>
              <w:widowControl/>
              <w:adjustRightInd w:val="0"/>
              <w:ind w:right="-107" w:rightChars="-51"/>
              <w:rPr>
                <w:rFonts w:hint="eastAsia" w:ascii="宋体" w:hAnsi="宋体" w:cs="仿宋_GB2312"/>
                <w:kern w:val="0"/>
                <w:sz w:val="24"/>
              </w:rPr>
            </w:pPr>
            <w:r>
              <w:rPr>
                <w:rFonts w:hint="eastAsia" w:ascii="宋体" w:hAnsi="宋体" w:cs="仿宋_GB2312"/>
                <w:kern w:val="0"/>
                <w:sz w:val="24"/>
              </w:rPr>
              <w:t>符合第二章</w:t>
            </w:r>
            <w:r>
              <w:rPr>
                <w:rFonts w:hint="eastAsia" w:ascii="宋体" w:hAnsi="宋体"/>
                <w:kern w:val="0"/>
                <w:sz w:val="24"/>
              </w:rPr>
              <w:t>“</w:t>
            </w:r>
            <w:r>
              <w:rPr>
                <w:rFonts w:hint="eastAsia" w:ascii="宋体" w:hAnsi="宋体" w:cs="仿宋_GB2312"/>
                <w:kern w:val="0"/>
                <w:sz w:val="24"/>
              </w:rPr>
              <w:t>投标人须知</w:t>
            </w:r>
            <w:r>
              <w:rPr>
                <w:rFonts w:hint="eastAsia" w:ascii="宋体" w:hAnsi="宋体"/>
                <w:kern w:val="0"/>
                <w:sz w:val="24"/>
              </w:rPr>
              <w:t>”</w:t>
            </w:r>
            <w:r>
              <w:rPr>
                <w:rFonts w:hint="eastAsia" w:ascii="宋体" w:hAnsi="宋体" w:cs="仿宋_GB2312"/>
                <w:kern w:val="0"/>
                <w:sz w:val="24"/>
              </w:rPr>
              <w:t>第</w:t>
            </w:r>
            <w:r>
              <w:rPr>
                <w:rFonts w:hint="eastAsia" w:ascii="宋体" w:hAnsi="宋体" w:cs="TimesNewRomanPSMT"/>
                <w:kern w:val="0"/>
                <w:sz w:val="24"/>
              </w:rPr>
              <w:t xml:space="preserve">1.4.1 </w:t>
            </w:r>
            <w:r>
              <w:rPr>
                <w:rFonts w:hint="eastAsia" w:ascii="宋体" w:hAnsi="宋体" w:cs="仿宋_GB2312"/>
                <w:kern w:val="0"/>
                <w:sz w:val="24"/>
              </w:rPr>
              <w:t>项规定</w:t>
            </w:r>
          </w:p>
        </w:tc>
      </w:tr>
      <w:tr w14:paraId="531549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0" w:hRule="atLeast"/>
          <w:jc w:val="center"/>
        </w:trPr>
        <w:tc>
          <w:tcPr>
            <w:tcW w:w="917" w:type="dxa"/>
            <w:gridSpan w:val="2"/>
            <w:vMerge w:val="continue"/>
            <w:noWrap w:val="0"/>
            <w:vAlign w:val="top"/>
          </w:tcPr>
          <w:p w14:paraId="010B2809">
            <w:pPr>
              <w:widowControl/>
              <w:adjustRightInd w:val="0"/>
              <w:jc w:val="left"/>
              <w:rPr>
                <w:rFonts w:hint="eastAsia" w:ascii="宋体" w:hAnsi="宋体" w:cs="仿宋_GB2312"/>
                <w:kern w:val="0"/>
                <w:sz w:val="24"/>
              </w:rPr>
            </w:pPr>
          </w:p>
        </w:tc>
        <w:tc>
          <w:tcPr>
            <w:tcW w:w="857" w:type="dxa"/>
            <w:vMerge w:val="continue"/>
            <w:noWrap w:val="0"/>
            <w:vAlign w:val="top"/>
          </w:tcPr>
          <w:p w14:paraId="4B434937">
            <w:pPr>
              <w:widowControl/>
              <w:adjustRightInd w:val="0"/>
              <w:jc w:val="left"/>
              <w:rPr>
                <w:rFonts w:hint="eastAsia" w:ascii="宋体" w:hAnsi="宋体" w:cs="仿宋_GB2312"/>
                <w:kern w:val="0"/>
                <w:sz w:val="24"/>
              </w:rPr>
            </w:pPr>
          </w:p>
        </w:tc>
        <w:tc>
          <w:tcPr>
            <w:tcW w:w="2738" w:type="dxa"/>
            <w:noWrap w:val="0"/>
            <w:vAlign w:val="center"/>
          </w:tcPr>
          <w:p w14:paraId="7CC96790">
            <w:pPr>
              <w:adjustRightInd w:val="0"/>
              <w:rPr>
                <w:rFonts w:hint="default" w:ascii="宋体" w:hAnsi="宋体" w:cs="仿宋_GB2312"/>
                <w:kern w:val="0"/>
                <w:sz w:val="24"/>
                <w:lang w:val="en-US" w:eastAsia="zh-CN"/>
              </w:rPr>
            </w:pPr>
            <w:r>
              <w:rPr>
                <w:rFonts w:hint="eastAsia" w:ascii="宋体" w:hAnsi="宋体" w:cs="仿宋_GB2312"/>
                <w:kern w:val="0"/>
                <w:sz w:val="24"/>
                <w:lang w:val="en-US" w:eastAsia="zh-CN"/>
              </w:rPr>
              <w:t>财务要求</w:t>
            </w:r>
          </w:p>
        </w:tc>
        <w:tc>
          <w:tcPr>
            <w:tcW w:w="4951" w:type="dxa"/>
            <w:noWrap w:val="0"/>
            <w:vAlign w:val="center"/>
          </w:tcPr>
          <w:p w14:paraId="29DD92DD">
            <w:pPr>
              <w:adjustRightInd w:val="0"/>
              <w:ind w:right="-107" w:rightChars="-51"/>
              <w:rPr>
                <w:rFonts w:hint="eastAsia" w:ascii="宋体" w:hAnsi="宋体" w:cs="仿宋_GB2312"/>
                <w:kern w:val="0"/>
                <w:sz w:val="24"/>
              </w:rPr>
            </w:pPr>
            <w:r>
              <w:rPr>
                <w:rFonts w:hint="eastAsia" w:ascii="宋体" w:hAnsi="宋体" w:cs="仿宋_GB2312"/>
                <w:kern w:val="0"/>
                <w:sz w:val="24"/>
              </w:rPr>
              <w:t>符合第二章</w:t>
            </w:r>
            <w:r>
              <w:rPr>
                <w:rFonts w:hint="eastAsia" w:ascii="宋体" w:hAnsi="宋体"/>
                <w:kern w:val="0"/>
                <w:sz w:val="24"/>
              </w:rPr>
              <w:t>“</w:t>
            </w:r>
            <w:r>
              <w:rPr>
                <w:rFonts w:hint="eastAsia" w:ascii="宋体" w:hAnsi="宋体" w:cs="仿宋_GB2312"/>
                <w:kern w:val="0"/>
                <w:sz w:val="24"/>
              </w:rPr>
              <w:t>投标人须知</w:t>
            </w:r>
            <w:r>
              <w:rPr>
                <w:rFonts w:hint="eastAsia" w:ascii="宋体" w:hAnsi="宋体"/>
                <w:kern w:val="0"/>
                <w:sz w:val="24"/>
              </w:rPr>
              <w:t>”</w:t>
            </w:r>
            <w:r>
              <w:rPr>
                <w:rFonts w:hint="eastAsia" w:ascii="宋体" w:hAnsi="宋体" w:cs="仿宋_GB2312"/>
                <w:kern w:val="0"/>
                <w:sz w:val="24"/>
              </w:rPr>
              <w:t>第</w:t>
            </w:r>
            <w:r>
              <w:rPr>
                <w:rFonts w:hint="eastAsia" w:ascii="宋体" w:hAnsi="宋体" w:cs="TimesNewRomanPSMT"/>
                <w:kern w:val="0"/>
                <w:sz w:val="24"/>
              </w:rPr>
              <w:t xml:space="preserve">1.4.1 </w:t>
            </w:r>
            <w:r>
              <w:rPr>
                <w:rFonts w:hint="eastAsia" w:ascii="宋体" w:hAnsi="宋体" w:cs="仿宋_GB2312"/>
                <w:kern w:val="0"/>
                <w:sz w:val="24"/>
              </w:rPr>
              <w:t>项规定</w:t>
            </w:r>
          </w:p>
        </w:tc>
      </w:tr>
      <w:tr w14:paraId="6171C6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0" w:hRule="atLeast"/>
          <w:jc w:val="center"/>
        </w:trPr>
        <w:tc>
          <w:tcPr>
            <w:tcW w:w="917" w:type="dxa"/>
            <w:gridSpan w:val="2"/>
            <w:vMerge w:val="continue"/>
            <w:noWrap w:val="0"/>
            <w:vAlign w:val="top"/>
          </w:tcPr>
          <w:p w14:paraId="1CB025BE">
            <w:pPr>
              <w:widowControl/>
              <w:adjustRightInd w:val="0"/>
              <w:jc w:val="left"/>
              <w:rPr>
                <w:rFonts w:hint="eastAsia" w:ascii="宋体" w:hAnsi="宋体" w:cs="仿宋_GB2312"/>
                <w:kern w:val="0"/>
                <w:sz w:val="24"/>
              </w:rPr>
            </w:pPr>
          </w:p>
        </w:tc>
        <w:tc>
          <w:tcPr>
            <w:tcW w:w="857" w:type="dxa"/>
            <w:vMerge w:val="continue"/>
            <w:noWrap w:val="0"/>
            <w:vAlign w:val="top"/>
          </w:tcPr>
          <w:p w14:paraId="58F656F8">
            <w:pPr>
              <w:widowControl/>
              <w:adjustRightInd w:val="0"/>
              <w:jc w:val="left"/>
              <w:rPr>
                <w:rFonts w:hint="eastAsia" w:ascii="宋体" w:hAnsi="宋体" w:cs="仿宋_GB2312"/>
                <w:kern w:val="0"/>
                <w:sz w:val="24"/>
              </w:rPr>
            </w:pPr>
          </w:p>
        </w:tc>
        <w:tc>
          <w:tcPr>
            <w:tcW w:w="2738" w:type="dxa"/>
            <w:noWrap w:val="0"/>
            <w:vAlign w:val="center"/>
          </w:tcPr>
          <w:p w14:paraId="44C30A85">
            <w:pPr>
              <w:adjustRightInd w:val="0"/>
              <w:rPr>
                <w:rFonts w:hint="eastAsia" w:ascii="宋体" w:hAnsi="宋体" w:cs="仿宋_GB2312"/>
                <w:kern w:val="0"/>
                <w:sz w:val="24"/>
              </w:rPr>
            </w:pPr>
            <w:r>
              <w:rPr>
                <w:rFonts w:hint="eastAsia" w:ascii="宋体" w:hAnsi="宋体" w:cs="仿宋_GB2312"/>
                <w:kern w:val="0"/>
                <w:sz w:val="24"/>
                <w:lang w:val="en-US" w:eastAsia="zh-CN"/>
              </w:rPr>
              <w:t>信誉</w:t>
            </w:r>
            <w:r>
              <w:rPr>
                <w:rFonts w:hint="eastAsia" w:ascii="宋体" w:hAnsi="宋体" w:cs="仿宋_GB2312"/>
                <w:kern w:val="0"/>
                <w:sz w:val="24"/>
              </w:rPr>
              <w:t>要求</w:t>
            </w:r>
          </w:p>
        </w:tc>
        <w:tc>
          <w:tcPr>
            <w:tcW w:w="4951" w:type="dxa"/>
            <w:noWrap w:val="0"/>
            <w:vAlign w:val="center"/>
          </w:tcPr>
          <w:p w14:paraId="1C60BCEB">
            <w:pPr>
              <w:adjustRightInd w:val="0"/>
              <w:ind w:right="-107" w:rightChars="-51"/>
              <w:rPr>
                <w:rFonts w:hint="eastAsia" w:ascii="宋体" w:hAnsi="宋体" w:cs="仿宋_GB2312"/>
                <w:kern w:val="0"/>
                <w:sz w:val="24"/>
              </w:rPr>
            </w:pPr>
            <w:r>
              <w:rPr>
                <w:rFonts w:hint="eastAsia" w:ascii="宋体" w:hAnsi="宋体" w:cs="仿宋_GB2312"/>
                <w:kern w:val="0"/>
                <w:sz w:val="24"/>
              </w:rPr>
              <w:t>符合第二章</w:t>
            </w:r>
            <w:r>
              <w:rPr>
                <w:rFonts w:hint="eastAsia" w:ascii="宋体" w:hAnsi="宋体"/>
                <w:kern w:val="0"/>
                <w:sz w:val="24"/>
              </w:rPr>
              <w:t>“</w:t>
            </w:r>
            <w:r>
              <w:rPr>
                <w:rFonts w:hint="eastAsia" w:ascii="宋体" w:hAnsi="宋体" w:cs="仿宋_GB2312"/>
                <w:kern w:val="0"/>
                <w:sz w:val="24"/>
              </w:rPr>
              <w:t>投标人须知</w:t>
            </w:r>
            <w:r>
              <w:rPr>
                <w:rFonts w:hint="eastAsia" w:ascii="宋体" w:hAnsi="宋体"/>
                <w:kern w:val="0"/>
                <w:sz w:val="24"/>
              </w:rPr>
              <w:t>”</w:t>
            </w:r>
            <w:r>
              <w:rPr>
                <w:rFonts w:hint="eastAsia" w:ascii="宋体" w:hAnsi="宋体" w:cs="仿宋_GB2312"/>
                <w:kern w:val="0"/>
                <w:sz w:val="24"/>
              </w:rPr>
              <w:t>第</w:t>
            </w:r>
            <w:r>
              <w:rPr>
                <w:rFonts w:hint="eastAsia" w:ascii="宋体" w:hAnsi="宋体" w:cs="TimesNewRomanPSMT"/>
                <w:kern w:val="0"/>
                <w:sz w:val="24"/>
              </w:rPr>
              <w:t xml:space="preserve">1.4.1 </w:t>
            </w:r>
            <w:r>
              <w:rPr>
                <w:rFonts w:hint="eastAsia" w:ascii="宋体" w:hAnsi="宋体" w:cs="仿宋_GB2312"/>
                <w:kern w:val="0"/>
                <w:sz w:val="24"/>
              </w:rPr>
              <w:t>项规定</w:t>
            </w:r>
          </w:p>
        </w:tc>
      </w:tr>
      <w:tr w14:paraId="0ACAF0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3" w:hRule="atLeast"/>
          <w:jc w:val="center"/>
        </w:trPr>
        <w:tc>
          <w:tcPr>
            <w:tcW w:w="917" w:type="dxa"/>
            <w:gridSpan w:val="2"/>
            <w:vMerge w:val="restart"/>
            <w:noWrap w:val="0"/>
            <w:vAlign w:val="center"/>
          </w:tcPr>
          <w:p w14:paraId="423D6C74">
            <w:pPr>
              <w:widowControl/>
              <w:adjustRightInd w:val="0"/>
              <w:jc w:val="center"/>
              <w:rPr>
                <w:rFonts w:hint="eastAsia" w:ascii="宋体" w:hAnsi="宋体" w:cs="仿宋_GB2312"/>
                <w:kern w:val="0"/>
                <w:sz w:val="24"/>
              </w:rPr>
            </w:pPr>
            <w:r>
              <w:rPr>
                <w:rFonts w:hint="eastAsia" w:ascii="宋体" w:hAnsi="宋体" w:cs="TimesNewRomanPSMT"/>
                <w:kern w:val="0"/>
                <w:sz w:val="24"/>
              </w:rPr>
              <w:t>2.1.3</w:t>
            </w:r>
          </w:p>
        </w:tc>
        <w:tc>
          <w:tcPr>
            <w:tcW w:w="857" w:type="dxa"/>
            <w:vMerge w:val="restart"/>
            <w:noWrap w:val="0"/>
            <w:vAlign w:val="center"/>
          </w:tcPr>
          <w:p w14:paraId="1F1FAE8C">
            <w:pPr>
              <w:widowControl/>
              <w:adjustRightInd w:val="0"/>
              <w:jc w:val="center"/>
              <w:rPr>
                <w:rFonts w:hint="eastAsia" w:ascii="宋体" w:hAnsi="宋体" w:cs="仿宋_GB2312"/>
                <w:kern w:val="0"/>
                <w:sz w:val="24"/>
              </w:rPr>
            </w:pPr>
            <w:r>
              <w:rPr>
                <w:rFonts w:hint="eastAsia" w:ascii="宋体" w:hAnsi="宋体" w:cs="仿宋_GB2312"/>
                <w:kern w:val="0"/>
                <w:sz w:val="24"/>
              </w:rPr>
              <w:t>响</w:t>
            </w:r>
          </w:p>
          <w:p w14:paraId="05D71C29">
            <w:pPr>
              <w:widowControl/>
              <w:adjustRightInd w:val="0"/>
              <w:jc w:val="center"/>
              <w:rPr>
                <w:rFonts w:hint="eastAsia" w:ascii="宋体" w:hAnsi="宋体" w:cs="仿宋_GB2312"/>
                <w:kern w:val="0"/>
                <w:sz w:val="24"/>
              </w:rPr>
            </w:pPr>
            <w:r>
              <w:rPr>
                <w:rFonts w:hint="eastAsia" w:ascii="宋体" w:hAnsi="宋体" w:cs="仿宋_GB2312"/>
                <w:kern w:val="0"/>
                <w:sz w:val="24"/>
              </w:rPr>
              <w:t>应</w:t>
            </w:r>
          </w:p>
          <w:p w14:paraId="0B16EAB4">
            <w:pPr>
              <w:widowControl/>
              <w:adjustRightInd w:val="0"/>
              <w:jc w:val="center"/>
              <w:rPr>
                <w:rFonts w:hint="eastAsia" w:ascii="宋体" w:hAnsi="宋体" w:cs="仿宋_GB2312"/>
                <w:kern w:val="0"/>
                <w:sz w:val="24"/>
              </w:rPr>
            </w:pPr>
            <w:r>
              <w:rPr>
                <w:rFonts w:hint="eastAsia" w:ascii="宋体" w:hAnsi="宋体" w:cs="仿宋_GB2312"/>
                <w:kern w:val="0"/>
                <w:sz w:val="24"/>
              </w:rPr>
              <w:t>性</w:t>
            </w:r>
          </w:p>
          <w:p w14:paraId="5DB1458E">
            <w:pPr>
              <w:widowControl/>
              <w:adjustRightInd w:val="0"/>
              <w:jc w:val="center"/>
              <w:rPr>
                <w:rFonts w:hint="eastAsia" w:ascii="宋体" w:hAnsi="宋体" w:cs="仿宋_GB2312"/>
                <w:kern w:val="0"/>
                <w:sz w:val="24"/>
              </w:rPr>
            </w:pPr>
            <w:r>
              <w:rPr>
                <w:rFonts w:hint="eastAsia" w:ascii="宋体" w:hAnsi="宋体" w:cs="仿宋_GB2312"/>
                <w:kern w:val="0"/>
                <w:sz w:val="24"/>
              </w:rPr>
              <w:t>评</w:t>
            </w:r>
          </w:p>
          <w:p w14:paraId="18ABF153">
            <w:pPr>
              <w:widowControl/>
              <w:adjustRightInd w:val="0"/>
              <w:jc w:val="center"/>
              <w:rPr>
                <w:rFonts w:hint="eastAsia" w:ascii="宋体" w:hAnsi="宋体" w:cs="仿宋_GB2312"/>
                <w:kern w:val="0"/>
                <w:sz w:val="24"/>
              </w:rPr>
            </w:pPr>
            <w:r>
              <w:rPr>
                <w:rFonts w:hint="eastAsia" w:ascii="宋体" w:hAnsi="宋体" w:cs="仿宋_GB2312"/>
                <w:kern w:val="0"/>
                <w:sz w:val="24"/>
              </w:rPr>
              <w:t>审</w:t>
            </w:r>
          </w:p>
          <w:p w14:paraId="63C724A2">
            <w:pPr>
              <w:widowControl/>
              <w:adjustRightInd w:val="0"/>
              <w:jc w:val="center"/>
              <w:rPr>
                <w:rFonts w:hint="eastAsia" w:ascii="宋体" w:hAnsi="宋体" w:cs="仿宋_GB2312"/>
                <w:kern w:val="0"/>
                <w:sz w:val="24"/>
              </w:rPr>
            </w:pPr>
            <w:r>
              <w:rPr>
                <w:rFonts w:hint="eastAsia" w:ascii="宋体" w:hAnsi="宋体" w:cs="仿宋_GB2312"/>
                <w:kern w:val="0"/>
                <w:sz w:val="24"/>
              </w:rPr>
              <w:t>标</w:t>
            </w:r>
          </w:p>
          <w:p w14:paraId="14C6303A">
            <w:pPr>
              <w:widowControl/>
              <w:adjustRightInd w:val="0"/>
              <w:jc w:val="center"/>
              <w:rPr>
                <w:rFonts w:hint="eastAsia" w:ascii="宋体" w:hAnsi="宋体" w:cs="仿宋_GB2312"/>
                <w:kern w:val="0"/>
                <w:sz w:val="24"/>
              </w:rPr>
            </w:pPr>
            <w:r>
              <w:rPr>
                <w:rFonts w:hint="eastAsia" w:ascii="宋体" w:hAnsi="宋体" w:cs="仿宋_GB2312"/>
                <w:kern w:val="0"/>
                <w:sz w:val="24"/>
              </w:rPr>
              <w:t>准</w:t>
            </w:r>
          </w:p>
        </w:tc>
        <w:tc>
          <w:tcPr>
            <w:tcW w:w="2738" w:type="dxa"/>
            <w:noWrap w:val="0"/>
            <w:vAlign w:val="center"/>
          </w:tcPr>
          <w:p w14:paraId="298B6913">
            <w:pPr>
              <w:widowControl/>
              <w:adjustRightInd w:val="0"/>
              <w:rPr>
                <w:rFonts w:hint="eastAsia" w:ascii="宋体" w:hAnsi="宋体" w:cs="仿宋_GB2312"/>
                <w:kern w:val="0"/>
                <w:sz w:val="24"/>
              </w:rPr>
            </w:pPr>
            <w:r>
              <w:rPr>
                <w:rFonts w:hint="eastAsia" w:ascii="宋体" w:hAnsi="宋体" w:cs="仿宋_GB2312"/>
                <w:kern w:val="0"/>
                <w:sz w:val="24"/>
              </w:rPr>
              <w:t>投标内容</w:t>
            </w:r>
          </w:p>
        </w:tc>
        <w:tc>
          <w:tcPr>
            <w:tcW w:w="4951" w:type="dxa"/>
            <w:noWrap w:val="0"/>
            <w:vAlign w:val="center"/>
          </w:tcPr>
          <w:p w14:paraId="62BBF829">
            <w:pPr>
              <w:widowControl/>
              <w:adjustRightInd w:val="0"/>
              <w:ind w:right="-107" w:rightChars="-51"/>
              <w:rPr>
                <w:rFonts w:hint="eastAsia" w:ascii="宋体" w:hAnsi="宋体" w:cs="仿宋_GB2312"/>
                <w:kern w:val="0"/>
                <w:sz w:val="24"/>
              </w:rPr>
            </w:pPr>
            <w:r>
              <w:rPr>
                <w:rFonts w:hint="eastAsia" w:ascii="宋体" w:hAnsi="宋体" w:cs="仿宋_GB2312"/>
                <w:kern w:val="0"/>
                <w:sz w:val="24"/>
              </w:rPr>
              <w:t>符合第二章</w:t>
            </w:r>
            <w:r>
              <w:rPr>
                <w:rFonts w:hint="eastAsia" w:ascii="宋体" w:hAnsi="宋体"/>
                <w:kern w:val="0"/>
                <w:sz w:val="24"/>
              </w:rPr>
              <w:t>“</w:t>
            </w:r>
            <w:r>
              <w:rPr>
                <w:rFonts w:hint="eastAsia" w:ascii="宋体" w:hAnsi="宋体" w:cs="仿宋_GB2312"/>
                <w:kern w:val="0"/>
                <w:sz w:val="24"/>
              </w:rPr>
              <w:t>投标人须知</w:t>
            </w:r>
            <w:r>
              <w:rPr>
                <w:rFonts w:hint="eastAsia" w:ascii="宋体" w:hAnsi="宋体"/>
                <w:kern w:val="0"/>
                <w:sz w:val="24"/>
              </w:rPr>
              <w:t>”</w:t>
            </w:r>
            <w:r>
              <w:rPr>
                <w:rFonts w:hint="eastAsia" w:ascii="宋体" w:hAnsi="宋体" w:cs="仿宋_GB2312"/>
                <w:kern w:val="0"/>
                <w:sz w:val="24"/>
              </w:rPr>
              <w:t>第</w:t>
            </w:r>
            <w:r>
              <w:rPr>
                <w:rFonts w:hint="eastAsia" w:ascii="宋体" w:hAnsi="宋体" w:cs="TimesNewRomanPSMT"/>
                <w:kern w:val="0"/>
                <w:sz w:val="24"/>
              </w:rPr>
              <w:t xml:space="preserve">1.3.1 </w:t>
            </w:r>
            <w:r>
              <w:rPr>
                <w:rFonts w:hint="eastAsia" w:ascii="宋体" w:hAnsi="宋体" w:cs="仿宋_GB2312"/>
                <w:kern w:val="0"/>
                <w:sz w:val="24"/>
              </w:rPr>
              <w:t>项规定</w:t>
            </w:r>
          </w:p>
        </w:tc>
      </w:tr>
      <w:tr w14:paraId="649523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3" w:hRule="atLeast"/>
          <w:jc w:val="center"/>
        </w:trPr>
        <w:tc>
          <w:tcPr>
            <w:tcW w:w="917" w:type="dxa"/>
            <w:gridSpan w:val="2"/>
            <w:vMerge w:val="continue"/>
            <w:noWrap w:val="0"/>
            <w:vAlign w:val="top"/>
          </w:tcPr>
          <w:p w14:paraId="0D19D3F0">
            <w:pPr>
              <w:widowControl/>
              <w:adjustRightInd w:val="0"/>
              <w:jc w:val="left"/>
              <w:rPr>
                <w:rFonts w:hint="eastAsia" w:ascii="宋体" w:hAnsi="宋体" w:cs="仿宋_GB2312"/>
                <w:kern w:val="0"/>
                <w:sz w:val="24"/>
              </w:rPr>
            </w:pPr>
          </w:p>
        </w:tc>
        <w:tc>
          <w:tcPr>
            <w:tcW w:w="857" w:type="dxa"/>
            <w:vMerge w:val="continue"/>
            <w:noWrap w:val="0"/>
            <w:vAlign w:val="top"/>
          </w:tcPr>
          <w:p w14:paraId="2ED28874">
            <w:pPr>
              <w:widowControl/>
              <w:adjustRightInd w:val="0"/>
              <w:jc w:val="left"/>
              <w:rPr>
                <w:rFonts w:hint="eastAsia" w:ascii="宋体" w:hAnsi="宋体" w:cs="仿宋_GB2312"/>
                <w:kern w:val="0"/>
                <w:sz w:val="24"/>
              </w:rPr>
            </w:pPr>
          </w:p>
        </w:tc>
        <w:tc>
          <w:tcPr>
            <w:tcW w:w="2738" w:type="dxa"/>
            <w:noWrap w:val="0"/>
            <w:vAlign w:val="center"/>
          </w:tcPr>
          <w:p w14:paraId="413DDC82">
            <w:pPr>
              <w:widowControl/>
              <w:adjustRightInd w:val="0"/>
              <w:rPr>
                <w:rFonts w:hint="eastAsia" w:ascii="宋体" w:hAnsi="宋体" w:cs="仿宋_GB2312"/>
                <w:kern w:val="0"/>
                <w:sz w:val="24"/>
              </w:rPr>
            </w:pPr>
            <w:r>
              <w:rPr>
                <w:rFonts w:hint="eastAsia" w:ascii="宋体" w:hAnsi="宋体" w:cs="仿宋_GB2312"/>
                <w:kern w:val="0"/>
                <w:sz w:val="24"/>
              </w:rPr>
              <w:t>工期</w:t>
            </w:r>
          </w:p>
        </w:tc>
        <w:tc>
          <w:tcPr>
            <w:tcW w:w="4951" w:type="dxa"/>
            <w:noWrap w:val="0"/>
            <w:vAlign w:val="center"/>
          </w:tcPr>
          <w:p w14:paraId="0EB5B22B">
            <w:pPr>
              <w:widowControl/>
              <w:adjustRightInd w:val="0"/>
              <w:ind w:right="-107" w:rightChars="-51"/>
              <w:rPr>
                <w:rFonts w:hint="eastAsia" w:ascii="宋体" w:hAnsi="宋体" w:cs="仿宋_GB2312"/>
                <w:kern w:val="0"/>
                <w:sz w:val="24"/>
              </w:rPr>
            </w:pPr>
            <w:r>
              <w:rPr>
                <w:rFonts w:hint="eastAsia" w:ascii="宋体" w:hAnsi="宋体" w:cs="仿宋_GB2312"/>
                <w:kern w:val="0"/>
                <w:sz w:val="24"/>
              </w:rPr>
              <w:t>符合第二章</w:t>
            </w:r>
            <w:r>
              <w:rPr>
                <w:rFonts w:hint="eastAsia" w:ascii="宋体" w:hAnsi="宋体"/>
                <w:kern w:val="0"/>
                <w:sz w:val="24"/>
              </w:rPr>
              <w:t>“</w:t>
            </w:r>
            <w:r>
              <w:rPr>
                <w:rFonts w:hint="eastAsia" w:ascii="宋体" w:hAnsi="宋体" w:cs="仿宋_GB2312"/>
                <w:kern w:val="0"/>
                <w:sz w:val="24"/>
              </w:rPr>
              <w:t>投标人须知</w:t>
            </w:r>
            <w:r>
              <w:rPr>
                <w:rFonts w:hint="eastAsia" w:ascii="宋体" w:hAnsi="宋体"/>
                <w:kern w:val="0"/>
                <w:sz w:val="24"/>
              </w:rPr>
              <w:t>”</w:t>
            </w:r>
            <w:r>
              <w:rPr>
                <w:rFonts w:hint="eastAsia" w:ascii="宋体" w:hAnsi="宋体" w:cs="仿宋_GB2312"/>
                <w:kern w:val="0"/>
                <w:sz w:val="24"/>
              </w:rPr>
              <w:t>第</w:t>
            </w:r>
            <w:r>
              <w:rPr>
                <w:rFonts w:hint="eastAsia" w:ascii="宋体" w:hAnsi="宋体" w:cs="TimesNewRomanPSMT"/>
                <w:kern w:val="0"/>
                <w:sz w:val="24"/>
              </w:rPr>
              <w:t xml:space="preserve">1.3.2 </w:t>
            </w:r>
            <w:r>
              <w:rPr>
                <w:rFonts w:hint="eastAsia" w:ascii="宋体" w:hAnsi="宋体" w:cs="仿宋_GB2312"/>
                <w:kern w:val="0"/>
                <w:sz w:val="24"/>
              </w:rPr>
              <w:t>项规定</w:t>
            </w:r>
          </w:p>
        </w:tc>
      </w:tr>
      <w:tr w14:paraId="2ED1FD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3" w:hRule="atLeast"/>
          <w:jc w:val="center"/>
        </w:trPr>
        <w:tc>
          <w:tcPr>
            <w:tcW w:w="917" w:type="dxa"/>
            <w:gridSpan w:val="2"/>
            <w:vMerge w:val="continue"/>
            <w:noWrap w:val="0"/>
            <w:vAlign w:val="top"/>
          </w:tcPr>
          <w:p w14:paraId="1FDBF6E6">
            <w:pPr>
              <w:widowControl/>
              <w:adjustRightInd w:val="0"/>
              <w:jc w:val="left"/>
              <w:rPr>
                <w:rFonts w:hint="eastAsia" w:ascii="宋体" w:hAnsi="宋体" w:cs="仿宋_GB2312"/>
                <w:kern w:val="0"/>
                <w:sz w:val="24"/>
              </w:rPr>
            </w:pPr>
          </w:p>
        </w:tc>
        <w:tc>
          <w:tcPr>
            <w:tcW w:w="857" w:type="dxa"/>
            <w:vMerge w:val="continue"/>
            <w:noWrap w:val="0"/>
            <w:vAlign w:val="top"/>
          </w:tcPr>
          <w:p w14:paraId="27C380B0">
            <w:pPr>
              <w:widowControl/>
              <w:adjustRightInd w:val="0"/>
              <w:jc w:val="left"/>
              <w:rPr>
                <w:rFonts w:hint="eastAsia" w:ascii="宋体" w:hAnsi="宋体" w:cs="仿宋_GB2312"/>
                <w:kern w:val="0"/>
                <w:sz w:val="24"/>
              </w:rPr>
            </w:pPr>
          </w:p>
        </w:tc>
        <w:tc>
          <w:tcPr>
            <w:tcW w:w="2738" w:type="dxa"/>
            <w:noWrap w:val="0"/>
            <w:vAlign w:val="center"/>
          </w:tcPr>
          <w:p w14:paraId="1B48FE84">
            <w:pPr>
              <w:widowControl/>
              <w:adjustRightInd w:val="0"/>
              <w:rPr>
                <w:rFonts w:hint="eastAsia" w:ascii="宋体" w:hAnsi="宋体" w:cs="仿宋_GB2312"/>
                <w:kern w:val="0"/>
                <w:sz w:val="24"/>
              </w:rPr>
            </w:pPr>
            <w:r>
              <w:rPr>
                <w:rFonts w:ascii="华文细黑" w:hAnsi="华文细黑"/>
                <w:sz w:val="24"/>
              </w:rPr>
              <w:t>质量要求</w:t>
            </w:r>
          </w:p>
        </w:tc>
        <w:tc>
          <w:tcPr>
            <w:tcW w:w="4951" w:type="dxa"/>
            <w:noWrap w:val="0"/>
            <w:vAlign w:val="center"/>
          </w:tcPr>
          <w:p w14:paraId="58C4A480">
            <w:pPr>
              <w:widowControl/>
              <w:adjustRightInd w:val="0"/>
              <w:ind w:right="-107" w:rightChars="-51"/>
              <w:rPr>
                <w:rFonts w:hint="eastAsia" w:ascii="宋体" w:hAnsi="宋体" w:cs="仿宋_GB2312"/>
                <w:kern w:val="0"/>
                <w:sz w:val="24"/>
              </w:rPr>
            </w:pPr>
            <w:r>
              <w:rPr>
                <w:rFonts w:hint="eastAsia" w:ascii="宋体" w:hAnsi="宋体" w:cs="仿宋_GB2312"/>
                <w:kern w:val="0"/>
                <w:sz w:val="24"/>
              </w:rPr>
              <w:t>符合第二章</w:t>
            </w:r>
            <w:r>
              <w:rPr>
                <w:rFonts w:hint="eastAsia" w:ascii="宋体" w:hAnsi="宋体"/>
                <w:kern w:val="0"/>
                <w:sz w:val="24"/>
              </w:rPr>
              <w:t>“</w:t>
            </w:r>
            <w:r>
              <w:rPr>
                <w:rFonts w:hint="eastAsia" w:ascii="宋体" w:hAnsi="宋体" w:cs="仿宋_GB2312"/>
                <w:kern w:val="0"/>
                <w:sz w:val="24"/>
              </w:rPr>
              <w:t>投标人须知</w:t>
            </w:r>
            <w:r>
              <w:rPr>
                <w:rFonts w:hint="eastAsia" w:ascii="宋体" w:hAnsi="宋体"/>
                <w:kern w:val="0"/>
                <w:sz w:val="24"/>
              </w:rPr>
              <w:t>”</w:t>
            </w:r>
            <w:r>
              <w:rPr>
                <w:rFonts w:hint="eastAsia" w:ascii="宋体" w:hAnsi="宋体" w:cs="仿宋_GB2312"/>
                <w:kern w:val="0"/>
                <w:sz w:val="24"/>
              </w:rPr>
              <w:t>第</w:t>
            </w:r>
            <w:r>
              <w:rPr>
                <w:rFonts w:hint="eastAsia" w:ascii="宋体" w:hAnsi="宋体" w:cs="TimesNewRomanPSMT"/>
                <w:kern w:val="0"/>
                <w:sz w:val="24"/>
              </w:rPr>
              <w:t xml:space="preserve">1.3.3 </w:t>
            </w:r>
            <w:r>
              <w:rPr>
                <w:rFonts w:hint="eastAsia" w:ascii="宋体" w:hAnsi="宋体" w:cs="仿宋_GB2312"/>
                <w:kern w:val="0"/>
                <w:sz w:val="24"/>
              </w:rPr>
              <w:t>项规定</w:t>
            </w:r>
          </w:p>
        </w:tc>
      </w:tr>
      <w:tr w14:paraId="2C9439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3" w:hRule="atLeast"/>
          <w:jc w:val="center"/>
        </w:trPr>
        <w:tc>
          <w:tcPr>
            <w:tcW w:w="917" w:type="dxa"/>
            <w:gridSpan w:val="2"/>
            <w:vMerge w:val="continue"/>
            <w:noWrap w:val="0"/>
            <w:vAlign w:val="top"/>
          </w:tcPr>
          <w:p w14:paraId="7C7F16B0">
            <w:pPr>
              <w:widowControl/>
              <w:adjustRightInd w:val="0"/>
              <w:jc w:val="left"/>
              <w:rPr>
                <w:rFonts w:hint="eastAsia" w:ascii="宋体" w:hAnsi="宋体" w:cs="仿宋_GB2312"/>
                <w:kern w:val="0"/>
                <w:sz w:val="24"/>
              </w:rPr>
            </w:pPr>
          </w:p>
        </w:tc>
        <w:tc>
          <w:tcPr>
            <w:tcW w:w="857" w:type="dxa"/>
            <w:vMerge w:val="continue"/>
            <w:noWrap w:val="0"/>
            <w:vAlign w:val="top"/>
          </w:tcPr>
          <w:p w14:paraId="679DAC84">
            <w:pPr>
              <w:widowControl/>
              <w:adjustRightInd w:val="0"/>
              <w:jc w:val="left"/>
              <w:rPr>
                <w:rFonts w:hint="eastAsia" w:ascii="宋体" w:hAnsi="宋体" w:cs="仿宋_GB2312"/>
                <w:kern w:val="0"/>
                <w:sz w:val="24"/>
              </w:rPr>
            </w:pPr>
          </w:p>
        </w:tc>
        <w:tc>
          <w:tcPr>
            <w:tcW w:w="2738" w:type="dxa"/>
            <w:noWrap w:val="0"/>
            <w:vAlign w:val="center"/>
          </w:tcPr>
          <w:p w14:paraId="09BDDFA1">
            <w:pPr>
              <w:widowControl/>
              <w:adjustRightInd w:val="0"/>
              <w:rPr>
                <w:rFonts w:hint="eastAsia" w:ascii="宋体" w:hAnsi="宋体" w:cs="仿宋_GB2312"/>
                <w:kern w:val="0"/>
                <w:sz w:val="24"/>
              </w:rPr>
            </w:pPr>
            <w:r>
              <w:rPr>
                <w:rFonts w:hint="eastAsia" w:ascii="宋体" w:hAnsi="宋体" w:cs="仿宋_GB2312"/>
                <w:kern w:val="0"/>
                <w:sz w:val="24"/>
              </w:rPr>
              <w:t>投标有效期</w:t>
            </w:r>
          </w:p>
        </w:tc>
        <w:tc>
          <w:tcPr>
            <w:tcW w:w="4951" w:type="dxa"/>
            <w:noWrap w:val="0"/>
            <w:vAlign w:val="center"/>
          </w:tcPr>
          <w:p w14:paraId="4F96E265">
            <w:pPr>
              <w:widowControl/>
              <w:adjustRightInd w:val="0"/>
              <w:ind w:right="-107" w:rightChars="-51"/>
              <w:rPr>
                <w:rFonts w:hint="eastAsia" w:ascii="宋体" w:hAnsi="宋体" w:cs="仿宋_GB2312"/>
                <w:kern w:val="0"/>
                <w:sz w:val="24"/>
              </w:rPr>
            </w:pPr>
            <w:r>
              <w:rPr>
                <w:rFonts w:hint="eastAsia" w:ascii="宋体" w:hAnsi="宋体" w:cs="仿宋_GB2312"/>
                <w:kern w:val="0"/>
                <w:sz w:val="24"/>
              </w:rPr>
              <w:t>符合第二章</w:t>
            </w:r>
            <w:r>
              <w:rPr>
                <w:rFonts w:hint="eastAsia" w:ascii="宋体" w:hAnsi="宋体"/>
                <w:kern w:val="0"/>
                <w:sz w:val="24"/>
              </w:rPr>
              <w:t>“</w:t>
            </w:r>
            <w:r>
              <w:rPr>
                <w:rFonts w:hint="eastAsia" w:ascii="宋体" w:hAnsi="宋体" w:cs="仿宋_GB2312"/>
                <w:kern w:val="0"/>
                <w:sz w:val="24"/>
              </w:rPr>
              <w:t>投标人须知</w:t>
            </w:r>
            <w:r>
              <w:rPr>
                <w:rFonts w:hint="eastAsia" w:ascii="宋体" w:hAnsi="宋体"/>
                <w:kern w:val="0"/>
                <w:sz w:val="24"/>
              </w:rPr>
              <w:t>”</w:t>
            </w:r>
            <w:r>
              <w:rPr>
                <w:rFonts w:hint="eastAsia" w:ascii="宋体" w:hAnsi="宋体" w:cs="仿宋_GB2312"/>
                <w:kern w:val="0"/>
                <w:sz w:val="24"/>
              </w:rPr>
              <w:t>第</w:t>
            </w:r>
            <w:r>
              <w:rPr>
                <w:rFonts w:hint="eastAsia" w:ascii="宋体" w:hAnsi="宋体" w:cs="TimesNewRomanPSMT"/>
                <w:kern w:val="0"/>
                <w:sz w:val="24"/>
              </w:rPr>
              <w:t xml:space="preserve">3.3.1 </w:t>
            </w:r>
            <w:r>
              <w:rPr>
                <w:rFonts w:hint="eastAsia" w:ascii="宋体" w:hAnsi="宋体" w:cs="仿宋_GB2312"/>
                <w:kern w:val="0"/>
                <w:sz w:val="24"/>
              </w:rPr>
              <w:t>项规定</w:t>
            </w:r>
          </w:p>
        </w:tc>
      </w:tr>
      <w:tr w14:paraId="431B74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3" w:hRule="atLeast"/>
          <w:jc w:val="center"/>
        </w:trPr>
        <w:tc>
          <w:tcPr>
            <w:tcW w:w="917" w:type="dxa"/>
            <w:gridSpan w:val="2"/>
            <w:vMerge w:val="continue"/>
            <w:noWrap w:val="0"/>
            <w:vAlign w:val="top"/>
          </w:tcPr>
          <w:p w14:paraId="5264F236">
            <w:pPr>
              <w:widowControl/>
              <w:adjustRightInd w:val="0"/>
              <w:jc w:val="left"/>
              <w:rPr>
                <w:rFonts w:hint="eastAsia" w:ascii="宋体" w:hAnsi="宋体" w:cs="仿宋_GB2312"/>
                <w:kern w:val="0"/>
                <w:sz w:val="24"/>
              </w:rPr>
            </w:pPr>
          </w:p>
        </w:tc>
        <w:tc>
          <w:tcPr>
            <w:tcW w:w="857" w:type="dxa"/>
            <w:vMerge w:val="continue"/>
            <w:noWrap w:val="0"/>
            <w:vAlign w:val="top"/>
          </w:tcPr>
          <w:p w14:paraId="120CA39D">
            <w:pPr>
              <w:widowControl/>
              <w:adjustRightInd w:val="0"/>
              <w:jc w:val="left"/>
              <w:rPr>
                <w:rFonts w:hint="eastAsia" w:ascii="宋体" w:hAnsi="宋体" w:cs="仿宋_GB2312"/>
                <w:kern w:val="0"/>
                <w:sz w:val="24"/>
              </w:rPr>
            </w:pPr>
          </w:p>
        </w:tc>
        <w:tc>
          <w:tcPr>
            <w:tcW w:w="2738" w:type="dxa"/>
            <w:noWrap w:val="0"/>
            <w:vAlign w:val="center"/>
          </w:tcPr>
          <w:p w14:paraId="0D73B3FD">
            <w:pPr>
              <w:widowControl/>
              <w:adjustRightInd w:val="0"/>
              <w:rPr>
                <w:rFonts w:hint="eastAsia" w:ascii="宋体" w:hAnsi="宋体" w:cs="仿宋_GB2312"/>
                <w:kern w:val="0"/>
                <w:sz w:val="24"/>
              </w:rPr>
            </w:pPr>
            <w:r>
              <w:rPr>
                <w:rFonts w:hint="eastAsia" w:ascii="宋体" w:hAnsi="宋体" w:cs="仿宋_GB2312"/>
                <w:kern w:val="0"/>
                <w:sz w:val="24"/>
              </w:rPr>
              <w:t>投标保证金</w:t>
            </w:r>
          </w:p>
        </w:tc>
        <w:tc>
          <w:tcPr>
            <w:tcW w:w="4951" w:type="dxa"/>
            <w:noWrap w:val="0"/>
            <w:vAlign w:val="center"/>
          </w:tcPr>
          <w:p w14:paraId="22E03DDA">
            <w:pPr>
              <w:widowControl/>
              <w:adjustRightInd w:val="0"/>
              <w:ind w:right="-107" w:rightChars="-51"/>
              <w:rPr>
                <w:rFonts w:hint="eastAsia" w:ascii="宋体" w:hAnsi="宋体" w:cs="仿宋_GB2312"/>
                <w:kern w:val="0"/>
                <w:sz w:val="24"/>
              </w:rPr>
            </w:pPr>
            <w:r>
              <w:rPr>
                <w:rFonts w:hint="eastAsia" w:ascii="宋体" w:hAnsi="宋体" w:cs="仿宋_GB2312"/>
                <w:kern w:val="0"/>
                <w:sz w:val="24"/>
              </w:rPr>
              <w:t>符合第二章</w:t>
            </w:r>
            <w:r>
              <w:rPr>
                <w:rFonts w:hint="eastAsia" w:ascii="宋体" w:hAnsi="宋体"/>
                <w:kern w:val="0"/>
                <w:sz w:val="24"/>
              </w:rPr>
              <w:t>“</w:t>
            </w:r>
            <w:r>
              <w:rPr>
                <w:rFonts w:hint="eastAsia" w:ascii="宋体" w:hAnsi="宋体" w:cs="仿宋_GB2312"/>
                <w:kern w:val="0"/>
                <w:sz w:val="24"/>
              </w:rPr>
              <w:t>投标人须知</w:t>
            </w:r>
            <w:r>
              <w:rPr>
                <w:rFonts w:hint="eastAsia" w:ascii="宋体" w:hAnsi="宋体"/>
                <w:kern w:val="0"/>
                <w:sz w:val="24"/>
              </w:rPr>
              <w:t>”</w:t>
            </w:r>
            <w:r>
              <w:rPr>
                <w:rFonts w:hint="eastAsia" w:ascii="宋体" w:hAnsi="宋体" w:cs="仿宋_GB2312"/>
                <w:kern w:val="0"/>
                <w:sz w:val="24"/>
              </w:rPr>
              <w:t>第</w:t>
            </w:r>
            <w:r>
              <w:rPr>
                <w:rFonts w:hint="eastAsia" w:ascii="宋体" w:hAnsi="宋体" w:cs="TimesNewRomanPSMT"/>
                <w:kern w:val="0"/>
                <w:sz w:val="24"/>
              </w:rPr>
              <w:t xml:space="preserve">3.4.1 </w:t>
            </w:r>
            <w:r>
              <w:rPr>
                <w:rFonts w:hint="eastAsia" w:ascii="宋体" w:hAnsi="宋体" w:cs="仿宋_GB2312"/>
                <w:kern w:val="0"/>
                <w:sz w:val="24"/>
              </w:rPr>
              <w:t>项规定</w:t>
            </w:r>
          </w:p>
        </w:tc>
      </w:tr>
      <w:tr w14:paraId="26DCD0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3" w:hRule="atLeast"/>
          <w:jc w:val="center"/>
        </w:trPr>
        <w:tc>
          <w:tcPr>
            <w:tcW w:w="917" w:type="dxa"/>
            <w:gridSpan w:val="2"/>
            <w:vMerge w:val="continue"/>
            <w:noWrap w:val="0"/>
            <w:vAlign w:val="top"/>
          </w:tcPr>
          <w:p w14:paraId="189A1984">
            <w:pPr>
              <w:widowControl/>
              <w:adjustRightInd w:val="0"/>
              <w:jc w:val="left"/>
              <w:rPr>
                <w:rFonts w:hint="eastAsia" w:ascii="宋体" w:hAnsi="宋体" w:cs="仿宋_GB2312"/>
                <w:kern w:val="0"/>
                <w:sz w:val="24"/>
              </w:rPr>
            </w:pPr>
          </w:p>
        </w:tc>
        <w:tc>
          <w:tcPr>
            <w:tcW w:w="857" w:type="dxa"/>
            <w:vMerge w:val="continue"/>
            <w:noWrap w:val="0"/>
            <w:vAlign w:val="top"/>
          </w:tcPr>
          <w:p w14:paraId="7256607E">
            <w:pPr>
              <w:widowControl/>
              <w:adjustRightInd w:val="0"/>
              <w:jc w:val="left"/>
              <w:rPr>
                <w:rFonts w:hint="eastAsia" w:ascii="宋体" w:hAnsi="宋体" w:cs="仿宋_GB2312"/>
                <w:kern w:val="0"/>
                <w:sz w:val="24"/>
              </w:rPr>
            </w:pPr>
          </w:p>
        </w:tc>
        <w:tc>
          <w:tcPr>
            <w:tcW w:w="2738" w:type="dxa"/>
            <w:noWrap w:val="0"/>
            <w:vAlign w:val="center"/>
          </w:tcPr>
          <w:p w14:paraId="789D85BB">
            <w:pPr>
              <w:widowControl/>
              <w:adjustRightInd w:val="0"/>
              <w:rPr>
                <w:rFonts w:hint="eastAsia" w:ascii="宋体" w:hAnsi="宋体" w:cs="仿宋_GB2312"/>
                <w:kern w:val="0"/>
                <w:sz w:val="24"/>
              </w:rPr>
            </w:pPr>
            <w:r>
              <w:rPr>
                <w:rFonts w:hint="eastAsia" w:ascii="宋体" w:hAnsi="宋体" w:cs="TimesNewRomanPSMT"/>
                <w:kern w:val="0"/>
                <w:sz w:val="24"/>
              </w:rPr>
              <w:t>已标价的工程量清单</w:t>
            </w:r>
          </w:p>
        </w:tc>
        <w:tc>
          <w:tcPr>
            <w:tcW w:w="4951" w:type="dxa"/>
            <w:noWrap w:val="0"/>
            <w:vAlign w:val="center"/>
          </w:tcPr>
          <w:p w14:paraId="6AC468CB">
            <w:pPr>
              <w:widowControl/>
              <w:adjustRightInd w:val="0"/>
              <w:ind w:right="-107" w:rightChars="-51"/>
              <w:rPr>
                <w:rFonts w:hint="eastAsia" w:ascii="宋体" w:hAnsi="宋体" w:cs="仿宋_GB2312"/>
                <w:kern w:val="0"/>
                <w:sz w:val="24"/>
              </w:rPr>
            </w:pPr>
            <w:r>
              <w:rPr>
                <w:rFonts w:hint="eastAsia" w:ascii="宋体" w:hAnsi="宋体" w:cs="仿宋_GB2312"/>
                <w:kern w:val="0"/>
                <w:sz w:val="24"/>
              </w:rPr>
              <w:t>符合第五章“工程量清单”给出的范围及数量</w:t>
            </w:r>
          </w:p>
        </w:tc>
      </w:tr>
      <w:tr w14:paraId="1D56B0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5" w:hRule="atLeast"/>
          <w:jc w:val="center"/>
        </w:trPr>
        <w:tc>
          <w:tcPr>
            <w:tcW w:w="1774" w:type="dxa"/>
            <w:gridSpan w:val="3"/>
            <w:noWrap w:val="0"/>
            <w:vAlign w:val="center"/>
          </w:tcPr>
          <w:p w14:paraId="009429B9">
            <w:pPr>
              <w:widowControl/>
              <w:adjustRightInd w:val="0"/>
              <w:jc w:val="center"/>
              <w:rPr>
                <w:rFonts w:hint="eastAsia" w:ascii="宋体" w:hAnsi="宋体" w:cs="仿宋_GB2312"/>
                <w:b/>
                <w:kern w:val="0"/>
                <w:sz w:val="24"/>
              </w:rPr>
            </w:pPr>
            <w:r>
              <w:rPr>
                <w:rFonts w:hint="eastAsia" w:ascii="宋体" w:hAnsi="宋体" w:cs="仿宋_GB2312"/>
                <w:b/>
                <w:kern w:val="0"/>
                <w:sz w:val="24"/>
              </w:rPr>
              <w:t>条款号</w:t>
            </w:r>
          </w:p>
        </w:tc>
        <w:tc>
          <w:tcPr>
            <w:tcW w:w="2738" w:type="dxa"/>
            <w:noWrap w:val="0"/>
            <w:vAlign w:val="center"/>
          </w:tcPr>
          <w:p w14:paraId="12B3CDC9">
            <w:pPr>
              <w:widowControl/>
              <w:adjustRightInd w:val="0"/>
              <w:jc w:val="center"/>
              <w:rPr>
                <w:rFonts w:hint="eastAsia" w:ascii="宋体" w:hAnsi="宋体" w:cs="仿宋_GB2312"/>
                <w:b/>
                <w:kern w:val="0"/>
                <w:sz w:val="24"/>
              </w:rPr>
            </w:pPr>
            <w:r>
              <w:rPr>
                <w:rFonts w:hint="eastAsia" w:ascii="宋体" w:hAnsi="宋体" w:cs="仿宋_GB2312"/>
                <w:b/>
                <w:kern w:val="0"/>
                <w:sz w:val="24"/>
              </w:rPr>
              <w:t>量化因素</w:t>
            </w:r>
          </w:p>
        </w:tc>
        <w:tc>
          <w:tcPr>
            <w:tcW w:w="4951" w:type="dxa"/>
            <w:noWrap w:val="0"/>
            <w:vAlign w:val="center"/>
          </w:tcPr>
          <w:p w14:paraId="1757070E">
            <w:pPr>
              <w:widowControl/>
              <w:adjustRightInd w:val="0"/>
              <w:ind w:right="-107" w:rightChars="-51"/>
              <w:jc w:val="center"/>
              <w:rPr>
                <w:rFonts w:hint="eastAsia" w:ascii="宋体" w:hAnsi="宋体" w:cs="仿宋_GB2312"/>
                <w:b/>
                <w:kern w:val="0"/>
                <w:sz w:val="24"/>
              </w:rPr>
            </w:pPr>
            <w:r>
              <w:rPr>
                <w:rFonts w:hint="eastAsia" w:ascii="宋体" w:hAnsi="宋体" w:cs="仿宋_GB2312"/>
                <w:b/>
                <w:kern w:val="0"/>
                <w:sz w:val="24"/>
              </w:rPr>
              <w:t>量化标准</w:t>
            </w:r>
          </w:p>
        </w:tc>
      </w:tr>
      <w:tr w14:paraId="4157F3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19" w:hRule="atLeast"/>
          <w:jc w:val="center"/>
        </w:trPr>
        <w:tc>
          <w:tcPr>
            <w:tcW w:w="1774" w:type="dxa"/>
            <w:gridSpan w:val="3"/>
            <w:noWrap w:val="0"/>
            <w:vAlign w:val="center"/>
          </w:tcPr>
          <w:p w14:paraId="61056176">
            <w:pPr>
              <w:widowControl/>
              <w:adjustRightInd w:val="0"/>
              <w:jc w:val="center"/>
              <w:rPr>
                <w:rFonts w:hint="eastAsia" w:ascii="宋体" w:hAnsi="宋体" w:cs="TimesNewRomanPSMT"/>
                <w:kern w:val="0"/>
                <w:sz w:val="24"/>
              </w:rPr>
            </w:pPr>
            <w:r>
              <w:rPr>
                <w:rFonts w:hint="eastAsia" w:ascii="宋体" w:hAnsi="宋体" w:cs="TimesNewRomanPSMT"/>
                <w:kern w:val="0"/>
                <w:sz w:val="24"/>
              </w:rPr>
              <w:t>2.2.1</w:t>
            </w:r>
          </w:p>
        </w:tc>
        <w:tc>
          <w:tcPr>
            <w:tcW w:w="2738" w:type="dxa"/>
            <w:noWrap w:val="0"/>
            <w:vAlign w:val="center"/>
          </w:tcPr>
          <w:p w14:paraId="7676216A">
            <w:pPr>
              <w:widowControl/>
              <w:adjustRightInd w:val="0"/>
              <w:ind w:left="2" w:right="-107" w:rightChars="-51"/>
              <w:jc w:val="center"/>
              <w:rPr>
                <w:rFonts w:hint="eastAsia" w:ascii="宋体" w:hAnsi="宋体"/>
                <w:kern w:val="0"/>
                <w:sz w:val="24"/>
              </w:rPr>
            </w:pPr>
            <w:r>
              <w:rPr>
                <w:rFonts w:hint="eastAsia" w:ascii="宋体" w:hAnsi="宋体"/>
                <w:kern w:val="0"/>
                <w:sz w:val="24"/>
              </w:rPr>
              <w:t>分值构成</w:t>
            </w:r>
          </w:p>
          <w:p w14:paraId="79EA233C">
            <w:pPr>
              <w:widowControl/>
              <w:adjustRightInd w:val="0"/>
              <w:ind w:right="-107" w:rightChars="-51"/>
              <w:jc w:val="center"/>
              <w:rPr>
                <w:rFonts w:hint="eastAsia" w:ascii="宋体" w:hAnsi="宋体"/>
                <w:kern w:val="0"/>
                <w:sz w:val="24"/>
              </w:rPr>
            </w:pPr>
            <w:r>
              <w:rPr>
                <w:rFonts w:hint="eastAsia" w:ascii="宋体" w:hAnsi="宋体"/>
                <w:kern w:val="0"/>
                <w:sz w:val="24"/>
              </w:rPr>
              <w:t>(总分100 分)</w:t>
            </w:r>
          </w:p>
        </w:tc>
        <w:tc>
          <w:tcPr>
            <w:tcW w:w="4951" w:type="dxa"/>
            <w:noWrap w:val="0"/>
            <w:vAlign w:val="center"/>
          </w:tcPr>
          <w:p w14:paraId="07E1BDC2">
            <w:pPr>
              <w:spacing w:line="360" w:lineRule="exact"/>
              <w:rPr>
                <w:rFonts w:hint="eastAsia" w:ascii="宋体" w:hAnsi="宋体"/>
                <w:sz w:val="24"/>
              </w:rPr>
            </w:pPr>
            <w:r>
              <w:rPr>
                <w:rFonts w:hint="eastAsia" w:ascii="宋体" w:hAnsi="宋体"/>
                <w:sz w:val="24"/>
                <w:lang w:val="en-US" w:eastAsia="zh-CN"/>
              </w:rPr>
              <w:t>技术标</w:t>
            </w:r>
            <w:r>
              <w:rPr>
                <w:rFonts w:hint="eastAsia" w:ascii="宋体" w:hAnsi="宋体"/>
                <w:sz w:val="24"/>
              </w:rPr>
              <w:t>：</w:t>
            </w:r>
            <w:r>
              <w:rPr>
                <w:rFonts w:hint="eastAsia" w:ascii="宋体" w:hAnsi="宋体"/>
                <w:sz w:val="24"/>
                <w:u w:val="single"/>
              </w:rPr>
              <w:t xml:space="preserve"> </w:t>
            </w:r>
            <w:r>
              <w:rPr>
                <w:rFonts w:hint="eastAsia" w:ascii="宋体" w:hAnsi="宋体"/>
                <w:sz w:val="24"/>
                <w:u w:val="single"/>
                <w:lang w:val="en-US" w:eastAsia="zh-CN"/>
              </w:rPr>
              <w:t>45</w:t>
            </w:r>
            <w:r>
              <w:rPr>
                <w:rFonts w:hint="eastAsia" w:ascii="宋体" w:hAnsi="宋体"/>
                <w:sz w:val="24"/>
                <w:u w:val="single"/>
              </w:rPr>
              <w:t xml:space="preserve"> </w:t>
            </w:r>
            <w:r>
              <w:rPr>
                <w:rFonts w:hint="eastAsia" w:ascii="宋体" w:hAnsi="宋体"/>
                <w:sz w:val="24"/>
              </w:rPr>
              <w:t>分</w:t>
            </w:r>
          </w:p>
          <w:p w14:paraId="3CBF05D5">
            <w:pPr>
              <w:spacing w:line="360" w:lineRule="exact"/>
              <w:rPr>
                <w:rFonts w:hint="eastAsia" w:ascii="宋体" w:hAnsi="宋体"/>
                <w:sz w:val="24"/>
              </w:rPr>
            </w:pPr>
            <w:r>
              <w:rPr>
                <w:rFonts w:hint="eastAsia" w:ascii="宋体" w:hAnsi="宋体"/>
                <w:sz w:val="24"/>
                <w:lang w:val="en-US" w:eastAsia="zh-CN"/>
              </w:rPr>
              <w:t>综合标</w:t>
            </w:r>
            <w:r>
              <w:rPr>
                <w:rFonts w:hint="eastAsia" w:ascii="宋体" w:hAnsi="宋体"/>
                <w:sz w:val="24"/>
              </w:rPr>
              <w:t>：</w:t>
            </w:r>
            <w:r>
              <w:rPr>
                <w:rFonts w:hint="eastAsia" w:ascii="宋体" w:hAnsi="宋体"/>
                <w:sz w:val="24"/>
                <w:u w:val="single"/>
              </w:rPr>
              <w:t xml:space="preserve"> </w:t>
            </w:r>
            <w:r>
              <w:rPr>
                <w:rFonts w:hint="eastAsia" w:ascii="宋体" w:hAnsi="宋体"/>
                <w:sz w:val="24"/>
                <w:u w:val="single"/>
                <w:lang w:val="en-US" w:eastAsia="zh-CN"/>
              </w:rPr>
              <w:t>15</w:t>
            </w:r>
            <w:r>
              <w:rPr>
                <w:rFonts w:hint="eastAsia" w:ascii="宋体" w:hAnsi="宋体"/>
                <w:sz w:val="24"/>
              </w:rPr>
              <w:t>分</w:t>
            </w:r>
          </w:p>
          <w:p w14:paraId="65B5D2BB">
            <w:pPr>
              <w:spacing w:line="360" w:lineRule="exact"/>
              <w:rPr>
                <w:rFonts w:hint="eastAsia" w:ascii="宋体" w:hAnsi="宋体"/>
                <w:kern w:val="0"/>
                <w:sz w:val="24"/>
              </w:rPr>
            </w:pPr>
            <w:r>
              <w:rPr>
                <w:rFonts w:hint="eastAsia" w:ascii="宋体" w:hAnsi="宋体"/>
                <w:sz w:val="24"/>
                <w:lang w:val="en-US" w:eastAsia="zh-CN"/>
              </w:rPr>
              <w:t>商务标</w:t>
            </w:r>
            <w:r>
              <w:rPr>
                <w:rFonts w:hint="eastAsia" w:ascii="宋体" w:hAnsi="宋体"/>
                <w:sz w:val="24"/>
              </w:rPr>
              <w:t>：</w:t>
            </w:r>
            <w:r>
              <w:rPr>
                <w:rFonts w:hint="eastAsia" w:ascii="宋体" w:hAnsi="宋体"/>
                <w:sz w:val="24"/>
                <w:u w:val="single"/>
              </w:rPr>
              <w:t xml:space="preserve"> </w:t>
            </w:r>
            <w:r>
              <w:rPr>
                <w:rFonts w:hint="eastAsia" w:ascii="宋体" w:hAnsi="宋体"/>
                <w:sz w:val="24"/>
                <w:u w:val="single"/>
                <w:lang w:val="en-US" w:eastAsia="zh-CN"/>
              </w:rPr>
              <w:t>40</w:t>
            </w:r>
            <w:r>
              <w:rPr>
                <w:rFonts w:hint="eastAsia" w:ascii="宋体" w:hAnsi="宋体"/>
                <w:sz w:val="24"/>
                <w:u w:val="single"/>
              </w:rPr>
              <w:t xml:space="preserve"> </w:t>
            </w:r>
            <w:r>
              <w:rPr>
                <w:rFonts w:hint="eastAsia" w:ascii="宋体" w:hAnsi="宋体"/>
                <w:sz w:val="24"/>
              </w:rPr>
              <w:t>分</w:t>
            </w:r>
          </w:p>
        </w:tc>
      </w:tr>
      <w:tr w14:paraId="083EB0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04" w:hRule="atLeast"/>
          <w:jc w:val="center"/>
        </w:trPr>
        <w:tc>
          <w:tcPr>
            <w:tcW w:w="1774" w:type="dxa"/>
            <w:gridSpan w:val="3"/>
            <w:noWrap w:val="0"/>
            <w:vAlign w:val="center"/>
          </w:tcPr>
          <w:p w14:paraId="196944BC">
            <w:pPr>
              <w:widowControl/>
              <w:adjustRightInd w:val="0"/>
              <w:jc w:val="center"/>
              <w:rPr>
                <w:rFonts w:hint="eastAsia" w:ascii="宋体" w:hAnsi="宋体" w:cs="仿宋_GB2312"/>
                <w:kern w:val="0"/>
                <w:sz w:val="24"/>
              </w:rPr>
            </w:pPr>
            <w:r>
              <w:rPr>
                <w:rFonts w:hint="eastAsia" w:ascii="宋体" w:hAnsi="宋体" w:cs="TimesNewRomanPSMT"/>
                <w:kern w:val="0"/>
                <w:sz w:val="24"/>
              </w:rPr>
              <w:t>2.2.2</w:t>
            </w:r>
          </w:p>
        </w:tc>
        <w:tc>
          <w:tcPr>
            <w:tcW w:w="2738" w:type="dxa"/>
            <w:noWrap w:val="0"/>
            <w:vAlign w:val="center"/>
          </w:tcPr>
          <w:p w14:paraId="6B2DE604">
            <w:pPr>
              <w:widowControl/>
              <w:adjustRightInd w:val="0"/>
              <w:ind w:left="2" w:right="-107" w:rightChars="-51"/>
              <w:jc w:val="center"/>
              <w:rPr>
                <w:rFonts w:hint="eastAsia" w:ascii="宋体" w:hAnsi="宋体"/>
                <w:kern w:val="0"/>
                <w:sz w:val="24"/>
              </w:rPr>
            </w:pPr>
            <w:r>
              <w:rPr>
                <w:rFonts w:hint="eastAsia" w:ascii="宋体" w:hAnsi="宋体"/>
                <w:kern w:val="0"/>
                <w:sz w:val="24"/>
              </w:rPr>
              <w:t>评标基准价计算方法</w:t>
            </w:r>
          </w:p>
        </w:tc>
        <w:tc>
          <w:tcPr>
            <w:tcW w:w="4951" w:type="dxa"/>
            <w:noWrap w:val="0"/>
            <w:vAlign w:val="center"/>
          </w:tcPr>
          <w:p w14:paraId="061FD340">
            <w:pPr>
              <w:spacing w:line="400" w:lineRule="exact"/>
              <w:rPr>
                <w:rFonts w:hAnsi="宋体"/>
                <w:color w:val="000000"/>
                <w:sz w:val="24"/>
              </w:rPr>
            </w:pPr>
            <w:r>
              <w:rPr>
                <w:rFonts w:hint="eastAsia" w:ascii="宋体" w:hAnsi="宋体"/>
                <w:color w:val="000000"/>
                <w:sz w:val="24"/>
              </w:rPr>
              <w:t>1、当</w:t>
            </w:r>
            <w:r>
              <w:rPr>
                <w:rFonts w:hint="eastAsia" w:hAnsi="宋体"/>
                <w:color w:val="000000"/>
                <w:sz w:val="24"/>
              </w:rPr>
              <w:t>参与评标基准价计算的</w:t>
            </w:r>
            <w:r>
              <w:rPr>
                <w:rFonts w:hint="eastAsia" w:ascii="宋体" w:hAnsi="宋体"/>
                <w:color w:val="000000"/>
                <w:sz w:val="24"/>
              </w:rPr>
              <w:t>投标人数量＞5家</w:t>
            </w:r>
            <w:r>
              <w:rPr>
                <w:rFonts w:hint="eastAsia" w:hAnsi="宋体"/>
                <w:color w:val="000000"/>
                <w:sz w:val="24"/>
              </w:rPr>
              <w:t>时，评标基准价=所有有效投标人报价去掉一个最高和一个最低后的算术平均值*50%+招标人控制价*50%</w:t>
            </w:r>
          </w:p>
          <w:p w14:paraId="694B014D">
            <w:pPr>
              <w:pStyle w:val="88"/>
              <w:spacing w:line="320" w:lineRule="exact"/>
              <w:jc w:val="both"/>
              <w:rPr>
                <w:rFonts w:hint="eastAsia" w:hAnsi="宋体"/>
              </w:rPr>
            </w:pPr>
            <w:r>
              <w:rPr>
                <w:rFonts w:hint="eastAsia" w:hAnsi="宋体"/>
              </w:rPr>
              <w:t>2、当参与评标基准价计算的投标人数量≤5家时，评标基准价=所有有效投标人报价的算术平均值*50%+招标人控制价*50%。</w:t>
            </w:r>
          </w:p>
          <w:p w14:paraId="0037FD0A">
            <w:pPr>
              <w:widowControl/>
              <w:adjustRightInd w:val="0"/>
              <w:ind w:right="-107" w:rightChars="-51"/>
              <w:rPr>
                <w:rFonts w:hint="eastAsia" w:ascii="宋体" w:hAnsi="宋体"/>
                <w:kern w:val="0"/>
                <w:sz w:val="24"/>
              </w:rPr>
            </w:pPr>
            <w:r>
              <w:rPr>
                <w:rFonts w:hint="eastAsia" w:ascii="宋体" w:hAnsi="宋体"/>
                <w:kern w:val="0"/>
                <w:sz w:val="24"/>
              </w:rPr>
              <w:t>注：其投标报价在招标人招标控制价的100%-95%（含100%-95%）之间的投标报价参与评标基准价计算。</w:t>
            </w:r>
          </w:p>
        </w:tc>
      </w:tr>
      <w:tr w14:paraId="19B57F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0" w:hRule="atLeast"/>
          <w:jc w:val="center"/>
        </w:trPr>
        <w:tc>
          <w:tcPr>
            <w:tcW w:w="1774" w:type="dxa"/>
            <w:gridSpan w:val="3"/>
            <w:noWrap w:val="0"/>
            <w:vAlign w:val="center"/>
          </w:tcPr>
          <w:p w14:paraId="0E005841">
            <w:pPr>
              <w:widowControl/>
              <w:adjustRightInd w:val="0"/>
              <w:jc w:val="center"/>
              <w:rPr>
                <w:rFonts w:hint="eastAsia" w:ascii="宋体" w:hAnsi="宋体" w:cs="仿宋_GB2312"/>
                <w:kern w:val="0"/>
                <w:sz w:val="24"/>
              </w:rPr>
            </w:pPr>
            <w:r>
              <w:rPr>
                <w:rFonts w:hint="eastAsia" w:ascii="宋体" w:hAnsi="宋体" w:cs="TimesNewRomanPSMT"/>
                <w:kern w:val="0"/>
                <w:sz w:val="24"/>
              </w:rPr>
              <w:t>2.2.3</w:t>
            </w:r>
          </w:p>
        </w:tc>
        <w:tc>
          <w:tcPr>
            <w:tcW w:w="2738" w:type="dxa"/>
            <w:noWrap w:val="0"/>
            <w:vAlign w:val="center"/>
          </w:tcPr>
          <w:p w14:paraId="59127A2D">
            <w:pPr>
              <w:widowControl/>
              <w:adjustRightInd w:val="0"/>
              <w:ind w:left="2" w:right="-107" w:rightChars="-51"/>
              <w:jc w:val="center"/>
              <w:rPr>
                <w:rFonts w:hint="eastAsia" w:ascii="宋体" w:hAnsi="宋体"/>
                <w:kern w:val="0"/>
                <w:sz w:val="24"/>
              </w:rPr>
            </w:pPr>
            <w:r>
              <w:rPr>
                <w:rFonts w:hint="eastAsia" w:ascii="宋体" w:hAnsi="宋体"/>
                <w:kern w:val="0"/>
                <w:sz w:val="24"/>
              </w:rPr>
              <w:t>投标报价的偏差率</w:t>
            </w:r>
          </w:p>
          <w:p w14:paraId="466070A5">
            <w:pPr>
              <w:widowControl/>
              <w:adjustRightInd w:val="0"/>
              <w:ind w:left="2" w:right="-107" w:rightChars="-51"/>
              <w:jc w:val="center"/>
              <w:rPr>
                <w:rFonts w:hint="eastAsia" w:ascii="宋体" w:hAnsi="宋体"/>
                <w:kern w:val="0"/>
                <w:sz w:val="24"/>
              </w:rPr>
            </w:pPr>
            <w:r>
              <w:rPr>
                <w:rFonts w:hint="eastAsia" w:ascii="宋体" w:hAnsi="宋体"/>
                <w:kern w:val="0"/>
                <w:sz w:val="24"/>
              </w:rPr>
              <w:t>计算公式</w:t>
            </w:r>
          </w:p>
        </w:tc>
        <w:tc>
          <w:tcPr>
            <w:tcW w:w="4951" w:type="dxa"/>
            <w:noWrap w:val="0"/>
            <w:vAlign w:val="center"/>
          </w:tcPr>
          <w:p w14:paraId="738B76AE">
            <w:pPr>
              <w:widowControl/>
              <w:adjustRightInd w:val="0"/>
              <w:ind w:right="-107" w:rightChars="-51"/>
              <w:rPr>
                <w:rFonts w:hint="eastAsia" w:ascii="宋体" w:hAnsi="宋体"/>
                <w:kern w:val="0"/>
                <w:sz w:val="24"/>
              </w:rPr>
            </w:pPr>
            <w:r>
              <w:rPr>
                <w:rFonts w:hint="eastAsia" w:ascii="宋体" w:hAnsi="宋体"/>
                <w:kern w:val="0"/>
                <w:sz w:val="24"/>
              </w:rPr>
              <w:t>偏差率=100%×（投标报价-评标基准价）/评标基准价</w:t>
            </w:r>
          </w:p>
        </w:tc>
      </w:tr>
      <w:tr w14:paraId="136FAB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0" w:hRule="atLeast"/>
          <w:jc w:val="center"/>
        </w:trPr>
        <w:tc>
          <w:tcPr>
            <w:tcW w:w="1774" w:type="dxa"/>
            <w:gridSpan w:val="3"/>
            <w:noWrap w:val="0"/>
            <w:vAlign w:val="center"/>
          </w:tcPr>
          <w:p w14:paraId="646788D2">
            <w:pPr>
              <w:widowControl/>
              <w:adjustRightInd w:val="0"/>
              <w:jc w:val="center"/>
              <w:rPr>
                <w:rFonts w:hint="eastAsia" w:ascii="宋体" w:hAnsi="宋体" w:cs="仿宋_GB2312"/>
                <w:b/>
                <w:kern w:val="0"/>
                <w:sz w:val="24"/>
              </w:rPr>
            </w:pPr>
            <w:r>
              <w:rPr>
                <w:rFonts w:hint="eastAsia" w:ascii="宋体" w:hAnsi="宋体" w:cs="仿宋_GB2312"/>
                <w:b/>
                <w:kern w:val="0"/>
                <w:sz w:val="24"/>
              </w:rPr>
              <w:t>条款号</w:t>
            </w:r>
          </w:p>
        </w:tc>
        <w:tc>
          <w:tcPr>
            <w:tcW w:w="2738" w:type="dxa"/>
            <w:noWrap w:val="0"/>
            <w:vAlign w:val="center"/>
          </w:tcPr>
          <w:p w14:paraId="5872B1C0">
            <w:pPr>
              <w:widowControl/>
              <w:adjustRightInd w:val="0"/>
              <w:jc w:val="center"/>
              <w:rPr>
                <w:rFonts w:hint="eastAsia" w:ascii="宋体" w:hAnsi="宋体" w:cs="仿宋_GB2312"/>
                <w:b/>
                <w:kern w:val="0"/>
                <w:sz w:val="24"/>
              </w:rPr>
            </w:pPr>
            <w:r>
              <w:rPr>
                <w:rFonts w:hint="eastAsia" w:ascii="宋体" w:hAnsi="宋体" w:cs="仿宋_GB2312"/>
                <w:b/>
                <w:kern w:val="0"/>
                <w:sz w:val="24"/>
              </w:rPr>
              <w:t>评分因素</w:t>
            </w:r>
          </w:p>
        </w:tc>
        <w:tc>
          <w:tcPr>
            <w:tcW w:w="4951" w:type="dxa"/>
            <w:noWrap w:val="0"/>
            <w:vAlign w:val="center"/>
          </w:tcPr>
          <w:p w14:paraId="159C16F6">
            <w:pPr>
              <w:widowControl/>
              <w:adjustRightInd w:val="0"/>
              <w:ind w:right="-107" w:rightChars="-51"/>
              <w:jc w:val="center"/>
              <w:rPr>
                <w:rFonts w:hint="eastAsia" w:ascii="宋体" w:hAnsi="宋体" w:cs="仿宋_GB2312"/>
                <w:b/>
                <w:kern w:val="0"/>
                <w:sz w:val="24"/>
              </w:rPr>
            </w:pPr>
            <w:r>
              <w:rPr>
                <w:rFonts w:hint="eastAsia" w:ascii="宋体" w:hAnsi="宋体" w:cs="仿宋_GB2312"/>
                <w:b/>
                <w:kern w:val="0"/>
                <w:sz w:val="24"/>
              </w:rPr>
              <w:t>评分标准</w:t>
            </w:r>
          </w:p>
        </w:tc>
      </w:tr>
      <w:tr w14:paraId="426A84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7" w:hRule="atLeast"/>
          <w:jc w:val="center"/>
        </w:trPr>
        <w:tc>
          <w:tcPr>
            <w:tcW w:w="816" w:type="dxa"/>
            <w:vMerge w:val="restart"/>
            <w:noWrap w:val="0"/>
            <w:vAlign w:val="center"/>
          </w:tcPr>
          <w:p w14:paraId="6539D893">
            <w:pPr>
              <w:widowControl/>
              <w:adjustRightInd w:val="0"/>
              <w:jc w:val="center"/>
              <w:rPr>
                <w:rFonts w:hint="eastAsia" w:ascii="宋体" w:hAnsi="宋体" w:cs="TimesNewRomanPSMT"/>
                <w:kern w:val="0"/>
                <w:sz w:val="24"/>
              </w:rPr>
            </w:pPr>
            <w:r>
              <w:rPr>
                <w:rFonts w:hint="eastAsia" w:ascii="宋体" w:hAnsi="宋体" w:cs="TimesNewRomanPSMT"/>
                <w:kern w:val="0"/>
                <w:sz w:val="24"/>
              </w:rPr>
              <w:t>2.2.4</w:t>
            </w:r>
          </w:p>
          <w:p w14:paraId="530425F7">
            <w:pPr>
              <w:widowControl/>
              <w:adjustRightInd w:val="0"/>
              <w:jc w:val="center"/>
              <w:rPr>
                <w:rFonts w:hint="eastAsia" w:ascii="宋体" w:hAnsi="宋体" w:cs="仿宋_GB2312"/>
                <w:kern w:val="0"/>
                <w:sz w:val="24"/>
              </w:rPr>
            </w:pPr>
            <w:r>
              <w:rPr>
                <w:rFonts w:hint="eastAsia" w:ascii="宋体" w:hAnsi="宋体" w:cs="TimesNewRomanPSMT"/>
                <w:kern w:val="0"/>
                <w:sz w:val="24"/>
              </w:rPr>
              <w:t>(1)</w:t>
            </w:r>
          </w:p>
        </w:tc>
        <w:tc>
          <w:tcPr>
            <w:tcW w:w="958" w:type="dxa"/>
            <w:gridSpan w:val="2"/>
            <w:vMerge w:val="restart"/>
            <w:noWrap w:val="0"/>
            <w:vAlign w:val="center"/>
          </w:tcPr>
          <w:p w14:paraId="7A8BB961">
            <w:pPr>
              <w:widowControl/>
              <w:adjustRightInd w:val="0"/>
              <w:jc w:val="center"/>
              <w:rPr>
                <w:rFonts w:hint="eastAsia" w:ascii="宋体" w:hAnsi="宋体" w:cs="仿宋_GB2312"/>
                <w:kern w:val="0"/>
                <w:sz w:val="24"/>
              </w:rPr>
            </w:pPr>
            <w:r>
              <w:rPr>
                <w:rFonts w:hint="eastAsia" w:ascii="宋体" w:hAnsi="宋体" w:cs="仿宋_GB2312"/>
                <w:kern w:val="0"/>
                <w:sz w:val="24"/>
                <w:lang w:val="en-US" w:eastAsia="zh-CN"/>
              </w:rPr>
              <w:t>技术标</w:t>
            </w:r>
            <w:r>
              <w:rPr>
                <w:rFonts w:hint="eastAsia" w:ascii="宋体" w:hAnsi="宋体" w:cs="仿宋_GB2312"/>
                <w:kern w:val="0"/>
                <w:sz w:val="24"/>
              </w:rPr>
              <w:t>(</w:t>
            </w:r>
            <w:r>
              <w:rPr>
                <w:rFonts w:hint="eastAsia" w:ascii="宋体" w:hAnsi="宋体" w:cs="仿宋_GB2312"/>
                <w:kern w:val="0"/>
                <w:sz w:val="24"/>
                <w:lang w:val="en-US" w:eastAsia="zh-CN"/>
              </w:rPr>
              <w:t>45</w:t>
            </w:r>
            <w:r>
              <w:rPr>
                <w:rFonts w:hint="eastAsia" w:ascii="宋体" w:hAnsi="宋体" w:cs="仿宋_GB2312"/>
                <w:kern w:val="0"/>
                <w:sz w:val="24"/>
              </w:rPr>
              <w:t>分)</w:t>
            </w:r>
          </w:p>
        </w:tc>
        <w:tc>
          <w:tcPr>
            <w:tcW w:w="2738" w:type="dxa"/>
            <w:noWrap w:val="0"/>
            <w:vAlign w:val="center"/>
          </w:tcPr>
          <w:p w14:paraId="1F5A5626">
            <w:pPr>
              <w:widowControl/>
              <w:adjustRightInd w:val="0"/>
              <w:ind w:right="-107" w:rightChars="-51"/>
              <w:rPr>
                <w:rFonts w:hint="eastAsia" w:ascii="宋体" w:hAnsi="宋体" w:cs="仿宋_GB2312"/>
                <w:kern w:val="0"/>
                <w:sz w:val="24"/>
              </w:rPr>
            </w:pPr>
            <w:r>
              <w:rPr>
                <w:rFonts w:hint="eastAsia" w:ascii="宋体" w:hAnsi="宋体" w:cs="仿宋_GB2312"/>
                <w:kern w:val="0"/>
                <w:sz w:val="24"/>
              </w:rPr>
              <w:t>内容完整性和编制水平</w:t>
            </w:r>
          </w:p>
        </w:tc>
        <w:tc>
          <w:tcPr>
            <w:tcW w:w="4951" w:type="dxa"/>
            <w:noWrap w:val="0"/>
            <w:vAlign w:val="center"/>
          </w:tcPr>
          <w:p w14:paraId="46E79586">
            <w:pPr>
              <w:widowControl/>
              <w:adjustRightInd w:val="0"/>
              <w:ind w:right="-107" w:rightChars="-51"/>
              <w:rPr>
                <w:rFonts w:hint="eastAsia" w:ascii="宋体" w:hAnsi="宋体" w:eastAsia="宋体" w:cs="仿宋_GB2312"/>
                <w:kern w:val="0"/>
                <w:sz w:val="24"/>
                <w:lang w:val="en-US" w:eastAsia="zh-CN"/>
              </w:rPr>
            </w:pPr>
            <w:r>
              <w:rPr>
                <w:rFonts w:hint="eastAsia" w:ascii="宋体" w:hAnsi="宋体" w:cs="仿宋_GB2312"/>
                <w:kern w:val="0"/>
                <w:sz w:val="24"/>
              </w:rPr>
              <w:t>0-</w:t>
            </w:r>
            <w:r>
              <w:rPr>
                <w:rFonts w:hint="eastAsia" w:ascii="宋体" w:hAnsi="宋体" w:cs="仿宋_GB2312"/>
                <w:kern w:val="0"/>
                <w:sz w:val="24"/>
                <w:lang w:val="en-US" w:eastAsia="zh-CN"/>
              </w:rPr>
              <w:t>5</w:t>
            </w:r>
            <w:r>
              <w:rPr>
                <w:rFonts w:hint="eastAsia" w:ascii="宋体" w:hAnsi="宋体" w:cs="仿宋_GB2312"/>
                <w:kern w:val="0"/>
                <w:sz w:val="24"/>
              </w:rPr>
              <w:t>分</w:t>
            </w:r>
            <w:r>
              <w:rPr>
                <w:rFonts w:hint="eastAsia" w:ascii="宋体" w:hAnsi="宋体" w:cs="仿宋_GB2312"/>
                <w:kern w:val="0"/>
                <w:sz w:val="24"/>
                <w:lang w:eastAsia="zh-CN"/>
              </w:rPr>
              <w:t>，如有缺项，该小项得0分</w:t>
            </w:r>
          </w:p>
        </w:tc>
      </w:tr>
      <w:tr w14:paraId="7DAAF7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6" w:hRule="atLeast"/>
          <w:jc w:val="center"/>
        </w:trPr>
        <w:tc>
          <w:tcPr>
            <w:tcW w:w="816" w:type="dxa"/>
            <w:vMerge w:val="continue"/>
            <w:noWrap w:val="0"/>
            <w:vAlign w:val="top"/>
          </w:tcPr>
          <w:p w14:paraId="4064ED9D">
            <w:pPr>
              <w:widowControl/>
              <w:adjustRightInd w:val="0"/>
              <w:jc w:val="left"/>
              <w:rPr>
                <w:rFonts w:hint="eastAsia" w:ascii="宋体" w:hAnsi="宋体" w:cs="仿宋_GB2312"/>
                <w:kern w:val="0"/>
                <w:sz w:val="24"/>
              </w:rPr>
            </w:pPr>
          </w:p>
        </w:tc>
        <w:tc>
          <w:tcPr>
            <w:tcW w:w="958" w:type="dxa"/>
            <w:gridSpan w:val="2"/>
            <w:vMerge w:val="continue"/>
            <w:noWrap w:val="0"/>
            <w:vAlign w:val="top"/>
          </w:tcPr>
          <w:p w14:paraId="62067A78">
            <w:pPr>
              <w:widowControl/>
              <w:adjustRightInd w:val="0"/>
              <w:jc w:val="left"/>
              <w:rPr>
                <w:rFonts w:hint="eastAsia" w:ascii="宋体" w:hAnsi="宋体" w:cs="仿宋_GB2312"/>
                <w:kern w:val="0"/>
                <w:sz w:val="24"/>
              </w:rPr>
            </w:pPr>
          </w:p>
        </w:tc>
        <w:tc>
          <w:tcPr>
            <w:tcW w:w="2738" w:type="dxa"/>
            <w:noWrap w:val="0"/>
            <w:vAlign w:val="center"/>
          </w:tcPr>
          <w:p w14:paraId="291EED79">
            <w:pPr>
              <w:widowControl/>
              <w:adjustRightInd w:val="0"/>
              <w:ind w:right="-107" w:rightChars="-51"/>
              <w:rPr>
                <w:rFonts w:hint="eastAsia" w:ascii="宋体" w:hAnsi="宋体" w:cs="仿宋_GB2312"/>
                <w:kern w:val="0"/>
                <w:sz w:val="24"/>
              </w:rPr>
            </w:pPr>
            <w:r>
              <w:rPr>
                <w:rFonts w:hint="eastAsia" w:ascii="宋体" w:hAnsi="宋体" w:cs="仿宋_GB2312"/>
                <w:kern w:val="0"/>
                <w:sz w:val="24"/>
              </w:rPr>
              <w:t>施工方案与技术措施</w:t>
            </w:r>
          </w:p>
        </w:tc>
        <w:tc>
          <w:tcPr>
            <w:tcW w:w="4951" w:type="dxa"/>
            <w:noWrap w:val="0"/>
            <w:vAlign w:val="center"/>
          </w:tcPr>
          <w:p w14:paraId="6C9E8A45">
            <w:pPr>
              <w:widowControl/>
              <w:adjustRightInd w:val="0"/>
              <w:ind w:right="-107" w:rightChars="-51"/>
              <w:rPr>
                <w:rFonts w:hint="eastAsia" w:ascii="宋体" w:hAnsi="宋体" w:cs="仿宋_GB2312"/>
                <w:kern w:val="0"/>
                <w:sz w:val="24"/>
              </w:rPr>
            </w:pPr>
            <w:r>
              <w:rPr>
                <w:rFonts w:hint="eastAsia" w:ascii="宋体" w:hAnsi="宋体" w:cs="仿宋_GB2312"/>
                <w:kern w:val="0"/>
                <w:sz w:val="24"/>
              </w:rPr>
              <w:t>0-</w:t>
            </w:r>
            <w:r>
              <w:rPr>
                <w:rFonts w:hint="eastAsia" w:ascii="宋体" w:hAnsi="宋体" w:cs="仿宋_GB2312"/>
                <w:kern w:val="0"/>
                <w:sz w:val="24"/>
                <w:lang w:val="en-US" w:eastAsia="zh-CN"/>
              </w:rPr>
              <w:t>5</w:t>
            </w:r>
            <w:r>
              <w:rPr>
                <w:rFonts w:hint="eastAsia" w:ascii="宋体" w:hAnsi="宋体" w:cs="仿宋_GB2312"/>
                <w:kern w:val="0"/>
                <w:sz w:val="24"/>
              </w:rPr>
              <w:t>分</w:t>
            </w:r>
            <w:r>
              <w:rPr>
                <w:rFonts w:hint="eastAsia" w:ascii="宋体" w:hAnsi="宋体" w:cs="仿宋_GB2312"/>
                <w:kern w:val="0"/>
                <w:sz w:val="24"/>
                <w:lang w:eastAsia="zh-CN"/>
              </w:rPr>
              <w:t>，如有缺项，该小项得0分</w:t>
            </w:r>
          </w:p>
        </w:tc>
      </w:tr>
      <w:tr w14:paraId="6CB56C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1" w:hRule="atLeast"/>
          <w:jc w:val="center"/>
        </w:trPr>
        <w:tc>
          <w:tcPr>
            <w:tcW w:w="816" w:type="dxa"/>
            <w:vMerge w:val="continue"/>
            <w:noWrap w:val="0"/>
            <w:vAlign w:val="top"/>
          </w:tcPr>
          <w:p w14:paraId="501AA971">
            <w:pPr>
              <w:widowControl/>
              <w:adjustRightInd w:val="0"/>
              <w:jc w:val="left"/>
              <w:rPr>
                <w:rFonts w:hint="eastAsia" w:ascii="宋体" w:hAnsi="宋体" w:cs="仿宋_GB2312"/>
                <w:kern w:val="0"/>
                <w:sz w:val="24"/>
              </w:rPr>
            </w:pPr>
          </w:p>
        </w:tc>
        <w:tc>
          <w:tcPr>
            <w:tcW w:w="958" w:type="dxa"/>
            <w:gridSpan w:val="2"/>
            <w:vMerge w:val="continue"/>
            <w:noWrap w:val="0"/>
            <w:vAlign w:val="top"/>
          </w:tcPr>
          <w:p w14:paraId="33E8B2EA">
            <w:pPr>
              <w:widowControl/>
              <w:adjustRightInd w:val="0"/>
              <w:jc w:val="left"/>
              <w:rPr>
                <w:rFonts w:hint="eastAsia" w:ascii="宋体" w:hAnsi="宋体" w:cs="仿宋_GB2312"/>
                <w:kern w:val="0"/>
                <w:sz w:val="24"/>
              </w:rPr>
            </w:pPr>
          </w:p>
        </w:tc>
        <w:tc>
          <w:tcPr>
            <w:tcW w:w="2738" w:type="dxa"/>
            <w:noWrap w:val="0"/>
            <w:vAlign w:val="center"/>
          </w:tcPr>
          <w:p w14:paraId="061F1DC8">
            <w:pPr>
              <w:widowControl/>
              <w:adjustRightInd w:val="0"/>
              <w:ind w:right="-107" w:rightChars="-51"/>
              <w:rPr>
                <w:rFonts w:hint="eastAsia" w:ascii="宋体" w:hAnsi="宋体" w:cs="仿宋_GB2312"/>
                <w:kern w:val="0"/>
                <w:sz w:val="24"/>
              </w:rPr>
            </w:pPr>
            <w:r>
              <w:rPr>
                <w:rFonts w:hint="eastAsia" w:ascii="宋体" w:hAnsi="宋体" w:cs="仿宋_GB2312"/>
                <w:kern w:val="0"/>
                <w:sz w:val="24"/>
              </w:rPr>
              <w:t>质量管理体系与措施</w:t>
            </w:r>
          </w:p>
        </w:tc>
        <w:tc>
          <w:tcPr>
            <w:tcW w:w="4951" w:type="dxa"/>
            <w:noWrap w:val="0"/>
            <w:vAlign w:val="center"/>
          </w:tcPr>
          <w:p w14:paraId="0F72C333">
            <w:pPr>
              <w:widowControl/>
              <w:adjustRightInd w:val="0"/>
              <w:ind w:right="-107" w:rightChars="-51"/>
              <w:rPr>
                <w:rFonts w:hint="eastAsia" w:ascii="宋体" w:hAnsi="宋体" w:cs="仿宋_GB2312"/>
                <w:kern w:val="0"/>
                <w:sz w:val="24"/>
              </w:rPr>
            </w:pPr>
            <w:r>
              <w:rPr>
                <w:rFonts w:hint="eastAsia" w:ascii="宋体" w:hAnsi="宋体" w:cs="仿宋_GB2312"/>
                <w:kern w:val="0"/>
                <w:sz w:val="24"/>
              </w:rPr>
              <w:t>0-</w:t>
            </w:r>
            <w:r>
              <w:rPr>
                <w:rFonts w:hint="eastAsia" w:ascii="宋体" w:hAnsi="宋体" w:cs="仿宋_GB2312"/>
                <w:kern w:val="0"/>
                <w:sz w:val="24"/>
                <w:lang w:val="en-US" w:eastAsia="zh-CN"/>
              </w:rPr>
              <w:t>5</w:t>
            </w:r>
            <w:r>
              <w:rPr>
                <w:rFonts w:hint="eastAsia" w:ascii="宋体" w:hAnsi="宋体" w:cs="仿宋_GB2312"/>
                <w:kern w:val="0"/>
                <w:sz w:val="24"/>
              </w:rPr>
              <w:t>分</w:t>
            </w:r>
            <w:r>
              <w:rPr>
                <w:rFonts w:hint="eastAsia" w:ascii="宋体" w:hAnsi="宋体" w:cs="仿宋_GB2312"/>
                <w:kern w:val="0"/>
                <w:sz w:val="24"/>
                <w:lang w:eastAsia="zh-CN"/>
              </w:rPr>
              <w:t>，如有缺项，该小项得0分</w:t>
            </w:r>
          </w:p>
        </w:tc>
      </w:tr>
      <w:tr w14:paraId="7AA5DF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 w:hRule="atLeast"/>
          <w:jc w:val="center"/>
        </w:trPr>
        <w:tc>
          <w:tcPr>
            <w:tcW w:w="816" w:type="dxa"/>
            <w:vMerge w:val="continue"/>
            <w:noWrap w:val="0"/>
            <w:vAlign w:val="top"/>
          </w:tcPr>
          <w:p w14:paraId="5DB4A22A">
            <w:pPr>
              <w:widowControl/>
              <w:adjustRightInd w:val="0"/>
              <w:jc w:val="left"/>
              <w:rPr>
                <w:rFonts w:hint="eastAsia" w:ascii="宋体" w:hAnsi="宋体" w:cs="仿宋_GB2312"/>
                <w:kern w:val="0"/>
                <w:sz w:val="24"/>
              </w:rPr>
            </w:pPr>
          </w:p>
        </w:tc>
        <w:tc>
          <w:tcPr>
            <w:tcW w:w="958" w:type="dxa"/>
            <w:gridSpan w:val="2"/>
            <w:vMerge w:val="continue"/>
            <w:noWrap w:val="0"/>
            <w:vAlign w:val="top"/>
          </w:tcPr>
          <w:p w14:paraId="297AF223">
            <w:pPr>
              <w:widowControl/>
              <w:adjustRightInd w:val="0"/>
              <w:jc w:val="left"/>
              <w:rPr>
                <w:rFonts w:hint="eastAsia" w:ascii="宋体" w:hAnsi="宋体" w:cs="仿宋_GB2312"/>
                <w:kern w:val="0"/>
                <w:sz w:val="24"/>
              </w:rPr>
            </w:pPr>
          </w:p>
        </w:tc>
        <w:tc>
          <w:tcPr>
            <w:tcW w:w="2738" w:type="dxa"/>
            <w:noWrap w:val="0"/>
            <w:vAlign w:val="center"/>
          </w:tcPr>
          <w:p w14:paraId="7BA70AD6">
            <w:pPr>
              <w:widowControl/>
              <w:adjustRightInd w:val="0"/>
              <w:ind w:right="-107" w:rightChars="-51"/>
              <w:rPr>
                <w:rFonts w:hint="eastAsia" w:ascii="宋体" w:hAnsi="宋体" w:cs="仿宋_GB2312"/>
                <w:kern w:val="0"/>
                <w:sz w:val="24"/>
              </w:rPr>
            </w:pPr>
            <w:r>
              <w:rPr>
                <w:rFonts w:hint="eastAsia" w:ascii="宋体" w:hAnsi="宋体" w:cs="仿宋_GB2312"/>
                <w:kern w:val="0"/>
                <w:sz w:val="24"/>
              </w:rPr>
              <w:t>安全管理体系与措施</w:t>
            </w:r>
          </w:p>
        </w:tc>
        <w:tc>
          <w:tcPr>
            <w:tcW w:w="4951" w:type="dxa"/>
            <w:noWrap w:val="0"/>
            <w:vAlign w:val="center"/>
          </w:tcPr>
          <w:p w14:paraId="109E08FE">
            <w:pPr>
              <w:widowControl/>
              <w:adjustRightInd w:val="0"/>
              <w:ind w:right="-107" w:rightChars="-51"/>
              <w:rPr>
                <w:rFonts w:hint="eastAsia" w:ascii="宋体" w:hAnsi="宋体" w:cs="仿宋_GB2312"/>
                <w:kern w:val="0"/>
                <w:sz w:val="24"/>
              </w:rPr>
            </w:pPr>
            <w:r>
              <w:rPr>
                <w:rFonts w:hint="eastAsia" w:ascii="宋体" w:hAnsi="宋体" w:cs="仿宋_GB2312"/>
                <w:kern w:val="0"/>
                <w:sz w:val="24"/>
              </w:rPr>
              <w:t>0-</w:t>
            </w:r>
            <w:r>
              <w:rPr>
                <w:rFonts w:hint="eastAsia" w:ascii="宋体" w:hAnsi="宋体" w:cs="仿宋_GB2312"/>
                <w:kern w:val="0"/>
                <w:sz w:val="24"/>
                <w:lang w:val="en-US" w:eastAsia="zh-CN"/>
              </w:rPr>
              <w:t>5</w:t>
            </w:r>
            <w:r>
              <w:rPr>
                <w:rFonts w:hint="eastAsia" w:ascii="宋体" w:hAnsi="宋体" w:cs="仿宋_GB2312"/>
                <w:kern w:val="0"/>
                <w:sz w:val="24"/>
              </w:rPr>
              <w:t>分</w:t>
            </w:r>
            <w:r>
              <w:rPr>
                <w:rFonts w:hint="eastAsia" w:ascii="宋体" w:hAnsi="宋体" w:cs="仿宋_GB2312"/>
                <w:kern w:val="0"/>
                <w:sz w:val="24"/>
                <w:lang w:eastAsia="zh-CN"/>
              </w:rPr>
              <w:t>，如有缺项，该小项得0分</w:t>
            </w:r>
          </w:p>
        </w:tc>
      </w:tr>
      <w:tr w14:paraId="715FAF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3" w:hRule="atLeast"/>
          <w:jc w:val="center"/>
        </w:trPr>
        <w:tc>
          <w:tcPr>
            <w:tcW w:w="816" w:type="dxa"/>
            <w:vMerge w:val="continue"/>
            <w:noWrap w:val="0"/>
            <w:vAlign w:val="top"/>
          </w:tcPr>
          <w:p w14:paraId="1BA86F0D">
            <w:pPr>
              <w:widowControl/>
              <w:adjustRightInd w:val="0"/>
              <w:jc w:val="left"/>
              <w:rPr>
                <w:rFonts w:hint="eastAsia" w:ascii="宋体" w:hAnsi="宋体" w:cs="仿宋_GB2312"/>
                <w:kern w:val="0"/>
                <w:sz w:val="24"/>
              </w:rPr>
            </w:pPr>
          </w:p>
        </w:tc>
        <w:tc>
          <w:tcPr>
            <w:tcW w:w="958" w:type="dxa"/>
            <w:gridSpan w:val="2"/>
            <w:vMerge w:val="continue"/>
            <w:noWrap w:val="0"/>
            <w:vAlign w:val="top"/>
          </w:tcPr>
          <w:p w14:paraId="1E8A037A">
            <w:pPr>
              <w:widowControl/>
              <w:adjustRightInd w:val="0"/>
              <w:jc w:val="left"/>
              <w:rPr>
                <w:rFonts w:hint="eastAsia" w:ascii="宋体" w:hAnsi="宋体" w:cs="仿宋_GB2312"/>
                <w:kern w:val="0"/>
                <w:sz w:val="24"/>
              </w:rPr>
            </w:pPr>
          </w:p>
        </w:tc>
        <w:tc>
          <w:tcPr>
            <w:tcW w:w="2738" w:type="dxa"/>
            <w:noWrap w:val="0"/>
            <w:vAlign w:val="center"/>
          </w:tcPr>
          <w:p w14:paraId="276FD421">
            <w:pPr>
              <w:widowControl/>
              <w:adjustRightInd w:val="0"/>
              <w:ind w:right="-107" w:rightChars="-51"/>
              <w:rPr>
                <w:rFonts w:hint="eastAsia" w:ascii="宋体" w:hAnsi="宋体" w:cs="仿宋_GB2312"/>
                <w:spacing w:val="-4"/>
                <w:kern w:val="0"/>
                <w:sz w:val="24"/>
              </w:rPr>
            </w:pPr>
            <w:r>
              <w:rPr>
                <w:rFonts w:hint="eastAsia" w:ascii="宋体" w:hAnsi="宋体" w:cs="仿宋_GB2312"/>
                <w:spacing w:val="-4"/>
                <w:kern w:val="0"/>
                <w:sz w:val="24"/>
              </w:rPr>
              <w:t>环境保护管理体系与措施</w:t>
            </w:r>
          </w:p>
        </w:tc>
        <w:tc>
          <w:tcPr>
            <w:tcW w:w="4951" w:type="dxa"/>
            <w:noWrap w:val="0"/>
            <w:vAlign w:val="center"/>
          </w:tcPr>
          <w:p w14:paraId="3C9202BB">
            <w:pPr>
              <w:widowControl/>
              <w:adjustRightInd w:val="0"/>
              <w:ind w:right="-107" w:rightChars="-51"/>
              <w:rPr>
                <w:rFonts w:hint="eastAsia" w:ascii="宋体" w:hAnsi="宋体" w:cs="仿宋_GB2312"/>
                <w:kern w:val="0"/>
                <w:sz w:val="24"/>
              </w:rPr>
            </w:pPr>
            <w:r>
              <w:rPr>
                <w:rFonts w:hint="eastAsia" w:ascii="宋体" w:hAnsi="宋体" w:cs="仿宋_GB2312"/>
                <w:kern w:val="0"/>
                <w:sz w:val="24"/>
              </w:rPr>
              <w:t>0-</w:t>
            </w:r>
            <w:r>
              <w:rPr>
                <w:rFonts w:hint="eastAsia" w:ascii="宋体" w:hAnsi="宋体" w:cs="仿宋_GB2312"/>
                <w:kern w:val="0"/>
                <w:sz w:val="24"/>
                <w:lang w:val="en-US" w:eastAsia="zh-CN"/>
              </w:rPr>
              <w:t>5</w:t>
            </w:r>
            <w:r>
              <w:rPr>
                <w:rFonts w:hint="eastAsia" w:ascii="宋体" w:hAnsi="宋体" w:cs="仿宋_GB2312"/>
                <w:kern w:val="0"/>
                <w:sz w:val="24"/>
              </w:rPr>
              <w:t>分</w:t>
            </w:r>
            <w:r>
              <w:rPr>
                <w:rFonts w:hint="eastAsia" w:ascii="宋体" w:hAnsi="宋体" w:cs="仿宋_GB2312"/>
                <w:kern w:val="0"/>
                <w:sz w:val="24"/>
                <w:lang w:eastAsia="zh-CN"/>
              </w:rPr>
              <w:t>，如有缺项，该小项得0分</w:t>
            </w:r>
          </w:p>
        </w:tc>
      </w:tr>
      <w:tr w14:paraId="58DA7E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 w:hRule="atLeast"/>
          <w:jc w:val="center"/>
        </w:trPr>
        <w:tc>
          <w:tcPr>
            <w:tcW w:w="816" w:type="dxa"/>
            <w:vMerge w:val="continue"/>
            <w:noWrap w:val="0"/>
            <w:vAlign w:val="top"/>
          </w:tcPr>
          <w:p w14:paraId="6674919C">
            <w:pPr>
              <w:widowControl/>
              <w:adjustRightInd w:val="0"/>
              <w:jc w:val="left"/>
              <w:rPr>
                <w:rFonts w:hint="eastAsia" w:ascii="宋体" w:hAnsi="宋体" w:cs="仿宋_GB2312"/>
                <w:kern w:val="0"/>
                <w:sz w:val="24"/>
              </w:rPr>
            </w:pPr>
          </w:p>
        </w:tc>
        <w:tc>
          <w:tcPr>
            <w:tcW w:w="958" w:type="dxa"/>
            <w:gridSpan w:val="2"/>
            <w:vMerge w:val="continue"/>
            <w:noWrap w:val="0"/>
            <w:vAlign w:val="top"/>
          </w:tcPr>
          <w:p w14:paraId="14FE2D2D">
            <w:pPr>
              <w:widowControl/>
              <w:adjustRightInd w:val="0"/>
              <w:jc w:val="left"/>
              <w:rPr>
                <w:rFonts w:hint="eastAsia" w:ascii="宋体" w:hAnsi="宋体" w:cs="仿宋_GB2312"/>
                <w:kern w:val="0"/>
                <w:sz w:val="24"/>
              </w:rPr>
            </w:pPr>
          </w:p>
        </w:tc>
        <w:tc>
          <w:tcPr>
            <w:tcW w:w="2738" w:type="dxa"/>
            <w:noWrap w:val="0"/>
            <w:vAlign w:val="center"/>
          </w:tcPr>
          <w:p w14:paraId="01F7CFB6">
            <w:pPr>
              <w:widowControl/>
              <w:adjustRightInd w:val="0"/>
              <w:rPr>
                <w:rFonts w:hint="eastAsia" w:ascii="宋体" w:hAnsi="宋体" w:cs="仿宋_GB2312"/>
                <w:kern w:val="0"/>
                <w:sz w:val="24"/>
              </w:rPr>
            </w:pPr>
            <w:r>
              <w:rPr>
                <w:rFonts w:hint="eastAsia" w:ascii="宋体" w:hAnsi="宋体" w:cs="仿宋_GB2312"/>
                <w:kern w:val="0"/>
                <w:sz w:val="24"/>
              </w:rPr>
              <w:t>劳动力安排计划</w:t>
            </w:r>
          </w:p>
        </w:tc>
        <w:tc>
          <w:tcPr>
            <w:tcW w:w="4951" w:type="dxa"/>
            <w:noWrap w:val="0"/>
            <w:vAlign w:val="center"/>
          </w:tcPr>
          <w:p w14:paraId="58E1B361">
            <w:pPr>
              <w:widowControl/>
              <w:adjustRightInd w:val="0"/>
              <w:ind w:right="-107" w:rightChars="-51"/>
              <w:rPr>
                <w:rFonts w:hint="eastAsia" w:ascii="宋体" w:hAnsi="宋体" w:cs="仿宋_GB2312"/>
                <w:kern w:val="0"/>
                <w:sz w:val="24"/>
              </w:rPr>
            </w:pPr>
            <w:r>
              <w:rPr>
                <w:rFonts w:hint="eastAsia" w:ascii="宋体" w:hAnsi="宋体" w:cs="仿宋_GB2312"/>
                <w:kern w:val="0"/>
                <w:sz w:val="24"/>
              </w:rPr>
              <w:t>0-</w:t>
            </w:r>
            <w:r>
              <w:rPr>
                <w:rFonts w:hint="eastAsia" w:ascii="宋体" w:hAnsi="宋体" w:cs="仿宋_GB2312"/>
                <w:kern w:val="0"/>
                <w:sz w:val="24"/>
                <w:lang w:val="en-US" w:eastAsia="zh-CN"/>
              </w:rPr>
              <w:t>5</w:t>
            </w:r>
            <w:r>
              <w:rPr>
                <w:rFonts w:hint="eastAsia" w:ascii="宋体" w:hAnsi="宋体" w:cs="仿宋_GB2312"/>
                <w:kern w:val="0"/>
                <w:sz w:val="24"/>
              </w:rPr>
              <w:t>分</w:t>
            </w:r>
            <w:r>
              <w:rPr>
                <w:rFonts w:hint="eastAsia" w:ascii="宋体" w:hAnsi="宋体" w:cs="仿宋_GB2312"/>
                <w:kern w:val="0"/>
                <w:sz w:val="24"/>
                <w:lang w:eastAsia="zh-CN"/>
              </w:rPr>
              <w:t>，如有缺项，该小项得0分</w:t>
            </w:r>
          </w:p>
        </w:tc>
      </w:tr>
      <w:tr w14:paraId="14B384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3" w:hRule="atLeast"/>
          <w:jc w:val="center"/>
        </w:trPr>
        <w:tc>
          <w:tcPr>
            <w:tcW w:w="816" w:type="dxa"/>
            <w:vMerge w:val="continue"/>
            <w:noWrap w:val="0"/>
            <w:vAlign w:val="top"/>
          </w:tcPr>
          <w:p w14:paraId="62501CDA">
            <w:pPr>
              <w:widowControl/>
              <w:adjustRightInd w:val="0"/>
              <w:jc w:val="left"/>
              <w:rPr>
                <w:rFonts w:hint="eastAsia" w:ascii="宋体" w:hAnsi="宋体" w:cs="仿宋_GB2312"/>
                <w:kern w:val="0"/>
                <w:sz w:val="24"/>
              </w:rPr>
            </w:pPr>
          </w:p>
        </w:tc>
        <w:tc>
          <w:tcPr>
            <w:tcW w:w="958" w:type="dxa"/>
            <w:gridSpan w:val="2"/>
            <w:vMerge w:val="continue"/>
            <w:noWrap w:val="0"/>
            <w:vAlign w:val="top"/>
          </w:tcPr>
          <w:p w14:paraId="158CEFC9">
            <w:pPr>
              <w:widowControl/>
              <w:adjustRightInd w:val="0"/>
              <w:jc w:val="left"/>
              <w:rPr>
                <w:rFonts w:hint="eastAsia" w:ascii="宋体" w:hAnsi="宋体" w:cs="仿宋_GB2312"/>
                <w:kern w:val="0"/>
                <w:sz w:val="24"/>
              </w:rPr>
            </w:pPr>
          </w:p>
        </w:tc>
        <w:tc>
          <w:tcPr>
            <w:tcW w:w="2738" w:type="dxa"/>
            <w:noWrap w:val="0"/>
            <w:vAlign w:val="center"/>
          </w:tcPr>
          <w:p w14:paraId="6598965E">
            <w:pPr>
              <w:widowControl/>
              <w:adjustRightInd w:val="0"/>
              <w:ind w:right="-107" w:rightChars="-51"/>
              <w:rPr>
                <w:rFonts w:hint="eastAsia" w:ascii="宋体" w:hAnsi="宋体" w:cs="仿宋_GB2312"/>
                <w:kern w:val="0"/>
                <w:sz w:val="24"/>
              </w:rPr>
            </w:pPr>
            <w:r>
              <w:rPr>
                <w:rFonts w:hint="eastAsia" w:ascii="宋体" w:hAnsi="宋体" w:cs="仿宋_GB2312"/>
                <w:kern w:val="0"/>
                <w:sz w:val="24"/>
              </w:rPr>
              <w:t>拟投入的主要施工机械与主要物质计划</w:t>
            </w:r>
          </w:p>
        </w:tc>
        <w:tc>
          <w:tcPr>
            <w:tcW w:w="4951" w:type="dxa"/>
            <w:noWrap w:val="0"/>
            <w:vAlign w:val="center"/>
          </w:tcPr>
          <w:p w14:paraId="786D1C6A">
            <w:pPr>
              <w:widowControl/>
              <w:adjustRightInd w:val="0"/>
              <w:ind w:right="-107" w:rightChars="-51"/>
              <w:rPr>
                <w:rFonts w:hint="eastAsia" w:ascii="宋体" w:hAnsi="宋体" w:cs="仿宋_GB2312"/>
                <w:kern w:val="0"/>
                <w:sz w:val="24"/>
              </w:rPr>
            </w:pPr>
            <w:r>
              <w:rPr>
                <w:rFonts w:hint="eastAsia" w:ascii="宋体" w:hAnsi="宋体" w:cs="仿宋_GB2312"/>
                <w:kern w:val="0"/>
                <w:sz w:val="24"/>
              </w:rPr>
              <w:t>0-</w:t>
            </w:r>
            <w:r>
              <w:rPr>
                <w:rFonts w:hint="eastAsia" w:ascii="宋体" w:hAnsi="宋体" w:cs="仿宋_GB2312"/>
                <w:kern w:val="0"/>
                <w:sz w:val="24"/>
                <w:lang w:val="en-US" w:eastAsia="zh-CN"/>
              </w:rPr>
              <w:t>5</w:t>
            </w:r>
            <w:r>
              <w:rPr>
                <w:rFonts w:hint="eastAsia" w:ascii="宋体" w:hAnsi="宋体" w:cs="仿宋_GB2312"/>
                <w:kern w:val="0"/>
                <w:sz w:val="24"/>
              </w:rPr>
              <w:t>分</w:t>
            </w:r>
            <w:r>
              <w:rPr>
                <w:rFonts w:hint="eastAsia" w:ascii="宋体" w:hAnsi="宋体" w:cs="仿宋_GB2312"/>
                <w:kern w:val="0"/>
                <w:sz w:val="24"/>
                <w:lang w:eastAsia="zh-CN"/>
              </w:rPr>
              <w:t>，如有缺项，该小项得0分</w:t>
            </w:r>
          </w:p>
        </w:tc>
      </w:tr>
      <w:tr w14:paraId="7A4364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2" w:hRule="atLeast"/>
          <w:jc w:val="center"/>
        </w:trPr>
        <w:tc>
          <w:tcPr>
            <w:tcW w:w="816" w:type="dxa"/>
            <w:vMerge w:val="continue"/>
            <w:noWrap w:val="0"/>
            <w:vAlign w:val="top"/>
          </w:tcPr>
          <w:p w14:paraId="28E9FE64">
            <w:pPr>
              <w:widowControl/>
              <w:adjustRightInd w:val="0"/>
              <w:jc w:val="left"/>
              <w:rPr>
                <w:rFonts w:hint="eastAsia" w:ascii="宋体" w:hAnsi="宋体" w:cs="仿宋_GB2312"/>
                <w:kern w:val="0"/>
                <w:sz w:val="24"/>
              </w:rPr>
            </w:pPr>
          </w:p>
        </w:tc>
        <w:tc>
          <w:tcPr>
            <w:tcW w:w="958" w:type="dxa"/>
            <w:gridSpan w:val="2"/>
            <w:vMerge w:val="continue"/>
            <w:noWrap w:val="0"/>
            <w:vAlign w:val="top"/>
          </w:tcPr>
          <w:p w14:paraId="336D45D5">
            <w:pPr>
              <w:widowControl/>
              <w:adjustRightInd w:val="0"/>
              <w:jc w:val="left"/>
              <w:rPr>
                <w:rFonts w:hint="eastAsia" w:ascii="宋体" w:hAnsi="宋体" w:cs="仿宋_GB2312"/>
                <w:kern w:val="0"/>
                <w:sz w:val="24"/>
              </w:rPr>
            </w:pPr>
          </w:p>
        </w:tc>
        <w:tc>
          <w:tcPr>
            <w:tcW w:w="2738" w:type="dxa"/>
            <w:noWrap w:val="0"/>
            <w:vAlign w:val="center"/>
          </w:tcPr>
          <w:p w14:paraId="461D96CF">
            <w:pPr>
              <w:widowControl/>
              <w:adjustRightInd w:val="0"/>
              <w:ind w:right="-107" w:rightChars="-51"/>
              <w:rPr>
                <w:rFonts w:hint="eastAsia" w:ascii="宋体" w:hAnsi="宋体" w:cs="仿宋_GB2312"/>
                <w:spacing w:val="-4"/>
                <w:kern w:val="0"/>
                <w:sz w:val="24"/>
              </w:rPr>
            </w:pPr>
            <w:r>
              <w:rPr>
                <w:rFonts w:hint="eastAsia" w:ascii="宋体" w:hAnsi="宋体" w:cs="仿宋_GB2312"/>
                <w:spacing w:val="-4"/>
                <w:kern w:val="0"/>
                <w:sz w:val="24"/>
              </w:rPr>
              <w:t>文明施工管理体系与措施</w:t>
            </w:r>
          </w:p>
        </w:tc>
        <w:tc>
          <w:tcPr>
            <w:tcW w:w="4951" w:type="dxa"/>
            <w:noWrap w:val="0"/>
            <w:vAlign w:val="center"/>
          </w:tcPr>
          <w:p w14:paraId="2B14C494">
            <w:pPr>
              <w:widowControl/>
              <w:adjustRightInd w:val="0"/>
              <w:ind w:right="-107" w:rightChars="-51"/>
              <w:rPr>
                <w:rFonts w:hint="eastAsia" w:ascii="宋体" w:hAnsi="宋体" w:cs="仿宋_GB2312"/>
                <w:kern w:val="0"/>
                <w:sz w:val="24"/>
              </w:rPr>
            </w:pPr>
            <w:r>
              <w:rPr>
                <w:rFonts w:hint="eastAsia" w:ascii="宋体" w:hAnsi="宋体" w:cs="仿宋_GB2312"/>
                <w:kern w:val="0"/>
                <w:sz w:val="24"/>
              </w:rPr>
              <w:t>0-</w:t>
            </w:r>
            <w:r>
              <w:rPr>
                <w:rFonts w:hint="eastAsia" w:ascii="宋体" w:hAnsi="宋体" w:cs="仿宋_GB2312"/>
                <w:kern w:val="0"/>
                <w:sz w:val="24"/>
                <w:lang w:val="en-US" w:eastAsia="zh-CN"/>
              </w:rPr>
              <w:t>5</w:t>
            </w:r>
            <w:r>
              <w:rPr>
                <w:rFonts w:hint="eastAsia" w:ascii="宋体" w:hAnsi="宋体" w:cs="仿宋_GB2312"/>
                <w:kern w:val="0"/>
                <w:sz w:val="24"/>
              </w:rPr>
              <w:t>分</w:t>
            </w:r>
            <w:r>
              <w:rPr>
                <w:rFonts w:hint="eastAsia" w:ascii="宋体" w:hAnsi="宋体" w:cs="仿宋_GB2312"/>
                <w:kern w:val="0"/>
                <w:sz w:val="24"/>
                <w:lang w:eastAsia="zh-CN"/>
              </w:rPr>
              <w:t>，如有缺项，该小项得0分</w:t>
            </w:r>
          </w:p>
        </w:tc>
      </w:tr>
      <w:tr w14:paraId="0FC5B7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04" w:hRule="atLeast"/>
          <w:jc w:val="center"/>
        </w:trPr>
        <w:tc>
          <w:tcPr>
            <w:tcW w:w="816" w:type="dxa"/>
            <w:vMerge w:val="continue"/>
            <w:noWrap w:val="0"/>
            <w:vAlign w:val="top"/>
          </w:tcPr>
          <w:p w14:paraId="7D5BCCD5">
            <w:pPr>
              <w:widowControl/>
              <w:adjustRightInd w:val="0"/>
              <w:jc w:val="left"/>
              <w:rPr>
                <w:rFonts w:hint="eastAsia" w:ascii="宋体" w:hAnsi="宋体" w:cs="仿宋_GB2312"/>
                <w:kern w:val="0"/>
                <w:sz w:val="24"/>
              </w:rPr>
            </w:pPr>
          </w:p>
        </w:tc>
        <w:tc>
          <w:tcPr>
            <w:tcW w:w="958" w:type="dxa"/>
            <w:gridSpan w:val="2"/>
            <w:vMerge w:val="continue"/>
            <w:noWrap w:val="0"/>
            <w:vAlign w:val="top"/>
          </w:tcPr>
          <w:p w14:paraId="42E1A7FB">
            <w:pPr>
              <w:widowControl/>
              <w:adjustRightInd w:val="0"/>
              <w:jc w:val="left"/>
              <w:rPr>
                <w:rFonts w:hint="eastAsia" w:ascii="宋体" w:hAnsi="宋体" w:cs="仿宋_GB2312"/>
                <w:kern w:val="0"/>
                <w:sz w:val="24"/>
              </w:rPr>
            </w:pPr>
          </w:p>
        </w:tc>
        <w:tc>
          <w:tcPr>
            <w:tcW w:w="2738" w:type="dxa"/>
            <w:noWrap w:val="0"/>
            <w:vAlign w:val="center"/>
          </w:tcPr>
          <w:p w14:paraId="0B5F5E31">
            <w:pPr>
              <w:widowControl/>
              <w:adjustRightInd w:val="0"/>
              <w:rPr>
                <w:rFonts w:hint="eastAsia" w:ascii="宋体" w:hAnsi="宋体" w:cs="仿宋_GB2312"/>
                <w:kern w:val="0"/>
                <w:sz w:val="24"/>
              </w:rPr>
            </w:pPr>
            <w:r>
              <w:rPr>
                <w:rFonts w:hint="eastAsia" w:ascii="宋体" w:hAnsi="宋体" w:cs="仿宋_GB2312"/>
                <w:kern w:val="0"/>
                <w:sz w:val="24"/>
              </w:rPr>
              <w:t>工程进度计划与措施(包括网络图)</w:t>
            </w:r>
          </w:p>
        </w:tc>
        <w:tc>
          <w:tcPr>
            <w:tcW w:w="4951" w:type="dxa"/>
            <w:noWrap w:val="0"/>
            <w:vAlign w:val="center"/>
          </w:tcPr>
          <w:p w14:paraId="6AFFA7B7">
            <w:pPr>
              <w:widowControl/>
              <w:adjustRightInd w:val="0"/>
              <w:ind w:right="-107" w:rightChars="-51"/>
              <w:rPr>
                <w:rFonts w:hint="eastAsia" w:ascii="宋体" w:hAnsi="宋体" w:cs="仿宋_GB2312"/>
                <w:kern w:val="0"/>
                <w:sz w:val="24"/>
              </w:rPr>
            </w:pPr>
            <w:r>
              <w:rPr>
                <w:rFonts w:hint="eastAsia" w:ascii="宋体" w:hAnsi="宋体" w:cs="仿宋_GB2312"/>
                <w:kern w:val="0"/>
                <w:sz w:val="24"/>
              </w:rPr>
              <w:t>0-</w:t>
            </w:r>
            <w:r>
              <w:rPr>
                <w:rFonts w:hint="eastAsia" w:ascii="宋体" w:hAnsi="宋体" w:cs="仿宋_GB2312"/>
                <w:kern w:val="0"/>
                <w:sz w:val="24"/>
                <w:lang w:val="en-US" w:eastAsia="zh-CN"/>
              </w:rPr>
              <w:t>5</w:t>
            </w:r>
            <w:r>
              <w:rPr>
                <w:rFonts w:hint="eastAsia" w:ascii="宋体" w:hAnsi="宋体" w:cs="仿宋_GB2312"/>
                <w:kern w:val="0"/>
                <w:sz w:val="24"/>
              </w:rPr>
              <w:t>分</w:t>
            </w:r>
            <w:r>
              <w:rPr>
                <w:rFonts w:hint="eastAsia" w:ascii="宋体" w:hAnsi="宋体" w:cs="仿宋_GB2312"/>
                <w:kern w:val="0"/>
                <w:sz w:val="24"/>
                <w:lang w:eastAsia="zh-CN"/>
              </w:rPr>
              <w:t>，如有缺项，该小项得0分</w:t>
            </w:r>
          </w:p>
        </w:tc>
      </w:tr>
      <w:tr w14:paraId="6A2938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40" w:hRule="atLeast"/>
          <w:jc w:val="center"/>
        </w:trPr>
        <w:tc>
          <w:tcPr>
            <w:tcW w:w="816" w:type="dxa"/>
            <w:vMerge w:val="restart"/>
            <w:noWrap w:val="0"/>
            <w:vAlign w:val="center"/>
          </w:tcPr>
          <w:p w14:paraId="28543BA9">
            <w:pPr>
              <w:widowControl/>
              <w:adjustRightInd w:val="0"/>
              <w:jc w:val="center"/>
              <w:rPr>
                <w:rFonts w:hint="eastAsia" w:ascii="宋体" w:hAnsi="宋体" w:cs="TimesNewRomanPSMT"/>
                <w:kern w:val="0"/>
                <w:sz w:val="24"/>
              </w:rPr>
            </w:pPr>
            <w:r>
              <w:rPr>
                <w:rFonts w:hint="eastAsia" w:ascii="宋体" w:hAnsi="宋体" w:cs="TimesNewRomanPSMT"/>
                <w:kern w:val="0"/>
                <w:sz w:val="24"/>
              </w:rPr>
              <w:t>2.2.4</w:t>
            </w:r>
          </w:p>
          <w:p w14:paraId="5482330E">
            <w:pPr>
              <w:widowControl/>
              <w:adjustRightInd w:val="0"/>
              <w:jc w:val="center"/>
              <w:rPr>
                <w:rFonts w:hint="eastAsia" w:ascii="宋体" w:hAnsi="宋体" w:cs="仿宋_GB2312"/>
                <w:kern w:val="0"/>
                <w:sz w:val="24"/>
              </w:rPr>
            </w:pPr>
            <w:r>
              <w:rPr>
                <w:rFonts w:hint="eastAsia" w:ascii="宋体" w:hAnsi="宋体" w:cs="TimesNewRomanPSMT"/>
                <w:kern w:val="0"/>
                <w:sz w:val="24"/>
              </w:rPr>
              <w:t>(2)</w:t>
            </w:r>
          </w:p>
        </w:tc>
        <w:tc>
          <w:tcPr>
            <w:tcW w:w="958" w:type="dxa"/>
            <w:gridSpan w:val="2"/>
            <w:vMerge w:val="restart"/>
            <w:noWrap w:val="0"/>
            <w:vAlign w:val="center"/>
          </w:tcPr>
          <w:p w14:paraId="4FFC088E">
            <w:pPr>
              <w:widowControl/>
              <w:adjustRightInd w:val="0"/>
              <w:spacing w:line="288" w:lineRule="auto"/>
              <w:ind w:left="-107" w:leftChars="-51" w:right="-107" w:rightChars="-51"/>
              <w:jc w:val="center"/>
              <w:rPr>
                <w:rFonts w:hint="default" w:ascii="宋体" w:hAnsi="宋体" w:eastAsia="宋体" w:cs="仿宋_GB2312"/>
                <w:kern w:val="0"/>
                <w:sz w:val="24"/>
                <w:lang w:val="en-US" w:eastAsia="zh-CN"/>
              </w:rPr>
            </w:pPr>
            <w:r>
              <w:rPr>
                <w:rFonts w:hint="eastAsia" w:ascii="宋体" w:hAnsi="宋体" w:cs="仿宋_GB2312"/>
                <w:kern w:val="0"/>
                <w:sz w:val="24"/>
                <w:lang w:val="en-US" w:eastAsia="zh-CN"/>
              </w:rPr>
              <w:t>综合标（15分）</w:t>
            </w:r>
          </w:p>
        </w:tc>
        <w:tc>
          <w:tcPr>
            <w:tcW w:w="2738" w:type="dxa"/>
            <w:noWrap w:val="0"/>
            <w:vAlign w:val="center"/>
          </w:tcPr>
          <w:p w14:paraId="1153F878">
            <w:pPr>
              <w:spacing w:line="288" w:lineRule="auto"/>
              <w:jc w:val="center"/>
              <w:rPr>
                <w:rFonts w:hint="eastAsia" w:ascii="宋体" w:hAnsi="宋体"/>
                <w:sz w:val="24"/>
              </w:rPr>
            </w:pPr>
            <w:r>
              <w:rPr>
                <w:rFonts w:hint="eastAsia" w:ascii="宋体" w:hAnsi="宋体" w:cs="仿宋_GB2312"/>
                <w:kern w:val="0"/>
                <w:sz w:val="24"/>
              </w:rPr>
              <w:t>项目管理机构（满分</w:t>
            </w:r>
            <w:r>
              <w:rPr>
                <w:rFonts w:hint="eastAsia" w:ascii="宋体" w:hAnsi="宋体" w:cs="仿宋_GB2312"/>
                <w:kern w:val="0"/>
                <w:sz w:val="24"/>
                <w:lang w:val="en-US" w:eastAsia="zh-CN"/>
              </w:rPr>
              <w:t>5</w:t>
            </w:r>
            <w:r>
              <w:rPr>
                <w:rFonts w:hint="eastAsia" w:ascii="宋体" w:hAnsi="宋体" w:cs="仿宋_GB2312"/>
                <w:kern w:val="0"/>
                <w:sz w:val="24"/>
              </w:rPr>
              <w:t>分）</w:t>
            </w:r>
          </w:p>
        </w:tc>
        <w:tc>
          <w:tcPr>
            <w:tcW w:w="4951" w:type="dxa"/>
            <w:noWrap w:val="0"/>
            <w:vAlign w:val="center"/>
          </w:tcPr>
          <w:p w14:paraId="20E1AE80">
            <w:pPr>
              <w:spacing w:line="360" w:lineRule="exact"/>
              <w:rPr>
                <w:rFonts w:hint="eastAsia" w:ascii="宋体" w:hAnsi="宋体" w:eastAsia="宋体" w:cs="仿宋_GB2312"/>
                <w:kern w:val="0"/>
                <w:sz w:val="24"/>
                <w:lang w:eastAsia="zh-CN"/>
              </w:rPr>
            </w:pPr>
            <w:r>
              <w:rPr>
                <w:rFonts w:hint="eastAsia" w:ascii="宋体" w:hAnsi="宋体" w:eastAsia="宋体" w:cs="仿宋_GB2312"/>
                <w:kern w:val="0"/>
                <w:sz w:val="24"/>
                <w:lang w:eastAsia="zh-CN"/>
              </w:rPr>
              <w:t>项目管理机构专业齐全，有岗位证（安全员、施工员、资料员、质量员、预算员或造价员）提供齐全都全得5分、缺一项扣1分</w:t>
            </w:r>
          </w:p>
        </w:tc>
      </w:tr>
      <w:tr w14:paraId="38B829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7" w:hRule="atLeast"/>
          <w:jc w:val="center"/>
        </w:trPr>
        <w:tc>
          <w:tcPr>
            <w:tcW w:w="816" w:type="dxa"/>
            <w:vMerge w:val="continue"/>
            <w:noWrap w:val="0"/>
            <w:vAlign w:val="center"/>
          </w:tcPr>
          <w:p w14:paraId="473E3CEE">
            <w:pPr>
              <w:widowControl/>
              <w:adjustRightInd w:val="0"/>
              <w:jc w:val="center"/>
              <w:rPr>
                <w:rFonts w:hint="eastAsia" w:ascii="宋体" w:hAnsi="宋体" w:cs="TimesNewRomanPSMT"/>
                <w:kern w:val="0"/>
                <w:sz w:val="24"/>
              </w:rPr>
            </w:pPr>
          </w:p>
        </w:tc>
        <w:tc>
          <w:tcPr>
            <w:tcW w:w="958" w:type="dxa"/>
            <w:gridSpan w:val="2"/>
            <w:vMerge w:val="continue"/>
            <w:noWrap w:val="0"/>
            <w:vAlign w:val="center"/>
          </w:tcPr>
          <w:p w14:paraId="488BBC48">
            <w:pPr>
              <w:widowControl/>
              <w:adjustRightInd w:val="0"/>
              <w:spacing w:line="288" w:lineRule="auto"/>
              <w:ind w:left="-107" w:leftChars="-51" w:right="-107" w:rightChars="-51"/>
              <w:jc w:val="center"/>
              <w:rPr>
                <w:rFonts w:hint="eastAsia" w:ascii="宋体" w:hAnsi="宋体" w:cs="仿宋_GB2312"/>
                <w:kern w:val="0"/>
                <w:sz w:val="24"/>
                <w:lang w:val="en-US" w:eastAsia="zh-CN"/>
              </w:rPr>
            </w:pPr>
          </w:p>
        </w:tc>
        <w:tc>
          <w:tcPr>
            <w:tcW w:w="2738" w:type="dxa"/>
            <w:noWrap w:val="0"/>
            <w:vAlign w:val="center"/>
          </w:tcPr>
          <w:p w14:paraId="188F6904">
            <w:pPr>
              <w:spacing w:line="288" w:lineRule="auto"/>
              <w:jc w:val="center"/>
              <w:rPr>
                <w:rFonts w:hint="default" w:ascii="宋体" w:hAnsi="宋体" w:eastAsia="宋体" w:cs="仿宋_GB2312"/>
                <w:kern w:val="0"/>
                <w:sz w:val="24"/>
                <w:lang w:val="en-US" w:eastAsia="zh-CN"/>
              </w:rPr>
            </w:pPr>
            <w:r>
              <w:rPr>
                <w:rFonts w:hint="eastAsia" w:ascii="宋体" w:hAnsi="宋体" w:cs="仿宋_GB2312"/>
                <w:kern w:val="0"/>
                <w:sz w:val="24"/>
                <w:lang w:val="en-US" w:eastAsia="zh-CN"/>
              </w:rPr>
              <w:t>业绩(4分）</w:t>
            </w:r>
          </w:p>
        </w:tc>
        <w:tc>
          <w:tcPr>
            <w:tcW w:w="4951" w:type="dxa"/>
            <w:shd w:val="clear" w:color="auto" w:fill="auto"/>
            <w:noWrap w:val="0"/>
            <w:vAlign w:val="center"/>
          </w:tcPr>
          <w:p w14:paraId="6DCEB501">
            <w:pPr>
              <w:pStyle w:val="38"/>
              <w:widowControl w:val="0"/>
              <w:spacing w:line="546" w:lineRule="exact"/>
              <w:jc w:val="center"/>
              <w:rPr>
                <w:rFonts w:hint="eastAsia" w:ascii="宋体" w:hAnsi="宋体" w:eastAsia="宋体" w:cs="Times New Roman"/>
                <w:color w:val="auto"/>
                <w:kern w:val="0"/>
                <w:sz w:val="21"/>
                <w:szCs w:val="21"/>
                <w:lang w:val="en-US" w:eastAsia="zh-CN" w:bidi="ar-SA"/>
              </w:rPr>
            </w:pPr>
            <w:r>
              <w:rPr>
                <w:rFonts w:hint="eastAsia" w:ascii="宋体" w:hAnsi="宋体" w:eastAsia="宋体" w:cs="Times New Roman"/>
                <w:bCs/>
                <w:kern w:val="2"/>
                <w:sz w:val="24"/>
                <w:szCs w:val="24"/>
                <w:lang w:val="en-US" w:eastAsia="zh-CN" w:bidi="ar-SA"/>
              </w:rPr>
              <w:t>2021年1月1日以来（以合同签订日期为准），有一项类似业绩的得2分，最多得4分。</w:t>
            </w:r>
          </w:p>
        </w:tc>
      </w:tr>
      <w:tr w14:paraId="23030F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05" w:hRule="atLeast"/>
          <w:jc w:val="center"/>
        </w:trPr>
        <w:tc>
          <w:tcPr>
            <w:tcW w:w="816" w:type="dxa"/>
            <w:vMerge w:val="continue"/>
            <w:shd w:val="clear" w:color="auto" w:fill="auto"/>
            <w:noWrap w:val="0"/>
            <w:vAlign w:val="center"/>
          </w:tcPr>
          <w:p w14:paraId="03F5800C">
            <w:pPr>
              <w:widowControl/>
              <w:adjustRightInd w:val="0"/>
              <w:jc w:val="center"/>
              <w:rPr>
                <w:rFonts w:hint="eastAsia" w:ascii="宋体" w:hAnsi="宋体" w:eastAsia="宋体" w:cs="TimesNewRomanPSMT"/>
                <w:kern w:val="0"/>
                <w:sz w:val="24"/>
                <w:szCs w:val="24"/>
                <w:lang w:val="en-US" w:eastAsia="zh-CN" w:bidi="ar-SA"/>
              </w:rPr>
            </w:pPr>
          </w:p>
        </w:tc>
        <w:tc>
          <w:tcPr>
            <w:tcW w:w="958" w:type="dxa"/>
            <w:gridSpan w:val="2"/>
            <w:vMerge w:val="continue"/>
            <w:shd w:val="clear" w:color="auto" w:fill="auto"/>
            <w:noWrap w:val="0"/>
            <w:vAlign w:val="center"/>
          </w:tcPr>
          <w:p w14:paraId="042479D7">
            <w:pPr>
              <w:widowControl/>
              <w:adjustRightInd w:val="0"/>
              <w:spacing w:line="288" w:lineRule="auto"/>
              <w:ind w:left="-107" w:leftChars="-51" w:right="-107" w:rightChars="-51"/>
              <w:jc w:val="center"/>
              <w:rPr>
                <w:rFonts w:hint="eastAsia" w:ascii="宋体" w:hAnsi="宋体" w:eastAsia="宋体" w:cs="仿宋_GB2312"/>
                <w:kern w:val="0"/>
                <w:sz w:val="24"/>
                <w:szCs w:val="24"/>
                <w:lang w:val="en-US" w:eastAsia="zh-CN" w:bidi="ar-SA"/>
              </w:rPr>
            </w:pPr>
          </w:p>
        </w:tc>
        <w:tc>
          <w:tcPr>
            <w:tcW w:w="2738" w:type="dxa"/>
            <w:shd w:val="clear" w:color="auto" w:fill="auto"/>
            <w:noWrap w:val="0"/>
            <w:vAlign w:val="center"/>
          </w:tcPr>
          <w:p w14:paraId="585DF2D4">
            <w:pPr>
              <w:spacing w:line="288" w:lineRule="auto"/>
              <w:jc w:val="center"/>
              <w:rPr>
                <w:rFonts w:hint="eastAsia" w:ascii="宋体" w:hAnsi="宋体" w:eastAsia="宋体" w:cs="Times New Roman"/>
                <w:b/>
                <w:kern w:val="0"/>
                <w:sz w:val="24"/>
                <w:szCs w:val="24"/>
                <w:lang w:val="en-US" w:eastAsia="zh-CN" w:bidi="ar-SA"/>
              </w:rPr>
            </w:pPr>
            <w:r>
              <w:rPr>
                <w:rFonts w:hint="eastAsia" w:ascii="宋体" w:hAnsi="宋体"/>
                <w:kern w:val="0"/>
                <w:sz w:val="24"/>
              </w:rPr>
              <w:t>投标人承诺（</w:t>
            </w:r>
            <w:r>
              <w:rPr>
                <w:rFonts w:hint="eastAsia" w:ascii="宋体" w:hAnsi="宋体"/>
                <w:kern w:val="0"/>
                <w:sz w:val="24"/>
                <w:lang w:val="en-US" w:eastAsia="zh-CN"/>
              </w:rPr>
              <w:t>6</w:t>
            </w:r>
            <w:r>
              <w:rPr>
                <w:rFonts w:hint="eastAsia" w:ascii="宋体" w:hAnsi="宋体"/>
                <w:kern w:val="0"/>
                <w:sz w:val="24"/>
              </w:rPr>
              <w:t>分）</w:t>
            </w:r>
          </w:p>
        </w:tc>
        <w:tc>
          <w:tcPr>
            <w:tcW w:w="4951" w:type="dxa"/>
            <w:shd w:val="clear" w:color="auto" w:fill="auto"/>
            <w:noWrap w:val="0"/>
            <w:vAlign w:val="center"/>
          </w:tcPr>
          <w:p w14:paraId="275EAD01">
            <w:pPr>
              <w:spacing w:line="360" w:lineRule="exact"/>
              <w:rPr>
                <w:rFonts w:hint="eastAsia" w:ascii="宋体" w:hAnsi="宋体"/>
                <w:bCs/>
                <w:sz w:val="24"/>
              </w:rPr>
            </w:pPr>
            <w:r>
              <w:rPr>
                <w:rFonts w:hint="eastAsia" w:ascii="宋体" w:hAnsi="宋体"/>
                <w:bCs/>
                <w:sz w:val="24"/>
              </w:rPr>
              <w:t>1、承诺质量、工期达到招标文件要求并有具体的措施0-</w:t>
            </w:r>
            <w:r>
              <w:rPr>
                <w:rFonts w:hint="eastAsia" w:ascii="宋体" w:hAnsi="宋体"/>
                <w:bCs/>
                <w:sz w:val="24"/>
                <w:lang w:val="en-US" w:eastAsia="zh-CN"/>
              </w:rPr>
              <w:t>2</w:t>
            </w:r>
            <w:r>
              <w:rPr>
                <w:rFonts w:hint="eastAsia" w:ascii="宋体" w:hAnsi="宋体"/>
                <w:bCs/>
                <w:sz w:val="24"/>
              </w:rPr>
              <w:t>分；</w:t>
            </w:r>
          </w:p>
          <w:p w14:paraId="2ED49332">
            <w:pPr>
              <w:spacing w:line="360" w:lineRule="exact"/>
              <w:rPr>
                <w:rFonts w:hint="eastAsia" w:ascii="宋体" w:hAnsi="宋体"/>
                <w:bCs/>
                <w:sz w:val="24"/>
              </w:rPr>
            </w:pPr>
            <w:r>
              <w:rPr>
                <w:rFonts w:hint="eastAsia" w:ascii="宋体" w:hAnsi="宋体"/>
                <w:bCs/>
                <w:sz w:val="24"/>
              </w:rPr>
              <w:t>2、有保修期之内外服务承诺的及有施工期间建筑垃圾处置具体的措施0-</w:t>
            </w:r>
            <w:r>
              <w:rPr>
                <w:rFonts w:hint="eastAsia" w:ascii="宋体" w:hAnsi="宋体"/>
                <w:bCs/>
                <w:sz w:val="24"/>
                <w:lang w:val="en-US" w:eastAsia="zh-CN"/>
              </w:rPr>
              <w:t>2</w:t>
            </w:r>
            <w:r>
              <w:rPr>
                <w:rFonts w:hint="eastAsia" w:ascii="宋体" w:hAnsi="宋体"/>
                <w:bCs/>
                <w:sz w:val="24"/>
              </w:rPr>
              <w:t>分；</w:t>
            </w:r>
          </w:p>
          <w:p w14:paraId="2BB8BDB6">
            <w:pPr>
              <w:spacing w:line="360" w:lineRule="exact"/>
              <w:rPr>
                <w:rFonts w:hint="eastAsia" w:ascii="宋体" w:hAnsi="宋体" w:eastAsia="宋体" w:cs="Times New Roman"/>
                <w:color w:val="FF0000"/>
                <w:kern w:val="0"/>
                <w:sz w:val="24"/>
                <w:szCs w:val="24"/>
                <w:lang w:val="en-US" w:eastAsia="zh-CN" w:bidi="ar-SA"/>
              </w:rPr>
            </w:pPr>
            <w:r>
              <w:rPr>
                <w:rFonts w:hint="eastAsia" w:ascii="宋体" w:hAnsi="宋体"/>
                <w:bCs/>
                <w:sz w:val="24"/>
              </w:rPr>
              <w:t>3、投标人应对人员、设备及安全生产目标等方面做出承诺，投标人承诺书响应或优于招标文件要求者得1-</w:t>
            </w:r>
            <w:r>
              <w:rPr>
                <w:rFonts w:hint="eastAsia" w:ascii="宋体" w:hAnsi="宋体"/>
                <w:bCs/>
                <w:sz w:val="24"/>
                <w:lang w:val="en-US" w:eastAsia="zh-CN"/>
              </w:rPr>
              <w:t>2</w:t>
            </w:r>
            <w:r>
              <w:rPr>
                <w:rFonts w:hint="eastAsia" w:ascii="宋体" w:hAnsi="宋体"/>
                <w:bCs/>
                <w:sz w:val="24"/>
              </w:rPr>
              <w:t>分，无投标人承诺书者不得分</w:t>
            </w:r>
            <w:r>
              <w:rPr>
                <w:rFonts w:hint="eastAsia" w:ascii="宋体" w:hAnsi="宋体"/>
                <w:kern w:val="0"/>
                <w:sz w:val="24"/>
              </w:rPr>
              <w:t>。</w:t>
            </w:r>
          </w:p>
        </w:tc>
      </w:tr>
      <w:tr w14:paraId="1D177C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05" w:hRule="atLeast"/>
          <w:jc w:val="center"/>
        </w:trPr>
        <w:tc>
          <w:tcPr>
            <w:tcW w:w="816" w:type="dxa"/>
            <w:noWrap w:val="0"/>
            <w:vAlign w:val="center"/>
          </w:tcPr>
          <w:p w14:paraId="5F15C7FA">
            <w:pPr>
              <w:widowControl/>
              <w:adjustRightInd w:val="0"/>
              <w:jc w:val="center"/>
              <w:rPr>
                <w:rFonts w:hint="eastAsia" w:ascii="宋体" w:hAnsi="宋体" w:cs="TimesNewRomanPSMT"/>
                <w:kern w:val="0"/>
                <w:sz w:val="24"/>
              </w:rPr>
            </w:pPr>
            <w:r>
              <w:rPr>
                <w:rFonts w:hint="eastAsia" w:ascii="宋体" w:hAnsi="宋体" w:cs="TimesNewRomanPSMT"/>
                <w:kern w:val="0"/>
                <w:sz w:val="24"/>
              </w:rPr>
              <w:t>2.2.4</w:t>
            </w:r>
          </w:p>
          <w:p w14:paraId="3B25232D">
            <w:pPr>
              <w:adjustRightInd w:val="0"/>
              <w:jc w:val="center"/>
              <w:rPr>
                <w:rFonts w:hint="eastAsia" w:ascii="宋体" w:hAnsi="宋体" w:cs="TimesNewRomanPSMT"/>
                <w:kern w:val="0"/>
                <w:sz w:val="24"/>
              </w:rPr>
            </w:pPr>
            <w:r>
              <w:rPr>
                <w:rFonts w:hint="eastAsia" w:ascii="宋体" w:hAnsi="宋体" w:cs="TimesNewRomanPSMT"/>
                <w:kern w:val="0"/>
                <w:sz w:val="24"/>
              </w:rPr>
              <w:t>(3)</w:t>
            </w:r>
          </w:p>
        </w:tc>
        <w:tc>
          <w:tcPr>
            <w:tcW w:w="958" w:type="dxa"/>
            <w:gridSpan w:val="2"/>
            <w:noWrap w:val="0"/>
            <w:vAlign w:val="center"/>
          </w:tcPr>
          <w:p w14:paraId="61629DBA">
            <w:pPr>
              <w:adjustRightInd w:val="0"/>
              <w:spacing w:line="288" w:lineRule="auto"/>
              <w:ind w:left="-107" w:leftChars="-51" w:right="-107" w:rightChars="-51"/>
              <w:jc w:val="center"/>
              <w:rPr>
                <w:rFonts w:hint="eastAsia" w:ascii="宋体" w:hAnsi="宋体" w:cs="仿宋_GB2312"/>
                <w:kern w:val="0"/>
                <w:sz w:val="24"/>
              </w:rPr>
            </w:pPr>
            <w:r>
              <w:rPr>
                <w:rFonts w:hint="eastAsia" w:ascii="宋体" w:hAnsi="宋体" w:cs="仿宋_GB2312"/>
                <w:kern w:val="0"/>
                <w:sz w:val="24"/>
                <w:lang w:val="en-US" w:eastAsia="zh-CN"/>
              </w:rPr>
              <w:t>商务标</w:t>
            </w:r>
            <w:r>
              <w:rPr>
                <w:rFonts w:hint="eastAsia" w:ascii="宋体" w:hAnsi="宋体" w:cs="仿宋_GB2312"/>
                <w:kern w:val="0"/>
                <w:sz w:val="24"/>
              </w:rPr>
              <w:t>（</w:t>
            </w:r>
            <w:r>
              <w:rPr>
                <w:rFonts w:hint="eastAsia" w:ascii="宋体" w:hAnsi="宋体" w:cs="仿宋_GB2312"/>
                <w:kern w:val="0"/>
                <w:sz w:val="24"/>
                <w:lang w:val="en-US" w:eastAsia="zh-CN"/>
              </w:rPr>
              <w:t>40</w:t>
            </w:r>
            <w:r>
              <w:rPr>
                <w:rFonts w:hint="eastAsia" w:ascii="宋体" w:hAnsi="宋体" w:cs="仿宋_GB2312"/>
                <w:kern w:val="0"/>
                <w:sz w:val="24"/>
              </w:rPr>
              <w:t>分</w:t>
            </w:r>
          </w:p>
        </w:tc>
        <w:tc>
          <w:tcPr>
            <w:tcW w:w="2738" w:type="dxa"/>
            <w:noWrap w:val="0"/>
            <w:vAlign w:val="center"/>
          </w:tcPr>
          <w:p w14:paraId="4C556B08">
            <w:pPr>
              <w:spacing w:line="288" w:lineRule="auto"/>
              <w:rPr>
                <w:rFonts w:hint="eastAsia" w:ascii="宋体" w:hAnsi="宋体"/>
                <w:sz w:val="24"/>
              </w:rPr>
            </w:pPr>
            <w:r>
              <w:rPr>
                <w:rFonts w:hint="eastAsia" w:ascii="宋体" w:hAnsi="宋体" w:cs="仿宋_GB2312"/>
                <w:kern w:val="0"/>
                <w:sz w:val="24"/>
              </w:rPr>
              <w:t>投标</w:t>
            </w:r>
            <w:r>
              <w:rPr>
                <w:rFonts w:hint="eastAsia" w:ascii="宋体" w:hAnsi="宋体"/>
                <w:kern w:val="0"/>
                <w:sz w:val="24"/>
              </w:rPr>
              <w:t>报价评分</w:t>
            </w:r>
            <w:r>
              <w:rPr>
                <w:rFonts w:hint="eastAsia" w:ascii="宋体" w:hAnsi="宋体" w:cs="仿宋_GB2312"/>
                <w:kern w:val="0"/>
                <w:sz w:val="24"/>
              </w:rPr>
              <w:t>标准（</w:t>
            </w:r>
            <w:r>
              <w:rPr>
                <w:rFonts w:hint="eastAsia" w:ascii="宋体" w:hAnsi="宋体" w:cs="仿宋_GB2312"/>
                <w:kern w:val="0"/>
                <w:sz w:val="24"/>
                <w:lang w:val="en-US" w:eastAsia="zh-CN"/>
              </w:rPr>
              <w:t>40</w:t>
            </w:r>
            <w:r>
              <w:rPr>
                <w:rFonts w:hint="eastAsia" w:ascii="宋体" w:hAnsi="宋体" w:cs="仿宋_GB2312"/>
                <w:kern w:val="0"/>
                <w:sz w:val="24"/>
              </w:rPr>
              <w:t>分）</w:t>
            </w:r>
          </w:p>
        </w:tc>
        <w:tc>
          <w:tcPr>
            <w:tcW w:w="4951" w:type="dxa"/>
            <w:noWrap w:val="0"/>
            <w:vAlign w:val="center"/>
          </w:tcPr>
          <w:p w14:paraId="424BC73E">
            <w:pPr>
              <w:spacing w:line="360" w:lineRule="exact"/>
              <w:rPr>
                <w:rFonts w:hint="eastAsia" w:ascii="宋体" w:hAnsi="宋体" w:cs="仿宋_GB2312"/>
                <w:kern w:val="0"/>
                <w:sz w:val="24"/>
              </w:rPr>
            </w:pPr>
            <w:r>
              <w:rPr>
                <w:rFonts w:hint="eastAsia" w:ascii="宋体" w:hAnsi="宋体" w:cs="仿宋_GB2312"/>
                <w:kern w:val="0"/>
                <w:sz w:val="24"/>
              </w:rPr>
              <w:t>投标报价等于评标基准价的得满分</w:t>
            </w:r>
            <w:r>
              <w:rPr>
                <w:rFonts w:hint="eastAsia" w:ascii="宋体" w:hAnsi="宋体" w:cs="仿宋_GB2312"/>
                <w:kern w:val="0"/>
                <w:sz w:val="24"/>
                <w:lang w:val="en-US" w:eastAsia="zh-CN"/>
              </w:rPr>
              <w:t>40</w:t>
            </w:r>
            <w:r>
              <w:rPr>
                <w:rFonts w:hint="eastAsia" w:ascii="宋体" w:hAnsi="宋体" w:cs="仿宋_GB2312"/>
                <w:kern w:val="0"/>
                <w:sz w:val="24"/>
              </w:rPr>
              <w:t>分。</w:t>
            </w:r>
          </w:p>
          <w:p w14:paraId="190992DD">
            <w:pPr>
              <w:spacing w:line="360" w:lineRule="exact"/>
              <w:rPr>
                <w:rFonts w:hint="eastAsia" w:ascii="宋体" w:hAnsi="宋体" w:cs="仿宋_GB2312"/>
                <w:kern w:val="0"/>
                <w:sz w:val="24"/>
              </w:rPr>
            </w:pPr>
            <w:r>
              <w:rPr>
                <w:rFonts w:hint="eastAsia" w:ascii="宋体" w:hAnsi="宋体" w:cs="仿宋_GB2312"/>
                <w:kern w:val="0"/>
                <w:sz w:val="24"/>
              </w:rPr>
              <w:t>投标报价高于评标基准价1%扣1分，低于评标基准价1%扣1分，扣完为止。</w:t>
            </w:r>
          </w:p>
        </w:tc>
      </w:tr>
      <w:tr w14:paraId="4C7E41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6" w:hRule="atLeast"/>
          <w:jc w:val="center"/>
        </w:trPr>
        <w:tc>
          <w:tcPr>
            <w:tcW w:w="816" w:type="dxa"/>
            <w:noWrap w:val="0"/>
            <w:vAlign w:val="center"/>
          </w:tcPr>
          <w:p w14:paraId="5BEC2ACA">
            <w:pPr>
              <w:widowControl/>
              <w:adjustRightInd w:val="0"/>
              <w:jc w:val="center"/>
              <w:rPr>
                <w:rFonts w:hint="eastAsia" w:ascii="宋体" w:hAnsi="宋体" w:cs="TimesNewRomanPSMT"/>
                <w:kern w:val="0"/>
                <w:sz w:val="24"/>
              </w:rPr>
            </w:pPr>
            <w:r>
              <w:rPr>
                <w:rFonts w:hint="eastAsia" w:ascii="宋体" w:hAnsi="宋体" w:cs="TimesNewRomanPSMT"/>
                <w:kern w:val="0"/>
                <w:sz w:val="24"/>
              </w:rPr>
              <w:t>3.2.3</w:t>
            </w:r>
          </w:p>
        </w:tc>
        <w:tc>
          <w:tcPr>
            <w:tcW w:w="3696" w:type="dxa"/>
            <w:gridSpan w:val="3"/>
            <w:noWrap w:val="0"/>
            <w:vAlign w:val="center"/>
          </w:tcPr>
          <w:p w14:paraId="069B1B2A">
            <w:pPr>
              <w:spacing w:line="288" w:lineRule="auto"/>
              <w:rPr>
                <w:rFonts w:hint="eastAsia" w:ascii="宋体" w:hAnsi="宋体"/>
                <w:kern w:val="0"/>
                <w:sz w:val="24"/>
                <w:szCs w:val="24"/>
              </w:rPr>
            </w:pPr>
            <w:r>
              <w:rPr>
                <w:rFonts w:hint="eastAsia" w:ascii="宋体" w:hAnsi="宋体"/>
                <w:kern w:val="0"/>
                <w:sz w:val="24"/>
                <w:szCs w:val="24"/>
              </w:rPr>
              <w:t>投标人得分</w:t>
            </w:r>
          </w:p>
        </w:tc>
        <w:tc>
          <w:tcPr>
            <w:tcW w:w="4951" w:type="dxa"/>
            <w:noWrap w:val="0"/>
            <w:vAlign w:val="center"/>
          </w:tcPr>
          <w:p w14:paraId="784E68B3">
            <w:pPr>
              <w:spacing w:line="360" w:lineRule="exact"/>
              <w:rPr>
                <w:rFonts w:hint="eastAsia" w:ascii="宋体" w:hAnsi="宋体"/>
                <w:kern w:val="0"/>
                <w:sz w:val="24"/>
                <w:szCs w:val="24"/>
              </w:rPr>
            </w:pPr>
            <w:r>
              <w:rPr>
                <w:rFonts w:hint="eastAsia" w:ascii="宋体" w:hAnsi="宋体"/>
                <w:kern w:val="0"/>
                <w:sz w:val="24"/>
                <w:szCs w:val="24"/>
              </w:rPr>
              <w:t>投标人得分=</w:t>
            </w:r>
            <w:r>
              <w:rPr>
                <w:rFonts w:hint="eastAsia"/>
                <w:kern w:val="2"/>
                <w:sz w:val="24"/>
                <w:szCs w:val="24"/>
              </w:rPr>
              <w:t>技术标得分＋商务标得分＋</w:t>
            </w:r>
            <w:r>
              <w:rPr>
                <w:rFonts w:hint="eastAsia"/>
                <w:sz w:val="24"/>
                <w:szCs w:val="24"/>
              </w:rPr>
              <w:t>综合标</w:t>
            </w:r>
            <w:r>
              <w:rPr>
                <w:rFonts w:hint="eastAsia" w:ascii="宋体" w:hAnsi="宋体"/>
                <w:kern w:val="0"/>
                <w:sz w:val="24"/>
                <w:szCs w:val="24"/>
              </w:rPr>
              <w:t>。</w:t>
            </w:r>
          </w:p>
        </w:tc>
      </w:tr>
      <w:tr w14:paraId="6EDAD8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0" w:hRule="atLeast"/>
          <w:jc w:val="center"/>
        </w:trPr>
        <w:tc>
          <w:tcPr>
            <w:tcW w:w="816" w:type="dxa"/>
            <w:noWrap w:val="0"/>
            <w:vAlign w:val="center"/>
          </w:tcPr>
          <w:p w14:paraId="24F6E6CE">
            <w:pPr>
              <w:widowControl/>
              <w:adjustRightInd w:val="0"/>
              <w:jc w:val="center"/>
              <w:rPr>
                <w:rFonts w:hint="eastAsia" w:ascii="宋体" w:hAnsi="宋体" w:cs="仿宋_GB2312"/>
                <w:kern w:val="0"/>
                <w:sz w:val="24"/>
              </w:rPr>
            </w:pPr>
            <w:r>
              <w:rPr>
                <w:rFonts w:hint="eastAsia" w:ascii="宋体" w:hAnsi="宋体" w:cs="仿宋_GB2312"/>
                <w:kern w:val="0"/>
                <w:sz w:val="24"/>
              </w:rPr>
              <w:t>3.2.5</w:t>
            </w:r>
          </w:p>
        </w:tc>
        <w:tc>
          <w:tcPr>
            <w:tcW w:w="3696" w:type="dxa"/>
            <w:gridSpan w:val="3"/>
            <w:noWrap w:val="0"/>
            <w:vAlign w:val="center"/>
          </w:tcPr>
          <w:p w14:paraId="2A8859D7">
            <w:pPr>
              <w:spacing w:line="288" w:lineRule="auto"/>
              <w:jc w:val="center"/>
              <w:rPr>
                <w:rFonts w:hint="eastAsia" w:ascii="宋体" w:hAnsi="宋体"/>
                <w:kern w:val="0"/>
                <w:sz w:val="24"/>
              </w:rPr>
            </w:pPr>
            <w:r>
              <w:rPr>
                <w:rFonts w:hint="eastAsia" w:ascii="宋体" w:hAnsi="宋体" w:cs="仿宋_GB2312"/>
                <w:kern w:val="0"/>
                <w:sz w:val="24"/>
              </w:rPr>
              <w:t>投标人的最终得分</w:t>
            </w:r>
          </w:p>
        </w:tc>
        <w:tc>
          <w:tcPr>
            <w:tcW w:w="4951" w:type="dxa"/>
            <w:noWrap w:val="0"/>
            <w:vAlign w:val="center"/>
          </w:tcPr>
          <w:p w14:paraId="1ECA06EA">
            <w:pPr>
              <w:spacing w:line="360" w:lineRule="exact"/>
              <w:rPr>
                <w:rFonts w:hint="eastAsia" w:ascii="宋体" w:hAnsi="宋体"/>
                <w:kern w:val="0"/>
                <w:sz w:val="24"/>
              </w:rPr>
            </w:pPr>
            <w:r>
              <w:rPr>
                <w:rFonts w:hint="eastAsia" w:ascii="宋体" w:hAnsi="宋体"/>
                <w:kern w:val="0"/>
                <w:sz w:val="24"/>
              </w:rPr>
              <w:t>评标委员会由五名以下（含五名）评委组成时，</w:t>
            </w:r>
            <w:r>
              <w:rPr>
                <w:rFonts w:hint="eastAsia" w:ascii="宋体" w:hAnsi="宋体"/>
                <w:sz w:val="24"/>
              </w:rPr>
              <w:t>各</w:t>
            </w:r>
            <w:r>
              <w:rPr>
                <w:rFonts w:ascii="宋体" w:hAnsi="宋体"/>
                <w:sz w:val="24"/>
              </w:rPr>
              <w:t>评委评分的</w:t>
            </w:r>
            <w:r>
              <w:rPr>
                <w:rFonts w:hint="eastAsia" w:ascii="宋体" w:hAnsi="宋体"/>
                <w:sz w:val="24"/>
              </w:rPr>
              <w:t>算术</w:t>
            </w:r>
            <w:r>
              <w:rPr>
                <w:rFonts w:ascii="宋体" w:hAnsi="宋体"/>
                <w:sz w:val="24"/>
              </w:rPr>
              <w:t>平均值为</w:t>
            </w:r>
            <w:r>
              <w:rPr>
                <w:rFonts w:hint="eastAsia" w:ascii="宋体" w:hAnsi="宋体"/>
                <w:kern w:val="0"/>
                <w:sz w:val="24"/>
              </w:rPr>
              <w:t>该投标人的最终得分。</w:t>
            </w:r>
          </w:p>
          <w:p w14:paraId="50C68762">
            <w:pPr>
              <w:spacing w:line="360" w:lineRule="exact"/>
              <w:rPr>
                <w:rFonts w:hint="eastAsia" w:ascii="宋体" w:hAnsi="宋体"/>
                <w:kern w:val="0"/>
                <w:sz w:val="24"/>
              </w:rPr>
            </w:pPr>
            <w:r>
              <w:rPr>
                <w:rFonts w:hint="eastAsia" w:ascii="宋体" w:hAnsi="宋体"/>
                <w:kern w:val="0"/>
                <w:sz w:val="24"/>
              </w:rPr>
              <w:t>本办法计算分值均保留两位小数。</w:t>
            </w:r>
          </w:p>
        </w:tc>
      </w:tr>
    </w:tbl>
    <w:p w14:paraId="35999BF3">
      <w:pPr>
        <w:spacing w:line="360" w:lineRule="exact"/>
        <w:rPr>
          <w:rFonts w:hint="eastAsia"/>
          <w:szCs w:val="21"/>
        </w:rPr>
      </w:pPr>
    </w:p>
    <w:p w14:paraId="0C550C3C">
      <w:pPr>
        <w:pStyle w:val="85"/>
        <w:spacing w:before="0" w:line="360" w:lineRule="auto"/>
        <w:rPr>
          <w:rFonts w:hint="eastAsia" w:ascii="宋体" w:hAnsi="宋体" w:eastAsia="宋体"/>
          <w:b/>
        </w:rPr>
      </w:pPr>
      <w:bookmarkStart w:id="560" w:name="_Toc331688443"/>
      <w:bookmarkStart w:id="561" w:name="_Toc100487529"/>
      <w:bookmarkStart w:id="562" w:name="_Toc306955499"/>
      <w:r>
        <w:rPr>
          <w:rFonts w:hint="eastAsia" w:ascii="宋体" w:hAnsi="宋体" w:eastAsia="宋体"/>
          <w:b/>
        </w:rPr>
        <w:t>1. 评标方法</w:t>
      </w:r>
      <w:bookmarkEnd w:id="560"/>
      <w:bookmarkEnd w:id="561"/>
      <w:bookmarkEnd w:id="562"/>
    </w:p>
    <w:p w14:paraId="045DCAD2">
      <w:pPr>
        <w:widowControl/>
        <w:adjustRightInd w:val="0"/>
        <w:spacing w:line="420" w:lineRule="exact"/>
        <w:ind w:firstLine="480" w:firstLineChars="200"/>
        <w:jc w:val="left"/>
        <w:rPr>
          <w:rFonts w:hint="eastAsia" w:ascii="宋体" w:hAnsi="宋体" w:cs="仿宋_GB2312"/>
          <w:kern w:val="0"/>
          <w:sz w:val="24"/>
        </w:rPr>
      </w:pPr>
      <w:r>
        <w:rPr>
          <w:rFonts w:hint="eastAsia" w:ascii="宋体" w:hAnsi="宋体" w:cs="仿宋_GB2312"/>
          <w:kern w:val="0"/>
          <w:sz w:val="24"/>
        </w:rPr>
        <w:t>本次评标采用综合评估法。评标委员会对满足招标文件实质性要求的投标文件，按照本</w:t>
      </w:r>
      <w:r>
        <w:rPr>
          <w:rFonts w:hint="eastAsia" w:ascii="宋体" w:hAnsi="宋体" w:cs="仿宋_GB2312"/>
          <w:kern w:val="0"/>
          <w:sz w:val="24"/>
          <w:szCs w:val="21"/>
        </w:rPr>
        <w:t>章第</w:t>
      </w:r>
      <w:r>
        <w:rPr>
          <w:rFonts w:hint="eastAsia" w:ascii="宋体" w:hAnsi="宋体"/>
          <w:kern w:val="0"/>
          <w:sz w:val="24"/>
          <w:szCs w:val="21"/>
        </w:rPr>
        <w:t xml:space="preserve">2.2 </w:t>
      </w:r>
      <w:r>
        <w:rPr>
          <w:rFonts w:hint="eastAsia" w:ascii="宋体" w:hAnsi="宋体" w:cs="仿宋_GB2312"/>
          <w:kern w:val="0"/>
          <w:sz w:val="24"/>
          <w:szCs w:val="21"/>
        </w:rPr>
        <w:t>款规定的评分标准进行打分，并按得分由高到低顺序推荐中标候选人</w:t>
      </w:r>
      <w:r>
        <w:rPr>
          <w:rFonts w:hint="eastAsia" w:ascii="宋体" w:hAnsi="宋体" w:cs="仿宋_GB2312"/>
          <w:kern w:val="0"/>
          <w:sz w:val="24"/>
        </w:rPr>
        <w:t>，但投标报价低于其成本的除外。综合评分相等时，以投标报价低的优先；投标报价也相等的，由招标人自行确定。</w:t>
      </w:r>
    </w:p>
    <w:p w14:paraId="23DC3F5A">
      <w:pPr>
        <w:pStyle w:val="85"/>
        <w:spacing w:before="0" w:line="360" w:lineRule="auto"/>
        <w:rPr>
          <w:rFonts w:hint="eastAsia" w:ascii="宋体" w:hAnsi="宋体" w:eastAsia="宋体"/>
          <w:b/>
        </w:rPr>
      </w:pPr>
      <w:bookmarkStart w:id="563" w:name="_Toc306955500"/>
      <w:bookmarkStart w:id="564" w:name="_Toc100487530"/>
      <w:bookmarkStart w:id="565" w:name="_Toc331688444"/>
      <w:r>
        <w:rPr>
          <w:rFonts w:hint="eastAsia" w:ascii="宋体" w:hAnsi="宋体" w:eastAsia="宋体"/>
          <w:b/>
        </w:rPr>
        <w:t>2. 评审标准</w:t>
      </w:r>
      <w:bookmarkEnd w:id="563"/>
      <w:bookmarkEnd w:id="564"/>
      <w:bookmarkEnd w:id="565"/>
    </w:p>
    <w:p w14:paraId="61F75CBB">
      <w:pPr>
        <w:widowControl/>
        <w:adjustRightInd w:val="0"/>
        <w:spacing w:line="500" w:lineRule="exact"/>
        <w:jc w:val="left"/>
        <w:rPr>
          <w:rFonts w:hint="eastAsia" w:ascii="宋体" w:hAnsi="宋体" w:cs="黑体"/>
          <w:b/>
          <w:kern w:val="0"/>
          <w:sz w:val="24"/>
        </w:rPr>
      </w:pPr>
      <w:r>
        <w:rPr>
          <w:rFonts w:hint="eastAsia" w:ascii="宋体" w:hAnsi="宋体"/>
          <w:b/>
          <w:kern w:val="0"/>
          <w:sz w:val="24"/>
        </w:rPr>
        <w:t xml:space="preserve">2.1 </w:t>
      </w:r>
      <w:r>
        <w:rPr>
          <w:rFonts w:hint="eastAsia" w:ascii="宋体" w:hAnsi="宋体" w:cs="黑体"/>
          <w:b/>
          <w:kern w:val="0"/>
          <w:sz w:val="24"/>
        </w:rPr>
        <w:t>初步评审标准</w:t>
      </w:r>
    </w:p>
    <w:p w14:paraId="48DB2DC3">
      <w:pPr>
        <w:widowControl/>
        <w:adjustRightInd w:val="0"/>
        <w:spacing w:line="420" w:lineRule="exact"/>
        <w:ind w:firstLine="480" w:firstLineChars="200"/>
        <w:jc w:val="left"/>
        <w:rPr>
          <w:rFonts w:hint="eastAsia" w:ascii="宋体" w:hAnsi="宋体" w:eastAsia="宋体" w:cs="仿宋_GB2312"/>
          <w:kern w:val="0"/>
          <w:sz w:val="24"/>
          <w:lang w:eastAsia="zh-CN"/>
        </w:rPr>
      </w:pPr>
      <w:r>
        <w:rPr>
          <w:rFonts w:hint="eastAsia" w:ascii="宋体" w:hAnsi="宋体" w:cs="仿宋_GB2312"/>
          <w:kern w:val="0"/>
          <w:sz w:val="24"/>
        </w:rPr>
        <w:t>2.1.1 形式评审标准：见评标办法前附表</w:t>
      </w:r>
      <w:r>
        <w:rPr>
          <w:rFonts w:hint="eastAsia" w:ascii="宋体" w:hAnsi="宋体" w:cs="仿宋_GB2312"/>
          <w:kern w:val="0"/>
          <w:sz w:val="24"/>
          <w:lang w:eastAsia="zh-CN"/>
        </w:rPr>
        <w:t>；</w:t>
      </w:r>
    </w:p>
    <w:p w14:paraId="108BB8ED">
      <w:pPr>
        <w:widowControl/>
        <w:adjustRightInd w:val="0"/>
        <w:spacing w:line="420" w:lineRule="exact"/>
        <w:ind w:firstLine="480" w:firstLineChars="200"/>
        <w:jc w:val="left"/>
        <w:rPr>
          <w:rFonts w:hint="eastAsia" w:ascii="宋体" w:hAnsi="宋体" w:eastAsia="宋体" w:cs="仿宋_GB2312"/>
          <w:kern w:val="0"/>
          <w:sz w:val="24"/>
          <w:lang w:eastAsia="zh-CN"/>
        </w:rPr>
      </w:pPr>
      <w:r>
        <w:rPr>
          <w:rFonts w:hint="eastAsia" w:ascii="宋体" w:hAnsi="宋体" w:cs="仿宋_GB2312"/>
          <w:kern w:val="0"/>
          <w:sz w:val="24"/>
        </w:rPr>
        <w:t>2.1.2 资格评审标准：见评标办法前附表</w:t>
      </w:r>
      <w:r>
        <w:rPr>
          <w:rFonts w:hint="eastAsia" w:ascii="宋体" w:hAnsi="宋体" w:cs="仿宋_GB2312"/>
          <w:kern w:val="0"/>
          <w:sz w:val="24"/>
          <w:lang w:eastAsia="zh-CN"/>
        </w:rPr>
        <w:t>；</w:t>
      </w:r>
    </w:p>
    <w:p w14:paraId="7CCE4618">
      <w:pPr>
        <w:widowControl/>
        <w:adjustRightInd w:val="0"/>
        <w:spacing w:line="420" w:lineRule="exact"/>
        <w:ind w:firstLine="480" w:firstLineChars="200"/>
        <w:jc w:val="left"/>
        <w:rPr>
          <w:rFonts w:hint="eastAsia" w:ascii="宋体" w:hAnsi="宋体" w:cs="仿宋_GB2312"/>
          <w:kern w:val="0"/>
          <w:sz w:val="24"/>
        </w:rPr>
      </w:pPr>
      <w:r>
        <w:rPr>
          <w:rFonts w:hint="eastAsia" w:ascii="宋体" w:hAnsi="宋体" w:cs="仿宋_GB2312"/>
          <w:kern w:val="0"/>
          <w:sz w:val="24"/>
        </w:rPr>
        <w:t>2.1.3 响应性评审标准：见评标办法前附表。</w:t>
      </w:r>
    </w:p>
    <w:p w14:paraId="0C84BA4E">
      <w:pPr>
        <w:widowControl/>
        <w:adjustRightInd w:val="0"/>
        <w:spacing w:line="500" w:lineRule="exact"/>
        <w:jc w:val="left"/>
        <w:rPr>
          <w:rFonts w:hint="eastAsia" w:ascii="宋体" w:hAnsi="宋体" w:cs="黑体"/>
          <w:b/>
          <w:kern w:val="0"/>
          <w:sz w:val="24"/>
        </w:rPr>
      </w:pPr>
      <w:r>
        <w:rPr>
          <w:rFonts w:hint="eastAsia" w:ascii="宋体" w:hAnsi="宋体" w:cs="黑体"/>
          <w:b/>
          <w:kern w:val="0"/>
          <w:sz w:val="24"/>
        </w:rPr>
        <w:t>2.2 分值构成与评分标准</w:t>
      </w:r>
    </w:p>
    <w:p w14:paraId="4F6D0352">
      <w:pPr>
        <w:widowControl/>
        <w:adjustRightInd w:val="0"/>
        <w:spacing w:line="420" w:lineRule="exact"/>
        <w:ind w:firstLine="480" w:firstLineChars="200"/>
        <w:jc w:val="left"/>
        <w:rPr>
          <w:rFonts w:hint="eastAsia" w:ascii="宋体" w:hAnsi="宋体" w:cs="仿宋_GB2312"/>
          <w:kern w:val="0"/>
          <w:sz w:val="24"/>
        </w:rPr>
      </w:pPr>
      <w:r>
        <w:rPr>
          <w:rFonts w:hint="eastAsia" w:ascii="宋体" w:hAnsi="宋体" w:cs="仿宋_GB2312"/>
          <w:kern w:val="0"/>
          <w:sz w:val="24"/>
        </w:rPr>
        <w:t>2.2.1 分值构成</w:t>
      </w:r>
    </w:p>
    <w:p w14:paraId="523A0F7A">
      <w:pPr>
        <w:widowControl/>
        <w:adjustRightInd w:val="0"/>
        <w:spacing w:line="420" w:lineRule="exact"/>
        <w:ind w:firstLine="480" w:firstLineChars="200"/>
        <w:jc w:val="left"/>
        <w:rPr>
          <w:rFonts w:hint="eastAsia" w:ascii="宋体" w:hAnsi="宋体" w:cs="仿宋_GB2312"/>
          <w:kern w:val="0"/>
          <w:sz w:val="24"/>
        </w:rPr>
      </w:pPr>
      <w:r>
        <w:rPr>
          <w:rFonts w:hint="eastAsia" w:ascii="宋体" w:hAnsi="宋体" w:cs="仿宋_GB2312"/>
          <w:kern w:val="0"/>
          <w:sz w:val="24"/>
        </w:rPr>
        <w:t>（1）</w:t>
      </w:r>
      <w:r>
        <w:rPr>
          <w:rFonts w:hint="eastAsia" w:ascii="宋体" w:hAnsi="宋体" w:cs="仿宋_GB2312"/>
          <w:kern w:val="0"/>
          <w:sz w:val="24"/>
          <w:lang w:val="en-US" w:eastAsia="zh-CN"/>
        </w:rPr>
        <w:t>技术标</w:t>
      </w:r>
      <w:r>
        <w:rPr>
          <w:rFonts w:hint="eastAsia" w:ascii="宋体" w:hAnsi="宋体" w:cs="仿宋_GB2312"/>
          <w:kern w:val="0"/>
          <w:sz w:val="24"/>
        </w:rPr>
        <w:t>：见评标办法前附表；</w:t>
      </w:r>
    </w:p>
    <w:p w14:paraId="26802D9A">
      <w:pPr>
        <w:widowControl/>
        <w:adjustRightInd w:val="0"/>
        <w:spacing w:line="420" w:lineRule="exact"/>
        <w:ind w:firstLine="480" w:firstLineChars="200"/>
        <w:jc w:val="left"/>
        <w:rPr>
          <w:rFonts w:hint="eastAsia" w:ascii="宋体" w:hAnsi="宋体" w:cs="仿宋_GB2312"/>
          <w:kern w:val="0"/>
          <w:sz w:val="24"/>
        </w:rPr>
      </w:pPr>
      <w:r>
        <w:rPr>
          <w:rFonts w:hint="eastAsia" w:ascii="宋体" w:hAnsi="宋体" w:cs="仿宋_GB2312"/>
          <w:kern w:val="0"/>
          <w:sz w:val="24"/>
        </w:rPr>
        <w:t>（2）</w:t>
      </w:r>
      <w:r>
        <w:rPr>
          <w:rFonts w:hint="eastAsia" w:ascii="宋体" w:hAnsi="宋体" w:cs="仿宋_GB2312"/>
          <w:kern w:val="0"/>
          <w:sz w:val="24"/>
          <w:lang w:val="en-US" w:eastAsia="zh-CN"/>
        </w:rPr>
        <w:t>综合标</w:t>
      </w:r>
      <w:r>
        <w:rPr>
          <w:rFonts w:hint="eastAsia" w:ascii="宋体" w:hAnsi="宋体" w:cs="仿宋_GB2312"/>
          <w:kern w:val="0"/>
          <w:sz w:val="24"/>
        </w:rPr>
        <w:t>：见评标办法前附表；</w:t>
      </w:r>
    </w:p>
    <w:p w14:paraId="3D30F698">
      <w:pPr>
        <w:widowControl/>
        <w:adjustRightInd w:val="0"/>
        <w:spacing w:line="420" w:lineRule="exact"/>
        <w:ind w:firstLine="480" w:firstLineChars="200"/>
        <w:jc w:val="left"/>
        <w:rPr>
          <w:rFonts w:hint="eastAsia" w:ascii="宋体" w:hAnsi="宋体" w:eastAsia="宋体" w:cs="仿宋_GB2312"/>
          <w:kern w:val="0"/>
          <w:sz w:val="24"/>
          <w:lang w:eastAsia="zh-CN"/>
        </w:rPr>
      </w:pPr>
      <w:r>
        <w:rPr>
          <w:rFonts w:hint="eastAsia" w:ascii="宋体" w:hAnsi="宋体" w:cs="仿宋_GB2312"/>
          <w:kern w:val="0"/>
          <w:sz w:val="24"/>
        </w:rPr>
        <w:t>（3）</w:t>
      </w:r>
      <w:r>
        <w:rPr>
          <w:rFonts w:hint="eastAsia" w:ascii="宋体" w:hAnsi="宋体" w:cs="仿宋_GB2312"/>
          <w:kern w:val="0"/>
          <w:sz w:val="24"/>
          <w:lang w:val="en-US" w:eastAsia="zh-CN"/>
        </w:rPr>
        <w:t>商务标</w:t>
      </w:r>
      <w:r>
        <w:rPr>
          <w:rFonts w:hint="eastAsia" w:ascii="宋体" w:hAnsi="宋体" w:cs="仿宋_GB2312"/>
          <w:kern w:val="0"/>
          <w:sz w:val="24"/>
        </w:rPr>
        <w:t>：见评标办法前附表</w:t>
      </w:r>
      <w:r>
        <w:rPr>
          <w:rFonts w:hint="eastAsia" w:ascii="宋体" w:hAnsi="宋体" w:cs="仿宋_GB2312"/>
          <w:kern w:val="0"/>
          <w:sz w:val="24"/>
          <w:lang w:eastAsia="zh-CN"/>
        </w:rPr>
        <w:t>。</w:t>
      </w:r>
    </w:p>
    <w:p w14:paraId="44AC5446">
      <w:pPr>
        <w:widowControl/>
        <w:adjustRightInd w:val="0"/>
        <w:spacing w:line="420" w:lineRule="exact"/>
        <w:ind w:firstLine="480" w:firstLineChars="200"/>
        <w:jc w:val="left"/>
        <w:rPr>
          <w:rFonts w:hint="eastAsia" w:ascii="宋体" w:hAnsi="宋体" w:cs="仿宋_GB2312"/>
          <w:kern w:val="0"/>
          <w:sz w:val="24"/>
        </w:rPr>
      </w:pPr>
      <w:r>
        <w:rPr>
          <w:rFonts w:hint="eastAsia" w:ascii="宋体" w:hAnsi="宋体" w:cs="仿宋_GB2312"/>
          <w:kern w:val="0"/>
          <w:sz w:val="24"/>
        </w:rPr>
        <w:t>2.2.2 评标基准值计算</w:t>
      </w:r>
    </w:p>
    <w:p w14:paraId="32AD127E">
      <w:pPr>
        <w:widowControl/>
        <w:adjustRightInd w:val="0"/>
        <w:spacing w:line="420" w:lineRule="exact"/>
        <w:ind w:firstLine="480" w:firstLineChars="200"/>
        <w:jc w:val="left"/>
        <w:rPr>
          <w:rFonts w:hint="eastAsia" w:ascii="宋体" w:hAnsi="宋体" w:cs="仿宋_GB2312"/>
          <w:kern w:val="0"/>
          <w:sz w:val="24"/>
        </w:rPr>
      </w:pPr>
      <w:r>
        <w:rPr>
          <w:rFonts w:hint="eastAsia" w:ascii="宋体" w:hAnsi="宋体" w:cs="仿宋_GB2312"/>
          <w:kern w:val="0"/>
          <w:sz w:val="24"/>
        </w:rPr>
        <w:t>评标基准价计算方法：见评标办法前附表。</w:t>
      </w:r>
    </w:p>
    <w:p w14:paraId="05CEC943">
      <w:pPr>
        <w:widowControl/>
        <w:adjustRightInd w:val="0"/>
        <w:spacing w:line="420" w:lineRule="exact"/>
        <w:ind w:firstLine="480" w:firstLineChars="200"/>
        <w:jc w:val="left"/>
        <w:rPr>
          <w:rFonts w:hint="eastAsia" w:ascii="宋体" w:hAnsi="宋体" w:cs="仿宋_GB2312"/>
          <w:kern w:val="0"/>
          <w:sz w:val="24"/>
        </w:rPr>
      </w:pPr>
      <w:r>
        <w:rPr>
          <w:rFonts w:hint="eastAsia" w:ascii="宋体" w:hAnsi="宋体" w:cs="仿宋_GB2312"/>
          <w:kern w:val="0"/>
          <w:sz w:val="24"/>
        </w:rPr>
        <w:t>2.2.3 投标报价的偏差率计算</w:t>
      </w:r>
    </w:p>
    <w:p w14:paraId="11E404E3">
      <w:pPr>
        <w:widowControl/>
        <w:adjustRightInd w:val="0"/>
        <w:spacing w:line="420" w:lineRule="exact"/>
        <w:ind w:firstLine="480" w:firstLineChars="200"/>
        <w:jc w:val="left"/>
        <w:rPr>
          <w:rFonts w:hint="eastAsia" w:ascii="宋体" w:hAnsi="宋体" w:cs="仿宋_GB2312"/>
          <w:kern w:val="0"/>
          <w:sz w:val="24"/>
        </w:rPr>
      </w:pPr>
      <w:r>
        <w:rPr>
          <w:rFonts w:hint="eastAsia" w:ascii="宋体" w:hAnsi="宋体" w:cs="仿宋_GB2312"/>
          <w:kern w:val="0"/>
          <w:sz w:val="24"/>
        </w:rPr>
        <w:t>投标报价的偏差率计算公式：见评标办法前附表。</w:t>
      </w:r>
    </w:p>
    <w:p w14:paraId="0035966D">
      <w:pPr>
        <w:widowControl/>
        <w:adjustRightInd w:val="0"/>
        <w:spacing w:line="420" w:lineRule="exact"/>
        <w:ind w:firstLine="480" w:firstLineChars="200"/>
        <w:jc w:val="left"/>
        <w:rPr>
          <w:rFonts w:hint="eastAsia" w:ascii="宋体" w:hAnsi="宋体" w:cs="仿宋_GB2312"/>
          <w:kern w:val="0"/>
          <w:sz w:val="24"/>
        </w:rPr>
      </w:pPr>
      <w:r>
        <w:rPr>
          <w:rFonts w:hint="eastAsia" w:ascii="宋体" w:hAnsi="宋体" w:cs="仿宋_GB2312"/>
          <w:kern w:val="0"/>
          <w:sz w:val="24"/>
        </w:rPr>
        <w:t>2.2.4 评分标准</w:t>
      </w:r>
    </w:p>
    <w:p w14:paraId="5D812CDF">
      <w:pPr>
        <w:widowControl/>
        <w:adjustRightInd w:val="0"/>
        <w:spacing w:line="420" w:lineRule="exact"/>
        <w:ind w:firstLine="480" w:firstLineChars="200"/>
        <w:jc w:val="left"/>
        <w:rPr>
          <w:rFonts w:hint="eastAsia" w:ascii="宋体" w:hAnsi="宋体" w:cs="仿宋_GB2312"/>
          <w:kern w:val="0"/>
          <w:sz w:val="24"/>
        </w:rPr>
      </w:pPr>
      <w:bookmarkStart w:id="566" w:name="_Toc331688445"/>
      <w:bookmarkStart w:id="567" w:name="_Toc100487531"/>
      <w:bookmarkStart w:id="568" w:name="_Toc306955501"/>
      <w:r>
        <w:rPr>
          <w:rFonts w:hint="eastAsia" w:ascii="宋体" w:hAnsi="宋体" w:cs="仿宋_GB2312"/>
          <w:kern w:val="0"/>
          <w:sz w:val="24"/>
        </w:rPr>
        <w:t>（1）</w:t>
      </w:r>
      <w:r>
        <w:rPr>
          <w:rFonts w:hint="eastAsia" w:ascii="宋体" w:hAnsi="宋体" w:cs="仿宋_GB2312"/>
          <w:kern w:val="0"/>
          <w:sz w:val="24"/>
          <w:lang w:val="en-US" w:eastAsia="zh-CN"/>
        </w:rPr>
        <w:t>技术标</w:t>
      </w:r>
      <w:r>
        <w:rPr>
          <w:rFonts w:hint="eastAsia" w:ascii="宋体" w:hAnsi="宋体" w:cs="仿宋_GB2312"/>
          <w:kern w:val="0"/>
          <w:sz w:val="24"/>
        </w:rPr>
        <w:t>：见评标办法前附表；</w:t>
      </w:r>
    </w:p>
    <w:p w14:paraId="33A6E3AB">
      <w:pPr>
        <w:widowControl/>
        <w:adjustRightInd w:val="0"/>
        <w:spacing w:line="420" w:lineRule="exact"/>
        <w:ind w:firstLine="480" w:firstLineChars="200"/>
        <w:jc w:val="left"/>
        <w:rPr>
          <w:rFonts w:hint="eastAsia" w:ascii="宋体" w:hAnsi="宋体" w:cs="仿宋_GB2312"/>
          <w:kern w:val="0"/>
          <w:sz w:val="24"/>
        </w:rPr>
      </w:pPr>
      <w:r>
        <w:rPr>
          <w:rFonts w:hint="eastAsia" w:ascii="宋体" w:hAnsi="宋体" w:cs="仿宋_GB2312"/>
          <w:kern w:val="0"/>
          <w:sz w:val="24"/>
        </w:rPr>
        <w:t>（2）</w:t>
      </w:r>
      <w:r>
        <w:rPr>
          <w:rFonts w:hint="eastAsia" w:ascii="宋体" w:hAnsi="宋体" w:cs="仿宋_GB2312"/>
          <w:kern w:val="0"/>
          <w:sz w:val="24"/>
          <w:lang w:val="en-US" w:eastAsia="zh-CN"/>
        </w:rPr>
        <w:t>综合标</w:t>
      </w:r>
      <w:r>
        <w:rPr>
          <w:rFonts w:hint="eastAsia" w:ascii="宋体" w:hAnsi="宋体" w:cs="仿宋_GB2312"/>
          <w:kern w:val="0"/>
          <w:sz w:val="24"/>
        </w:rPr>
        <w:t>：见评标办法前附表；</w:t>
      </w:r>
    </w:p>
    <w:p w14:paraId="69969436">
      <w:pPr>
        <w:widowControl/>
        <w:adjustRightInd w:val="0"/>
        <w:spacing w:line="420" w:lineRule="exact"/>
        <w:ind w:firstLine="480" w:firstLineChars="200"/>
        <w:jc w:val="left"/>
        <w:rPr>
          <w:rFonts w:hint="eastAsia" w:ascii="宋体" w:hAnsi="宋体" w:eastAsia="宋体" w:cs="仿宋_GB2312"/>
          <w:kern w:val="0"/>
          <w:sz w:val="24"/>
          <w:lang w:eastAsia="zh-CN"/>
        </w:rPr>
      </w:pPr>
      <w:r>
        <w:rPr>
          <w:rFonts w:hint="eastAsia" w:ascii="宋体" w:hAnsi="宋体" w:cs="仿宋_GB2312"/>
          <w:kern w:val="0"/>
          <w:sz w:val="24"/>
        </w:rPr>
        <w:t>（3）</w:t>
      </w:r>
      <w:r>
        <w:rPr>
          <w:rFonts w:hint="eastAsia" w:ascii="宋体" w:hAnsi="宋体" w:cs="仿宋_GB2312"/>
          <w:kern w:val="0"/>
          <w:sz w:val="24"/>
          <w:lang w:val="en-US" w:eastAsia="zh-CN"/>
        </w:rPr>
        <w:t>商务标</w:t>
      </w:r>
      <w:r>
        <w:rPr>
          <w:rFonts w:hint="eastAsia" w:ascii="宋体" w:hAnsi="宋体" w:cs="仿宋_GB2312"/>
          <w:kern w:val="0"/>
          <w:sz w:val="24"/>
        </w:rPr>
        <w:t>：见评标办法前附表</w:t>
      </w:r>
      <w:r>
        <w:rPr>
          <w:rFonts w:hint="eastAsia" w:ascii="宋体" w:hAnsi="宋体" w:cs="仿宋_GB2312"/>
          <w:kern w:val="0"/>
          <w:sz w:val="24"/>
          <w:lang w:eastAsia="zh-CN"/>
        </w:rPr>
        <w:t>。</w:t>
      </w:r>
    </w:p>
    <w:p w14:paraId="12D6166B">
      <w:pPr>
        <w:pStyle w:val="85"/>
        <w:spacing w:before="0" w:line="360" w:lineRule="auto"/>
        <w:rPr>
          <w:rFonts w:hint="eastAsia" w:ascii="宋体" w:hAnsi="宋体" w:eastAsia="宋体"/>
          <w:b/>
        </w:rPr>
      </w:pPr>
      <w:r>
        <w:rPr>
          <w:rFonts w:hint="eastAsia" w:ascii="宋体" w:hAnsi="宋体" w:eastAsia="宋体"/>
          <w:b/>
        </w:rPr>
        <w:t>3. 评标程序</w:t>
      </w:r>
      <w:bookmarkEnd w:id="566"/>
      <w:bookmarkEnd w:id="567"/>
      <w:bookmarkEnd w:id="568"/>
    </w:p>
    <w:p w14:paraId="7D6B6F02">
      <w:pPr>
        <w:widowControl/>
        <w:adjustRightInd w:val="0"/>
        <w:spacing w:line="500" w:lineRule="exact"/>
        <w:jc w:val="left"/>
        <w:rPr>
          <w:rFonts w:hint="eastAsia" w:ascii="宋体" w:hAnsi="宋体" w:cs="黑体"/>
          <w:b/>
          <w:kern w:val="0"/>
          <w:sz w:val="24"/>
        </w:rPr>
      </w:pPr>
      <w:r>
        <w:rPr>
          <w:rFonts w:hint="eastAsia" w:ascii="宋体" w:hAnsi="宋体" w:cs="黑体"/>
          <w:b/>
          <w:kern w:val="0"/>
          <w:sz w:val="24"/>
        </w:rPr>
        <w:t>3.1 初步评审</w:t>
      </w:r>
    </w:p>
    <w:p w14:paraId="66180D14">
      <w:pPr>
        <w:widowControl/>
        <w:adjustRightInd w:val="0"/>
        <w:spacing w:line="420" w:lineRule="exact"/>
        <w:ind w:firstLine="480" w:firstLineChars="200"/>
        <w:jc w:val="left"/>
        <w:rPr>
          <w:rFonts w:hint="eastAsia" w:ascii="宋体" w:hAnsi="宋体" w:cs="仿宋_GB2312"/>
          <w:kern w:val="0"/>
          <w:sz w:val="24"/>
        </w:rPr>
      </w:pPr>
      <w:r>
        <w:rPr>
          <w:rFonts w:hint="eastAsia" w:ascii="宋体" w:hAnsi="宋体" w:cs="仿宋_GB2312"/>
          <w:kern w:val="0"/>
          <w:sz w:val="24"/>
        </w:rPr>
        <w:t>3.1.1评标委员会依据本章第2.1.1 项、 第2.1.2项、第2.1.3 项规定的评审标准对投标文件进行初步评审。</w:t>
      </w:r>
    </w:p>
    <w:p w14:paraId="1FDEE7A3">
      <w:pPr>
        <w:widowControl/>
        <w:adjustRightInd w:val="0"/>
        <w:spacing w:line="420" w:lineRule="exact"/>
        <w:ind w:firstLine="480" w:firstLineChars="200"/>
        <w:jc w:val="left"/>
        <w:rPr>
          <w:rFonts w:hint="eastAsia" w:ascii="宋体" w:hAnsi="宋体" w:cs="仿宋_GB2312"/>
          <w:kern w:val="0"/>
          <w:sz w:val="24"/>
        </w:rPr>
      </w:pPr>
      <w:r>
        <w:rPr>
          <w:rFonts w:hint="eastAsia" w:ascii="宋体" w:hAnsi="宋体" w:cs="仿宋_GB2312"/>
          <w:kern w:val="0"/>
          <w:sz w:val="24"/>
        </w:rPr>
        <w:t>3.1.2 投标人有以下情形之一的，其投标作废标处理：</w:t>
      </w:r>
    </w:p>
    <w:p w14:paraId="79663CAE">
      <w:pPr>
        <w:widowControl/>
        <w:adjustRightInd w:val="0"/>
        <w:spacing w:line="420" w:lineRule="exact"/>
        <w:ind w:firstLine="480" w:firstLineChars="200"/>
        <w:jc w:val="left"/>
        <w:rPr>
          <w:rFonts w:hint="eastAsia" w:ascii="宋体" w:hAnsi="宋体" w:cs="仿宋_GB2312"/>
          <w:kern w:val="0"/>
          <w:sz w:val="24"/>
        </w:rPr>
      </w:pPr>
      <w:r>
        <w:rPr>
          <w:rFonts w:hint="eastAsia" w:ascii="宋体" w:hAnsi="宋体" w:cs="仿宋_GB2312"/>
          <w:kern w:val="0"/>
          <w:sz w:val="24"/>
        </w:rPr>
        <w:t>（1）第二章“投标人须知”第1.4.3 项规定的任何一种情形的；</w:t>
      </w:r>
    </w:p>
    <w:p w14:paraId="5BDED27D">
      <w:pPr>
        <w:widowControl/>
        <w:adjustRightInd w:val="0"/>
        <w:spacing w:line="420" w:lineRule="exact"/>
        <w:ind w:firstLine="480" w:firstLineChars="200"/>
        <w:jc w:val="left"/>
        <w:rPr>
          <w:rFonts w:hint="eastAsia" w:ascii="宋体" w:hAnsi="宋体" w:cs="仿宋_GB2312"/>
          <w:kern w:val="0"/>
          <w:sz w:val="24"/>
        </w:rPr>
      </w:pPr>
      <w:r>
        <w:rPr>
          <w:rFonts w:hint="eastAsia" w:ascii="宋体" w:hAnsi="宋体" w:cs="仿宋_GB2312"/>
          <w:kern w:val="0"/>
          <w:sz w:val="24"/>
        </w:rPr>
        <w:t>（2）串通投标或弄虚作假或有其他违法行为的；</w:t>
      </w:r>
    </w:p>
    <w:p w14:paraId="7CBF7F75">
      <w:pPr>
        <w:widowControl/>
        <w:adjustRightInd w:val="0"/>
        <w:spacing w:line="420" w:lineRule="exact"/>
        <w:ind w:firstLine="480" w:firstLineChars="200"/>
        <w:jc w:val="left"/>
        <w:rPr>
          <w:rFonts w:hint="eastAsia" w:ascii="宋体" w:hAnsi="宋体" w:cs="仿宋_GB2312"/>
          <w:kern w:val="0"/>
          <w:sz w:val="24"/>
        </w:rPr>
      </w:pPr>
      <w:r>
        <w:rPr>
          <w:rFonts w:hint="eastAsia" w:ascii="宋体" w:hAnsi="宋体" w:cs="仿宋_GB2312"/>
          <w:kern w:val="0"/>
          <w:sz w:val="24"/>
        </w:rPr>
        <w:t>（3）不按评标委员会要求澄清、说明或补正的。</w:t>
      </w:r>
    </w:p>
    <w:p w14:paraId="0A3E97C8">
      <w:pPr>
        <w:widowControl/>
        <w:adjustRightInd w:val="0"/>
        <w:spacing w:line="420" w:lineRule="exact"/>
        <w:ind w:firstLine="480" w:firstLineChars="200"/>
        <w:jc w:val="left"/>
        <w:rPr>
          <w:rFonts w:hint="eastAsia" w:ascii="宋体" w:hAnsi="宋体" w:cs="仿宋_GB2312"/>
          <w:kern w:val="0"/>
          <w:sz w:val="24"/>
        </w:rPr>
      </w:pPr>
      <w:r>
        <w:rPr>
          <w:rFonts w:hint="eastAsia" w:ascii="宋体" w:hAnsi="宋体" w:cs="仿宋_GB2312"/>
          <w:kern w:val="0"/>
          <w:sz w:val="24"/>
        </w:rPr>
        <w:t>3.1.3 投标报价有算术错误的，评标委员会按以下原则对投标报价进行修正，修正的价格经投标人书面确认后具有约束力。投标人不接受修正价格的，其投标作废标处理。</w:t>
      </w:r>
    </w:p>
    <w:p w14:paraId="73E33819">
      <w:pPr>
        <w:widowControl/>
        <w:adjustRightInd w:val="0"/>
        <w:spacing w:line="420" w:lineRule="exact"/>
        <w:ind w:firstLine="480" w:firstLineChars="200"/>
        <w:jc w:val="left"/>
        <w:rPr>
          <w:rFonts w:hint="eastAsia" w:ascii="宋体" w:hAnsi="宋体" w:cs="仿宋_GB2312"/>
          <w:kern w:val="0"/>
          <w:sz w:val="24"/>
        </w:rPr>
      </w:pPr>
      <w:r>
        <w:rPr>
          <w:rFonts w:hint="eastAsia" w:ascii="宋体" w:hAnsi="宋体" w:cs="仿宋_GB2312"/>
          <w:kern w:val="0"/>
          <w:sz w:val="24"/>
        </w:rPr>
        <w:t>（1）投标文件中的大写金额与小写金额不一致的，以大写金额为准；</w:t>
      </w:r>
    </w:p>
    <w:p w14:paraId="7DDA7421">
      <w:pPr>
        <w:widowControl/>
        <w:adjustRightInd w:val="0"/>
        <w:spacing w:line="420" w:lineRule="exact"/>
        <w:ind w:firstLine="480" w:firstLineChars="200"/>
        <w:jc w:val="left"/>
        <w:rPr>
          <w:rFonts w:hint="eastAsia" w:ascii="宋体" w:hAnsi="宋体" w:cs="仿宋_GB2312"/>
          <w:kern w:val="0"/>
          <w:sz w:val="24"/>
        </w:rPr>
      </w:pPr>
      <w:r>
        <w:rPr>
          <w:rFonts w:hint="eastAsia" w:ascii="宋体" w:hAnsi="宋体" w:cs="仿宋_GB2312"/>
          <w:kern w:val="0"/>
          <w:sz w:val="24"/>
        </w:rPr>
        <w:t>（2）总价金额与依据单价计算出的结果不一致的，以单价金额为准修正总价，但单价金额小数点有明显错误的除外。</w:t>
      </w:r>
    </w:p>
    <w:p w14:paraId="32D1F8E9">
      <w:pPr>
        <w:widowControl/>
        <w:adjustRightInd w:val="0"/>
        <w:spacing w:line="500" w:lineRule="exact"/>
        <w:jc w:val="left"/>
        <w:rPr>
          <w:rFonts w:hint="eastAsia" w:ascii="宋体" w:hAnsi="宋体" w:cs="黑体"/>
          <w:b/>
          <w:kern w:val="0"/>
          <w:sz w:val="24"/>
        </w:rPr>
      </w:pPr>
      <w:r>
        <w:rPr>
          <w:rFonts w:hint="eastAsia" w:ascii="宋体" w:hAnsi="宋体" w:cs="黑体"/>
          <w:b/>
          <w:kern w:val="0"/>
          <w:sz w:val="24"/>
        </w:rPr>
        <w:t>3.2 详细评审</w:t>
      </w:r>
    </w:p>
    <w:p w14:paraId="0D6B1F07">
      <w:pPr>
        <w:widowControl/>
        <w:adjustRightInd w:val="0"/>
        <w:spacing w:line="420" w:lineRule="exact"/>
        <w:ind w:firstLine="480" w:firstLineChars="200"/>
        <w:jc w:val="left"/>
        <w:rPr>
          <w:rFonts w:hint="eastAsia" w:ascii="宋体" w:hAnsi="宋体" w:cs="仿宋_GB2312"/>
          <w:kern w:val="0"/>
          <w:sz w:val="24"/>
        </w:rPr>
      </w:pPr>
      <w:r>
        <w:rPr>
          <w:rFonts w:hint="eastAsia" w:ascii="宋体" w:hAnsi="宋体" w:cs="仿宋_GB2312"/>
          <w:kern w:val="0"/>
          <w:sz w:val="24"/>
        </w:rPr>
        <w:t>3.2.1 评标委员会按本章第2.2 款规定的量化因素和分值进行打分，并计算出综合评估得分。</w:t>
      </w:r>
    </w:p>
    <w:p w14:paraId="30428E70">
      <w:pPr>
        <w:widowControl/>
        <w:adjustRightInd w:val="0"/>
        <w:spacing w:line="420" w:lineRule="exact"/>
        <w:ind w:firstLine="480" w:firstLineChars="200"/>
        <w:jc w:val="left"/>
        <w:rPr>
          <w:rFonts w:hint="eastAsia" w:ascii="宋体" w:hAnsi="宋体" w:cs="仿宋_GB2312"/>
          <w:kern w:val="0"/>
          <w:sz w:val="24"/>
        </w:rPr>
      </w:pPr>
      <w:r>
        <w:rPr>
          <w:rFonts w:hint="eastAsia" w:ascii="宋体" w:hAnsi="宋体" w:cs="仿宋_GB2312"/>
          <w:kern w:val="0"/>
          <w:sz w:val="24"/>
        </w:rPr>
        <w:t>3.2.2 评分分值计算保留小数点后两位，小数点后第三位“四舍五入”。</w:t>
      </w:r>
    </w:p>
    <w:p w14:paraId="59E37BFE">
      <w:pPr>
        <w:widowControl/>
        <w:adjustRightInd w:val="0"/>
        <w:spacing w:line="420" w:lineRule="exact"/>
        <w:ind w:firstLine="480" w:firstLineChars="200"/>
        <w:jc w:val="left"/>
        <w:rPr>
          <w:rFonts w:hint="eastAsia" w:ascii="宋体" w:hAnsi="宋体" w:cs="仿宋_GB2312"/>
          <w:kern w:val="0"/>
          <w:sz w:val="24"/>
        </w:rPr>
      </w:pPr>
      <w:r>
        <w:rPr>
          <w:rFonts w:hint="eastAsia" w:ascii="宋体" w:hAnsi="宋体" w:cs="仿宋_GB2312"/>
          <w:kern w:val="0"/>
          <w:sz w:val="24"/>
        </w:rPr>
        <w:t>3.2.3</w:t>
      </w:r>
      <w:r>
        <w:rPr>
          <w:rFonts w:hint="eastAsia" w:ascii="宋体" w:hAnsi="宋体"/>
          <w:kern w:val="0"/>
          <w:sz w:val="24"/>
        </w:rPr>
        <w:t>投标人得分=施工组织设计得分+项目管理机构得分+投标报价得分+其他评分因素得分</w:t>
      </w:r>
      <w:r>
        <w:rPr>
          <w:rFonts w:hint="eastAsia" w:ascii="宋体" w:hAnsi="宋体" w:cs="仿宋_GB2312"/>
          <w:kern w:val="0"/>
          <w:sz w:val="24"/>
        </w:rPr>
        <w:t>。</w:t>
      </w:r>
    </w:p>
    <w:p w14:paraId="24C006A9">
      <w:pPr>
        <w:widowControl/>
        <w:adjustRightInd w:val="0"/>
        <w:spacing w:line="420" w:lineRule="exact"/>
        <w:ind w:firstLine="480" w:firstLineChars="200"/>
        <w:jc w:val="left"/>
        <w:rPr>
          <w:rFonts w:hint="eastAsia" w:ascii="宋体" w:hAnsi="宋体" w:cs="仿宋_GB2312"/>
          <w:kern w:val="0"/>
          <w:sz w:val="24"/>
        </w:rPr>
      </w:pPr>
      <w:r>
        <w:rPr>
          <w:rFonts w:hint="eastAsia" w:ascii="宋体" w:hAnsi="宋体" w:cs="仿宋_GB2312"/>
          <w:kern w:val="0"/>
          <w:sz w:val="24"/>
        </w:rPr>
        <w:t>3.2.4 评标委员会发现投标人的报价明显低于其他投标报价，使得其投标报价可能低于其个别成本的，应当要求该投标人作出书面说明并提供相应的证明材料。投标人不能合理说明或者不能提供相应证明材料的，由评标委员会认定该投标人以低于成本报价竞标，其投标作废标处理。</w:t>
      </w:r>
    </w:p>
    <w:p w14:paraId="431DED52">
      <w:pPr>
        <w:widowControl/>
        <w:adjustRightInd w:val="0"/>
        <w:spacing w:line="420" w:lineRule="exact"/>
        <w:ind w:firstLine="480" w:firstLineChars="200"/>
        <w:jc w:val="left"/>
        <w:rPr>
          <w:rFonts w:hint="eastAsia" w:ascii="宋体" w:hAnsi="宋体" w:cs="仿宋_GB2312"/>
          <w:kern w:val="0"/>
          <w:sz w:val="24"/>
        </w:rPr>
      </w:pPr>
      <w:r>
        <w:rPr>
          <w:rFonts w:hint="eastAsia" w:ascii="宋体" w:hAnsi="宋体" w:cs="仿宋_GB2312"/>
          <w:kern w:val="0"/>
          <w:sz w:val="24"/>
        </w:rPr>
        <w:t>3.2.5投标人的最终得分：见评标办法前附表。</w:t>
      </w:r>
    </w:p>
    <w:p w14:paraId="2EBB43DF">
      <w:pPr>
        <w:widowControl/>
        <w:adjustRightInd w:val="0"/>
        <w:spacing w:line="500" w:lineRule="exact"/>
        <w:jc w:val="left"/>
        <w:rPr>
          <w:rFonts w:hint="eastAsia" w:ascii="宋体" w:hAnsi="宋体" w:cs="黑体"/>
          <w:b/>
          <w:kern w:val="0"/>
          <w:sz w:val="24"/>
        </w:rPr>
      </w:pPr>
      <w:r>
        <w:rPr>
          <w:rFonts w:hint="eastAsia" w:ascii="宋体" w:hAnsi="宋体" w:cs="黑体"/>
          <w:b/>
          <w:kern w:val="0"/>
          <w:sz w:val="24"/>
        </w:rPr>
        <w:t>3.3 投标文件的澄清和补正</w:t>
      </w:r>
    </w:p>
    <w:p w14:paraId="61523306">
      <w:pPr>
        <w:widowControl/>
        <w:adjustRightInd w:val="0"/>
        <w:spacing w:line="420" w:lineRule="exact"/>
        <w:ind w:firstLine="480" w:firstLineChars="200"/>
        <w:jc w:val="left"/>
        <w:rPr>
          <w:rFonts w:hint="eastAsia" w:ascii="宋体" w:hAnsi="宋体" w:cs="仿宋_GB2312"/>
          <w:kern w:val="0"/>
          <w:sz w:val="24"/>
        </w:rPr>
      </w:pPr>
      <w:r>
        <w:rPr>
          <w:rFonts w:hint="eastAsia" w:ascii="宋体" w:hAnsi="宋体" w:cs="仿宋_GB2312"/>
          <w:kern w:val="0"/>
          <w:sz w:val="24"/>
        </w:rPr>
        <w:t>3.3.1 在评标过程中，评标委员会可以书面形式要求投标人对所提交投标文件中不明确的内容进行书面澄清或说明，或者对细微偏差进行补正。评标委员会不接受投标人主动提出的澄清、说明或补正。</w:t>
      </w:r>
    </w:p>
    <w:p w14:paraId="1155A411">
      <w:pPr>
        <w:widowControl/>
        <w:adjustRightInd w:val="0"/>
        <w:spacing w:line="420" w:lineRule="exact"/>
        <w:ind w:firstLine="480" w:firstLineChars="200"/>
        <w:jc w:val="left"/>
        <w:rPr>
          <w:rFonts w:hint="eastAsia" w:ascii="宋体" w:hAnsi="宋体" w:cs="仿宋_GB2312"/>
          <w:kern w:val="0"/>
          <w:sz w:val="24"/>
        </w:rPr>
      </w:pPr>
      <w:r>
        <w:rPr>
          <w:rFonts w:hint="eastAsia" w:ascii="宋体" w:hAnsi="宋体" w:cs="仿宋_GB2312"/>
          <w:kern w:val="0"/>
          <w:sz w:val="24"/>
        </w:rPr>
        <w:t>3.3.2 澄清、说明和补正不得改变投标文件的实质性内容（算术性错误修正的除外）。投标人的书面澄清、说明和补正属于投标文件的组成部分。</w:t>
      </w:r>
    </w:p>
    <w:p w14:paraId="42595FA8">
      <w:pPr>
        <w:widowControl/>
        <w:adjustRightInd w:val="0"/>
        <w:spacing w:line="420" w:lineRule="exact"/>
        <w:ind w:firstLine="480" w:firstLineChars="200"/>
        <w:jc w:val="left"/>
        <w:rPr>
          <w:rFonts w:hint="eastAsia" w:ascii="宋体" w:hAnsi="宋体" w:cs="仿宋_GB2312"/>
          <w:kern w:val="0"/>
          <w:sz w:val="24"/>
        </w:rPr>
      </w:pPr>
      <w:r>
        <w:rPr>
          <w:rFonts w:hint="eastAsia" w:ascii="宋体" w:hAnsi="宋体" w:cs="仿宋_GB2312"/>
          <w:kern w:val="0"/>
          <w:sz w:val="24"/>
        </w:rPr>
        <w:t>3.3.3 评标委员会对投标人提交的澄清、说明或补正有疑问的，可以要求投标人进一步澄清、说明或补正，直至满足评标委员会的要求。</w:t>
      </w:r>
    </w:p>
    <w:p w14:paraId="03A375FF">
      <w:pPr>
        <w:widowControl/>
        <w:adjustRightInd w:val="0"/>
        <w:spacing w:line="500" w:lineRule="exact"/>
        <w:jc w:val="left"/>
        <w:rPr>
          <w:rFonts w:hint="eastAsia" w:ascii="宋体" w:hAnsi="宋体" w:cs="黑体"/>
          <w:b/>
          <w:kern w:val="0"/>
          <w:sz w:val="24"/>
        </w:rPr>
      </w:pPr>
      <w:r>
        <w:rPr>
          <w:rFonts w:hint="eastAsia" w:ascii="宋体" w:hAnsi="宋体" w:cs="黑体"/>
          <w:b/>
          <w:kern w:val="0"/>
          <w:sz w:val="24"/>
        </w:rPr>
        <w:t>3.4 评标结果</w:t>
      </w:r>
    </w:p>
    <w:p w14:paraId="24C7A455">
      <w:pPr>
        <w:widowControl/>
        <w:adjustRightInd w:val="0"/>
        <w:spacing w:line="420" w:lineRule="exact"/>
        <w:ind w:firstLine="480" w:firstLineChars="200"/>
        <w:jc w:val="left"/>
        <w:rPr>
          <w:rFonts w:hint="eastAsia" w:ascii="宋体" w:hAnsi="宋体" w:cs="仿宋_GB2312"/>
          <w:kern w:val="0"/>
          <w:sz w:val="24"/>
        </w:rPr>
      </w:pPr>
      <w:r>
        <w:rPr>
          <w:rFonts w:hint="eastAsia" w:ascii="宋体" w:hAnsi="宋体" w:cs="仿宋_GB2312"/>
          <w:kern w:val="0"/>
          <w:sz w:val="24"/>
        </w:rPr>
        <w:t>3.4.1 除第二章“投标人须知”前附表授权直接确定中标人外，评标委员会按照得分由高到低的顺序推荐1-3名中标候选人。</w:t>
      </w:r>
    </w:p>
    <w:p w14:paraId="73C4E8B3">
      <w:pPr>
        <w:spacing w:line="400" w:lineRule="exact"/>
        <w:rPr>
          <w:rFonts w:hint="eastAsia"/>
        </w:rPr>
      </w:pPr>
      <w:r>
        <w:rPr>
          <w:rFonts w:hint="eastAsia" w:ascii="宋体" w:hAnsi="宋体" w:cs="仿宋_GB2312"/>
          <w:kern w:val="0"/>
          <w:sz w:val="24"/>
        </w:rPr>
        <w:t>3.4.2 评标委员会完成评标后，应当向招标人提交书面评标报告。</w:t>
      </w:r>
    </w:p>
    <w:p w14:paraId="41C88ABC">
      <w:pPr>
        <w:spacing w:line="400" w:lineRule="exact"/>
      </w:pPr>
      <w:r>
        <w:br w:type="page"/>
      </w:r>
    </w:p>
    <w:p w14:paraId="6A352B88">
      <w:pPr>
        <w:pStyle w:val="3"/>
        <w:spacing w:before="120" w:after="120" w:line="400" w:lineRule="exact"/>
        <w:jc w:val="center"/>
        <w:rPr>
          <w:rFonts w:hint="eastAsia" w:ascii="黑体" w:hAnsi="黑体" w:eastAsia="黑体"/>
          <w:b w:val="0"/>
          <w:bCs w:val="0"/>
          <w:sz w:val="32"/>
        </w:rPr>
      </w:pPr>
      <w:bookmarkStart w:id="569" w:name="_Toc152042387"/>
      <w:bookmarkStart w:id="570" w:name="_Toc144974577"/>
      <w:bookmarkStart w:id="571" w:name="_Toc152045609"/>
      <w:bookmarkStart w:id="572" w:name="_Toc100487532"/>
      <w:r>
        <w:rPr>
          <w:rFonts w:hint="eastAsia" w:ascii="黑体" w:hAnsi="黑体" w:eastAsia="黑体"/>
          <w:b w:val="0"/>
          <w:bCs w:val="0"/>
          <w:sz w:val="32"/>
        </w:rPr>
        <w:t>第四章 合同条款及格式</w:t>
      </w:r>
      <w:bookmarkEnd w:id="569"/>
      <w:bookmarkEnd w:id="570"/>
      <w:bookmarkEnd w:id="571"/>
      <w:bookmarkEnd w:id="572"/>
    </w:p>
    <w:p w14:paraId="11FCD069">
      <w:pPr>
        <w:pStyle w:val="5"/>
        <w:jc w:val="center"/>
        <w:rPr>
          <w:rFonts w:hint="eastAsia" w:ascii="宋体" w:hAnsi="宋体" w:eastAsia="宋体" w:cs="宋体"/>
          <w:b w:val="0"/>
          <w:sz w:val="44"/>
          <w:szCs w:val="44"/>
        </w:rPr>
      </w:pPr>
      <w:bookmarkStart w:id="573" w:name="_Toc8843"/>
      <w:bookmarkStart w:id="574" w:name="_Toc144974851"/>
      <w:bookmarkStart w:id="575" w:name="_Toc152042571"/>
      <w:bookmarkStart w:id="576" w:name="_Toc152045782"/>
      <w:bookmarkStart w:id="577" w:name="_Toc100487587"/>
      <w:r>
        <w:rPr>
          <w:rFonts w:hint="eastAsia" w:ascii="宋体" w:hAnsi="宋体" w:eastAsia="宋体" w:cs="宋体"/>
          <w:sz w:val="44"/>
          <w:szCs w:val="44"/>
        </w:rPr>
        <w:t>第一部分 合同协议书</w:t>
      </w:r>
      <w:bookmarkEnd w:id="573"/>
    </w:p>
    <w:p w14:paraId="5EF062AC">
      <w:pPr>
        <w:pageBreakBefore w:val="0"/>
        <w:widowControl w:val="0"/>
        <w:kinsoku/>
        <w:wordWrap/>
        <w:overflowPunct/>
        <w:topLinePunct w:val="0"/>
        <w:bidi w:val="0"/>
        <w:snapToGrid/>
        <w:spacing w:line="480" w:lineRule="exact"/>
        <w:textAlignment w:val="auto"/>
        <w:outlineLvl w:val="9"/>
        <w:rPr>
          <w:rFonts w:hint="eastAsia" w:ascii="宋体" w:hAnsi="宋体" w:eastAsia="宋体" w:cs="宋体"/>
          <w:b/>
          <w:sz w:val="24"/>
        </w:rPr>
      </w:pPr>
      <w:r>
        <w:rPr>
          <w:rFonts w:hint="eastAsia" w:ascii="宋体" w:hAnsi="宋体" w:eastAsia="宋体" w:cs="宋体"/>
          <w:b/>
          <w:sz w:val="24"/>
        </w:rPr>
        <w:t>发包人（全称）</w:t>
      </w:r>
      <w:r>
        <w:rPr>
          <w:rFonts w:hint="eastAsia" w:ascii="宋体" w:hAnsi="宋体" w:eastAsia="宋体" w:cs="宋体"/>
          <w:b/>
          <w:sz w:val="24"/>
          <w:u w:val="single"/>
        </w:rPr>
        <w:t xml:space="preserve">                                         </w:t>
      </w:r>
      <w:r>
        <w:rPr>
          <w:rFonts w:hint="eastAsia" w:ascii="宋体" w:hAnsi="宋体" w:eastAsia="宋体" w:cs="宋体"/>
          <w:b/>
          <w:sz w:val="24"/>
        </w:rPr>
        <w:t xml:space="preserve">     </w:t>
      </w:r>
    </w:p>
    <w:p w14:paraId="3D37923A">
      <w:pPr>
        <w:pageBreakBefore w:val="0"/>
        <w:widowControl w:val="0"/>
        <w:kinsoku/>
        <w:wordWrap/>
        <w:overflowPunct/>
        <w:topLinePunct w:val="0"/>
        <w:bidi w:val="0"/>
        <w:snapToGrid/>
        <w:spacing w:line="480" w:lineRule="exact"/>
        <w:textAlignment w:val="auto"/>
        <w:outlineLvl w:val="9"/>
        <w:rPr>
          <w:rFonts w:hint="eastAsia" w:ascii="宋体" w:hAnsi="宋体" w:eastAsia="宋体" w:cs="宋体"/>
          <w:b/>
          <w:sz w:val="24"/>
          <w:u w:val="single"/>
        </w:rPr>
      </w:pPr>
      <w:r>
        <w:rPr>
          <w:rFonts w:hint="eastAsia" w:ascii="宋体" w:hAnsi="宋体" w:eastAsia="宋体" w:cs="宋体"/>
          <w:b/>
          <w:sz w:val="24"/>
        </w:rPr>
        <w:t>承包人（全称）：</w:t>
      </w:r>
      <w:r>
        <w:rPr>
          <w:rFonts w:hint="eastAsia" w:ascii="宋体" w:hAnsi="宋体" w:eastAsia="宋体" w:cs="宋体"/>
          <w:b/>
          <w:sz w:val="24"/>
          <w:u w:val="single"/>
        </w:rPr>
        <w:t xml:space="preserve">                                    </w:t>
      </w:r>
    </w:p>
    <w:p w14:paraId="33314297">
      <w:pPr>
        <w:pageBreakBefore w:val="0"/>
        <w:widowControl w:val="0"/>
        <w:kinsoku/>
        <w:wordWrap/>
        <w:overflowPunct/>
        <w:topLinePunct w:val="0"/>
        <w:bidi w:val="0"/>
        <w:snapToGrid/>
        <w:spacing w:line="480" w:lineRule="exact"/>
        <w:ind w:firstLine="480" w:firstLineChars="200"/>
        <w:textAlignment w:val="auto"/>
        <w:outlineLvl w:val="9"/>
        <w:rPr>
          <w:rFonts w:hint="eastAsia" w:ascii="宋体" w:hAnsi="宋体" w:eastAsia="宋体" w:cs="宋体"/>
          <w:sz w:val="24"/>
        </w:rPr>
      </w:pPr>
      <w:r>
        <w:rPr>
          <w:rFonts w:hint="eastAsia" w:ascii="宋体" w:hAnsi="宋体" w:eastAsia="宋体" w:cs="宋体"/>
          <w:sz w:val="24"/>
        </w:rPr>
        <w:t>根据《中华人民共和国</w:t>
      </w:r>
      <w:r>
        <w:rPr>
          <w:rFonts w:hint="eastAsia" w:ascii="宋体" w:hAnsi="宋体" w:cs="宋体"/>
          <w:sz w:val="24"/>
          <w:lang w:val="en-US" w:eastAsia="zh-CN"/>
        </w:rPr>
        <w:t>民法典</w:t>
      </w:r>
      <w:r>
        <w:rPr>
          <w:rFonts w:hint="eastAsia" w:ascii="宋体" w:hAnsi="宋体" w:eastAsia="宋体" w:cs="宋体"/>
          <w:sz w:val="24"/>
        </w:rPr>
        <w:t>》、《中华人民共和国建筑法》及有关法律规定，遵循平等、自愿、公平和诚实信用的原则，双方就</w:t>
      </w:r>
    </w:p>
    <w:p w14:paraId="3D14B761">
      <w:pPr>
        <w:pageBreakBefore w:val="0"/>
        <w:widowControl w:val="0"/>
        <w:kinsoku/>
        <w:wordWrap/>
        <w:overflowPunct/>
        <w:topLinePunct w:val="0"/>
        <w:bidi w:val="0"/>
        <w:snapToGrid/>
        <w:spacing w:line="480" w:lineRule="exact"/>
        <w:textAlignment w:val="auto"/>
        <w:outlineLvl w:val="9"/>
        <w:rPr>
          <w:rFonts w:hint="eastAsia" w:ascii="宋体" w:hAnsi="宋体" w:eastAsia="宋体" w:cs="宋体"/>
          <w:sz w:val="24"/>
        </w:rPr>
      </w:pPr>
      <w:r>
        <w:rPr>
          <w:rFonts w:hint="eastAsia" w:ascii="宋体" w:hAnsi="宋体" w:eastAsia="宋体" w:cs="宋体"/>
          <w:sz w:val="24"/>
          <w:u w:val="single"/>
        </w:rPr>
        <w:t xml:space="preserve">                              </w:t>
      </w:r>
      <w:r>
        <w:rPr>
          <w:rFonts w:hint="eastAsia" w:ascii="宋体" w:hAnsi="宋体" w:eastAsia="宋体" w:cs="宋体"/>
          <w:sz w:val="24"/>
        </w:rPr>
        <w:t>工程施工及有关事项协商一致，共同达成如下协议：</w:t>
      </w:r>
    </w:p>
    <w:p w14:paraId="7FE90799">
      <w:pPr>
        <w:pageBreakBefore w:val="0"/>
        <w:widowControl w:val="0"/>
        <w:kinsoku/>
        <w:wordWrap/>
        <w:overflowPunct/>
        <w:topLinePunct w:val="0"/>
        <w:bidi w:val="0"/>
        <w:snapToGrid/>
        <w:spacing w:before="120" w:after="120" w:line="480" w:lineRule="exact"/>
        <w:textAlignment w:val="auto"/>
        <w:outlineLvl w:val="9"/>
        <w:rPr>
          <w:rFonts w:hint="eastAsia" w:ascii="宋体" w:hAnsi="宋体" w:eastAsia="宋体" w:cs="宋体"/>
          <w:bCs w:val="0"/>
          <w:sz w:val="24"/>
          <w:szCs w:val="24"/>
        </w:rPr>
      </w:pPr>
      <w:r>
        <w:rPr>
          <w:rFonts w:hint="eastAsia" w:ascii="宋体" w:hAnsi="宋体" w:eastAsia="宋体" w:cs="宋体"/>
          <w:bCs w:val="0"/>
          <w:sz w:val="24"/>
          <w:szCs w:val="24"/>
        </w:rPr>
        <w:t xml:space="preserve">    </w:t>
      </w:r>
      <w:bookmarkStart w:id="578" w:name="_Toc351203481"/>
      <w:r>
        <w:rPr>
          <w:rFonts w:hint="eastAsia" w:ascii="宋体" w:hAnsi="宋体" w:eastAsia="宋体" w:cs="宋体"/>
          <w:bCs w:val="0"/>
          <w:sz w:val="24"/>
          <w:szCs w:val="24"/>
        </w:rPr>
        <w:t>一、工程概况</w:t>
      </w:r>
      <w:bookmarkEnd w:id="578"/>
    </w:p>
    <w:p w14:paraId="5BE938CB">
      <w:pPr>
        <w:pageBreakBefore w:val="0"/>
        <w:widowControl w:val="0"/>
        <w:kinsoku/>
        <w:wordWrap/>
        <w:overflowPunct/>
        <w:topLinePunct w:val="0"/>
        <w:bidi w:val="0"/>
        <w:snapToGrid/>
        <w:spacing w:line="480" w:lineRule="exact"/>
        <w:ind w:firstLine="470" w:firstLineChars="196"/>
        <w:textAlignment w:val="auto"/>
        <w:outlineLvl w:val="9"/>
        <w:rPr>
          <w:rFonts w:hint="eastAsia" w:ascii="宋体" w:hAnsi="宋体" w:eastAsia="宋体" w:cs="宋体"/>
          <w:sz w:val="24"/>
          <w:u w:val="single"/>
        </w:rPr>
      </w:pPr>
      <w:r>
        <w:rPr>
          <w:rFonts w:hint="eastAsia" w:ascii="宋体" w:hAnsi="宋体" w:eastAsia="宋体" w:cs="宋体"/>
          <w:bCs/>
          <w:sz w:val="24"/>
        </w:rPr>
        <w:t>1.工程名称</w:t>
      </w:r>
      <w:r>
        <w:rPr>
          <w:rFonts w:hint="eastAsia" w:ascii="宋体" w:hAnsi="宋体" w:eastAsia="宋体" w:cs="宋体"/>
          <w:sz w:val="24"/>
        </w:rPr>
        <w:t>：</w:t>
      </w:r>
      <w:r>
        <w:rPr>
          <w:rFonts w:hint="eastAsia" w:ascii="宋体" w:hAnsi="宋体" w:eastAsia="宋体" w:cs="宋体"/>
          <w:sz w:val="24"/>
          <w:u w:val="single"/>
        </w:rPr>
        <w:t xml:space="preserve">                                </w:t>
      </w:r>
      <w:r>
        <w:rPr>
          <w:rFonts w:hint="eastAsia" w:ascii="宋体" w:hAnsi="宋体" w:eastAsia="宋体" w:cs="宋体"/>
          <w:sz w:val="24"/>
        </w:rPr>
        <w:t>。</w:t>
      </w:r>
    </w:p>
    <w:p w14:paraId="491159BE">
      <w:pPr>
        <w:pageBreakBefore w:val="0"/>
        <w:widowControl w:val="0"/>
        <w:kinsoku/>
        <w:wordWrap/>
        <w:overflowPunct/>
        <w:topLinePunct w:val="0"/>
        <w:bidi w:val="0"/>
        <w:snapToGrid/>
        <w:spacing w:line="480" w:lineRule="exact"/>
        <w:ind w:firstLine="470" w:firstLineChars="196"/>
        <w:textAlignment w:val="auto"/>
        <w:outlineLvl w:val="9"/>
        <w:rPr>
          <w:rFonts w:hint="eastAsia" w:ascii="宋体" w:hAnsi="宋体" w:eastAsia="宋体" w:cs="宋体"/>
          <w:bCs/>
          <w:sz w:val="24"/>
        </w:rPr>
      </w:pPr>
      <w:r>
        <w:rPr>
          <w:rFonts w:hint="eastAsia" w:ascii="宋体" w:hAnsi="宋体" w:eastAsia="宋体" w:cs="宋体"/>
          <w:bCs/>
          <w:sz w:val="24"/>
        </w:rPr>
        <w:t>2.工程地点：</w:t>
      </w:r>
      <w:r>
        <w:rPr>
          <w:rFonts w:hint="eastAsia" w:ascii="宋体" w:hAnsi="宋体" w:eastAsia="宋体" w:cs="宋体"/>
          <w:sz w:val="24"/>
          <w:u w:val="single"/>
        </w:rPr>
        <w:t xml:space="preserve">                                </w:t>
      </w:r>
      <w:r>
        <w:rPr>
          <w:rFonts w:hint="eastAsia" w:ascii="宋体" w:hAnsi="宋体" w:eastAsia="宋体" w:cs="宋体"/>
          <w:sz w:val="24"/>
        </w:rPr>
        <w:t>。</w:t>
      </w:r>
    </w:p>
    <w:p w14:paraId="1A3B3AC4">
      <w:pPr>
        <w:pageBreakBefore w:val="0"/>
        <w:widowControl w:val="0"/>
        <w:kinsoku/>
        <w:wordWrap/>
        <w:overflowPunct/>
        <w:topLinePunct w:val="0"/>
        <w:bidi w:val="0"/>
        <w:snapToGrid/>
        <w:spacing w:line="480" w:lineRule="exact"/>
        <w:ind w:firstLine="470" w:firstLineChars="196"/>
        <w:textAlignment w:val="auto"/>
        <w:outlineLvl w:val="9"/>
        <w:rPr>
          <w:rFonts w:hint="eastAsia" w:ascii="宋体" w:hAnsi="宋体" w:eastAsia="宋体" w:cs="宋体"/>
          <w:bCs/>
          <w:sz w:val="24"/>
        </w:rPr>
      </w:pPr>
      <w:r>
        <w:rPr>
          <w:rFonts w:hint="eastAsia" w:ascii="宋体" w:hAnsi="宋体" w:eastAsia="宋体" w:cs="宋体"/>
          <w:bCs/>
          <w:sz w:val="24"/>
        </w:rPr>
        <w:t>3.工程立项批准文号：</w:t>
      </w:r>
      <w:r>
        <w:rPr>
          <w:rFonts w:hint="eastAsia" w:ascii="宋体" w:hAnsi="宋体" w:eastAsia="宋体" w:cs="宋体"/>
          <w:sz w:val="24"/>
          <w:u w:val="single"/>
        </w:rPr>
        <w:t xml:space="preserve">         </w:t>
      </w:r>
      <w:r>
        <w:rPr>
          <w:rFonts w:hint="eastAsia" w:ascii="宋体" w:hAnsi="宋体" w:eastAsia="宋体" w:cs="宋体"/>
          <w:bCs/>
          <w:sz w:val="24"/>
        </w:rPr>
        <w:t>。</w:t>
      </w:r>
    </w:p>
    <w:p w14:paraId="08772395">
      <w:pPr>
        <w:pageBreakBefore w:val="0"/>
        <w:widowControl w:val="0"/>
        <w:kinsoku/>
        <w:wordWrap/>
        <w:overflowPunct/>
        <w:topLinePunct w:val="0"/>
        <w:bidi w:val="0"/>
        <w:snapToGrid/>
        <w:spacing w:line="480" w:lineRule="exact"/>
        <w:ind w:firstLine="470" w:firstLineChars="196"/>
        <w:textAlignment w:val="auto"/>
        <w:outlineLvl w:val="9"/>
        <w:rPr>
          <w:rFonts w:hint="eastAsia" w:ascii="宋体" w:hAnsi="宋体" w:eastAsia="宋体" w:cs="宋体"/>
          <w:bCs/>
          <w:sz w:val="24"/>
        </w:rPr>
      </w:pPr>
      <w:r>
        <w:rPr>
          <w:rFonts w:hint="eastAsia" w:ascii="宋体" w:hAnsi="宋体" w:eastAsia="宋体" w:cs="宋体"/>
          <w:bCs/>
          <w:sz w:val="24"/>
        </w:rPr>
        <w:t>4.资金来源：</w:t>
      </w:r>
      <w:r>
        <w:rPr>
          <w:rFonts w:hint="eastAsia" w:ascii="宋体" w:hAnsi="宋体" w:eastAsia="宋体" w:cs="宋体"/>
          <w:sz w:val="24"/>
          <w:u w:val="single"/>
        </w:rPr>
        <w:t xml:space="preserve">                                 </w:t>
      </w:r>
      <w:r>
        <w:rPr>
          <w:rFonts w:hint="eastAsia" w:ascii="宋体" w:hAnsi="宋体" w:eastAsia="宋体" w:cs="宋体"/>
          <w:bCs/>
          <w:sz w:val="24"/>
        </w:rPr>
        <w:t>。</w:t>
      </w:r>
    </w:p>
    <w:p w14:paraId="289AC39F">
      <w:pPr>
        <w:pageBreakBefore w:val="0"/>
        <w:widowControl w:val="0"/>
        <w:kinsoku/>
        <w:wordWrap/>
        <w:overflowPunct/>
        <w:topLinePunct w:val="0"/>
        <w:bidi w:val="0"/>
        <w:snapToGrid/>
        <w:spacing w:line="480" w:lineRule="exact"/>
        <w:ind w:firstLine="470" w:firstLineChars="196"/>
        <w:textAlignment w:val="auto"/>
        <w:outlineLvl w:val="9"/>
        <w:rPr>
          <w:rFonts w:hint="eastAsia" w:ascii="宋体" w:hAnsi="宋体" w:eastAsia="宋体" w:cs="宋体"/>
          <w:bCs/>
          <w:sz w:val="24"/>
        </w:rPr>
      </w:pPr>
      <w:r>
        <w:rPr>
          <w:rFonts w:hint="eastAsia" w:ascii="宋体" w:hAnsi="宋体" w:eastAsia="宋体" w:cs="宋体"/>
          <w:bCs/>
          <w:sz w:val="24"/>
        </w:rPr>
        <w:t>5.工程内容：</w:t>
      </w:r>
      <w:r>
        <w:rPr>
          <w:rFonts w:hint="eastAsia" w:ascii="宋体" w:hAnsi="宋体" w:eastAsia="宋体" w:cs="宋体"/>
          <w:sz w:val="24"/>
          <w:u w:val="single"/>
        </w:rPr>
        <w:t xml:space="preserve">                                 </w:t>
      </w:r>
      <w:r>
        <w:rPr>
          <w:rFonts w:hint="eastAsia" w:ascii="宋体" w:hAnsi="宋体" w:eastAsia="宋体" w:cs="宋体"/>
          <w:bCs/>
          <w:sz w:val="24"/>
        </w:rPr>
        <w:t>。</w:t>
      </w:r>
    </w:p>
    <w:p w14:paraId="5276188E">
      <w:pPr>
        <w:pageBreakBefore w:val="0"/>
        <w:widowControl w:val="0"/>
        <w:kinsoku/>
        <w:wordWrap/>
        <w:overflowPunct/>
        <w:topLinePunct w:val="0"/>
        <w:bidi w:val="0"/>
        <w:snapToGrid/>
        <w:spacing w:line="480" w:lineRule="exact"/>
        <w:ind w:firstLine="470" w:firstLineChars="196"/>
        <w:textAlignment w:val="auto"/>
        <w:outlineLvl w:val="9"/>
        <w:rPr>
          <w:rFonts w:hint="eastAsia" w:ascii="宋体" w:hAnsi="宋体" w:eastAsia="宋体" w:cs="宋体"/>
          <w:bCs/>
          <w:sz w:val="24"/>
        </w:rPr>
      </w:pPr>
      <w:r>
        <w:rPr>
          <w:rFonts w:hint="eastAsia" w:ascii="宋体" w:hAnsi="宋体" w:eastAsia="宋体" w:cs="宋体"/>
          <w:bCs/>
          <w:sz w:val="24"/>
        </w:rPr>
        <w:t>6.工程承包范围：</w:t>
      </w:r>
    </w:p>
    <w:p w14:paraId="0BDB5477">
      <w:pPr>
        <w:pageBreakBefore w:val="0"/>
        <w:widowControl w:val="0"/>
        <w:kinsoku/>
        <w:wordWrap/>
        <w:overflowPunct/>
        <w:topLinePunct w:val="0"/>
        <w:bidi w:val="0"/>
        <w:snapToGrid/>
        <w:spacing w:line="480" w:lineRule="exact"/>
        <w:ind w:firstLine="463" w:firstLineChars="193"/>
        <w:textAlignment w:val="auto"/>
        <w:outlineLvl w:val="9"/>
        <w:rPr>
          <w:rFonts w:hint="eastAsia" w:ascii="宋体" w:hAnsi="宋体" w:eastAsia="宋体" w:cs="宋体"/>
          <w:sz w:val="24"/>
        </w:rPr>
      </w:pPr>
      <w:r>
        <w:rPr>
          <w:rFonts w:hint="eastAsia" w:ascii="宋体" w:hAnsi="宋体" w:eastAsia="宋体" w:cs="宋体"/>
          <w:sz w:val="24"/>
          <w:u w:val="single"/>
        </w:rPr>
        <w:t xml:space="preserve">                                           </w:t>
      </w:r>
      <w:r>
        <w:rPr>
          <w:rFonts w:hint="eastAsia" w:ascii="宋体" w:hAnsi="宋体" w:eastAsia="宋体" w:cs="宋体"/>
          <w:sz w:val="24"/>
        </w:rPr>
        <w:t>。</w:t>
      </w:r>
    </w:p>
    <w:p w14:paraId="756A90C5">
      <w:pPr>
        <w:pageBreakBefore w:val="0"/>
        <w:widowControl w:val="0"/>
        <w:kinsoku/>
        <w:wordWrap/>
        <w:overflowPunct/>
        <w:topLinePunct w:val="0"/>
        <w:bidi w:val="0"/>
        <w:snapToGrid/>
        <w:spacing w:before="120" w:after="120" w:line="480" w:lineRule="exact"/>
        <w:textAlignment w:val="auto"/>
        <w:outlineLvl w:val="9"/>
        <w:rPr>
          <w:rFonts w:hint="eastAsia" w:ascii="宋体" w:hAnsi="宋体" w:eastAsia="宋体" w:cs="宋体"/>
          <w:bCs w:val="0"/>
          <w:sz w:val="24"/>
          <w:szCs w:val="24"/>
        </w:rPr>
      </w:pPr>
      <w:r>
        <w:rPr>
          <w:rFonts w:hint="eastAsia" w:ascii="宋体" w:hAnsi="宋体" w:eastAsia="宋体" w:cs="宋体"/>
          <w:bCs w:val="0"/>
          <w:sz w:val="24"/>
          <w:szCs w:val="24"/>
        </w:rPr>
        <w:t xml:space="preserve">   </w:t>
      </w:r>
      <w:bookmarkStart w:id="579" w:name="_Toc351203482"/>
      <w:r>
        <w:rPr>
          <w:rFonts w:hint="eastAsia" w:ascii="宋体" w:hAnsi="宋体" w:eastAsia="宋体" w:cs="宋体"/>
          <w:bCs w:val="0"/>
          <w:sz w:val="24"/>
          <w:szCs w:val="24"/>
        </w:rPr>
        <w:t>二、合同工期</w:t>
      </w:r>
      <w:bookmarkEnd w:id="579"/>
    </w:p>
    <w:p w14:paraId="11B392CF">
      <w:pPr>
        <w:pageBreakBefore w:val="0"/>
        <w:widowControl w:val="0"/>
        <w:kinsoku/>
        <w:wordWrap/>
        <w:overflowPunct/>
        <w:topLinePunct w:val="0"/>
        <w:bidi w:val="0"/>
        <w:snapToGrid/>
        <w:spacing w:line="480" w:lineRule="exact"/>
        <w:ind w:firstLine="459"/>
        <w:textAlignment w:val="auto"/>
        <w:outlineLvl w:val="9"/>
        <w:rPr>
          <w:rFonts w:hint="eastAsia" w:ascii="宋体" w:hAnsi="宋体" w:eastAsia="宋体" w:cs="宋体"/>
          <w:sz w:val="24"/>
        </w:rPr>
      </w:pPr>
      <w:r>
        <w:rPr>
          <w:rFonts w:hint="eastAsia" w:ascii="宋体" w:hAnsi="宋体" w:eastAsia="宋体" w:cs="宋体"/>
          <w:sz w:val="24"/>
        </w:rPr>
        <w:t>计划开工日期：暂定</w:t>
      </w:r>
      <w:r>
        <w:rPr>
          <w:rFonts w:hint="eastAsia" w:ascii="宋体" w:hAnsi="宋体" w:eastAsia="宋体" w:cs="宋体"/>
          <w:sz w:val="24"/>
          <w:u w:val="single"/>
        </w:rPr>
        <w:t xml:space="preserve">    </w:t>
      </w:r>
      <w:r>
        <w:rPr>
          <w:rFonts w:hint="eastAsia" w:ascii="宋体" w:hAnsi="宋体" w:eastAsia="宋体" w:cs="宋体"/>
          <w:sz w:val="24"/>
        </w:rPr>
        <w:t>年</w:t>
      </w:r>
      <w:r>
        <w:rPr>
          <w:rFonts w:hint="eastAsia" w:ascii="宋体" w:hAnsi="宋体" w:eastAsia="宋体" w:cs="宋体"/>
          <w:sz w:val="24"/>
          <w:u w:val="single"/>
        </w:rPr>
        <w:t xml:space="preserve">  </w:t>
      </w:r>
      <w:r>
        <w:rPr>
          <w:rFonts w:hint="eastAsia" w:ascii="宋体" w:hAnsi="宋体" w:eastAsia="宋体" w:cs="宋体"/>
          <w:sz w:val="24"/>
        </w:rPr>
        <w:t>月</w:t>
      </w:r>
      <w:r>
        <w:rPr>
          <w:rFonts w:hint="eastAsia" w:ascii="宋体" w:hAnsi="宋体" w:eastAsia="宋体" w:cs="宋体"/>
          <w:sz w:val="24"/>
          <w:u w:val="single"/>
        </w:rPr>
        <w:t xml:space="preserve">  </w:t>
      </w:r>
      <w:r>
        <w:rPr>
          <w:rFonts w:hint="eastAsia" w:ascii="宋体" w:hAnsi="宋体" w:eastAsia="宋体" w:cs="宋体"/>
          <w:sz w:val="24"/>
        </w:rPr>
        <w:t>日（以监理签发开工令时间为准）。</w:t>
      </w:r>
    </w:p>
    <w:p w14:paraId="210A540B">
      <w:pPr>
        <w:pageBreakBefore w:val="0"/>
        <w:widowControl w:val="0"/>
        <w:kinsoku/>
        <w:wordWrap/>
        <w:overflowPunct/>
        <w:topLinePunct w:val="0"/>
        <w:bidi w:val="0"/>
        <w:snapToGrid/>
        <w:spacing w:line="480" w:lineRule="exact"/>
        <w:ind w:firstLine="459"/>
        <w:textAlignment w:val="auto"/>
        <w:outlineLvl w:val="9"/>
        <w:rPr>
          <w:rFonts w:hint="eastAsia" w:ascii="宋体" w:hAnsi="宋体" w:eastAsia="宋体" w:cs="宋体"/>
          <w:sz w:val="24"/>
        </w:rPr>
      </w:pPr>
      <w:r>
        <w:rPr>
          <w:rFonts w:hint="eastAsia" w:ascii="宋体" w:hAnsi="宋体" w:eastAsia="宋体" w:cs="宋体"/>
          <w:sz w:val="24"/>
        </w:rPr>
        <w:t>计划竣工日期：</w:t>
      </w:r>
      <w:r>
        <w:rPr>
          <w:rFonts w:hint="eastAsia" w:ascii="宋体" w:hAnsi="宋体" w:eastAsia="宋体" w:cs="宋体"/>
          <w:sz w:val="24"/>
          <w:u w:val="single"/>
        </w:rPr>
        <w:t xml:space="preserve">   </w:t>
      </w:r>
      <w:r>
        <w:rPr>
          <w:rFonts w:hint="eastAsia" w:ascii="宋体" w:hAnsi="宋体" w:eastAsia="宋体" w:cs="宋体"/>
          <w:sz w:val="24"/>
        </w:rPr>
        <w:t>年</w:t>
      </w:r>
      <w:r>
        <w:rPr>
          <w:rFonts w:hint="eastAsia" w:ascii="宋体" w:hAnsi="宋体" w:eastAsia="宋体" w:cs="宋体"/>
          <w:sz w:val="24"/>
          <w:u w:val="single"/>
        </w:rPr>
        <w:t xml:space="preserve">  </w:t>
      </w:r>
      <w:r>
        <w:rPr>
          <w:rFonts w:hint="eastAsia" w:ascii="宋体" w:hAnsi="宋体" w:eastAsia="宋体" w:cs="宋体"/>
          <w:sz w:val="24"/>
        </w:rPr>
        <w:t>月</w:t>
      </w:r>
      <w:r>
        <w:rPr>
          <w:rFonts w:hint="eastAsia" w:ascii="宋体" w:hAnsi="宋体" w:eastAsia="宋体" w:cs="宋体"/>
          <w:sz w:val="24"/>
          <w:u w:val="single"/>
        </w:rPr>
        <w:t xml:space="preserve">  </w:t>
      </w:r>
      <w:r>
        <w:rPr>
          <w:rFonts w:hint="eastAsia" w:ascii="宋体" w:hAnsi="宋体" w:eastAsia="宋体" w:cs="宋体"/>
          <w:sz w:val="24"/>
        </w:rPr>
        <w:t>日。</w:t>
      </w:r>
    </w:p>
    <w:p w14:paraId="52CF7CB6">
      <w:pPr>
        <w:pageBreakBefore w:val="0"/>
        <w:widowControl w:val="0"/>
        <w:kinsoku/>
        <w:wordWrap/>
        <w:overflowPunct/>
        <w:topLinePunct w:val="0"/>
        <w:bidi w:val="0"/>
        <w:snapToGrid/>
        <w:spacing w:line="480" w:lineRule="exact"/>
        <w:ind w:firstLine="459"/>
        <w:textAlignment w:val="auto"/>
        <w:outlineLvl w:val="9"/>
        <w:rPr>
          <w:rFonts w:hint="eastAsia" w:ascii="宋体" w:hAnsi="宋体" w:eastAsia="宋体" w:cs="宋体"/>
          <w:sz w:val="24"/>
        </w:rPr>
      </w:pPr>
      <w:r>
        <w:rPr>
          <w:rFonts w:hint="eastAsia" w:ascii="宋体" w:hAnsi="宋体" w:eastAsia="宋体" w:cs="宋体"/>
          <w:sz w:val="24"/>
        </w:rPr>
        <w:t>工期总日历天数：</w:t>
      </w:r>
      <w:r>
        <w:rPr>
          <w:rFonts w:hint="eastAsia" w:ascii="宋体" w:hAnsi="宋体" w:eastAsia="宋体" w:cs="宋体"/>
          <w:sz w:val="24"/>
          <w:u w:val="single"/>
        </w:rPr>
        <w:t>  </w:t>
      </w:r>
      <w:r>
        <w:rPr>
          <w:rFonts w:hint="eastAsia" w:ascii="宋体" w:hAnsi="宋体" w:eastAsia="宋体" w:cs="宋体"/>
          <w:sz w:val="24"/>
        </w:rPr>
        <w:t>天。工期总日历天数与根据前述计划开竣工日期计算的工期天数不一致的，以计划竣工日期为准。</w:t>
      </w:r>
    </w:p>
    <w:p w14:paraId="54600B50">
      <w:pPr>
        <w:pageBreakBefore w:val="0"/>
        <w:widowControl w:val="0"/>
        <w:kinsoku/>
        <w:wordWrap/>
        <w:overflowPunct/>
        <w:topLinePunct w:val="0"/>
        <w:bidi w:val="0"/>
        <w:snapToGrid/>
        <w:spacing w:before="120" w:after="120" w:line="480" w:lineRule="exact"/>
        <w:textAlignment w:val="auto"/>
        <w:outlineLvl w:val="9"/>
        <w:rPr>
          <w:rFonts w:hint="eastAsia" w:ascii="宋体" w:hAnsi="宋体" w:eastAsia="宋体" w:cs="宋体"/>
          <w:bCs w:val="0"/>
          <w:sz w:val="24"/>
          <w:szCs w:val="24"/>
        </w:rPr>
      </w:pPr>
      <w:r>
        <w:rPr>
          <w:rFonts w:hint="eastAsia" w:ascii="宋体" w:hAnsi="宋体" w:eastAsia="宋体" w:cs="宋体"/>
          <w:bCs w:val="0"/>
          <w:sz w:val="24"/>
          <w:szCs w:val="24"/>
        </w:rPr>
        <w:t xml:space="preserve">    </w:t>
      </w:r>
      <w:bookmarkStart w:id="580" w:name="_Toc351203483"/>
      <w:r>
        <w:rPr>
          <w:rFonts w:hint="eastAsia" w:ascii="宋体" w:hAnsi="宋体" w:eastAsia="宋体" w:cs="宋体"/>
          <w:bCs w:val="0"/>
          <w:sz w:val="24"/>
          <w:szCs w:val="24"/>
        </w:rPr>
        <w:t>三、质量标准</w:t>
      </w:r>
      <w:bookmarkEnd w:id="580"/>
    </w:p>
    <w:p w14:paraId="45EAEE4D">
      <w:pPr>
        <w:pageBreakBefore w:val="0"/>
        <w:widowControl w:val="0"/>
        <w:kinsoku/>
        <w:wordWrap/>
        <w:overflowPunct/>
        <w:topLinePunct w:val="0"/>
        <w:bidi w:val="0"/>
        <w:snapToGrid/>
        <w:spacing w:line="480" w:lineRule="exact"/>
        <w:ind w:firstLine="459"/>
        <w:textAlignment w:val="auto"/>
        <w:outlineLvl w:val="9"/>
        <w:rPr>
          <w:rFonts w:hint="eastAsia" w:ascii="宋体" w:hAnsi="宋体" w:eastAsia="宋体" w:cs="宋体"/>
          <w:sz w:val="24"/>
        </w:rPr>
      </w:pPr>
      <w:r>
        <w:rPr>
          <w:rFonts w:hint="eastAsia" w:ascii="宋体" w:hAnsi="宋体" w:eastAsia="宋体" w:cs="宋体"/>
          <w:sz w:val="24"/>
        </w:rPr>
        <w:t>工程质量符合</w:t>
      </w:r>
      <w:r>
        <w:rPr>
          <w:rFonts w:hint="eastAsia" w:ascii="宋体" w:hAnsi="宋体" w:eastAsia="宋体" w:cs="宋体"/>
          <w:sz w:val="24"/>
          <w:u w:val="single"/>
        </w:rPr>
        <w:t xml:space="preserve">国家施工验收规范合格标准 </w:t>
      </w:r>
      <w:r>
        <w:rPr>
          <w:rFonts w:hint="eastAsia" w:ascii="宋体" w:hAnsi="宋体" w:eastAsia="宋体" w:cs="宋体"/>
          <w:sz w:val="24"/>
        </w:rPr>
        <w:t>。</w:t>
      </w:r>
    </w:p>
    <w:p w14:paraId="5FD16627">
      <w:pPr>
        <w:pageBreakBefore w:val="0"/>
        <w:widowControl w:val="0"/>
        <w:kinsoku/>
        <w:wordWrap/>
        <w:overflowPunct/>
        <w:topLinePunct w:val="0"/>
        <w:bidi w:val="0"/>
        <w:snapToGrid/>
        <w:spacing w:before="120" w:after="120" w:line="480" w:lineRule="exact"/>
        <w:textAlignment w:val="auto"/>
        <w:outlineLvl w:val="9"/>
        <w:rPr>
          <w:rFonts w:hint="eastAsia" w:ascii="宋体" w:hAnsi="宋体" w:eastAsia="宋体" w:cs="宋体"/>
          <w:bCs w:val="0"/>
          <w:sz w:val="24"/>
          <w:szCs w:val="24"/>
        </w:rPr>
      </w:pPr>
      <w:r>
        <w:rPr>
          <w:rFonts w:hint="eastAsia" w:ascii="宋体" w:hAnsi="宋体" w:eastAsia="宋体" w:cs="宋体"/>
          <w:bCs w:val="0"/>
          <w:sz w:val="24"/>
          <w:szCs w:val="24"/>
        </w:rPr>
        <w:t xml:space="preserve">    </w:t>
      </w:r>
      <w:bookmarkStart w:id="581" w:name="_Toc351203484"/>
      <w:r>
        <w:rPr>
          <w:rFonts w:hint="eastAsia" w:ascii="宋体" w:hAnsi="宋体" w:eastAsia="宋体" w:cs="宋体"/>
          <w:bCs w:val="0"/>
          <w:sz w:val="24"/>
          <w:szCs w:val="24"/>
        </w:rPr>
        <w:t>四、签约合同价与合同价格形式</w:t>
      </w:r>
      <w:bookmarkEnd w:id="581"/>
      <w:r>
        <w:rPr>
          <w:rFonts w:hint="eastAsia" w:ascii="宋体" w:hAnsi="宋体" w:eastAsia="宋体" w:cs="宋体"/>
          <w:bCs w:val="0"/>
          <w:sz w:val="24"/>
          <w:szCs w:val="24"/>
        </w:rPr>
        <w:tab/>
      </w:r>
    </w:p>
    <w:p w14:paraId="2236B682">
      <w:pPr>
        <w:pageBreakBefore w:val="0"/>
        <w:widowControl w:val="0"/>
        <w:kinsoku/>
        <w:wordWrap/>
        <w:overflowPunct/>
        <w:topLinePunct w:val="0"/>
        <w:bidi w:val="0"/>
        <w:snapToGrid/>
        <w:spacing w:line="480" w:lineRule="exact"/>
        <w:ind w:firstLine="480" w:firstLineChars="200"/>
        <w:textAlignment w:val="auto"/>
        <w:outlineLvl w:val="9"/>
        <w:rPr>
          <w:rFonts w:hint="eastAsia" w:ascii="宋体" w:hAnsi="宋体" w:eastAsia="宋体" w:cs="宋体"/>
          <w:sz w:val="24"/>
        </w:rPr>
      </w:pPr>
      <w:r>
        <w:rPr>
          <w:rFonts w:hint="eastAsia" w:ascii="宋体" w:hAnsi="宋体" w:eastAsia="宋体" w:cs="宋体"/>
          <w:sz w:val="24"/>
        </w:rPr>
        <w:t>1.签约合同价为：</w:t>
      </w:r>
    </w:p>
    <w:p w14:paraId="5FFC94CC">
      <w:pPr>
        <w:pageBreakBefore w:val="0"/>
        <w:widowControl w:val="0"/>
        <w:kinsoku/>
        <w:wordWrap/>
        <w:overflowPunct/>
        <w:topLinePunct w:val="0"/>
        <w:bidi w:val="0"/>
        <w:snapToGrid/>
        <w:spacing w:line="480" w:lineRule="exact"/>
        <w:ind w:firstLine="600" w:firstLineChars="250"/>
        <w:textAlignment w:val="auto"/>
        <w:outlineLvl w:val="9"/>
        <w:rPr>
          <w:rFonts w:hint="eastAsia" w:ascii="宋体" w:hAnsi="宋体" w:eastAsia="宋体" w:cs="宋体"/>
          <w:sz w:val="24"/>
        </w:rPr>
      </w:pPr>
      <w:r>
        <w:rPr>
          <w:rFonts w:hint="eastAsia" w:ascii="宋体" w:hAnsi="宋体" w:eastAsia="宋体" w:cs="宋体"/>
          <w:sz w:val="24"/>
        </w:rPr>
        <w:t>费率（大写）</w:t>
      </w:r>
      <w:r>
        <w:rPr>
          <w:rFonts w:hint="eastAsia" w:ascii="宋体" w:hAnsi="宋体" w:eastAsia="宋体" w:cs="宋体"/>
          <w:sz w:val="24"/>
          <w:u w:val="single"/>
        </w:rPr>
        <w:t xml:space="preserve">                                  </w:t>
      </w:r>
      <w:r>
        <w:rPr>
          <w:rFonts w:hint="eastAsia" w:ascii="宋体" w:hAnsi="宋体" w:eastAsia="宋体" w:cs="宋体"/>
          <w:sz w:val="24"/>
        </w:rPr>
        <w:t>(小写</w:t>
      </w:r>
      <w:r>
        <w:rPr>
          <w:rFonts w:hint="eastAsia" w:ascii="宋体" w:hAnsi="宋体" w:eastAsia="宋体" w:cs="宋体"/>
          <w:sz w:val="24"/>
          <w:u w:val="single"/>
        </w:rPr>
        <w:t xml:space="preserve">        </w:t>
      </w:r>
      <w:r>
        <w:rPr>
          <w:rFonts w:hint="eastAsia" w:ascii="宋体" w:hAnsi="宋体" w:eastAsia="宋体" w:cs="宋体"/>
          <w:sz w:val="24"/>
        </w:rPr>
        <w:t>)；</w:t>
      </w:r>
    </w:p>
    <w:p w14:paraId="30242A52">
      <w:pPr>
        <w:pageBreakBefore w:val="0"/>
        <w:widowControl w:val="0"/>
        <w:kinsoku/>
        <w:wordWrap/>
        <w:overflowPunct/>
        <w:topLinePunct w:val="0"/>
        <w:bidi w:val="0"/>
        <w:snapToGrid/>
        <w:spacing w:line="480" w:lineRule="exact"/>
        <w:ind w:firstLine="480" w:firstLineChars="200"/>
        <w:textAlignment w:val="auto"/>
        <w:outlineLvl w:val="9"/>
        <w:rPr>
          <w:rFonts w:hint="eastAsia" w:ascii="宋体" w:hAnsi="宋体" w:eastAsia="宋体" w:cs="宋体"/>
          <w:sz w:val="24"/>
        </w:rPr>
      </w:pPr>
      <w:r>
        <w:rPr>
          <w:rFonts w:hint="eastAsia" w:ascii="宋体" w:hAnsi="宋体" w:eastAsia="宋体" w:cs="宋体"/>
          <w:sz w:val="24"/>
        </w:rPr>
        <w:t xml:space="preserve"> 其中：</w:t>
      </w:r>
    </w:p>
    <w:p w14:paraId="01BAA5D2">
      <w:pPr>
        <w:pageBreakBefore w:val="0"/>
        <w:widowControl w:val="0"/>
        <w:kinsoku/>
        <w:wordWrap/>
        <w:overflowPunct/>
        <w:topLinePunct w:val="0"/>
        <w:bidi w:val="0"/>
        <w:snapToGrid/>
        <w:spacing w:line="480" w:lineRule="exact"/>
        <w:textAlignment w:val="auto"/>
        <w:outlineLvl w:val="9"/>
        <w:rPr>
          <w:rFonts w:hint="eastAsia" w:ascii="宋体" w:hAnsi="宋体" w:eastAsia="宋体" w:cs="宋体"/>
          <w:sz w:val="24"/>
        </w:rPr>
      </w:pPr>
      <w:r>
        <w:rPr>
          <w:rFonts w:hint="eastAsia" w:ascii="宋体" w:hAnsi="宋体" w:eastAsia="宋体" w:cs="宋体"/>
          <w:sz w:val="24"/>
        </w:rPr>
        <w:t xml:space="preserve">    (一) 措施费：</w:t>
      </w:r>
    </w:p>
    <w:p w14:paraId="71FA0861">
      <w:pPr>
        <w:pageBreakBefore w:val="0"/>
        <w:widowControl w:val="0"/>
        <w:kinsoku/>
        <w:wordWrap/>
        <w:overflowPunct/>
        <w:topLinePunct w:val="0"/>
        <w:bidi w:val="0"/>
        <w:snapToGrid/>
        <w:spacing w:line="480" w:lineRule="exact"/>
        <w:ind w:firstLine="480" w:firstLineChars="200"/>
        <w:textAlignment w:val="auto"/>
        <w:outlineLvl w:val="9"/>
        <w:rPr>
          <w:rFonts w:hint="eastAsia" w:ascii="宋体" w:hAnsi="宋体" w:eastAsia="宋体" w:cs="宋体"/>
          <w:sz w:val="24"/>
        </w:rPr>
      </w:pPr>
      <w:r>
        <w:rPr>
          <w:rFonts w:hint="eastAsia" w:ascii="宋体" w:hAnsi="宋体" w:eastAsia="宋体" w:cs="宋体"/>
          <w:sz w:val="24"/>
        </w:rPr>
        <w:t>（1）安全文明施工费：</w:t>
      </w:r>
    </w:p>
    <w:p w14:paraId="70FCFB9B">
      <w:pPr>
        <w:pageBreakBefore w:val="0"/>
        <w:widowControl w:val="0"/>
        <w:kinsoku/>
        <w:wordWrap/>
        <w:overflowPunct/>
        <w:topLinePunct w:val="0"/>
        <w:bidi w:val="0"/>
        <w:snapToGrid/>
        <w:spacing w:line="480" w:lineRule="exact"/>
        <w:ind w:firstLine="1080" w:firstLineChars="450"/>
        <w:textAlignment w:val="auto"/>
        <w:outlineLvl w:val="9"/>
        <w:rPr>
          <w:rFonts w:hint="eastAsia" w:ascii="宋体" w:hAnsi="宋体" w:eastAsia="宋体" w:cs="宋体"/>
          <w:sz w:val="24"/>
        </w:rPr>
      </w:pPr>
      <w:r>
        <w:rPr>
          <w:rFonts w:hint="eastAsia" w:ascii="宋体" w:hAnsi="宋体" w:eastAsia="宋体" w:cs="宋体"/>
          <w:sz w:val="24"/>
        </w:rPr>
        <w:t>人民币（大写）</w:t>
      </w:r>
      <w:r>
        <w:rPr>
          <w:rFonts w:hint="eastAsia" w:ascii="宋体" w:hAnsi="宋体" w:eastAsia="宋体" w:cs="宋体"/>
          <w:sz w:val="24"/>
          <w:u w:val="single"/>
        </w:rPr>
        <w:t xml:space="preserve">              </w:t>
      </w:r>
      <w:r>
        <w:rPr>
          <w:rFonts w:hint="eastAsia" w:ascii="宋体" w:hAnsi="宋体" w:eastAsia="宋体" w:cs="宋体"/>
          <w:sz w:val="24"/>
        </w:rPr>
        <w:t xml:space="preserve"> (¥</w:t>
      </w:r>
      <w:r>
        <w:rPr>
          <w:rFonts w:hint="eastAsia" w:ascii="宋体" w:hAnsi="宋体" w:eastAsia="宋体" w:cs="宋体"/>
          <w:sz w:val="24"/>
          <w:u w:val="single"/>
        </w:rPr>
        <w:t xml:space="preserve">          </w:t>
      </w:r>
      <w:r>
        <w:rPr>
          <w:rFonts w:hint="eastAsia" w:ascii="宋体" w:hAnsi="宋体" w:eastAsia="宋体" w:cs="宋体"/>
          <w:sz w:val="24"/>
        </w:rPr>
        <w:t>元)；</w:t>
      </w:r>
    </w:p>
    <w:p w14:paraId="6D466579">
      <w:pPr>
        <w:pageBreakBefore w:val="0"/>
        <w:widowControl w:val="0"/>
        <w:kinsoku/>
        <w:wordWrap/>
        <w:overflowPunct/>
        <w:topLinePunct w:val="0"/>
        <w:bidi w:val="0"/>
        <w:snapToGrid/>
        <w:spacing w:line="480" w:lineRule="exact"/>
        <w:ind w:firstLine="480" w:firstLineChars="200"/>
        <w:textAlignment w:val="auto"/>
        <w:outlineLvl w:val="9"/>
        <w:rPr>
          <w:rFonts w:hint="eastAsia" w:ascii="宋体" w:hAnsi="宋体" w:eastAsia="宋体" w:cs="宋体"/>
          <w:sz w:val="24"/>
        </w:rPr>
      </w:pPr>
      <w:r>
        <w:rPr>
          <w:rFonts w:hint="eastAsia" w:ascii="宋体" w:hAnsi="宋体" w:eastAsia="宋体" w:cs="宋体"/>
          <w:sz w:val="24"/>
        </w:rPr>
        <w:t>（2）脚手架使用费：</w:t>
      </w:r>
    </w:p>
    <w:p w14:paraId="09EACB69">
      <w:pPr>
        <w:pageBreakBefore w:val="0"/>
        <w:widowControl w:val="0"/>
        <w:kinsoku/>
        <w:wordWrap/>
        <w:overflowPunct/>
        <w:topLinePunct w:val="0"/>
        <w:bidi w:val="0"/>
        <w:snapToGrid/>
        <w:spacing w:line="480" w:lineRule="exact"/>
        <w:ind w:firstLine="1080" w:firstLineChars="450"/>
        <w:textAlignment w:val="auto"/>
        <w:outlineLvl w:val="9"/>
        <w:rPr>
          <w:rFonts w:hint="eastAsia" w:ascii="宋体" w:hAnsi="宋体" w:eastAsia="宋体" w:cs="宋体"/>
          <w:sz w:val="24"/>
        </w:rPr>
      </w:pPr>
      <w:r>
        <w:rPr>
          <w:rFonts w:hint="eastAsia" w:ascii="宋体" w:hAnsi="宋体" w:eastAsia="宋体" w:cs="宋体"/>
          <w:sz w:val="24"/>
        </w:rPr>
        <w:t>人民币（大写）</w:t>
      </w:r>
      <w:r>
        <w:rPr>
          <w:rFonts w:hint="eastAsia" w:ascii="宋体" w:hAnsi="宋体" w:eastAsia="宋体" w:cs="宋体"/>
          <w:sz w:val="24"/>
          <w:u w:val="single"/>
        </w:rPr>
        <w:t xml:space="preserve">              </w:t>
      </w:r>
      <w:r>
        <w:rPr>
          <w:rFonts w:hint="eastAsia" w:ascii="宋体" w:hAnsi="宋体" w:eastAsia="宋体" w:cs="宋体"/>
          <w:sz w:val="24"/>
        </w:rPr>
        <w:t xml:space="preserve"> (¥</w:t>
      </w:r>
      <w:r>
        <w:rPr>
          <w:rFonts w:hint="eastAsia" w:ascii="宋体" w:hAnsi="宋体" w:eastAsia="宋体" w:cs="宋体"/>
          <w:sz w:val="24"/>
          <w:u w:val="single"/>
        </w:rPr>
        <w:t xml:space="preserve">          </w:t>
      </w:r>
      <w:r>
        <w:rPr>
          <w:rFonts w:hint="eastAsia" w:ascii="宋体" w:hAnsi="宋体" w:eastAsia="宋体" w:cs="宋体"/>
          <w:sz w:val="24"/>
        </w:rPr>
        <w:t>元)；</w:t>
      </w:r>
    </w:p>
    <w:p w14:paraId="22748DB2">
      <w:pPr>
        <w:pageBreakBefore w:val="0"/>
        <w:widowControl w:val="0"/>
        <w:kinsoku/>
        <w:wordWrap/>
        <w:overflowPunct/>
        <w:topLinePunct w:val="0"/>
        <w:bidi w:val="0"/>
        <w:snapToGrid/>
        <w:spacing w:line="480" w:lineRule="exact"/>
        <w:ind w:firstLine="480" w:firstLineChars="200"/>
        <w:textAlignment w:val="auto"/>
        <w:outlineLvl w:val="9"/>
        <w:rPr>
          <w:rFonts w:hint="eastAsia" w:ascii="宋体" w:hAnsi="宋体" w:eastAsia="宋体" w:cs="宋体"/>
          <w:sz w:val="24"/>
        </w:rPr>
      </w:pPr>
      <w:r>
        <w:rPr>
          <w:rFonts w:hint="eastAsia" w:ascii="宋体" w:hAnsi="宋体" w:eastAsia="宋体" w:cs="宋体"/>
          <w:sz w:val="24"/>
        </w:rPr>
        <w:t>（3）模板使用费：</w:t>
      </w:r>
    </w:p>
    <w:p w14:paraId="3DAFC5B9">
      <w:pPr>
        <w:pageBreakBefore w:val="0"/>
        <w:widowControl w:val="0"/>
        <w:kinsoku/>
        <w:wordWrap/>
        <w:overflowPunct/>
        <w:topLinePunct w:val="0"/>
        <w:bidi w:val="0"/>
        <w:snapToGrid/>
        <w:spacing w:line="480" w:lineRule="exact"/>
        <w:ind w:firstLine="1080" w:firstLineChars="450"/>
        <w:textAlignment w:val="auto"/>
        <w:outlineLvl w:val="9"/>
        <w:rPr>
          <w:rFonts w:hint="eastAsia" w:ascii="宋体" w:hAnsi="宋体" w:eastAsia="宋体" w:cs="宋体"/>
          <w:sz w:val="24"/>
        </w:rPr>
      </w:pPr>
      <w:r>
        <w:rPr>
          <w:rFonts w:hint="eastAsia" w:ascii="宋体" w:hAnsi="宋体" w:eastAsia="宋体" w:cs="宋体"/>
          <w:sz w:val="24"/>
        </w:rPr>
        <w:t>人民币（大写）</w:t>
      </w:r>
      <w:r>
        <w:rPr>
          <w:rFonts w:hint="eastAsia" w:ascii="宋体" w:hAnsi="宋体" w:eastAsia="宋体" w:cs="宋体"/>
          <w:sz w:val="24"/>
          <w:u w:val="single"/>
        </w:rPr>
        <w:t xml:space="preserve">              </w:t>
      </w:r>
      <w:r>
        <w:rPr>
          <w:rFonts w:hint="eastAsia" w:ascii="宋体" w:hAnsi="宋体" w:eastAsia="宋体" w:cs="宋体"/>
          <w:sz w:val="24"/>
        </w:rPr>
        <w:t xml:space="preserve"> (¥</w:t>
      </w:r>
      <w:r>
        <w:rPr>
          <w:rFonts w:hint="eastAsia" w:ascii="宋体" w:hAnsi="宋体" w:eastAsia="宋体" w:cs="宋体"/>
          <w:sz w:val="24"/>
          <w:u w:val="single"/>
        </w:rPr>
        <w:t xml:space="preserve">          </w:t>
      </w:r>
      <w:r>
        <w:rPr>
          <w:rFonts w:hint="eastAsia" w:ascii="宋体" w:hAnsi="宋体" w:eastAsia="宋体" w:cs="宋体"/>
          <w:sz w:val="24"/>
        </w:rPr>
        <w:t>元)；</w:t>
      </w:r>
    </w:p>
    <w:p w14:paraId="2D1B0AF1">
      <w:pPr>
        <w:pageBreakBefore w:val="0"/>
        <w:widowControl w:val="0"/>
        <w:kinsoku/>
        <w:wordWrap/>
        <w:overflowPunct/>
        <w:topLinePunct w:val="0"/>
        <w:bidi w:val="0"/>
        <w:snapToGrid/>
        <w:spacing w:line="480" w:lineRule="exact"/>
        <w:ind w:firstLine="480" w:firstLineChars="200"/>
        <w:textAlignment w:val="auto"/>
        <w:outlineLvl w:val="9"/>
        <w:rPr>
          <w:rFonts w:hint="eastAsia" w:ascii="宋体" w:hAnsi="宋体" w:eastAsia="宋体" w:cs="宋体"/>
          <w:sz w:val="24"/>
        </w:rPr>
      </w:pPr>
      <w:r>
        <w:rPr>
          <w:rFonts w:hint="eastAsia" w:ascii="宋体" w:hAnsi="宋体" w:eastAsia="宋体" w:cs="宋体"/>
          <w:sz w:val="24"/>
        </w:rPr>
        <w:t>（4）垂直运输机械费：</w:t>
      </w:r>
    </w:p>
    <w:p w14:paraId="340602E8">
      <w:pPr>
        <w:pageBreakBefore w:val="0"/>
        <w:widowControl w:val="0"/>
        <w:kinsoku/>
        <w:wordWrap/>
        <w:overflowPunct/>
        <w:topLinePunct w:val="0"/>
        <w:bidi w:val="0"/>
        <w:snapToGrid/>
        <w:spacing w:line="480" w:lineRule="exact"/>
        <w:ind w:firstLine="1080" w:firstLineChars="450"/>
        <w:textAlignment w:val="auto"/>
        <w:outlineLvl w:val="9"/>
        <w:rPr>
          <w:rFonts w:hint="eastAsia" w:ascii="宋体" w:hAnsi="宋体" w:eastAsia="宋体" w:cs="宋体"/>
          <w:sz w:val="24"/>
        </w:rPr>
      </w:pPr>
      <w:r>
        <w:rPr>
          <w:rFonts w:hint="eastAsia" w:ascii="宋体" w:hAnsi="宋体" w:eastAsia="宋体" w:cs="宋体"/>
          <w:sz w:val="24"/>
        </w:rPr>
        <w:t>人民币（大写）</w:t>
      </w:r>
      <w:r>
        <w:rPr>
          <w:rFonts w:hint="eastAsia" w:ascii="宋体" w:hAnsi="宋体" w:eastAsia="宋体" w:cs="宋体"/>
          <w:sz w:val="24"/>
          <w:u w:val="single"/>
        </w:rPr>
        <w:t xml:space="preserve">              </w:t>
      </w:r>
      <w:r>
        <w:rPr>
          <w:rFonts w:hint="eastAsia" w:ascii="宋体" w:hAnsi="宋体" w:eastAsia="宋体" w:cs="宋体"/>
          <w:sz w:val="24"/>
        </w:rPr>
        <w:t xml:space="preserve"> (¥</w:t>
      </w:r>
      <w:r>
        <w:rPr>
          <w:rFonts w:hint="eastAsia" w:ascii="宋体" w:hAnsi="宋体" w:eastAsia="宋体" w:cs="宋体"/>
          <w:sz w:val="24"/>
          <w:u w:val="single"/>
        </w:rPr>
        <w:t xml:space="preserve">          </w:t>
      </w:r>
      <w:r>
        <w:rPr>
          <w:rFonts w:hint="eastAsia" w:ascii="宋体" w:hAnsi="宋体" w:eastAsia="宋体" w:cs="宋体"/>
          <w:sz w:val="24"/>
        </w:rPr>
        <w:t>元)；</w:t>
      </w:r>
    </w:p>
    <w:p w14:paraId="64F1D6F6">
      <w:pPr>
        <w:pageBreakBefore w:val="0"/>
        <w:widowControl w:val="0"/>
        <w:kinsoku/>
        <w:wordWrap/>
        <w:overflowPunct/>
        <w:topLinePunct w:val="0"/>
        <w:bidi w:val="0"/>
        <w:snapToGrid/>
        <w:spacing w:line="480" w:lineRule="exact"/>
        <w:textAlignment w:val="auto"/>
        <w:outlineLvl w:val="9"/>
        <w:rPr>
          <w:rFonts w:hint="eastAsia" w:ascii="宋体" w:hAnsi="宋体" w:eastAsia="宋体" w:cs="宋体"/>
          <w:sz w:val="24"/>
        </w:rPr>
      </w:pPr>
      <w:r>
        <w:rPr>
          <w:rFonts w:hint="eastAsia" w:ascii="宋体" w:hAnsi="宋体" w:eastAsia="宋体" w:cs="宋体"/>
          <w:sz w:val="24"/>
        </w:rPr>
        <w:t xml:space="preserve">     (二) 暂估价：</w:t>
      </w:r>
    </w:p>
    <w:p w14:paraId="73D479B9">
      <w:pPr>
        <w:pageBreakBefore w:val="0"/>
        <w:widowControl w:val="0"/>
        <w:kinsoku/>
        <w:wordWrap/>
        <w:overflowPunct/>
        <w:topLinePunct w:val="0"/>
        <w:bidi w:val="0"/>
        <w:snapToGrid/>
        <w:spacing w:line="480" w:lineRule="exact"/>
        <w:ind w:firstLine="480" w:firstLineChars="200"/>
        <w:textAlignment w:val="auto"/>
        <w:outlineLvl w:val="9"/>
        <w:rPr>
          <w:rFonts w:hint="eastAsia" w:ascii="宋体" w:hAnsi="宋体" w:eastAsia="宋体" w:cs="宋体"/>
          <w:sz w:val="24"/>
        </w:rPr>
      </w:pPr>
      <w:r>
        <w:rPr>
          <w:rFonts w:hint="eastAsia" w:ascii="宋体" w:hAnsi="宋体" w:eastAsia="宋体" w:cs="宋体"/>
          <w:sz w:val="24"/>
        </w:rPr>
        <w:t>（5）材料和工程设备暂估价金额：</w:t>
      </w:r>
    </w:p>
    <w:p w14:paraId="04C5B83D">
      <w:pPr>
        <w:pageBreakBefore w:val="0"/>
        <w:widowControl w:val="0"/>
        <w:kinsoku/>
        <w:wordWrap/>
        <w:overflowPunct/>
        <w:topLinePunct w:val="0"/>
        <w:bidi w:val="0"/>
        <w:snapToGrid/>
        <w:spacing w:line="480" w:lineRule="exact"/>
        <w:ind w:firstLine="1080" w:firstLineChars="450"/>
        <w:textAlignment w:val="auto"/>
        <w:outlineLvl w:val="9"/>
        <w:rPr>
          <w:rFonts w:hint="eastAsia" w:ascii="宋体" w:hAnsi="宋体" w:eastAsia="宋体" w:cs="宋体"/>
          <w:sz w:val="24"/>
        </w:rPr>
      </w:pPr>
      <w:r>
        <w:rPr>
          <w:rFonts w:hint="eastAsia" w:ascii="宋体" w:hAnsi="宋体" w:eastAsia="宋体" w:cs="宋体"/>
          <w:sz w:val="24"/>
        </w:rPr>
        <w:t>人民币（大写）</w:t>
      </w:r>
      <w:r>
        <w:rPr>
          <w:rFonts w:hint="eastAsia" w:ascii="宋体" w:hAnsi="宋体" w:eastAsia="宋体" w:cs="宋体"/>
          <w:sz w:val="24"/>
          <w:u w:val="single"/>
        </w:rPr>
        <w:t xml:space="preserve">              </w:t>
      </w:r>
      <w:r>
        <w:rPr>
          <w:rFonts w:hint="eastAsia" w:ascii="宋体" w:hAnsi="宋体" w:eastAsia="宋体" w:cs="宋体"/>
          <w:sz w:val="24"/>
        </w:rPr>
        <w:t xml:space="preserve"> (¥</w:t>
      </w:r>
      <w:r>
        <w:rPr>
          <w:rFonts w:hint="eastAsia" w:ascii="宋体" w:hAnsi="宋体" w:eastAsia="宋体" w:cs="宋体"/>
          <w:sz w:val="24"/>
          <w:u w:val="single"/>
        </w:rPr>
        <w:t xml:space="preserve">          </w:t>
      </w:r>
      <w:r>
        <w:rPr>
          <w:rFonts w:hint="eastAsia" w:ascii="宋体" w:hAnsi="宋体" w:eastAsia="宋体" w:cs="宋体"/>
          <w:sz w:val="24"/>
        </w:rPr>
        <w:t>元)；</w:t>
      </w:r>
    </w:p>
    <w:p w14:paraId="08C0ECC3">
      <w:pPr>
        <w:pageBreakBefore w:val="0"/>
        <w:widowControl w:val="0"/>
        <w:kinsoku/>
        <w:wordWrap/>
        <w:overflowPunct/>
        <w:topLinePunct w:val="0"/>
        <w:bidi w:val="0"/>
        <w:snapToGrid/>
        <w:spacing w:line="480" w:lineRule="exact"/>
        <w:ind w:firstLine="480" w:firstLineChars="200"/>
        <w:textAlignment w:val="auto"/>
        <w:outlineLvl w:val="9"/>
        <w:rPr>
          <w:rFonts w:hint="eastAsia" w:ascii="宋体" w:hAnsi="宋体" w:eastAsia="宋体" w:cs="宋体"/>
          <w:sz w:val="24"/>
        </w:rPr>
      </w:pPr>
      <w:r>
        <w:rPr>
          <w:rFonts w:hint="eastAsia" w:ascii="宋体" w:hAnsi="宋体" w:eastAsia="宋体" w:cs="宋体"/>
          <w:sz w:val="24"/>
        </w:rPr>
        <w:t>（6）专业工程暂估价金额：</w:t>
      </w:r>
    </w:p>
    <w:p w14:paraId="4055B523">
      <w:pPr>
        <w:pageBreakBefore w:val="0"/>
        <w:widowControl w:val="0"/>
        <w:kinsoku/>
        <w:wordWrap/>
        <w:overflowPunct/>
        <w:topLinePunct w:val="0"/>
        <w:bidi w:val="0"/>
        <w:snapToGrid/>
        <w:spacing w:line="480" w:lineRule="exact"/>
        <w:ind w:firstLine="1080" w:firstLineChars="450"/>
        <w:textAlignment w:val="auto"/>
        <w:outlineLvl w:val="9"/>
        <w:rPr>
          <w:rFonts w:hint="eastAsia" w:ascii="宋体" w:hAnsi="宋体" w:eastAsia="宋体" w:cs="宋体"/>
          <w:sz w:val="24"/>
        </w:rPr>
      </w:pPr>
      <w:r>
        <w:rPr>
          <w:rFonts w:hint="eastAsia" w:ascii="宋体" w:hAnsi="宋体" w:eastAsia="宋体" w:cs="宋体"/>
          <w:sz w:val="24"/>
        </w:rPr>
        <w:t>人民币（大写）</w:t>
      </w:r>
      <w:r>
        <w:rPr>
          <w:rFonts w:hint="eastAsia" w:ascii="宋体" w:hAnsi="宋体" w:eastAsia="宋体" w:cs="宋体"/>
          <w:sz w:val="24"/>
          <w:u w:val="single"/>
        </w:rPr>
        <w:t xml:space="preserve">              </w:t>
      </w:r>
      <w:r>
        <w:rPr>
          <w:rFonts w:hint="eastAsia" w:ascii="宋体" w:hAnsi="宋体" w:eastAsia="宋体" w:cs="宋体"/>
          <w:sz w:val="24"/>
        </w:rPr>
        <w:t xml:space="preserve"> (¥</w:t>
      </w:r>
      <w:r>
        <w:rPr>
          <w:rFonts w:hint="eastAsia" w:ascii="宋体" w:hAnsi="宋体" w:eastAsia="宋体" w:cs="宋体"/>
          <w:sz w:val="24"/>
          <w:u w:val="single"/>
        </w:rPr>
        <w:t xml:space="preserve">          </w:t>
      </w:r>
      <w:r>
        <w:rPr>
          <w:rFonts w:hint="eastAsia" w:ascii="宋体" w:hAnsi="宋体" w:eastAsia="宋体" w:cs="宋体"/>
          <w:sz w:val="24"/>
        </w:rPr>
        <w:t>元)；</w:t>
      </w:r>
    </w:p>
    <w:p w14:paraId="42D5F00E">
      <w:pPr>
        <w:pageBreakBefore w:val="0"/>
        <w:widowControl w:val="0"/>
        <w:kinsoku/>
        <w:wordWrap/>
        <w:overflowPunct/>
        <w:topLinePunct w:val="0"/>
        <w:bidi w:val="0"/>
        <w:snapToGrid/>
        <w:spacing w:line="480" w:lineRule="exact"/>
        <w:ind w:firstLine="480" w:firstLineChars="200"/>
        <w:textAlignment w:val="auto"/>
        <w:outlineLvl w:val="9"/>
        <w:rPr>
          <w:rFonts w:hint="eastAsia" w:ascii="宋体" w:hAnsi="宋体" w:eastAsia="宋体" w:cs="宋体"/>
          <w:sz w:val="24"/>
        </w:rPr>
      </w:pPr>
      <w:r>
        <w:rPr>
          <w:rFonts w:hint="eastAsia" w:ascii="宋体" w:hAnsi="宋体" w:eastAsia="宋体" w:cs="宋体"/>
          <w:sz w:val="24"/>
        </w:rPr>
        <w:t xml:space="preserve">2.合同价格形式： </w:t>
      </w:r>
      <w:r>
        <w:rPr>
          <w:rFonts w:hint="eastAsia" w:ascii="宋体" w:hAnsi="宋体" w:eastAsia="宋体" w:cs="宋体"/>
          <w:sz w:val="24"/>
          <w:u w:val="single"/>
        </w:rPr>
        <w:t xml:space="preserve">             </w:t>
      </w:r>
      <w:r>
        <w:rPr>
          <w:rFonts w:hint="eastAsia" w:ascii="宋体" w:hAnsi="宋体" w:eastAsia="宋体" w:cs="宋体"/>
          <w:sz w:val="24"/>
        </w:rPr>
        <w:t>。</w:t>
      </w:r>
    </w:p>
    <w:p w14:paraId="0255652A">
      <w:pPr>
        <w:pageBreakBefore w:val="0"/>
        <w:widowControl w:val="0"/>
        <w:kinsoku/>
        <w:wordWrap/>
        <w:overflowPunct/>
        <w:topLinePunct w:val="0"/>
        <w:bidi w:val="0"/>
        <w:snapToGrid/>
        <w:spacing w:before="120" w:after="120" w:line="480" w:lineRule="exact"/>
        <w:textAlignment w:val="auto"/>
        <w:outlineLvl w:val="9"/>
        <w:rPr>
          <w:rFonts w:hint="eastAsia" w:ascii="宋体" w:hAnsi="宋体" w:eastAsia="宋体" w:cs="宋体"/>
          <w:bCs w:val="0"/>
          <w:sz w:val="24"/>
          <w:szCs w:val="24"/>
        </w:rPr>
      </w:pPr>
      <w:r>
        <w:rPr>
          <w:rFonts w:hint="eastAsia" w:ascii="宋体" w:hAnsi="宋体" w:eastAsia="宋体" w:cs="宋体"/>
          <w:bCs w:val="0"/>
          <w:sz w:val="24"/>
          <w:szCs w:val="24"/>
        </w:rPr>
        <w:t xml:space="preserve">    </w:t>
      </w:r>
      <w:bookmarkStart w:id="582" w:name="_Toc351203485"/>
      <w:r>
        <w:rPr>
          <w:rFonts w:hint="eastAsia" w:ascii="宋体" w:hAnsi="宋体" w:eastAsia="宋体" w:cs="宋体"/>
          <w:bCs w:val="0"/>
          <w:sz w:val="24"/>
          <w:szCs w:val="24"/>
        </w:rPr>
        <w:t>五、</w:t>
      </w:r>
      <w:bookmarkEnd w:id="582"/>
      <w:r>
        <w:rPr>
          <w:rFonts w:hint="eastAsia" w:ascii="宋体" w:hAnsi="宋体" w:eastAsia="宋体" w:cs="宋体"/>
          <w:bCs w:val="0"/>
          <w:sz w:val="24"/>
          <w:szCs w:val="24"/>
        </w:rPr>
        <w:t>项目经理</w:t>
      </w:r>
    </w:p>
    <w:p w14:paraId="1F533420">
      <w:pPr>
        <w:pageBreakBefore w:val="0"/>
        <w:widowControl w:val="0"/>
        <w:kinsoku/>
        <w:wordWrap/>
        <w:overflowPunct/>
        <w:topLinePunct w:val="0"/>
        <w:bidi w:val="0"/>
        <w:snapToGrid/>
        <w:spacing w:line="480" w:lineRule="exact"/>
        <w:ind w:firstLine="480" w:firstLineChars="200"/>
        <w:textAlignment w:val="auto"/>
        <w:outlineLvl w:val="9"/>
        <w:rPr>
          <w:rFonts w:hint="eastAsia" w:ascii="宋体" w:hAnsi="宋体" w:eastAsia="宋体" w:cs="宋体"/>
          <w:sz w:val="24"/>
          <w:u w:val="single"/>
        </w:rPr>
      </w:pPr>
      <w:r>
        <w:rPr>
          <w:rFonts w:hint="eastAsia" w:ascii="宋体" w:hAnsi="宋体" w:eastAsia="宋体" w:cs="宋体"/>
          <w:sz w:val="24"/>
        </w:rPr>
        <w:t>承包人项目经理：</w:t>
      </w:r>
      <w:r>
        <w:rPr>
          <w:rFonts w:hint="eastAsia" w:ascii="宋体" w:hAnsi="宋体" w:eastAsia="宋体" w:cs="宋体"/>
          <w:sz w:val="24"/>
          <w:u w:val="single"/>
        </w:rPr>
        <w:t xml:space="preserve">              </w:t>
      </w:r>
      <w:r>
        <w:rPr>
          <w:rFonts w:hint="eastAsia" w:ascii="宋体" w:hAnsi="宋体" w:eastAsia="宋体" w:cs="宋体"/>
          <w:sz w:val="24"/>
        </w:rPr>
        <w:t>。</w:t>
      </w:r>
    </w:p>
    <w:p w14:paraId="0CEC454E">
      <w:pPr>
        <w:pageBreakBefore w:val="0"/>
        <w:widowControl w:val="0"/>
        <w:kinsoku/>
        <w:wordWrap/>
        <w:overflowPunct/>
        <w:topLinePunct w:val="0"/>
        <w:bidi w:val="0"/>
        <w:snapToGrid/>
        <w:spacing w:before="120" w:after="120" w:line="480" w:lineRule="exact"/>
        <w:textAlignment w:val="auto"/>
        <w:outlineLvl w:val="9"/>
        <w:rPr>
          <w:rFonts w:hint="eastAsia" w:ascii="宋体" w:hAnsi="宋体" w:eastAsia="宋体" w:cs="宋体"/>
          <w:bCs w:val="0"/>
          <w:sz w:val="24"/>
          <w:szCs w:val="24"/>
        </w:rPr>
      </w:pPr>
      <w:r>
        <w:rPr>
          <w:rFonts w:hint="eastAsia" w:ascii="宋体" w:hAnsi="宋体" w:eastAsia="宋体" w:cs="宋体"/>
          <w:bCs w:val="0"/>
          <w:sz w:val="24"/>
          <w:szCs w:val="24"/>
        </w:rPr>
        <w:t xml:space="preserve">    </w:t>
      </w:r>
      <w:bookmarkStart w:id="583" w:name="_Toc351203486"/>
      <w:r>
        <w:rPr>
          <w:rFonts w:hint="eastAsia" w:ascii="宋体" w:hAnsi="宋体" w:eastAsia="宋体" w:cs="宋体"/>
          <w:bCs w:val="0"/>
          <w:sz w:val="24"/>
          <w:szCs w:val="24"/>
        </w:rPr>
        <w:t>六、合同文件构成</w:t>
      </w:r>
      <w:bookmarkEnd w:id="583"/>
    </w:p>
    <w:p w14:paraId="2D258D4D">
      <w:pPr>
        <w:pageBreakBefore w:val="0"/>
        <w:widowControl w:val="0"/>
        <w:kinsoku/>
        <w:wordWrap/>
        <w:overflowPunct/>
        <w:topLinePunct w:val="0"/>
        <w:bidi w:val="0"/>
        <w:snapToGrid/>
        <w:spacing w:line="480" w:lineRule="exact"/>
        <w:ind w:firstLine="480" w:firstLineChars="200"/>
        <w:textAlignment w:val="auto"/>
        <w:outlineLvl w:val="9"/>
        <w:rPr>
          <w:rFonts w:hint="eastAsia" w:ascii="宋体" w:hAnsi="宋体" w:eastAsia="宋体" w:cs="宋体"/>
          <w:bCs/>
          <w:sz w:val="24"/>
        </w:rPr>
      </w:pPr>
      <w:r>
        <w:rPr>
          <w:rFonts w:hint="eastAsia" w:ascii="宋体" w:hAnsi="宋体" w:eastAsia="宋体" w:cs="宋体"/>
          <w:bCs/>
          <w:sz w:val="24"/>
        </w:rPr>
        <w:t>本协议书与下列文件一起构成合同文件：</w:t>
      </w:r>
    </w:p>
    <w:p w14:paraId="49AD044C">
      <w:pPr>
        <w:pageBreakBefore w:val="0"/>
        <w:widowControl w:val="0"/>
        <w:kinsoku/>
        <w:wordWrap/>
        <w:overflowPunct/>
        <w:topLinePunct w:val="0"/>
        <w:autoSpaceDE w:val="0"/>
        <w:autoSpaceDN w:val="0"/>
        <w:bidi w:val="0"/>
        <w:adjustRightInd w:val="0"/>
        <w:snapToGrid/>
        <w:spacing w:line="480" w:lineRule="exact"/>
        <w:ind w:firstLine="480" w:firstLineChars="200"/>
        <w:jc w:val="left"/>
        <w:textAlignment w:val="auto"/>
        <w:outlineLvl w:val="9"/>
        <w:rPr>
          <w:rFonts w:hint="eastAsia" w:ascii="宋体" w:hAnsi="宋体" w:eastAsia="宋体" w:cs="宋体"/>
          <w:sz w:val="24"/>
        </w:rPr>
      </w:pPr>
      <w:r>
        <w:rPr>
          <w:rFonts w:hint="eastAsia" w:ascii="宋体" w:hAnsi="宋体" w:eastAsia="宋体" w:cs="宋体"/>
          <w:sz w:val="24"/>
        </w:rPr>
        <w:t>（1）中标通知书；</w:t>
      </w:r>
    </w:p>
    <w:p w14:paraId="60DB7636">
      <w:pPr>
        <w:pageBreakBefore w:val="0"/>
        <w:widowControl w:val="0"/>
        <w:kinsoku/>
        <w:wordWrap/>
        <w:overflowPunct/>
        <w:topLinePunct w:val="0"/>
        <w:autoSpaceDE w:val="0"/>
        <w:autoSpaceDN w:val="0"/>
        <w:bidi w:val="0"/>
        <w:adjustRightInd w:val="0"/>
        <w:snapToGrid/>
        <w:spacing w:line="480" w:lineRule="exact"/>
        <w:ind w:firstLine="480" w:firstLineChars="200"/>
        <w:jc w:val="left"/>
        <w:textAlignment w:val="auto"/>
        <w:outlineLvl w:val="9"/>
        <w:rPr>
          <w:rFonts w:hint="eastAsia" w:ascii="宋体" w:hAnsi="宋体" w:eastAsia="宋体" w:cs="宋体"/>
          <w:sz w:val="24"/>
        </w:rPr>
      </w:pPr>
      <w:r>
        <w:rPr>
          <w:rFonts w:hint="eastAsia" w:ascii="宋体" w:hAnsi="宋体" w:eastAsia="宋体" w:cs="宋体"/>
          <w:sz w:val="24"/>
        </w:rPr>
        <w:t xml:space="preserve">（2）投标函及其附录； </w:t>
      </w:r>
    </w:p>
    <w:p w14:paraId="2D9B5626">
      <w:pPr>
        <w:pageBreakBefore w:val="0"/>
        <w:widowControl w:val="0"/>
        <w:kinsoku/>
        <w:wordWrap/>
        <w:overflowPunct/>
        <w:topLinePunct w:val="0"/>
        <w:autoSpaceDE w:val="0"/>
        <w:autoSpaceDN w:val="0"/>
        <w:bidi w:val="0"/>
        <w:adjustRightInd w:val="0"/>
        <w:snapToGrid/>
        <w:spacing w:line="480" w:lineRule="exact"/>
        <w:ind w:firstLine="480" w:firstLineChars="200"/>
        <w:jc w:val="left"/>
        <w:textAlignment w:val="auto"/>
        <w:outlineLvl w:val="9"/>
        <w:rPr>
          <w:rFonts w:hint="eastAsia" w:ascii="宋体" w:hAnsi="宋体" w:eastAsia="宋体" w:cs="宋体"/>
          <w:sz w:val="24"/>
        </w:rPr>
      </w:pPr>
      <w:r>
        <w:rPr>
          <w:rFonts w:hint="eastAsia" w:ascii="宋体" w:hAnsi="宋体" w:eastAsia="宋体" w:cs="宋体"/>
          <w:sz w:val="24"/>
        </w:rPr>
        <w:t>（3）专用合同条款及其附件；</w:t>
      </w:r>
    </w:p>
    <w:p w14:paraId="7D185D30">
      <w:pPr>
        <w:pageBreakBefore w:val="0"/>
        <w:widowControl w:val="0"/>
        <w:kinsoku/>
        <w:wordWrap/>
        <w:overflowPunct/>
        <w:topLinePunct w:val="0"/>
        <w:autoSpaceDE w:val="0"/>
        <w:autoSpaceDN w:val="0"/>
        <w:bidi w:val="0"/>
        <w:adjustRightInd w:val="0"/>
        <w:snapToGrid/>
        <w:spacing w:line="480" w:lineRule="exact"/>
        <w:ind w:firstLine="480" w:firstLineChars="200"/>
        <w:jc w:val="left"/>
        <w:textAlignment w:val="auto"/>
        <w:outlineLvl w:val="9"/>
        <w:rPr>
          <w:rFonts w:hint="eastAsia" w:ascii="宋体" w:hAnsi="宋体" w:eastAsia="宋体" w:cs="宋体"/>
          <w:sz w:val="24"/>
        </w:rPr>
      </w:pPr>
      <w:r>
        <w:rPr>
          <w:rFonts w:hint="eastAsia" w:ascii="宋体" w:hAnsi="宋体" w:eastAsia="宋体" w:cs="宋体"/>
          <w:sz w:val="24"/>
        </w:rPr>
        <w:t>（4）通用合同条款；</w:t>
      </w:r>
    </w:p>
    <w:p w14:paraId="45C0C4FC">
      <w:pPr>
        <w:pageBreakBefore w:val="0"/>
        <w:widowControl w:val="0"/>
        <w:kinsoku/>
        <w:wordWrap/>
        <w:overflowPunct/>
        <w:topLinePunct w:val="0"/>
        <w:autoSpaceDE w:val="0"/>
        <w:autoSpaceDN w:val="0"/>
        <w:bidi w:val="0"/>
        <w:adjustRightInd w:val="0"/>
        <w:snapToGrid/>
        <w:spacing w:line="480" w:lineRule="exact"/>
        <w:ind w:firstLine="480" w:firstLineChars="200"/>
        <w:jc w:val="left"/>
        <w:textAlignment w:val="auto"/>
        <w:outlineLvl w:val="9"/>
        <w:rPr>
          <w:rFonts w:hint="eastAsia" w:ascii="宋体" w:hAnsi="宋体" w:eastAsia="宋体" w:cs="宋体"/>
          <w:sz w:val="24"/>
        </w:rPr>
      </w:pPr>
      <w:r>
        <w:rPr>
          <w:rFonts w:hint="eastAsia" w:ascii="宋体" w:hAnsi="宋体" w:eastAsia="宋体" w:cs="宋体"/>
          <w:sz w:val="24"/>
        </w:rPr>
        <w:t>（5）技术标准和要求；</w:t>
      </w:r>
    </w:p>
    <w:p w14:paraId="7144F7F5">
      <w:pPr>
        <w:pageBreakBefore w:val="0"/>
        <w:widowControl w:val="0"/>
        <w:kinsoku/>
        <w:wordWrap/>
        <w:overflowPunct/>
        <w:topLinePunct w:val="0"/>
        <w:autoSpaceDE w:val="0"/>
        <w:autoSpaceDN w:val="0"/>
        <w:bidi w:val="0"/>
        <w:adjustRightInd w:val="0"/>
        <w:snapToGrid/>
        <w:spacing w:line="480" w:lineRule="exact"/>
        <w:ind w:firstLine="480" w:firstLineChars="200"/>
        <w:jc w:val="left"/>
        <w:textAlignment w:val="auto"/>
        <w:outlineLvl w:val="9"/>
        <w:rPr>
          <w:rFonts w:hint="eastAsia" w:ascii="宋体" w:hAnsi="宋体" w:eastAsia="宋体" w:cs="宋体"/>
          <w:sz w:val="24"/>
        </w:rPr>
      </w:pPr>
      <w:r>
        <w:rPr>
          <w:rFonts w:hint="eastAsia" w:ascii="宋体" w:hAnsi="宋体" w:eastAsia="宋体" w:cs="宋体"/>
          <w:sz w:val="24"/>
        </w:rPr>
        <w:t>（6）图纸；</w:t>
      </w:r>
    </w:p>
    <w:p w14:paraId="674BD63C">
      <w:pPr>
        <w:pageBreakBefore w:val="0"/>
        <w:widowControl w:val="0"/>
        <w:kinsoku/>
        <w:wordWrap/>
        <w:overflowPunct/>
        <w:topLinePunct w:val="0"/>
        <w:autoSpaceDE w:val="0"/>
        <w:autoSpaceDN w:val="0"/>
        <w:bidi w:val="0"/>
        <w:adjustRightInd w:val="0"/>
        <w:snapToGrid/>
        <w:spacing w:line="480" w:lineRule="exact"/>
        <w:ind w:firstLine="480" w:firstLineChars="200"/>
        <w:jc w:val="left"/>
        <w:textAlignment w:val="auto"/>
        <w:outlineLvl w:val="9"/>
        <w:rPr>
          <w:rFonts w:hint="eastAsia" w:ascii="宋体" w:hAnsi="宋体" w:eastAsia="宋体" w:cs="宋体"/>
          <w:sz w:val="24"/>
        </w:rPr>
      </w:pPr>
      <w:r>
        <w:rPr>
          <w:rFonts w:hint="eastAsia" w:ascii="宋体" w:hAnsi="宋体" w:eastAsia="宋体" w:cs="宋体"/>
          <w:sz w:val="24"/>
        </w:rPr>
        <w:t>（7）已标价工程量清单或预算书；</w:t>
      </w:r>
    </w:p>
    <w:p w14:paraId="5DF9C5BC">
      <w:pPr>
        <w:pageBreakBefore w:val="0"/>
        <w:widowControl w:val="0"/>
        <w:kinsoku/>
        <w:wordWrap/>
        <w:overflowPunct/>
        <w:topLinePunct w:val="0"/>
        <w:autoSpaceDE w:val="0"/>
        <w:autoSpaceDN w:val="0"/>
        <w:bidi w:val="0"/>
        <w:adjustRightInd w:val="0"/>
        <w:snapToGrid/>
        <w:spacing w:line="480" w:lineRule="exact"/>
        <w:ind w:firstLine="480" w:firstLineChars="200"/>
        <w:jc w:val="left"/>
        <w:textAlignment w:val="auto"/>
        <w:outlineLvl w:val="9"/>
        <w:rPr>
          <w:rFonts w:hint="eastAsia" w:ascii="宋体" w:hAnsi="宋体" w:eastAsia="宋体" w:cs="宋体"/>
          <w:sz w:val="24"/>
        </w:rPr>
      </w:pPr>
      <w:r>
        <w:rPr>
          <w:rFonts w:hint="eastAsia" w:ascii="宋体" w:hAnsi="宋体" w:eastAsia="宋体" w:cs="宋体"/>
          <w:sz w:val="24"/>
        </w:rPr>
        <w:t>（8）其他合同文件。</w:t>
      </w:r>
    </w:p>
    <w:p w14:paraId="3D0F3CD3">
      <w:pPr>
        <w:pageBreakBefore w:val="0"/>
        <w:widowControl w:val="0"/>
        <w:kinsoku/>
        <w:wordWrap/>
        <w:overflowPunct/>
        <w:topLinePunct w:val="0"/>
        <w:autoSpaceDE w:val="0"/>
        <w:autoSpaceDN w:val="0"/>
        <w:bidi w:val="0"/>
        <w:adjustRightInd w:val="0"/>
        <w:snapToGrid/>
        <w:spacing w:line="480" w:lineRule="exact"/>
        <w:ind w:firstLine="480" w:firstLineChars="200"/>
        <w:jc w:val="left"/>
        <w:textAlignment w:val="auto"/>
        <w:outlineLvl w:val="9"/>
        <w:rPr>
          <w:rFonts w:hint="eastAsia" w:ascii="宋体" w:hAnsi="宋体" w:eastAsia="宋体" w:cs="宋体"/>
          <w:sz w:val="24"/>
        </w:rPr>
      </w:pPr>
      <w:r>
        <w:rPr>
          <w:rFonts w:hint="eastAsia" w:ascii="宋体" w:hAnsi="宋体" w:eastAsia="宋体" w:cs="宋体"/>
          <w:sz w:val="24"/>
        </w:rPr>
        <w:t>在合同订立及履行过程中形成的与合同有关的文件均构成合同文件组成部分。</w:t>
      </w:r>
    </w:p>
    <w:p w14:paraId="54425275">
      <w:pPr>
        <w:pageBreakBefore w:val="0"/>
        <w:widowControl w:val="0"/>
        <w:kinsoku/>
        <w:wordWrap/>
        <w:overflowPunct/>
        <w:topLinePunct w:val="0"/>
        <w:autoSpaceDE w:val="0"/>
        <w:autoSpaceDN w:val="0"/>
        <w:bidi w:val="0"/>
        <w:adjustRightInd w:val="0"/>
        <w:snapToGrid/>
        <w:spacing w:line="480" w:lineRule="exact"/>
        <w:ind w:firstLine="480" w:firstLineChars="200"/>
        <w:jc w:val="left"/>
        <w:textAlignment w:val="auto"/>
        <w:outlineLvl w:val="9"/>
        <w:rPr>
          <w:rFonts w:hint="eastAsia" w:ascii="宋体" w:hAnsi="宋体" w:eastAsia="宋体" w:cs="宋体"/>
          <w:sz w:val="24"/>
        </w:rPr>
      </w:pPr>
      <w:r>
        <w:rPr>
          <w:rFonts w:hint="eastAsia" w:ascii="宋体" w:hAnsi="宋体" w:eastAsia="宋体" w:cs="宋体"/>
          <w:sz w:val="24"/>
        </w:rPr>
        <w:t>上述各项合同文件包括合同当事人就该项合同文件所作出的补充和修改，属于同一类内容的文件，应以最新签署的为准。专用合同条款及其附件须经合同当事人签字或盖章。</w:t>
      </w:r>
    </w:p>
    <w:p w14:paraId="7745EDA1">
      <w:pPr>
        <w:pageBreakBefore w:val="0"/>
        <w:widowControl w:val="0"/>
        <w:kinsoku/>
        <w:wordWrap/>
        <w:overflowPunct/>
        <w:topLinePunct w:val="0"/>
        <w:bidi w:val="0"/>
        <w:snapToGrid/>
        <w:spacing w:before="120" w:after="120" w:line="480" w:lineRule="exact"/>
        <w:textAlignment w:val="auto"/>
        <w:outlineLvl w:val="9"/>
        <w:rPr>
          <w:rFonts w:hint="eastAsia" w:ascii="宋体" w:hAnsi="宋体" w:eastAsia="宋体" w:cs="宋体"/>
          <w:sz w:val="24"/>
          <w:szCs w:val="24"/>
        </w:rPr>
      </w:pPr>
      <w:r>
        <w:rPr>
          <w:rFonts w:hint="eastAsia" w:ascii="宋体" w:hAnsi="宋体" w:eastAsia="宋体" w:cs="宋体"/>
          <w:sz w:val="24"/>
          <w:szCs w:val="24"/>
        </w:rPr>
        <w:t xml:space="preserve">    </w:t>
      </w:r>
      <w:bookmarkStart w:id="584" w:name="_Toc351203487"/>
      <w:r>
        <w:rPr>
          <w:rFonts w:hint="eastAsia" w:ascii="宋体" w:hAnsi="宋体" w:eastAsia="宋体" w:cs="宋体"/>
          <w:sz w:val="24"/>
          <w:szCs w:val="24"/>
        </w:rPr>
        <w:t>七、承诺</w:t>
      </w:r>
      <w:bookmarkEnd w:id="584"/>
    </w:p>
    <w:p w14:paraId="7C7D4E96">
      <w:pPr>
        <w:pageBreakBefore w:val="0"/>
        <w:widowControl w:val="0"/>
        <w:kinsoku/>
        <w:wordWrap/>
        <w:overflowPunct/>
        <w:topLinePunct w:val="0"/>
        <w:bidi w:val="0"/>
        <w:snapToGrid/>
        <w:spacing w:line="480" w:lineRule="exact"/>
        <w:ind w:firstLine="480" w:firstLineChars="200"/>
        <w:textAlignment w:val="auto"/>
        <w:outlineLvl w:val="9"/>
        <w:rPr>
          <w:rFonts w:hint="eastAsia" w:ascii="宋体" w:hAnsi="宋体" w:eastAsia="宋体" w:cs="宋体"/>
          <w:bCs/>
          <w:sz w:val="24"/>
        </w:rPr>
      </w:pPr>
      <w:r>
        <w:rPr>
          <w:rFonts w:hint="eastAsia" w:ascii="宋体" w:hAnsi="宋体" w:eastAsia="宋体" w:cs="宋体"/>
          <w:bCs/>
          <w:sz w:val="24"/>
        </w:rPr>
        <w:t>1.发包人承诺按照法律规定履行项目审批手续、筹集工程建设资金并按照合同约定的期限和方式支付合同价款。</w:t>
      </w:r>
    </w:p>
    <w:p w14:paraId="3901687E">
      <w:pPr>
        <w:pageBreakBefore w:val="0"/>
        <w:widowControl w:val="0"/>
        <w:kinsoku/>
        <w:wordWrap/>
        <w:overflowPunct/>
        <w:topLinePunct w:val="0"/>
        <w:bidi w:val="0"/>
        <w:snapToGrid/>
        <w:spacing w:line="480" w:lineRule="exact"/>
        <w:ind w:firstLine="480" w:firstLineChars="200"/>
        <w:textAlignment w:val="auto"/>
        <w:outlineLvl w:val="9"/>
        <w:rPr>
          <w:rFonts w:hint="eastAsia" w:ascii="宋体" w:hAnsi="宋体" w:eastAsia="宋体" w:cs="宋体"/>
          <w:bCs/>
          <w:sz w:val="24"/>
        </w:rPr>
      </w:pPr>
      <w:r>
        <w:rPr>
          <w:rFonts w:hint="eastAsia" w:ascii="宋体" w:hAnsi="宋体" w:eastAsia="宋体" w:cs="宋体"/>
          <w:bCs/>
          <w:sz w:val="24"/>
        </w:rPr>
        <w:t>2.承包人承诺按照法律规定及合同约定组织完成工程施工，确保工程质量和安全，不进行转包及违法分包，并在缺陷责任期及保修期内承担相应的工程维修责任。</w:t>
      </w:r>
    </w:p>
    <w:p w14:paraId="34C1C051">
      <w:pPr>
        <w:pageBreakBefore w:val="0"/>
        <w:widowControl w:val="0"/>
        <w:kinsoku/>
        <w:wordWrap/>
        <w:overflowPunct/>
        <w:topLinePunct w:val="0"/>
        <w:bidi w:val="0"/>
        <w:snapToGrid/>
        <w:spacing w:line="480" w:lineRule="exact"/>
        <w:ind w:firstLine="480" w:firstLineChars="200"/>
        <w:textAlignment w:val="auto"/>
        <w:outlineLvl w:val="9"/>
        <w:rPr>
          <w:rFonts w:hint="eastAsia" w:ascii="宋体" w:hAnsi="宋体" w:eastAsia="宋体" w:cs="宋体"/>
          <w:bCs/>
          <w:sz w:val="24"/>
        </w:rPr>
      </w:pPr>
      <w:r>
        <w:rPr>
          <w:rFonts w:hint="eastAsia" w:ascii="宋体" w:hAnsi="宋体" w:eastAsia="宋体" w:cs="宋体"/>
          <w:bCs/>
          <w:sz w:val="24"/>
        </w:rPr>
        <w:t>3.发包人和承包人通过招投标形式签订合同的，双方理解并承诺不再就同一工程另行签订与合同实质性内容相背离的协议。</w:t>
      </w:r>
    </w:p>
    <w:p w14:paraId="3BF642CC">
      <w:pPr>
        <w:pageBreakBefore w:val="0"/>
        <w:widowControl w:val="0"/>
        <w:kinsoku/>
        <w:wordWrap/>
        <w:overflowPunct/>
        <w:topLinePunct w:val="0"/>
        <w:bidi w:val="0"/>
        <w:snapToGrid/>
        <w:spacing w:line="480" w:lineRule="exact"/>
        <w:textAlignment w:val="auto"/>
        <w:outlineLvl w:val="9"/>
        <w:rPr>
          <w:rFonts w:hint="eastAsia" w:ascii="宋体" w:hAnsi="宋体" w:eastAsia="宋体" w:cs="宋体"/>
          <w:bCs/>
          <w:sz w:val="24"/>
        </w:rPr>
      </w:pPr>
      <w:bookmarkStart w:id="585" w:name="_Toc351203488"/>
      <w:r>
        <w:rPr>
          <w:rFonts w:hint="eastAsia" w:ascii="宋体" w:hAnsi="宋体" w:eastAsia="宋体" w:cs="宋体"/>
          <w:b/>
          <w:sz w:val="24"/>
        </w:rPr>
        <w:t xml:space="preserve">    八、词语含义</w:t>
      </w:r>
      <w:bookmarkEnd w:id="585"/>
    </w:p>
    <w:p w14:paraId="062AE87C">
      <w:pPr>
        <w:pageBreakBefore w:val="0"/>
        <w:widowControl w:val="0"/>
        <w:kinsoku/>
        <w:wordWrap/>
        <w:overflowPunct/>
        <w:topLinePunct w:val="0"/>
        <w:bidi w:val="0"/>
        <w:snapToGrid/>
        <w:spacing w:line="480" w:lineRule="exact"/>
        <w:ind w:firstLine="480" w:firstLineChars="200"/>
        <w:textAlignment w:val="auto"/>
        <w:outlineLvl w:val="9"/>
        <w:rPr>
          <w:rFonts w:hint="eastAsia" w:ascii="宋体" w:hAnsi="宋体" w:eastAsia="宋体" w:cs="宋体"/>
          <w:bCs/>
          <w:sz w:val="24"/>
        </w:rPr>
      </w:pPr>
      <w:r>
        <w:rPr>
          <w:rFonts w:hint="eastAsia" w:ascii="宋体" w:hAnsi="宋体" w:eastAsia="宋体" w:cs="宋体"/>
          <w:bCs/>
          <w:sz w:val="24"/>
        </w:rPr>
        <w:t>本协议书中词语含义与第二部分通用合同条款中赋予的含义相同。</w:t>
      </w:r>
    </w:p>
    <w:p w14:paraId="7309AFA6">
      <w:pPr>
        <w:pageBreakBefore w:val="0"/>
        <w:widowControl w:val="0"/>
        <w:kinsoku/>
        <w:wordWrap/>
        <w:overflowPunct/>
        <w:topLinePunct w:val="0"/>
        <w:bidi w:val="0"/>
        <w:snapToGrid/>
        <w:spacing w:before="120" w:after="120" w:line="480" w:lineRule="exact"/>
        <w:textAlignment w:val="auto"/>
        <w:outlineLvl w:val="9"/>
        <w:rPr>
          <w:rFonts w:hint="eastAsia" w:ascii="宋体" w:hAnsi="宋体" w:eastAsia="宋体" w:cs="宋体"/>
          <w:bCs w:val="0"/>
          <w:sz w:val="24"/>
          <w:szCs w:val="24"/>
        </w:rPr>
      </w:pPr>
      <w:r>
        <w:rPr>
          <w:rFonts w:hint="eastAsia" w:ascii="宋体" w:hAnsi="宋体" w:eastAsia="宋体" w:cs="宋体"/>
          <w:bCs w:val="0"/>
          <w:sz w:val="24"/>
          <w:szCs w:val="24"/>
        </w:rPr>
        <w:t xml:space="preserve">  </w:t>
      </w:r>
      <w:r>
        <w:rPr>
          <w:rFonts w:hint="eastAsia" w:ascii="宋体" w:hAnsi="宋体" w:eastAsia="宋体" w:cs="宋体"/>
          <w:b w:val="0"/>
          <w:sz w:val="24"/>
          <w:szCs w:val="24"/>
        </w:rPr>
        <w:t xml:space="preserve"> </w:t>
      </w:r>
      <w:r>
        <w:rPr>
          <w:rFonts w:hint="eastAsia" w:ascii="宋体" w:hAnsi="宋体" w:eastAsia="宋体" w:cs="宋体"/>
          <w:bCs w:val="0"/>
          <w:sz w:val="24"/>
          <w:szCs w:val="24"/>
        </w:rPr>
        <w:t xml:space="preserve"> </w:t>
      </w:r>
      <w:bookmarkStart w:id="586" w:name="_Toc351203489"/>
      <w:r>
        <w:rPr>
          <w:rFonts w:hint="eastAsia" w:ascii="宋体" w:hAnsi="宋体" w:eastAsia="宋体" w:cs="宋体"/>
          <w:bCs w:val="0"/>
          <w:sz w:val="24"/>
          <w:szCs w:val="24"/>
        </w:rPr>
        <w:t>九、签订时间</w:t>
      </w:r>
      <w:bookmarkEnd w:id="586"/>
    </w:p>
    <w:p w14:paraId="454633B5">
      <w:pPr>
        <w:pageBreakBefore w:val="0"/>
        <w:widowControl w:val="0"/>
        <w:kinsoku/>
        <w:wordWrap/>
        <w:overflowPunct/>
        <w:topLinePunct w:val="0"/>
        <w:bidi w:val="0"/>
        <w:snapToGrid/>
        <w:spacing w:line="480" w:lineRule="exact"/>
        <w:ind w:firstLine="480" w:firstLineChars="200"/>
        <w:textAlignment w:val="auto"/>
        <w:outlineLvl w:val="9"/>
        <w:rPr>
          <w:rFonts w:hint="eastAsia" w:ascii="宋体" w:hAnsi="宋体" w:eastAsia="宋体" w:cs="宋体"/>
          <w:bCs/>
          <w:sz w:val="24"/>
        </w:rPr>
      </w:pPr>
      <w:r>
        <w:rPr>
          <w:rFonts w:hint="eastAsia" w:ascii="宋体" w:hAnsi="宋体" w:eastAsia="宋体" w:cs="宋体"/>
          <w:bCs/>
          <w:sz w:val="24"/>
        </w:rPr>
        <w:t>本合同于</w:t>
      </w:r>
      <w:r>
        <w:rPr>
          <w:rFonts w:hint="eastAsia" w:ascii="宋体" w:hAnsi="宋体" w:eastAsia="宋体" w:cs="宋体"/>
          <w:bCs/>
          <w:sz w:val="24"/>
          <w:u w:val="single"/>
        </w:rPr>
        <w:t xml:space="preserve">         </w:t>
      </w:r>
      <w:r>
        <w:rPr>
          <w:rFonts w:hint="eastAsia" w:ascii="宋体" w:hAnsi="宋体" w:eastAsia="宋体" w:cs="宋体"/>
          <w:bCs/>
          <w:sz w:val="24"/>
        </w:rPr>
        <w:t>年</w:t>
      </w:r>
      <w:r>
        <w:rPr>
          <w:rFonts w:hint="eastAsia" w:ascii="宋体" w:hAnsi="宋体" w:eastAsia="宋体" w:cs="宋体"/>
          <w:bCs/>
          <w:sz w:val="24"/>
          <w:u w:val="single"/>
        </w:rPr>
        <w:t xml:space="preserve">    </w:t>
      </w:r>
      <w:r>
        <w:rPr>
          <w:rFonts w:hint="eastAsia" w:ascii="宋体" w:hAnsi="宋体" w:eastAsia="宋体" w:cs="宋体"/>
          <w:bCs/>
          <w:sz w:val="24"/>
        </w:rPr>
        <w:t>月</w:t>
      </w:r>
      <w:r>
        <w:rPr>
          <w:rFonts w:hint="eastAsia" w:ascii="宋体" w:hAnsi="宋体" w:eastAsia="宋体" w:cs="宋体"/>
          <w:bCs/>
          <w:sz w:val="24"/>
          <w:u w:val="single"/>
        </w:rPr>
        <w:t xml:space="preserve">    </w:t>
      </w:r>
      <w:r>
        <w:rPr>
          <w:rFonts w:hint="eastAsia" w:ascii="宋体" w:hAnsi="宋体" w:eastAsia="宋体" w:cs="宋体"/>
          <w:bCs/>
          <w:sz w:val="24"/>
        </w:rPr>
        <w:t>日签订。</w:t>
      </w:r>
    </w:p>
    <w:p w14:paraId="2F600E35">
      <w:pPr>
        <w:pageBreakBefore w:val="0"/>
        <w:widowControl w:val="0"/>
        <w:kinsoku/>
        <w:wordWrap/>
        <w:overflowPunct/>
        <w:topLinePunct w:val="0"/>
        <w:bidi w:val="0"/>
        <w:snapToGrid/>
        <w:spacing w:before="120" w:after="120" w:line="480" w:lineRule="exact"/>
        <w:textAlignment w:val="auto"/>
        <w:outlineLvl w:val="9"/>
        <w:rPr>
          <w:rFonts w:hint="eastAsia" w:ascii="宋体" w:hAnsi="宋体" w:eastAsia="宋体" w:cs="宋体"/>
          <w:b w:val="0"/>
          <w:sz w:val="24"/>
          <w:szCs w:val="24"/>
        </w:rPr>
      </w:pPr>
      <w:r>
        <w:rPr>
          <w:rFonts w:hint="eastAsia" w:ascii="宋体" w:hAnsi="宋体" w:eastAsia="宋体" w:cs="宋体"/>
          <w:b w:val="0"/>
          <w:sz w:val="24"/>
          <w:szCs w:val="24"/>
        </w:rPr>
        <w:t xml:space="preserve">    </w:t>
      </w:r>
      <w:bookmarkStart w:id="587" w:name="_Toc351203490"/>
      <w:r>
        <w:rPr>
          <w:rFonts w:hint="eastAsia" w:ascii="宋体" w:hAnsi="宋体" w:eastAsia="宋体" w:cs="宋体"/>
          <w:b w:val="0"/>
          <w:sz w:val="24"/>
          <w:szCs w:val="24"/>
        </w:rPr>
        <w:t>十、签订地点</w:t>
      </w:r>
      <w:bookmarkEnd w:id="587"/>
    </w:p>
    <w:p w14:paraId="058F2A98">
      <w:pPr>
        <w:pageBreakBefore w:val="0"/>
        <w:widowControl w:val="0"/>
        <w:kinsoku/>
        <w:wordWrap/>
        <w:overflowPunct/>
        <w:topLinePunct w:val="0"/>
        <w:bidi w:val="0"/>
        <w:snapToGrid/>
        <w:spacing w:line="480" w:lineRule="exact"/>
        <w:ind w:firstLine="480" w:firstLineChars="200"/>
        <w:textAlignment w:val="auto"/>
        <w:outlineLvl w:val="9"/>
        <w:rPr>
          <w:rFonts w:hint="eastAsia" w:ascii="宋体" w:hAnsi="宋体" w:eastAsia="宋体" w:cs="宋体"/>
          <w:bCs/>
          <w:sz w:val="24"/>
        </w:rPr>
      </w:pPr>
      <w:r>
        <w:rPr>
          <w:rFonts w:hint="eastAsia" w:ascii="宋体" w:hAnsi="宋体" w:eastAsia="宋体" w:cs="宋体"/>
          <w:bCs/>
          <w:sz w:val="24"/>
        </w:rPr>
        <w:t>本合同在</w:t>
      </w:r>
      <w:r>
        <w:rPr>
          <w:rFonts w:hint="eastAsia" w:ascii="宋体" w:hAnsi="宋体" w:eastAsia="宋体" w:cs="宋体"/>
          <w:bCs/>
          <w:sz w:val="24"/>
          <w:u w:val="single"/>
        </w:rPr>
        <w:t xml:space="preserve">                                    </w:t>
      </w:r>
      <w:r>
        <w:rPr>
          <w:rFonts w:hint="eastAsia" w:ascii="宋体" w:hAnsi="宋体" w:eastAsia="宋体" w:cs="宋体"/>
          <w:bCs/>
          <w:sz w:val="24"/>
        </w:rPr>
        <w:t>签订。</w:t>
      </w:r>
    </w:p>
    <w:p w14:paraId="59367BFF">
      <w:pPr>
        <w:pageBreakBefore w:val="0"/>
        <w:widowControl w:val="0"/>
        <w:kinsoku/>
        <w:wordWrap/>
        <w:overflowPunct/>
        <w:topLinePunct w:val="0"/>
        <w:bidi w:val="0"/>
        <w:snapToGrid/>
        <w:spacing w:before="120" w:after="120" w:line="480" w:lineRule="exact"/>
        <w:textAlignment w:val="auto"/>
        <w:outlineLvl w:val="9"/>
        <w:rPr>
          <w:rFonts w:hint="eastAsia" w:ascii="宋体" w:hAnsi="宋体" w:eastAsia="宋体" w:cs="宋体"/>
          <w:bCs w:val="0"/>
          <w:sz w:val="24"/>
          <w:szCs w:val="24"/>
        </w:rPr>
      </w:pPr>
      <w:r>
        <w:rPr>
          <w:rFonts w:hint="eastAsia" w:ascii="宋体" w:hAnsi="宋体" w:eastAsia="宋体" w:cs="宋体"/>
          <w:bCs w:val="0"/>
          <w:sz w:val="24"/>
          <w:szCs w:val="24"/>
        </w:rPr>
        <w:t xml:space="preserve">  </w:t>
      </w:r>
      <w:r>
        <w:rPr>
          <w:rFonts w:hint="eastAsia" w:ascii="宋体" w:hAnsi="宋体" w:eastAsia="宋体" w:cs="宋体"/>
          <w:b w:val="0"/>
          <w:sz w:val="24"/>
          <w:szCs w:val="24"/>
        </w:rPr>
        <w:t xml:space="preserve">  </w:t>
      </w:r>
      <w:bookmarkStart w:id="588" w:name="_Toc351203491"/>
      <w:r>
        <w:rPr>
          <w:rFonts w:hint="eastAsia" w:ascii="宋体" w:hAnsi="宋体" w:eastAsia="宋体" w:cs="宋体"/>
          <w:b w:val="0"/>
          <w:sz w:val="24"/>
          <w:szCs w:val="24"/>
        </w:rPr>
        <w:t>十一、补充协议</w:t>
      </w:r>
      <w:bookmarkEnd w:id="588"/>
    </w:p>
    <w:p w14:paraId="3F10CD20">
      <w:pPr>
        <w:pageBreakBefore w:val="0"/>
        <w:widowControl w:val="0"/>
        <w:kinsoku/>
        <w:wordWrap/>
        <w:overflowPunct/>
        <w:topLinePunct w:val="0"/>
        <w:bidi w:val="0"/>
        <w:snapToGrid/>
        <w:spacing w:line="480" w:lineRule="exact"/>
        <w:ind w:firstLine="480" w:firstLineChars="200"/>
        <w:textAlignment w:val="auto"/>
        <w:outlineLvl w:val="9"/>
        <w:rPr>
          <w:rFonts w:hint="eastAsia" w:ascii="宋体" w:hAnsi="宋体" w:eastAsia="宋体" w:cs="宋体"/>
          <w:b/>
          <w:bCs/>
          <w:sz w:val="24"/>
        </w:rPr>
      </w:pPr>
      <w:r>
        <w:rPr>
          <w:rFonts w:hint="eastAsia" w:ascii="宋体" w:hAnsi="宋体" w:eastAsia="宋体" w:cs="宋体"/>
          <w:bCs/>
          <w:sz w:val="24"/>
        </w:rPr>
        <w:t>合同未尽事宜，合同当事人另行签订补充协议，补充协议是合同的组成部分。</w:t>
      </w:r>
    </w:p>
    <w:p w14:paraId="79C7AC50">
      <w:pPr>
        <w:pageBreakBefore w:val="0"/>
        <w:widowControl w:val="0"/>
        <w:kinsoku/>
        <w:wordWrap/>
        <w:overflowPunct/>
        <w:topLinePunct w:val="0"/>
        <w:bidi w:val="0"/>
        <w:snapToGrid/>
        <w:spacing w:before="120" w:after="120" w:line="480" w:lineRule="exact"/>
        <w:textAlignment w:val="auto"/>
        <w:outlineLvl w:val="9"/>
        <w:rPr>
          <w:rFonts w:hint="eastAsia" w:ascii="宋体" w:hAnsi="宋体" w:eastAsia="宋体" w:cs="宋体"/>
          <w:bCs w:val="0"/>
          <w:sz w:val="24"/>
          <w:szCs w:val="24"/>
        </w:rPr>
      </w:pPr>
      <w:r>
        <w:rPr>
          <w:rFonts w:hint="eastAsia" w:ascii="宋体" w:hAnsi="宋体" w:eastAsia="宋体" w:cs="宋体"/>
          <w:bCs w:val="0"/>
          <w:sz w:val="24"/>
          <w:szCs w:val="24"/>
        </w:rPr>
        <w:t xml:space="preserve">    </w:t>
      </w:r>
      <w:bookmarkStart w:id="589" w:name="_Toc351203492"/>
      <w:r>
        <w:rPr>
          <w:rFonts w:hint="eastAsia" w:ascii="宋体" w:hAnsi="宋体" w:eastAsia="宋体" w:cs="宋体"/>
          <w:bCs w:val="0"/>
          <w:sz w:val="24"/>
          <w:szCs w:val="24"/>
        </w:rPr>
        <w:t>十二、合同生效</w:t>
      </w:r>
      <w:bookmarkEnd w:id="589"/>
    </w:p>
    <w:p w14:paraId="52519363">
      <w:pPr>
        <w:pageBreakBefore w:val="0"/>
        <w:widowControl w:val="0"/>
        <w:kinsoku/>
        <w:wordWrap/>
        <w:overflowPunct/>
        <w:topLinePunct w:val="0"/>
        <w:bidi w:val="0"/>
        <w:snapToGrid/>
        <w:spacing w:line="480" w:lineRule="exact"/>
        <w:ind w:firstLine="480" w:firstLineChars="200"/>
        <w:textAlignment w:val="auto"/>
        <w:outlineLvl w:val="9"/>
        <w:rPr>
          <w:rFonts w:hint="eastAsia" w:ascii="宋体" w:hAnsi="宋体" w:eastAsia="宋体" w:cs="宋体"/>
          <w:bCs/>
          <w:sz w:val="24"/>
        </w:rPr>
      </w:pPr>
      <w:r>
        <w:rPr>
          <w:rFonts w:hint="eastAsia" w:ascii="宋体" w:hAnsi="宋体" w:eastAsia="宋体" w:cs="宋体"/>
          <w:bCs/>
          <w:sz w:val="24"/>
        </w:rPr>
        <w:t>本合同自</w:t>
      </w:r>
      <w:r>
        <w:rPr>
          <w:rFonts w:hint="eastAsia" w:ascii="宋体" w:hAnsi="宋体" w:eastAsia="宋体" w:cs="宋体"/>
          <w:bCs/>
          <w:sz w:val="24"/>
          <w:u w:val="single"/>
        </w:rPr>
        <w:t xml:space="preserve">    双方签字、盖章后      </w:t>
      </w:r>
      <w:r>
        <w:rPr>
          <w:rFonts w:hint="eastAsia" w:ascii="宋体" w:hAnsi="宋体" w:eastAsia="宋体" w:cs="宋体"/>
          <w:bCs/>
          <w:sz w:val="24"/>
        </w:rPr>
        <w:t>生效。</w:t>
      </w:r>
    </w:p>
    <w:p w14:paraId="1A10FEC0">
      <w:pPr>
        <w:pageBreakBefore w:val="0"/>
        <w:widowControl w:val="0"/>
        <w:kinsoku/>
        <w:wordWrap/>
        <w:overflowPunct/>
        <w:topLinePunct w:val="0"/>
        <w:bidi w:val="0"/>
        <w:snapToGrid/>
        <w:spacing w:before="120" w:after="120" w:line="480" w:lineRule="exact"/>
        <w:textAlignment w:val="auto"/>
        <w:outlineLvl w:val="9"/>
        <w:rPr>
          <w:rFonts w:hint="eastAsia" w:ascii="宋体" w:hAnsi="宋体" w:eastAsia="宋体" w:cs="宋体"/>
          <w:b w:val="0"/>
          <w:sz w:val="24"/>
          <w:szCs w:val="24"/>
        </w:rPr>
      </w:pPr>
      <w:r>
        <w:rPr>
          <w:rFonts w:hint="eastAsia" w:ascii="宋体" w:hAnsi="宋体" w:eastAsia="宋体" w:cs="宋体"/>
          <w:b w:val="0"/>
          <w:sz w:val="24"/>
          <w:szCs w:val="24"/>
        </w:rPr>
        <w:t xml:space="preserve">    </w:t>
      </w:r>
      <w:bookmarkStart w:id="590" w:name="_Toc351203493"/>
      <w:r>
        <w:rPr>
          <w:rFonts w:hint="eastAsia" w:ascii="宋体" w:hAnsi="宋体" w:eastAsia="宋体" w:cs="宋体"/>
          <w:b w:val="0"/>
          <w:sz w:val="24"/>
          <w:szCs w:val="24"/>
        </w:rPr>
        <w:t>十三、合同份数</w:t>
      </w:r>
      <w:bookmarkEnd w:id="590"/>
    </w:p>
    <w:p w14:paraId="4A24DB7C">
      <w:pPr>
        <w:pageBreakBefore w:val="0"/>
        <w:widowControl w:val="0"/>
        <w:kinsoku/>
        <w:wordWrap/>
        <w:overflowPunct/>
        <w:topLinePunct w:val="0"/>
        <w:bidi w:val="0"/>
        <w:snapToGrid/>
        <w:spacing w:line="480" w:lineRule="exact"/>
        <w:ind w:firstLine="480" w:firstLineChars="200"/>
        <w:textAlignment w:val="auto"/>
        <w:outlineLvl w:val="9"/>
        <w:rPr>
          <w:rFonts w:hint="eastAsia" w:ascii="宋体" w:hAnsi="宋体" w:eastAsia="宋体" w:cs="宋体"/>
          <w:bCs/>
          <w:sz w:val="24"/>
        </w:rPr>
      </w:pPr>
      <w:r>
        <w:rPr>
          <w:rFonts w:hint="eastAsia" w:ascii="宋体" w:hAnsi="宋体" w:eastAsia="宋体" w:cs="宋体"/>
          <w:bCs/>
          <w:sz w:val="24"/>
        </w:rPr>
        <w:t>本合同一式</w:t>
      </w:r>
      <w:r>
        <w:rPr>
          <w:rFonts w:hint="eastAsia" w:ascii="宋体" w:hAnsi="宋体" w:eastAsia="宋体" w:cs="宋体"/>
          <w:bCs/>
          <w:sz w:val="24"/>
          <w:u w:val="single"/>
        </w:rPr>
        <w:t xml:space="preserve"> 捌 </w:t>
      </w:r>
      <w:r>
        <w:rPr>
          <w:rFonts w:hint="eastAsia" w:ascii="宋体" w:hAnsi="宋体" w:eastAsia="宋体" w:cs="宋体"/>
          <w:bCs/>
          <w:sz w:val="24"/>
        </w:rPr>
        <w:t>份，均具有同等法律效力，发包人执</w:t>
      </w:r>
      <w:r>
        <w:rPr>
          <w:rFonts w:hint="eastAsia" w:ascii="宋体" w:hAnsi="宋体" w:eastAsia="宋体" w:cs="宋体"/>
          <w:bCs/>
          <w:sz w:val="24"/>
          <w:u w:val="single"/>
        </w:rPr>
        <w:t xml:space="preserve">  肆 </w:t>
      </w:r>
      <w:r>
        <w:rPr>
          <w:rFonts w:hint="eastAsia" w:ascii="宋体" w:hAnsi="宋体" w:eastAsia="宋体" w:cs="宋体"/>
          <w:bCs/>
          <w:sz w:val="24"/>
        </w:rPr>
        <w:t>份，承包人执</w:t>
      </w:r>
      <w:r>
        <w:rPr>
          <w:rFonts w:hint="eastAsia" w:ascii="宋体" w:hAnsi="宋体" w:eastAsia="宋体" w:cs="宋体"/>
          <w:bCs/>
          <w:sz w:val="24"/>
          <w:u w:val="single"/>
        </w:rPr>
        <w:t xml:space="preserve"> 肆  </w:t>
      </w:r>
      <w:r>
        <w:rPr>
          <w:rFonts w:hint="eastAsia" w:ascii="宋体" w:hAnsi="宋体" w:eastAsia="宋体" w:cs="宋体"/>
          <w:bCs/>
          <w:sz w:val="24"/>
        </w:rPr>
        <w:t>份。</w:t>
      </w:r>
    </w:p>
    <w:p w14:paraId="558B55B8">
      <w:pPr>
        <w:pageBreakBefore w:val="0"/>
        <w:widowControl w:val="0"/>
        <w:kinsoku/>
        <w:wordWrap/>
        <w:overflowPunct/>
        <w:topLinePunct w:val="0"/>
        <w:bidi w:val="0"/>
        <w:snapToGrid/>
        <w:spacing w:line="480" w:lineRule="exact"/>
        <w:textAlignment w:val="auto"/>
        <w:outlineLvl w:val="9"/>
        <w:rPr>
          <w:rFonts w:hint="eastAsia" w:ascii="宋体" w:hAnsi="宋体" w:eastAsia="宋体" w:cs="宋体"/>
          <w:sz w:val="24"/>
        </w:rPr>
      </w:pPr>
    </w:p>
    <w:p w14:paraId="41CB0F23">
      <w:pPr>
        <w:pageBreakBefore w:val="0"/>
        <w:widowControl w:val="0"/>
        <w:kinsoku/>
        <w:wordWrap/>
        <w:overflowPunct/>
        <w:topLinePunct w:val="0"/>
        <w:bidi w:val="0"/>
        <w:snapToGrid/>
        <w:spacing w:line="480" w:lineRule="exact"/>
        <w:textAlignment w:val="auto"/>
        <w:outlineLvl w:val="9"/>
        <w:rPr>
          <w:rFonts w:hint="eastAsia" w:ascii="宋体" w:hAnsi="宋体" w:eastAsia="宋体" w:cs="宋体"/>
          <w:sz w:val="24"/>
        </w:rPr>
      </w:pPr>
      <w:r>
        <w:rPr>
          <w:rFonts w:hint="eastAsia" w:ascii="宋体" w:hAnsi="宋体" w:eastAsia="宋体" w:cs="宋体"/>
          <w:sz w:val="24"/>
        </w:rPr>
        <w:t xml:space="preserve">    发包人：  (公章)                 承包人：  (公章)</w:t>
      </w:r>
    </w:p>
    <w:p w14:paraId="123EE546">
      <w:pPr>
        <w:pageBreakBefore w:val="0"/>
        <w:widowControl w:val="0"/>
        <w:kinsoku/>
        <w:wordWrap/>
        <w:overflowPunct/>
        <w:topLinePunct w:val="0"/>
        <w:bidi w:val="0"/>
        <w:snapToGrid/>
        <w:spacing w:line="480" w:lineRule="exact"/>
        <w:textAlignment w:val="auto"/>
        <w:outlineLvl w:val="9"/>
        <w:rPr>
          <w:rFonts w:hint="eastAsia" w:ascii="宋体" w:hAnsi="宋体" w:eastAsia="宋体" w:cs="宋体"/>
          <w:sz w:val="24"/>
          <w:u w:val="single"/>
        </w:rPr>
      </w:pPr>
      <w:r>
        <w:rPr>
          <w:rFonts w:hint="eastAsia" w:ascii="宋体" w:hAnsi="宋体" w:eastAsia="宋体" w:cs="宋体"/>
          <w:sz w:val="24"/>
        </w:rPr>
        <w:t xml:space="preserve">                                 </w:t>
      </w:r>
    </w:p>
    <w:p w14:paraId="6606733B">
      <w:pPr>
        <w:pageBreakBefore w:val="0"/>
        <w:widowControl w:val="0"/>
        <w:kinsoku/>
        <w:wordWrap/>
        <w:overflowPunct/>
        <w:topLinePunct w:val="0"/>
        <w:bidi w:val="0"/>
        <w:snapToGrid/>
        <w:spacing w:line="480" w:lineRule="exact"/>
        <w:textAlignment w:val="auto"/>
        <w:outlineLvl w:val="9"/>
        <w:rPr>
          <w:rFonts w:hint="eastAsia" w:ascii="宋体" w:hAnsi="宋体" w:eastAsia="宋体" w:cs="宋体"/>
          <w:sz w:val="24"/>
        </w:rPr>
      </w:pPr>
      <w:r>
        <w:rPr>
          <w:rFonts w:hint="eastAsia" w:ascii="宋体" w:hAnsi="宋体" w:eastAsia="宋体" w:cs="宋体"/>
          <w:sz w:val="24"/>
        </w:rPr>
        <w:t xml:space="preserve">    法定代表人或其委托代理人：      法定代表人或其委托代理人：</w:t>
      </w:r>
    </w:p>
    <w:p w14:paraId="4AF19467">
      <w:pPr>
        <w:pageBreakBefore w:val="0"/>
        <w:widowControl w:val="0"/>
        <w:kinsoku/>
        <w:wordWrap/>
        <w:overflowPunct/>
        <w:topLinePunct w:val="0"/>
        <w:bidi w:val="0"/>
        <w:snapToGrid/>
        <w:spacing w:line="480" w:lineRule="exact"/>
        <w:textAlignment w:val="auto"/>
        <w:outlineLvl w:val="9"/>
        <w:rPr>
          <w:rFonts w:hint="eastAsia" w:ascii="宋体" w:hAnsi="宋体" w:eastAsia="宋体" w:cs="宋体"/>
          <w:sz w:val="24"/>
        </w:rPr>
      </w:pPr>
      <w:r>
        <w:rPr>
          <w:rFonts w:hint="eastAsia" w:ascii="宋体" w:hAnsi="宋体" w:eastAsia="宋体" w:cs="宋体"/>
          <w:sz w:val="24"/>
        </w:rPr>
        <w:t xml:space="preserve">    （签字）                       （签字）</w:t>
      </w:r>
    </w:p>
    <w:p w14:paraId="27850728">
      <w:pPr>
        <w:pageBreakBefore w:val="0"/>
        <w:widowControl w:val="0"/>
        <w:kinsoku/>
        <w:wordWrap/>
        <w:overflowPunct/>
        <w:topLinePunct w:val="0"/>
        <w:bidi w:val="0"/>
        <w:snapToGrid/>
        <w:spacing w:line="480" w:lineRule="exact"/>
        <w:textAlignment w:val="auto"/>
        <w:outlineLvl w:val="9"/>
        <w:rPr>
          <w:rFonts w:hint="eastAsia" w:ascii="宋体" w:hAnsi="宋体" w:eastAsia="宋体" w:cs="宋体"/>
          <w:sz w:val="24"/>
          <w:u w:val="single"/>
        </w:rPr>
      </w:pPr>
    </w:p>
    <w:p w14:paraId="04DBB62E">
      <w:pPr>
        <w:pageBreakBefore w:val="0"/>
        <w:widowControl w:val="0"/>
        <w:tabs>
          <w:tab w:val="left" w:pos="4410"/>
        </w:tabs>
        <w:kinsoku/>
        <w:wordWrap/>
        <w:overflowPunct/>
        <w:topLinePunct w:val="0"/>
        <w:bidi w:val="0"/>
        <w:snapToGrid/>
        <w:spacing w:line="480" w:lineRule="exact"/>
        <w:textAlignment w:val="auto"/>
        <w:outlineLvl w:val="9"/>
        <w:rPr>
          <w:rFonts w:hint="eastAsia" w:ascii="宋体" w:hAnsi="宋体" w:eastAsia="宋体" w:cs="宋体"/>
          <w:sz w:val="24"/>
        </w:rPr>
      </w:pPr>
      <w:r>
        <w:rPr>
          <w:rFonts w:hint="eastAsia" w:ascii="宋体" w:hAnsi="宋体" w:eastAsia="宋体" w:cs="宋体"/>
          <w:sz w:val="24"/>
        </w:rPr>
        <w:t xml:space="preserve">    组织机构代码：</w:t>
      </w:r>
      <w:r>
        <w:rPr>
          <w:rFonts w:hint="eastAsia" w:ascii="宋体" w:hAnsi="宋体" w:eastAsia="宋体" w:cs="宋体"/>
          <w:sz w:val="24"/>
          <w:u w:val="single"/>
        </w:rPr>
        <w:t xml:space="preserve">       </w:t>
      </w:r>
      <w:r>
        <w:rPr>
          <w:rFonts w:hint="eastAsia" w:ascii="宋体" w:hAnsi="宋体" w:eastAsia="宋体" w:cs="宋体"/>
          <w:sz w:val="24"/>
        </w:rPr>
        <w:t xml:space="preserve">  组织机构代码：</w:t>
      </w:r>
      <w:r>
        <w:rPr>
          <w:rFonts w:hint="eastAsia" w:ascii="宋体" w:hAnsi="宋体" w:eastAsia="宋体" w:cs="宋体"/>
          <w:sz w:val="24"/>
          <w:u w:val="single"/>
        </w:rPr>
        <w:t xml:space="preserve">          </w:t>
      </w:r>
      <w:r>
        <w:rPr>
          <w:rFonts w:hint="eastAsia" w:ascii="宋体" w:hAnsi="宋体" w:eastAsia="宋体" w:cs="宋体"/>
          <w:sz w:val="24"/>
        </w:rPr>
        <w:t xml:space="preserve"> </w:t>
      </w:r>
    </w:p>
    <w:p w14:paraId="4546F3F3">
      <w:pPr>
        <w:pageBreakBefore w:val="0"/>
        <w:widowControl w:val="0"/>
        <w:kinsoku/>
        <w:wordWrap/>
        <w:overflowPunct/>
        <w:topLinePunct w:val="0"/>
        <w:bidi w:val="0"/>
        <w:snapToGrid/>
        <w:spacing w:line="480" w:lineRule="exact"/>
        <w:textAlignment w:val="auto"/>
        <w:outlineLvl w:val="9"/>
        <w:rPr>
          <w:rFonts w:hint="eastAsia" w:ascii="宋体" w:hAnsi="宋体" w:eastAsia="宋体" w:cs="宋体"/>
          <w:sz w:val="24"/>
        </w:rPr>
      </w:pPr>
      <w:r>
        <w:rPr>
          <w:rFonts w:hint="eastAsia" w:ascii="宋体" w:hAnsi="宋体" w:eastAsia="宋体" w:cs="宋体"/>
          <w:sz w:val="24"/>
        </w:rPr>
        <w:t xml:space="preserve">    地  址：</w:t>
      </w:r>
      <w:r>
        <w:rPr>
          <w:rFonts w:hint="eastAsia" w:ascii="宋体" w:hAnsi="宋体" w:eastAsia="宋体" w:cs="宋体"/>
          <w:sz w:val="24"/>
          <w:u w:val="single"/>
        </w:rPr>
        <w:t xml:space="preserve">     </w:t>
      </w:r>
      <w:r>
        <w:rPr>
          <w:rFonts w:hint="eastAsia" w:ascii="宋体" w:hAnsi="宋体" w:eastAsia="宋体" w:cs="宋体"/>
          <w:sz w:val="24"/>
        </w:rPr>
        <w:t xml:space="preserve">  地  址：</w:t>
      </w:r>
      <w:r>
        <w:rPr>
          <w:rFonts w:hint="eastAsia" w:ascii="宋体" w:hAnsi="宋体" w:eastAsia="宋体" w:cs="宋体"/>
          <w:sz w:val="24"/>
          <w:u w:val="single"/>
        </w:rPr>
        <w:t xml:space="preserve">        </w:t>
      </w:r>
    </w:p>
    <w:p w14:paraId="7299B963">
      <w:pPr>
        <w:pageBreakBefore w:val="0"/>
        <w:widowControl w:val="0"/>
        <w:kinsoku/>
        <w:wordWrap/>
        <w:overflowPunct/>
        <w:topLinePunct w:val="0"/>
        <w:bidi w:val="0"/>
        <w:snapToGrid/>
        <w:spacing w:line="480" w:lineRule="exact"/>
        <w:textAlignment w:val="auto"/>
        <w:outlineLvl w:val="9"/>
        <w:rPr>
          <w:rFonts w:hint="eastAsia" w:ascii="宋体" w:hAnsi="宋体" w:eastAsia="宋体" w:cs="宋体"/>
          <w:sz w:val="24"/>
        </w:rPr>
      </w:pPr>
      <w:r>
        <w:rPr>
          <w:rFonts w:hint="eastAsia" w:ascii="宋体" w:hAnsi="宋体" w:eastAsia="宋体" w:cs="宋体"/>
          <w:sz w:val="24"/>
        </w:rPr>
        <w:t xml:space="preserve">    邮政编码：</w:t>
      </w:r>
      <w:r>
        <w:rPr>
          <w:rFonts w:hint="eastAsia" w:ascii="宋体" w:hAnsi="宋体" w:eastAsia="宋体" w:cs="宋体"/>
          <w:sz w:val="24"/>
          <w:u w:val="single"/>
        </w:rPr>
        <w:t xml:space="preserve">      </w:t>
      </w:r>
      <w:r>
        <w:rPr>
          <w:rFonts w:hint="eastAsia" w:ascii="宋体" w:hAnsi="宋体" w:eastAsia="宋体" w:cs="宋体"/>
          <w:sz w:val="24"/>
        </w:rPr>
        <w:t xml:space="preserve">  邮政编码：</w:t>
      </w:r>
      <w:r>
        <w:rPr>
          <w:rFonts w:hint="eastAsia" w:ascii="宋体" w:hAnsi="宋体" w:eastAsia="宋体" w:cs="宋体"/>
          <w:sz w:val="24"/>
          <w:u w:val="single"/>
        </w:rPr>
        <w:t xml:space="preserve">   </w:t>
      </w:r>
    </w:p>
    <w:p w14:paraId="7FF2A2D2">
      <w:pPr>
        <w:pageBreakBefore w:val="0"/>
        <w:widowControl w:val="0"/>
        <w:kinsoku/>
        <w:wordWrap/>
        <w:overflowPunct/>
        <w:topLinePunct w:val="0"/>
        <w:bidi w:val="0"/>
        <w:snapToGrid/>
        <w:spacing w:line="480" w:lineRule="exact"/>
        <w:textAlignment w:val="auto"/>
        <w:outlineLvl w:val="9"/>
        <w:rPr>
          <w:rFonts w:hint="eastAsia" w:ascii="宋体" w:hAnsi="宋体" w:eastAsia="宋体" w:cs="宋体"/>
          <w:sz w:val="24"/>
        </w:rPr>
      </w:pPr>
      <w:r>
        <w:rPr>
          <w:rFonts w:hint="eastAsia" w:ascii="宋体" w:hAnsi="宋体" w:eastAsia="宋体" w:cs="宋体"/>
          <w:sz w:val="24"/>
        </w:rPr>
        <w:t xml:space="preserve">    法定代表人：</w:t>
      </w:r>
      <w:r>
        <w:rPr>
          <w:rFonts w:hint="eastAsia" w:ascii="宋体" w:hAnsi="宋体" w:eastAsia="宋体" w:cs="宋体"/>
          <w:sz w:val="24"/>
          <w:u w:val="single"/>
        </w:rPr>
        <w:t xml:space="preserve">           </w:t>
      </w:r>
      <w:r>
        <w:rPr>
          <w:rFonts w:hint="eastAsia" w:ascii="宋体" w:hAnsi="宋体" w:eastAsia="宋体" w:cs="宋体"/>
          <w:sz w:val="24"/>
        </w:rPr>
        <w:t xml:space="preserve">  法定代表人：</w:t>
      </w:r>
      <w:r>
        <w:rPr>
          <w:rFonts w:hint="eastAsia" w:ascii="宋体" w:hAnsi="宋体" w:eastAsia="宋体" w:cs="宋体"/>
          <w:sz w:val="24"/>
          <w:u w:val="single"/>
        </w:rPr>
        <w:t xml:space="preserve">             </w:t>
      </w:r>
    </w:p>
    <w:p w14:paraId="6EB55E21">
      <w:pPr>
        <w:pageBreakBefore w:val="0"/>
        <w:widowControl w:val="0"/>
        <w:kinsoku/>
        <w:wordWrap/>
        <w:overflowPunct/>
        <w:topLinePunct w:val="0"/>
        <w:bidi w:val="0"/>
        <w:snapToGrid/>
        <w:spacing w:line="480" w:lineRule="exact"/>
        <w:textAlignment w:val="auto"/>
        <w:outlineLvl w:val="9"/>
        <w:rPr>
          <w:rFonts w:hint="eastAsia" w:ascii="宋体" w:hAnsi="宋体" w:eastAsia="宋体" w:cs="宋体"/>
          <w:sz w:val="24"/>
        </w:rPr>
      </w:pPr>
      <w:r>
        <w:rPr>
          <w:rFonts w:hint="eastAsia" w:ascii="宋体" w:hAnsi="宋体" w:eastAsia="宋体" w:cs="宋体"/>
          <w:sz w:val="24"/>
        </w:rPr>
        <w:t xml:space="preserve">    委托代理人：</w:t>
      </w:r>
      <w:r>
        <w:rPr>
          <w:rFonts w:hint="eastAsia" w:ascii="宋体" w:hAnsi="宋体" w:eastAsia="宋体" w:cs="宋体"/>
          <w:sz w:val="24"/>
          <w:u w:val="single"/>
        </w:rPr>
        <w:t xml:space="preserve">           </w:t>
      </w:r>
      <w:r>
        <w:rPr>
          <w:rFonts w:hint="eastAsia" w:ascii="宋体" w:hAnsi="宋体" w:eastAsia="宋体" w:cs="宋体"/>
          <w:sz w:val="24"/>
        </w:rPr>
        <w:t xml:space="preserve">  委托代理人：</w:t>
      </w:r>
      <w:r>
        <w:rPr>
          <w:rFonts w:hint="eastAsia" w:ascii="宋体" w:hAnsi="宋体" w:eastAsia="宋体" w:cs="宋体"/>
          <w:sz w:val="24"/>
          <w:u w:val="single"/>
        </w:rPr>
        <w:t xml:space="preserve">             </w:t>
      </w:r>
    </w:p>
    <w:p w14:paraId="3E682295">
      <w:pPr>
        <w:pageBreakBefore w:val="0"/>
        <w:widowControl w:val="0"/>
        <w:kinsoku/>
        <w:wordWrap/>
        <w:overflowPunct/>
        <w:topLinePunct w:val="0"/>
        <w:bidi w:val="0"/>
        <w:snapToGrid/>
        <w:spacing w:line="480" w:lineRule="exact"/>
        <w:textAlignment w:val="auto"/>
        <w:outlineLvl w:val="9"/>
        <w:rPr>
          <w:rFonts w:hint="eastAsia" w:ascii="宋体" w:hAnsi="宋体" w:eastAsia="宋体" w:cs="宋体"/>
          <w:sz w:val="24"/>
        </w:rPr>
      </w:pPr>
      <w:r>
        <w:rPr>
          <w:rFonts w:hint="eastAsia" w:ascii="宋体" w:hAnsi="宋体" w:eastAsia="宋体" w:cs="宋体"/>
          <w:sz w:val="24"/>
        </w:rPr>
        <w:t xml:space="preserve">    电  话：</w:t>
      </w:r>
      <w:r>
        <w:rPr>
          <w:rFonts w:hint="eastAsia" w:ascii="宋体" w:hAnsi="宋体" w:eastAsia="宋体" w:cs="宋体"/>
          <w:sz w:val="24"/>
          <w:u w:val="single"/>
        </w:rPr>
        <w:t xml:space="preserve">   </w:t>
      </w:r>
      <w:r>
        <w:rPr>
          <w:rFonts w:hint="eastAsia" w:ascii="宋体" w:hAnsi="宋体" w:eastAsia="宋体" w:cs="宋体"/>
          <w:sz w:val="24"/>
        </w:rPr>
        <w:t xml:space="preserve">  电  话：</w:t>
      </w:r>
      <w:r>
        <w:rPr>
          <w:rFonts w:hint="eastAsia" w:ascii="宋体" w:hAnsi="宋体" w:eastAsia="宋体" w:cs="宋体"/>
          <w:sz w:val="24"/>
          <w:u w:val="single"/>
        </w:rPr>
        <w:t xml:space="preserve">     </w:t>
      </w:r>
    </w:p>
    <w:p w14:paraId="1AAF98F3">
      <w:pPr>
        <w:pageBreakBefore w:val="0"/>
        <w:widowControl w:val="0"/>
        <w:kinsoku/>
        <w:wordWrap/>
        <w:overflowPunct/>
        <w:topLinePunct w:val="0"/>
        <w:bidi w:val="0"/>
        <w:snapToGrid/>
        <w:spacing w:line="480" w:lineRule="exact"/>
        <w:textAlignment w:val="auto"/>
        <w:outlineLvl w:val="9"/>
        <w:rPr>
          <w:rFonts w:hint="eastAsia" w:ascii="宋体" w:hAnsi="宋体" w:eastAsia="宋体" w:cs="宋体"/>
          <w:sz w:val="24"/>
        </w:rPr>
      </w:pPr>
      <w:r>
        <w:rPr>
          <w:rFonts w:hint="eastAsia" w:ascii="宋体" w:hAnsi="宋体" w:eastAsia="宋体" w:cs="宋体"/>
          <w:sz w:val="24"/>
        </w:rPr>
        <w:t xml:space="preserve">    传  真：</w:t>
      </w:r>
      <w:r>
        <w:rPr>
          <w:rFonts w:hint="eastAsia" w:ascii="宋体" w:hAnsi="宋体" w:eastAsia="宋体" w:cs="宋体"/>
          <w:sz w:val="24"/>
          <w:u w:val="single"/>
        </w:rPr>
        <w:t xml:space="preserve">   </w:t>
      </w:r>
      <w:r>
        <w:rPr>
          <w:rFonts w:hint="eastAsia" w:ascii="宋体" w:hAnsi="宋体" w:eastAsia="宋体" w:cs="宋体"/>
          <w:sz w:val="24"/>
        </w:rPr>
        <w:t xml:space="preserve">  传  真：</w:t>
      </w:r>
      <w:r>
        <w:rPr>
          <w:rFonts w:hint="eastAsia" w:ascii="宋体" w:hAnsi="宋体" w:eastAsia="宋体" w:cs="宋体"/>
          <w:sz w:val="24"/>
          <w:u w:val="single"/>
        </w:rPr>
        <w:t xml:space="preserve">     </w:t>
      </w:r>
    </w:p>
    <w:p w14:paraId="287E3D6E">
      <w:pPr>
        <w:pageBreakBefore w:val="0"/>
        <w:widowControl w:val="0"/>
        <w:kinsoku/>
        <w:wordWrap/>
        <w:overflowPunct/>
        <w:topLinePunct w:val="0"/>
        <w:bidi w:val="0"/>
        <w:snapToGrid/>
        <w:spacing w:line="480" w:lineRule="exact"/>
        <w:textAlignment w:val="auto"/>
        <w:outlineLvl w:val="9"/>
        <w:rPr>
          <w:rFonts w:hint="eastAsia" w:ascii="宋体" w:hAnsi="宋体" w:eastAsia="宋体" w:cs="宋体"/>
          <w:sz w:val="24"/>
        </w:rPr>
      </w:pPr>
      <w:r>
        <w:rPr>
          <w:rFonts w:hint="eastAsia" w:ascii="宋体" w:hAnsi="宋体" w:eastAsia="宋体" w:cs="宋体"/>
          <w:sz w:val="24"/>
        </w:rPr>
        <w:t xml:space="preserve">    开户银行：</w:t>
      </w:r>
      <w:r>
        <w:rPr>
          <w:rFonts w:hint="eastAsia" w:ascii="宋体" w:hAnsi="宋体" w:eastAsia="宋体" w:cs="宋体"/>
          <w:sz w:val="24"/>
          <w:u w:val="single"/>
        </w:rPr>
        <w:t xml:space="preserve">   </w:t>
      </w:r>
      <w:r>
        <w:rPr>
          <w:rFonts w:hint="eastAsia" w:ascii="宋体" w:hAnsi="宋体" w:eastAsia="宋体" w:cs="宋体"/>
          <w:sz w:val="24"/>
        </w:rPr>
        <w:t xml:space="preserve">  开户银行：</w:t>
      </w:r>
      <w:r>
        <w:rPr>
          <w:rFonts w:hint="eastAsia" w:ascii="宋体" w:hAnsi="宋体" w:eastAsia="宋体" w:cs="宋体"/>
          <w:sz w:val="24"/>
          <w:u w:val="single"/>
        </w:rPr>
        <w:t xml:space="preserve">   </w:t>
      </w:r>
    </w:p>
    <w:p w14:paraId="71F9B8B9">
      <w:pPr>
        <w:pageBreakBefore w:val="0"/>
        <w:widowControl w:val="0"/>
        <w:kinsoku/>
        <w:wordWrap/>
        <w:overflowPunct/>
        <w:topLinePunct w:val="0"/>
        <w:bidi w:val="0"/>
        <w:snapToGrid/>
        <w:spacing w:line="480" w:lineRule="exact"/>
        <w:textAlignment w:val="auto"/>
        <w:outlineLvl w:val="9"/>
        <w:rPr>
          <w:rFonts w:hint="eastAsia" w:ascii="宋体" w:hAnsi="宋体" w:eastAsia="宋体" w:cs="宋体"/>
          <w:sz w:val="24"/>
        </w:rPr>
      </w:pPr>
      <w:r>
        <w:rPr>
          <w:rFonts w:hint="eastAsia" w:ascii="宋体" w:hAnsi="宋体" w:eastAsia="宋体" w:cs="宋体"/>
          <w:sz w:val="24"/>
        </w:rPr>
        <w:t xml:space="preserve">    账  号：</w:t>
      </w:r>
      <w:r>
        <w:rPr>
          <w:rFonts w:hint="eastAsia" w:ascii="宋体" w:hAnsi="宋体" w:eastAsia="宋体" w:cs="宋体"/>
          <w:sz w:val="24"/>
          <w:u w:val="single"/>
        </w:rPr>
        <w:t xml:space="preserve">       </w:t>
      </w:r>
      <w:r>
        <w:rPr>
          <w:rFonts w:hint="eastAsia" w:ascii="宋体" w:hAnsi="宋体" w:eastAsia="宋体" w:cs="宋体"/>
          <w:sz w:val="24"/>
        </w:rPr>
        <w:t xml:space="preserve">   账  号：</w:t>
      </w:r>
      <w:r>
        <w:rPr>
          <w:rFonts w:hint="eastAsia" w:ascii="宋体" w:hAnsi="宋体" w:eastAsia="宋体" w:cs="宋体"/>
          <w:sz w:val="24"/>
          <w:u w:val="single"/>
        </w:rPr>
        <w:t xml:space="preserve">     </w:t>
      </w:r>
    </w:p>
    <w:p w14:paraId="6C10519B">
      <w:pPr>
        <w:pStyle w:val="5"/>
        <w:spacing w:line="480" w:lineRule="exact"/>
        <w:jc w:val="center"/>
        <w:rPr>
          <w:rFonts w:hint="eastAsia" w:ascii="宋体" w:hAnsi="宋体" w:eastAsia="宋体" w:cs="宋体"/>
          <w:sz w:val="40"/>
          <w:szCs w:val="40"/>
        </w:rPr>
      </w:pPr>
      <w:r>
        <w:rPr>
          <w:rFonts w:hint="eastAsia" w:ascii="宋体" w:hAnsi="宋体" w:eastAsia="宋体" w:cs="宋体"/>
          <w:sz w:val="24"/>
          <w:szCs w:val="24"/>
        </w:rPr>
        <w:br w:type="page"/>
      </w:r>
      <w:bookmarkStart w:id="591" w:name="_Toc109645955"/>
      <w:bookmarkStart w:id="592" w:name="_Toc17236"/>
      <w:bookmarkStart w:id="593" w:name="_Toc351203494"/>
      <w:bookmarkStart w:id="594" w:name="_Toc127897089"/>
      <w:bookmarkStart w:id="595" w:name="_Toc127896696"/>
      <w:r>
        <w:rPr>
          <w:rFonts w:hint="eastAsia" w:ascii="宋体" w:hAnsi="宋体" w:eastAsia="宋体" w:cs="宋体"/>
          <w:sz w:val="40"/>
          <w:szCs w:val="40"/>
        </w:rPr>
        <w:t>第二部分 通用合同条款</w:t>
      </w:r>
      <w:bookmarkEnd w:id="591"/>
      <w:bookmarkEnd w:id="592"/>
      <w:bookmarkEnd w:id="593"/>
      <w:bookmarkEnd w:id="594"/>
      <w:bookmarkEnd w:id="595"/>
      <w:bookmarkStart w:id="596" w:name="_Toc337558727"/>
    </w:p>
    <w:p w14:paraId="0E738C7F">
      <w:pPr>
        <w:pageBreakBefore w:val="0"/>
        <w:widowControl w:val="0"/>
        <w:kinsoku/>
        <w:wordWrap/>
        <w:overflowPunct/>
        <w:topLinePunct w:val="0"/>
        <w:bidi w:val="0"/>
        <w:snapToGrid/>
        <w:spacing w:before="120" w:after="120" w:line="480" w:lineRule="exact"/>
        <w:textAlignment w:val="auto"/>
        <w:outlineLvl w:val="9"/>
        <w:rPr>
          <w:rFonts w:hint="eastAsia" w:ascii="宋体" w:hAnsi="宋体" w:eastAsia="宋体" w:cs="宋体"/>
          <w:bCs w:val="0"/>
          <w:sz w:val="24"/>
          <w:szCs w:val="24"/>
        </w:rPr>
      </w:pPr>
      <w:bookmarkStart w:id="597" w:name="_Toc351203495"/>
      <w:r>
        <w:rPr>
          <w:rFonts w:hint="eastAsia" w:ascii="宋体" w:hAnsi="宋体" w:eastAsia="宋体" w:cs="宋体"/>
          <w:bCs w:val="0"/>
          <w:sz w:val="24"/>
          <w:szCs w:val="24"/>
        </w:rPr>
        <w:t>1.</w:t>
      </w:r>
      <w:bookmarkStart w:id="598" w:name="_Toc303538973"/>
      <w:bookmarkEnd w:id="598"/>
      <w:bookmarkStart w:id="599" w:name="_Toc303538972"/>
      <w:bookmarkEnd w:id="599"/>
      <w:bookmarkStart w:id="600" w:name="_Toc303538974"/>
      <w:bookmarkEnd w:id="600"/>
      <w:bookmarkStart w:id="601" w:name="_Toc303538975"/>
      <w:bookmarkEnd w:id="601"/>
      <w:bookmarkStart w:id="602" w:name="_Toc303538976"/>
      <w:bookmarkEnd w:id="602"/>
      <w:bookmarkStart w:id="603" w:name="_Toc296503027"/>
      <w:bookmarkStart w:id="604" w:name="_Toc296346528"/>
      <w:r>
        <w:rPr>
          <w:rFonts w:hint="eastAsia" w:ascii="宋体" w:hAnsi="宋体" w:eastAsia="宋体" w:cs="宋体"/>
          <w:bCs w:val="0"/>
          <w:sz w:val="24"/>
          <w:szCs w:val="24"/>
        </w:rPr>
        <w:t xml:space="preserve"> 一般约定</w:t>
      </w:r>
      <w:bookmarkEnd w:id="596"/>
      <w:bookmarkEnd w:id="597"/>
      <w:bookmarkEnd w:id="603"/>
      <w:bookmarkEnd w:id="604"/>
    </w:p>
    <w:p w14:paraId="3652558D">
      <w:pPr>
        <w:pageBreakBefore w:val="0"/>
        <w:widowControl w:val="0"/>
        <w:kinsoku/>
        <w:wordWrap/>
        <w:overflowPunct/>
        <w:topLinePunct w:val="0"/>
        <w:bidi w:val="0"/>
        <w:snapToGrid/>
        <w:spacing w:before="120" w:after="120" w:line="480" w:lineRule="exact"/>
        <w:ind w:firstLine="480" w:firstLineChars="200"/>
        <w:textAlignment w:val="auto"/>
        <w:outlineLvl w:val="9"/>
        <w:rPr>
          <w:rFonts w:hint="eastAsia" w:ascii="宋体" w:hAnsi="宋体" w:eastAsia="宋体" w:cs="宋体"/>
          <w:b w:val="0"/>
          <w:sz w:val="24"/>
          <w:szCs w:val="24"/>
        </w:rPr>
      </w:pPr>
      <w:bookmarkStart w:id="605" w:name="_Toc296503028"/>
      <w:bookmarkStart w:id="606" w:name="_Toc337558728"/>
      <w:bookmarkStart w:id="607" w:name="_Toc296346529"/>
      <w:bookmarkStart w:id="608" w:name="_Toc351203496"/>
      <w:r>
        <w:rPr>
          <w:rFonts w:hint="eastAsia" w:ascii="宋体" w:hAnsi="宋体" w:eastAsia="宋体" w:cs="宋体"/>
          <w:b w:val="0"/>
          <w:sz w:val="24"/>
          <w:szCs w:val="24"/>
        </w:rPr>
        <w:t>1.1词语定义</w:t>
      </w:r>
      <w:bookmarkEnd w:id="605"/>
      <w:bookmarkEnd w:id="606"/>
      <w:bookmarkEnd w:id="607"/>
      <w:r>
        <w:rPr>
          <w:rFonts w:hint="eastAsia" w:ascii="宋体" w:hAnsi="宋体" w:eastAsia="宋体" w:cs="宋体"/>
          <w:b w:val="0"/>
          <w:sz w:val="24"/>
          <w:szCs w:val="24"/>
        </w:rPr>
        <w:t>与解释</w:t>
      </w:r>
      <w:bookmarkEnd w:id="608"/>
    </w:p>
    <w:p w14:paraId="052BF0CD">
      <w:pPr>
        <w:pageBreakBefore w:val="0"/>
        <w:widowControl w:val="0"/>
        <w:kinsoku/>
        <w:wordWrap/>
        <w:overflowPunct/>
        <w:topLinePunct w:val="0"/>
        <w:autoSpaceDE w:val="0"/>
        <w:autoSpaceDN w:val="0"/>
        <w:bidi w:val="0"/>
        <w:adjustRightInd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合同协议书、通用合同条款、专用合同条款中的下列词语具有本款所赋予的含义：</w:t>
      </w:r>
    </w:p>
    <w:p w14:paraId="7B12D7C7">
      <w:pPr>
        <w:pageBreakBefore w:val="0"/>
        <w:widowControl w:val="0"/>
        <w:kinsoku/>
        <w:wordWrap/>
        <w:overflowPunct/>
        <w:topLinePunct w:val="0"/>
        <w:autoSpaceDE w:val="0"/>
        <w:autoSpaceDN w:val="0"/>
        <w:bidi w:val="0"/>
        <w:adjustRightInd w:val="0"/>
        <w:snapToGrid/>
        <w:spacing w:line="480" w:lineRule="exact"/>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 xml:space="preserve">    1.1.1 合同</w:t>
      </w:r>
    </w:p>
    <w:p w14:paraId="7B5E6C1E">
      <w:pPr>
        <w:pageBreakBefore w:val="0"/>
        <w:widowControl w:val="0"/>
        <w:kinsoku/>
        <w:wordWrap/>
        <w:overflowPunct/>
        <w:topLinePunct w:val="0"/>
        <w:autoSpaceDE w:val="0"/>
        <w:autoSpaceDN w:val="0"/>
        <w:bidi w:val="0"/>
        <w:adjustRightInd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1.1.1.1 合同：是指根据法律规定和合同当事人约定具有约束力的文件，构成合同的文件包括合同协议书、中标通知书（如果有）、投标函及其附录（如果有）、专用合同条款</w:t>
      </w:r>
      <w:r>
        <w:rPr>
          <w:rFonts w:hint="eastAsia" w:ascii="宋体" w:hAnsi="宋体" w:eastAsia="宋体" w:cs="宋体"/>
          <w:sz w:val="24"/>
        </w:rPr>
        <w:t>及其附件</w:t>
      </w:r>
      <w:r>
        <w:rPr>
          <w:rFonts w:hint="eastAsia" w:ascii="宋体" w:hAnsi="宋体" w:eastAsia="宋体" w:cs="宋体"/>
          <w:kern w:val="0"/>
          <w:sz w:val="24"/>
        </w:rPr>
        <w:t>、通用合同条款、技术标准和要求、图纸、已标价工程量清单或预算书以及其他合同文件。</w:t>
      </w:r>
    </w:p>
    <w:p w14:paraId="3B084596">
      <w:pPr>
        <w:pageBreakBefore w:val="0"/>
        <w:widowControl w:val="0"/>
        <w:kinsoku/>
        <w:wordWrap/>
        <w:overflowPunct/>
        <w:topLinePunct w:val="0"/>
        <w:autoSpaceDE w:val="0"/>
        <w:autoSpaceDN w:val="0"/>
        <w:bidi w:val="0"/>
        <w:adjustRightInd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1.1.1.2 合同协议书：是指构成合同的由发包人和承包人共同签署的称为“合同协议书”的书面文件。</w:t>
      </w:r>
    </w:p>
    <w:p w14:paraId="72506460">
      <w:pPr>
        <w:pageBreakBefore w:val="0"/>
        <w:widowControl w:val="0"/>
        <w:kinsoku/>
        <w:wordWrap/>
        <w:overflowPunct/>
        <w:topLinePunct w:val="0"/>
        <w:autoSpaceDE w:val="0"/>
        <w:autoSpaceDN w:val="0"/>
        <w:bidi w:val="0"/>
        <w:adjustRightInd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1.1.1.3 中标通知书：是指构成合同的由发包人通知承包人中标的书面文件。</w:t>
      </w:r>
    </w:p>
    <w:p w14:paraId="0E06998E">
      <w:pPr>
        <w:pageBreakBefore w:val="0"/>
        <w:widowControl w:val="0"/>
        <w:kinsoku/>
        <w:wordWrap/>
        <w:overflowPunct/>
        <w:topLinePunct w:val="0"/>
        <w:autoSpaceDE w:val="0"/>
        <w:autoSpaceDN w:val="0"/>
        <w:bidi w:val="0"/>
        <w:adjustRightInd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1.1.1.4 投标函：是指构成合同的由承包人填写并签署的用于投标的称为“投标函”的文件。</w:t>
      </w:r>
    </w:p>
    <w:p w14:paraId="6D91A8C4">
      <w:pPr>
        <w:pageBreakBefore w:val="0"/>
        <w:widowControl w:val="0"/>
        <w:kinsoku/>
        <w:wordWrap/>
        <w:overflowPunct/>
        <w:topLinePunct w:val="0"/>
        <w:autoSpaceDE w:val="0"/>
        <w:autoSpaceDN w:val="0"/>
        <w:bidi w:val="0"/>
        <w:adjustRightInd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1.1.1.5 投标函附录：是指构成合同的附在投标函后的称为“投标函附录”的文件。</w:t>
      </w:r>
    </w:p>
    <w:p w14:paraId="39A35BE8">
      <w:pPr>
        <w:pageBreakBefore w:val="0"/>
        <w:widowControl w:val="0"/>
        <w:kinsoku/>
        <w:wordWrap/>
        <w:overflowPunct/>
        <w:topLinePunct w:val="0"/>
        <w:autoSpaceDE w:val="0"/>
        <w:autoSpaceDN w:val="0"/>
        <w:bidi w:val="0"/>
        <w:adjustRightInd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1.1.1.6 技术标准和要求：是指构成合同的施工应当遵守的或指导施工的国家、行业或地方的技术标准和要求，以及合同约定的技术标准和要求。</w:t>
      </w:r>
    </w:p>
    <w:p w14:paraId="399EA865">
      <w:pPr>
        <w:pageBreakBefore w:val="0"/>
        <w:widowControl w:val="0"/>
        <w:kinsoku/>
        <w:wordWrap/>
        <w:overflowPunct/>
        <w:topLinePunct w:val="0"/>
        <w:bidi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1.1.1.7 图纸：是指构成合同的图纸，包括由发包人按照合同约定提供或经发包人批准的设计文件、施工图、鸟瞰图及模型等，以及在合同履行过程中形成的图纸文件。图纸应当按照法律规定审查合格。</w:t>
      </w:r>
    </w:p>
    <w:p w14:paraId="708AE564">
      <w:pPr>
        <w:pageBreakBefore w:val="0"/>
        <w:widowControl w:val="0"/>
        <w:kinsoku/>
        <w:wordWrap/>
        <w:overflowPunct/>
        <w:topLinePunct w:val="0"/>
        <w:autoSpaceDE w:val="0"/>
        <w:autoSpaceDN w:val="0"/>
        <w:bidi w:val="0"/>
        <w:adjustRightInd w:val="0"/>
        <w:snapToGrid/>
        <w:spacing w:line="480" w:lineRule="exact"/>
        <w:ind w:firstLine="468" w:firstLineChars="195"/>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1.1.1.8 已标价工程量清单：是指构成合同的由承包人按照规定的格式和要求填写并标明价格的工程量清单，包括说明和表格。</w:t>
      </w:r>
    </w:p>
    <w:p w14:paraId="72858988">
      <w:pPr>
        <w:pageBreakBefore w:val="0"/>
        <w:widowControl w:val="0"/>
        <w:kinsoku/>
        <w:wordWrap/>
        <w:overflowPunct/>
        <w:topLinePunct w:val="0"/>
        <w:autoSpaceDE w:val="0"/>
        <w:autoSpaceDN w:val="0"/>
        <w:bidi w:val="0"/>
        <w:adjustRightInd w:val="0"/>
        <w:snapToGrid/>
        <w:spacing w:line="480" w:lineRule="exact"/>
        <w:ind w:firstLine="468" w:firstLineChars="195"/>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1.1.1.9 预算书：是指构成合同的由承包人按照发包人规定的格式和要求编制的工程预算文件。</w:t>
      </w:r>
    </w:p>
    <w:p w14:paraId="2B8E07F3">
      <w:pPr>
        <w:pageBreakBefore w:val="0"/>
        <w:widowControl w:val="0"/>
        <w:kinsoku/>
        <w:wordWrap/>
        <w:overflowPunct/>
        <w:topLinePunct w:val="0"/>
        <w:autoSpaceDE w:val="0"/>
        <w:autoSpaceDN w:val="0"/>
        <w:bidi w:val="0"/>
        <w:adjustRightInd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1.1.1.10 其他合同文件：是指经合同当事人约定的与工程施工有关的具有合同约束力的文件或书面协议。合同当事人可以在专用合同条款中进行约定。</w:t>
      </w:r>
    </w:p>
    <w:p w14:paraId="640AA744">
      <w:pPr>
        <w:pageBreakBefore w:val="0"/>
        <w:widowControl w:val="0"/>
        <w:kinsoku/>
        <w:wordWrap/>
        <w:overflowPunct/>
        <w:topLinePunct w:val="0"/>
        <w:autoSpaceDE w:val="0"/>
        <w:autoSpaceDN w:val="0"/>
        <w:bidi w:val="0"/>
        <w:adjustRightInd w:val="0"/>
        <w:snapToGrid/>
        <w:spacing w:line="480" w:lineRule="exact"/>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 xml:space="preserve">    1.1.2 合同当事人及其他相关方</w:t>
      </w:r>
    </w:p>
    <w:p w14:paraId="2A568C36">
      <w:pPr>
        <w:pageBreakBefore w:val="0"/>
        <w:widowControl w:val="0"/>
        <w:kinsoku/>
        <w:wordWrap/>
        <w:overflowPunct/>
        <w:topLinePunct w:val="0"/>
        <w:autoSpaceDE w:val="0"/>
        <w:autoSpaceDN w:val="0"/>
        <w:bidi w:val="0"/>
        <w:adjustRightInd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1.1.2.1 合同当事人：是指发包人和（或）承包人。</w:t>
      </w:r>
    </w:p>
    <w:p w14:paraId="3A978AC0">
      <w:pPr>
        <w:pageBreakBefore w:val="0"/>
        <w:widowControl w:val="0"/>
        <w:kinsoku/>
        <w:wordWrap/>
        <w:overflowPunct/>
        <w:topLinePunct w:val="0"/>
        <w:autoSpaceDE w:val="0"/>
        <w:autoSpaceDN w:val="0"/>
        <w:bidi w:val="0"/>
        <w:adjustRightInd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1.1.2.2 发包人：是指与承包人签订合同协议书的当事人及取得该当事人资格的合法继承人。</w:t>
      </w:r>
    </w:p>
    <w:p w14:paraId="0D8A8328">
      <w:pPr>
        <w:pageBreakBefore w:val="0"/>
        <w:widowControl w:val="0"/>
        <w:kinsoku/>
        <w:wordWrap/>
        <w:overflowPunct/>
        <w:topLinePunct w:val="0"/>
        <w:autoSpaceDE w:val="0"/>
        <w:autoSpaceDN w:val="0"/>
        <w:bidi w:val="0"/>
        <w:adjustRightInd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1.1.2.3 承包人：是指与发包人签订合同协议书的，具有相应工程施工承包资质的当事人及取得该当事人资格的合法继承人。</w:t>
      </w:r>
    </w:p>
    <w:p w14:paraId="3BBD00DF">
      <w:pPr>
        <w:pageBreakBefore w:val="0"/>
        <w:widowControl w:val="0"/>
        <w:kinsoku/>
        <w:wordWrap/>
        <w:overflowPunct/>
        <w:topLinePunct w:val="0"/>
        <w:autoSpaceDE w:val="0"/>
        <w:autoSpaceDN w:val="0"/>
        <w:bidi w:val="0"/>
        <w:adjustRightInd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1.1.2.4 监理人：是指在专用合同条款中指明的，受发包人委托按照法律规定进行工程监督管理的法人或其他组织。</w:t>
      </w:r>
    </w:p>
    <w:p w14:paraId="402DD427">
      <w:pPr>
        <w:pageBreakBefore w:val="0"/>
        <w:widowControl w:val="0"/>
        <w:kinsoku/>
        <w:wordWrap/>
        <w:overflowPunct/>
        <w:topLinePunct w:val="0"/>
        <w:autoSpaceDE w:val="0"/>
        <w:autoSpaceDN w:val="0"/>
        <w:bidi w:val="0"/>
        <w:adjustRightInd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1.1.2.5 设计人：是指在专用合同条款中指明的，受发包人委托负责工程设计并具备相应工程设计资质的法人或其他组织。</w:t>
      </w:r>
    </w:p>
    <w:p w14:paraId="58D3E3F9">
      <w:pPr>
        <w:pageBreakBefore w:val="0"/>
        <w:widowControl w:val="0"/>
        <w:kinsoku/>
        <w:wordWrap/>
        <w:overflowPunct/>
        <w:topLinePunct w:val="0"/>
        <w:bidi w:val="0"/>
        <w:snapToGrid/>
        <w:spacing w:line="480" w:lineRule="exact"/>
        <w:ind w:firstLine="468" w:firstLineChars="195"/>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1.1.2.6 分包人：</w:t>
      </w:r>
      <w:bookmarkStart w:id="609" w:name="#go5"/>
      <w:bookmarkEnd w:id="609"/>
      <w:r>
        <w:rPr>
          <w:rFonts w:hint="eastAsia" w:ascii="宋体" w:hAnsi="宋体" w:eastAsia="宋体" w:cs="宋体"/>
          <w:kern w:val="0"/>
          <w:sz w:val="24"/>
        </w:rPr>
        <w:t>是指按照法律规定和合同约定，分包部分工程或工作，并与承包人签订分包合同的具有相应资质的法人。</w:t>
      </w:r>
    </w:p>
    <w:p w14:paraId="50AE6431">
      <w:pPr>
        <w:pageBreakBefore w:val="0"/>
        <w:widowControl w:val="0"/>
        <w:kinsoku/>
        <w:wordWrap/>
        <w:overflowPunct/>
        <w:topLinePunct w:val="0"/>
        <w:autoSpaceDE w:val="0"/>
        <w:autoSpaceDN w:val="0"/>
        <w:bidi w:val="0"/>
        <w:adjustRightInd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1.1.2.7 发包人代表：是指由发包人任命并派驻施工现场在发包人授权范围内行使发包人权利的人。</w:t>
      </w:r>
    </w:p>
    <w:p w14:paraId="4F8B9665">
      <w:pPr>
        <w:pageBreakBefore w:val="0"/>
        <w:widowControl w:val="0"/>
        <w:kinsoku/>
        <w:wordWrap/>
        <w:overflowPunct/>
        <w:topLinePunct w:val="0"/>
        <w:autoSpaceDE w:val="0"/>
        <w:autoSpaceDN w:val="0"/>
        <w:bidi w:val="0"/>
        <w:adjustRightInd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1.1.2.8 项目经理：是指由承包人任命并派驻施工现场，在承包人授权范围内负责合同履行，且按照法律规定具有相应资格的项目负责人。</w:t>
      </w:r>
    </w:p>
    <w:p w14:paraId="59CAE1DF">
      <w:pPr>
        <w:pageBreakBefore w:val="0"/>
        <w:widowControl w:val="0"/>
        <w:kinsoku/>
        <w:wordWrap/>
        <w:overflowPunct/>
        <w:topLinePunct w:val="0"/>
        <w:bidi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1.1.2.9 总监理工程师：是指由监理人任命并派驻施工现场进行工程监理的总负责人。</w:t>
      </w:r>
    </w:p>
    <w:p w14:paraId="32A34C62">
      <w:pPr>
        <w:pageBreakBefore w:val="0"/>
        <w:widowControl w:val="0"/>
        <w:kinsoku/>
        <w:wordWrap/>
        <w:overflowPunct/>
        <w:topLinePunct w:val="0"/>
        <w:bidi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1.1.3 工程和设备</w:t>
      </w:r>
    </w:p>
    <w:p w14:paraId="594F78AC">
      <w:pPr>
        <w:pageBreakBefore w:val="0"/>
        <w:widowControl w:val="0"/>
        <w:kinsoku/>
        <w:wordWrap/>
        <w:overflowPunct/>
        <w:topLinePunct w:val="0"/>
        <w:bidi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1.1.3.1 工程：是指与合同协议书中工程承包范围对应的永久工程和（或）临时工程。</w:t>
      </w:r>
    </w:p>
    <w:p w14:paraId="032D1858">
      <w:pPr>
        <w:pageBreakBefore w:val="0"/>
        <w:widowControl w:val="0"/>
        <w:kinsoku/>
        <w:wordWrap/>
        <w:overflowPunct/>
        <w:topLinePunct w:val="0"/>
        <w:bidi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1.1.3.2 永久工程：是指按合同约定建造并移交给发包人的工程，包括工程设备。</w:t>
      </w:r>
    </w:p>
    <w:p w14:paraId="216CA505">
      <w:pPr>
        <w:pageBreakBefore w:val="0"/>
        <w:widowControl w:val="0"/>
        <w:kinsoku/>
        <w:wordWrap/>
        <w:overflowPunct/>
        <w:topLinePunct w:val="0"/>
        <w:bidi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1.1.3.3 临时工程：是指为完成合同约定的永久工程所修建的各类临时性工程，不包括施工设备。</w:t>
      </w:r>
    </w:p>
    <w:p w14:paraId="278ABC2C">
      <w:pPr>
        <w:pageBreakBefore w:val="0"/>
        <w:widowControl w:val="0"/>
        <w:kinsoku/>
        <w:wordWrap/>
        <w:overflowPunct/>
        <w:topLinePunct w:val="0"/>
        <w:bidi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1.1.3.4 单位工程：是指在合同协议书中指明的，具备独立施工条件并能形成独立使用功能的永久工程。</w:t>
      </w:r>
    </w:p>
    <w:p w14:paraId="7AED20C6">
      <w:pPr>
        <w:pageBreakBefore w:val="0"/>
        <w:widowControl w:val="0"/>
        <w:kinsoku/>
        <w:wordWrap/>
        <w:overflowPunct/>
        <w:topLinePunct w:val="0"/>
        <w:bidi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1.1.3.5 工程设备：是指构成永久工程的机电设备、金属结构设备、仪器及其他类似的设备和装置。</w:t>
      </w:r>
    </w:p>
    <w:p w14:paraId="1E355FF3">
      <w:pPr>
        <w:pageBreakBefore w:val="0"/>
        <w:widowControl w:val="0"/>
        <w:kinsoku/>
        <w:wordWrap/>
        <w:overflowPunct/>
        <w:topLinePunct w:val="0"/>
        <w:bidi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1.1.3.6 施工设备：是指为完成合同约定的各项工作所需的设备、器具和其他物品，但不包括工程设备、临时工程和材料。</w:t>
      </w:r>
    </w:p>
    <w:p w14:paraId="3F1807AD">
      <w:pPr>
        <w:pageBreakBefore w:val="0"/>
        <w:widowControl w:val="0"/>
        <w:kinsoku/>
        <w:wordWrap/>
        <w:overflowPunct/>
        <w:topLinePunct w:val="0"/>
        <w:bidi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1.1.3.7 施工现场：是指用于工程施工的场所，以及在专用合同条款中指明作为施工场所组成部分的其他场所，包括永久占地和临时占地。</w:t>
      </w:r>
    </w:p>
    <w:p w14:paraId="13867FDD">
      <w:pPr>
        <w:pageBreakBefore w:val="0"/>
        <w:widowControl w:val="0"/>
        <w:kinsoku/>
        <w:wordWrap/>
        <w:overflowPunct/>
        <w:topLinePunct w:val="0"/>
        <w:bidi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1.1.3.8临时设施：是指为完成合同约定的各项工作所服务的临时性生产和生活设施。</w:t>
      </w:r>
    </w:p>
    <w:p w14:paraId="6B9A67D7">
      <w:pPr>
        <w:pageBreakBefore w:val="0"/>
        <w:widowControl w:val="0"/>
        <w:kinsoku/>
        <w:wordWrap/>
        <w:overflowPunct/>
        <w:topLinePunct w:val="0"/>
        <w:bidi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1.1.3.9 永久占地：是指专用合同条款中指明为实施工程需永久占用的土地。</w:t>
      </w:r>
    </w:p>
    <w:p w14:paraId="050041D4">
      <w:pPr>
        <w:pageBreakBefore w:val="0"/>
        <w:widowControl w:val="0"/>
        <w:kinsoku/>
        <w:wordWrap/>
        <w:overflowPunct/>
        <w:topLinePunct w:val="0"/>
        <w:bidi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1.1.3.10 临时占地：是指专用合同条款中指明为实施工程需要临时占用的土地。</w:t>
      </w:r>
    </w:p>
    <w:p w14:paraId="05596EF1">
      <w:pPr>
        <w:pageBreakBefore w:val="0"/>
        <w:widowControl w:val="0"/>
        <w:kinsoku/>
        <w:wordWrap/>
        <w:overflowPunct/>
        <w:topLinePunct w:val="0"/>
        <w:bidi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1.1.4 日期和期限</w:t>
      </w:r>
    </w:p>
    <w:p w14:paraId="4607B38E">
      <w:pPr>
        <w:pageBreakBefore w:val="0"/>
        <w:widowControl w:val="0"/>
        <w:kinsoku/>
        <w:wordWrap/>
        <w:overflowPunct/>
        <w:topLinePunct w:val="0"/>
        <w:bidi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1.1.4.1 开工日期：包括计划开工日期和实际开工日期。计划开工日期是指合同协议书约定的开工日期；实际开工日期是指监理人按照第7.3.2项〔开工通知〕约定发出的符合法律规定的开工通知中载明的开工日期。</w:t>
      </w:r>
    </w:p>
    <w:p w14:paraId="410DD4BB">
      <w:pPr>
        <w:pageBreakBefore w:val="0"/>
        <w:widowControl w:val="0"/>
        <w:kinsoku/>
        <w:wordWrap/>
        <w:overflowPunct/>
        <w:topLinePunct w:val="0"/>
        <w:bidi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 xml:space="preserve">1.1.4.2 竣工日期：包括计划竣工日期和实际竣工日期。计划竣工日期是指合同协议书约定的竣工日期；实际竣工日期按照第13.2.3项〔竣工日期〕的约定确定。 </w:t>
      </w:r>
    </w:p>
    <w:p w14:paraId="4D80A251">
      <w:pPr>
        <w:pageBreakBefore w:val="0"/>
        <w:widowControl w:val="0"/>
        <w:kinsoku/>
        <w:wordWrap/>
        <w:overflowPunct/>
        <w:topLinePunct w:val="0"/>
        <w:bidi w:val="0"/>
        <w:snapToGrid/>
        <w:spacing w:line="480" w:lineRule="exact"/>
        <w:ind w:firstLine="487" w:firstLineChars="203"/>
        <w:textAlignment w:val="auto"/>
        <w:outlineLvl w:val="9"/>
        <w:rPr>
          <w:rFonts w:hint="eastAsia" w:ascii="宋体" w:hAnsi="宋体" w:eastAsia="宋体" w:cs="宋体"/>
          <w:sz w:val="24"/>
        </w:rPr>
      </w:pPr>
      <w:r>
        <w:rPr>
          <w:rFonts w:hint="eastAsia" w:ascii="宋体" w:hAnsi="宋体" w:eastAsia="宋体" w:cs="宋体"/>
          <w:kern w:val="0"/>
          <w:sz w:val="24"/>
        </w:rPr>
        <w:t>1.1.4.3 工期：是指在合同协议书约定的承包人完成工程所需的期限，包括按照合同约定所作的期限变更。</w:t>
      </w:r>
    </w:p>
    <w:p w14:paraId="7C9332C3">
      <w:pPr>
        <w:pageBreakBefore w:val="0"/>
        <w:widowControl w:val="0"/>
        <w:kinsoku/>
        <w:wordWrap/>
        <w:overflowPunct/>
        <w:topLinePunct w:val="0"/>
        <w:bidi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1.1.4.4 缺陷责任期：是指承包人按照合同约定承担缺陷修复义务，且发包人预留质量保证金的期限，自工程实际竣工日期起计算。</w:t>
      </w:r>
    </w:p>
    <w:p w14:paraId="06727484">
      <w:pPr>
        <w:pageBreakBefore w:val="0"/>
        <w:widowControl w:val="0"/>
        <w:kinsoku/>
        <w:wordWrap/>
        <w:overflowPunct/>
        <w:topLinePunct w:val="0"/>
        <w:bidi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1.1.4.5 保修期：是指承包人按照合同约定对工程承担保修责任的期限，从工程竣工验收合格之日起计算。</w:t>
      </w:r>
    </w:p>
    <w:p w14:paraId="146961FC">
      <w:pPr>
        <w:pageBreakBefore w:val="0"/>
        <w:widowControl w:val="0"/>
        <w:kinsoku/>
        <w:wordWrap/>
        <w:overflowPunct/>
        <w:topLinePunct w:val="0"/>
        <w:bidi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1.1.4.6 基准日期：招标发包的工程以投标截止日前28天的日期为基准日期，直接发包的工程以合同签订日前28天的日期为基准日期。</w:t>
      </w:r>
    </w:p>
    <w:p w14:paraId="6FE91F47">
      <w:pPr>
        <w:pageBreakBefore w:val="0"/>
        <w:widowControl w:val="0"/>
        <w:kinsoku/>
        <w:wordWrap/>
        <w:overflowPunct/>
        <w:topLinePunct w:val="0"/>
        <w:bidi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1.1.4.7 天：除特别指明外，均指日历天。合同中按天计算时间的，开始当天不计入，从次日开始计算，期限最后一天的截止时间为当天24:00时。</w:t>
      </w:r>
    </w:p>
    <w:p w14:paraId="7E8DBE99">
      <w:pPr>
        <w:pageBreakBefore w:val="0"/>
        <w:widowControl w:val="0"/>
        <w:kinsoku/>
        <w:wordWrap/>
        <w:overflowPunct/>
        <w:topLinePunct w:val="0"/>
        <w:bidi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1.1.5 合同价格和费用</w:t>
      </w:r>
    </w:p>
    <w:p w14:paraId="516A82B8">
      <w:pPr>
        <w:pageBreakBefore w:val="0"/>
        <w:widowControl w:val="0"/>
        <w:kinsoku/>
        <w:wordWrap/>
        <w:overflowPunct/>
        <w:topLinePunct w:val="0"/>
        <w:bidi w:val="0"/>
        <w:snapToGrid/>
        <w:spacing w:line="480" w:lineRule="exact"/>
        <w:ind w:firstLine="480" w:firstLineChars="200"/>
        <w:jc w:val="left"/>
        <w:textAlignment w:val="auto"/>
        <w:outlineLvl w:val="9"/>
        <w:rPr>
          <w:rFonts w:hint="eastAsia" w:ascii="宋体" w:hAnsi="宋体" w:eastAsia="宋体" w:cs="宋体"/>
          <w:sz w:val="24"/>
        </w:rPr>
      </w:pPr>
      <w:r>
        <w:rPr>
          <w:rFonts w:hint="eastAsia" w:ascii="宋体" w:hAnsi="宋体" w:eastAsia="宋体" w:cs="宋体"/>
          <w:kern w:val="0"/>
          <w:sz w:val="24"/>
        </w:rPr>
        <w:t>1.1.5.1 签约合同价：是指</w:t>
      </w:r>
      <w:r>
        <w:rPr>
          <w:rFonts w:hint="eastAsia" w:ascii="宋体" w:hAnsi="宋体" w:eastAsia="宋体" w:cs="宋体"/>
          <w:sz w:val="24"/>
        </w:rPr>
        <w:t>发包人和承包人在合同协议书中确定的总金额，包括安全文明施工费、暂估价及暂列金额等。</w:t>
      </w:r>
    </w:p>
    <w:p w14:paraId="62D512AA">
      <w:pPr>
        <w:pageBreakBefore w:val="0"/>
        <w:widowControl w:val="0"/>
        <w:kinsoku/>
        <w:wordWrap/>
        <w:overflowPunct/>
        <w:topLinePunct w:val="0"/>
        <w:bidi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1.1.5.2 合同价格：是指发包人用于支付承包人按照合同约定完成承包范围内全部工作的金额，包括合同履行过程中按合同约定发生的价格变化。</w:t>
      </w:r>
    </w:p>
    <w:p w14:paraId="09F5317E">
      <w:pPr>
        <w:pageBreakBefore w:val="0"/>
        <w:widowControl w:val="0"/>
        <w:kinsoku/>
        <w:wordWrap/>
        <w:overflowPunct/>
        <w:topLinePunct w:val="0"/>
        <w:bidi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1.1.5.3 费用：是指为履行合同所发生的或将要发生的所有必需的开支，包括管理费和应分摊的其他费用，但不包括利润。</w:t>
      </w:r>
    </w:p>
    <w:p w14:paraId="2A638F66">
      <w:pPr>
        <w:pageBreakBefore w:val="0"/>
        <w:widowControl w:val="0"/>
        <w:kinsoku/>
        <w:wordWrap/>
        <w:overflowPunct/>
        <w:topLinePunct w:val="0"/>
        <w:bidi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1.1.5.4 暂估价：是指发包人在工程量清单或预算书中提供的用于支付必然发生但暂时不能确定价格的材料、工程设备的单价、专业工程以及服务工作的金额。</w:t>
      </w:r>
    </w:p>
    <w:p w14:paraId="4EF17D87">
      <w:pPr>
        <w:pageBreakBefore w:val="0"/>
        <w:widowControl w:val="0"/>
        <w:kinsoku/>
        <w:wordWrap/>
        <w:overflowPunct/>
        <w:topLinePunct w:val="0"/>
        <w:bidi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1.1.5.5 暂列金额：是指发包人在工程量清单或预算书中暂定并包括在合同价格中的一笔款项，用于工程合同签订时尚未确定或者不可预见的所需材料、工程设备、服务的采购，施工中可能发生的工程变更、合同约定调整因素出现时的合同价格调整以及发生的索赔、现场签证确认等的费用。</w:t>
      </w:r>
    </w:p>
    <w:p w14:paraId="7C45E2E0">
      <w:pPr>
        <w:pageBreakBefore w:val="0"/>
        <w:widowControl w:val="0"/>
        <w:kinsoku/>
        <w:wordWrap/>
        <w:overflowPunct/>
        <w:topLinePunct w:val="0"/>
        <w:bidi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1.1.5.6 计日工：是指合同履行过程中，承包人完成发包人提出的零星工作或需要采用计日工计价的变更工作时，按合同中约定的单价计价的一种方式。</w:t>
      </w:r>
    </w:p>
    <w:p w14:paraId="4DEFC7DE">
      <w:pPr>
        <w:pageBreakBefore w:val="0"/>
        <w:widowControl w:val="0"/>
        <w:kinsoku/>
        <w:wordWrap/>
        <w:overflowPunct/>
        <w:topLinePunct w:val="0"/>
        <w:bidi w:val="0"/>
        <w:snapToGrid/>
        <w:spacing w:line="480" w:lineRule="exact"/>
        <w:ind w:firstLine="480" w:firstLineChars="200"/>
        <w:jc w:val="left"/>
        <w:textAlignment w:val="auto"/>
        <w:outlineLvl w:val="9"/>
        <w:rPr>
          <w:rFonts w:hint="eastAsia" w:ascii="宋体" w:hAnsi="宋体" w:eastAsia="宋体" w:cs="宋体"/>
          <w:sz w:val="24"/>
        </w:rPr>
      </w:pPr>
      <w:r>
        <w:rPr>
          <w:rFonts w:hint="eastAsia" w:ascii="宋体" w:hAnsi="宋体" w:eastAsia="宋体" w:cs="宋体"/>
          <w:kern w:val="0"/>
          <w:sz w:val="24"/>
        </w:rPr>
        <w:t>1.1.5.7 质量保证金</w:t>
      </w:r>
      <w:bookmarkStart w:id="610" w:name="#go2"/>
      <w:bookmarkEnd w:id="610"/>
      <w:r>
        <w:rPr>
          <w:rFonts w:hint="eastAsia" w:ascii="宋体" w:hAnsi="宋体" w:eastAsia="宋体" w:cs="宋体"/>
          <w:kern w:val="0"/>
          <w:sz w:val="24"/>
        </w:rPr>
        <w:t>：是指按照第15.3款〔质量保证金〕约定承包人用于保证其在缺陷责任期内履行缺陷修补义务的担保</w:t>
      </w:r>
      <w:r>
        <w:rPr>
          <w:rFonts w:hint="eastAsia" w:ascii="宋体" w:hAnsi="宋体" w:eastAsia="宋体" w:cs="宋体"/>
          <w:sz w:val="24"/>
        </w:rPr>
        <w:t>。</w:t>
      </w:r>
    </w:p>
    <w:p w14:paraId="2D469DE3">
      <w:pPr>
        <w:pageBreakBefore w:val="0"/>
        <w:widowControl w:val="0"/>
        <w:kinsoku/>
        <w:wordWrap/>
        <w:overflowPunct/>
        <w:topLinePunct w:val="0"/>
        <w:bidi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1.1.5.8 总价项目：是指在现行国家、行业以及地方的计量规则中无工程量计算规则，在已标价工程量清单或预算书中以总价或以费率形式计算的项目。</w:t>
      </w:r>
    </w:p>
    <w:p w14:paraId="056AC5DE">
      <w:pPr>
        <w:pageBreakBefore w:val="0"/>
        <w:widowControl w:val="0"/>
        <w:kinsoku/>
        <w:wordWrap/>
        <w:overflowPunct/>
        <w:topLinePunct w:val="0"/>
        <w:bidi w:val="0"/>
        <w:snapToGrid/>
        <w:spacing w:line="480" w:lineRule="exact"/>
        <w:ind w:firstLine="480" w:firstLineChars="200"/>
        <w:jc w:val="left"/>
        <w:textAlignment w:val="auto"/>
        <w:outlineLvl w:val="9"/>
        <w:rPr>
          <w:rFonts w:hint="eastAsia" w:ascii="宋体" w:hAnsi="宋体" w:eastAsia="宋体" w:cs="宋体"/>
          <w:sz w:val="24"/>
        </w:rPr>
      </w:pPr>
      <w:r>
        <w:rPr>
          <w:rFonts w:hint="eastAsia" w:ascii="宋体" w:hAnsi="宋体" w:eastAsia="宋体" w:cs="宋体"/>
          <w:sz w:val="24"/>
        </w:rPr>
        <w:t>1.1.6 其他</w:t>
      </w:r>
    </w:p>
    <w:p w14:paraId="1FC4DCAD">
      <w:pPr>
        <w:pageBreakBefore w:val="0"/>
        <w:widowControl w:val="0"/>
        <w:kinsoku/>
        <w:wordWrap/>
        <w:overflowPunct/>
        <w:topLinePunct w:val="0"/>
        <w:bidi w:val="0"/>
        <w:snapToGrid/>
        <w:spacing w:line="480" w:lineRule="exact"/>
        <w:ind w:firstLine="480" w:firstLineChars="200"/>
        <w:jc w:val="left"/>
        <w:textAlignment w:val="auto"/>
        <w:outlineLvl w:val="9"/>
        <w:rPr>
          <w:rFonts w:hint="eastAsia" w:ascii="宋体" w:hAnsi="宋体" w:eastAsia="宋体" w:cs="宋体"/>
          <w:sz w:val="24"/>
        </w:rPr>
      </w:pPr>
      <w:r>
        <w:rPr>
          <w:rFonts w:hint="eastAsia" w:ascii="宋体" w:hAnsi="宋体" w:eastAsia="宋体" w:cs="宋体"/>
          <w:sz w:val="24"/>
        </w:rPr>
        <w:t>1.1.6.1 书面形式：是指合同文件、信函、电报、传真等可以有形地表现所载内容的形式。</w:t>
      </w:r>
    </w:p>
    <w:p w14:paraId="744A512A">
      <w:pPr>
        <w:pageBreakBefore w:val="0"/>
        <w:widowControl w:val="0"/>
        <w:kinsoku/>
        <w:wordWrap/>
        <w:overflowPunct/>
        <w:topLinePunct w:val="0"/>
        <w:bidi w:val="0"/>
        <w:snapToGrid/>
        <w:spacing w:before="120" w:after="120" w:line="480" w:lineRule="exact"/>
        <w:textAlignment w:val="auto"/>
        <w:outlineLvl w:val="9"/>
        <w:rPr>
          <w:rFonts w:hint="eastAsia" w:ascii="宋体" w:hAnsi="宋体" w:eastAsia="宋体" w:cs="宋体"/>
          <w:b w:val="0"/>
          <w:sz w:val="24"/>
          <w:szCs w:val="24"/>
        </w:rPr>
      </w:pPr>
      <w:r>
        <w:rPr>
          <w:rFonts w:hint="eastAsia" w:ascii="宋体" w:hAnsi="宋体" w:eastAsia="宋体" w:cs="宋体"/>
          <w:b w:val="0"/>
          <w:sz w:val="24"/>
          <w:szCs w:val="24"/>
        </w:rPr>
        <w:t xml:space="preserve">    </w:t>
      </w:r>
      <w:bookmarkStart w:id="611" w:name="_Toc351203497"/>
      <w:bookmarkStart w:id="612" w:name="_Toc337558729"/>
      <w:bookmarkStart w:id="613" w:name="_Toc296346530"/>
      <w:bookmarkStart w:id="614" w:name="_Toc296503029"/>
      <w:r>
        <w:rPr>
          <w:rFonts w:hint="eastAsia" w:ascii="宋体" w:hAnsi="宋体" w:eastAsia="宋体" w:cs="宋体"/>
          <w:b w:val="0"/>
          <w:sz w:val="24"/>
          <w:szCs w:val="24"/>
        </w:rPr>
        <w:t>1.2语言文字</w:t>
      </w:r>
      <w:bookmarkEnd w:id="611"/>
      <w:bookmarkEnd w:id="612"/>
      <w:bookmarkEnd w:id="613"/>
      <w:bookmarkEnd w:id="614"/>
    </w:p>
    <w:p w14:paraId="77E07C3F">
      <w:pPr>
        <w:pageBreakBefore w:val="0"/>
        <w:widowControl w:val="0"/>
        <w:kinsoku/>
        <w:wordWrap/>
        <w:overflowPunct/>
        <w:topLinePunct w:val="0"/>
        <w:autoSpaceDE w:val="0"/>
        <w:autoSpaceDN w:val="0"/>
        <w:bidi w:val="0"/>
        <w:adjustRightInd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合同以中国的汉语简体文字编写、解释和说明。合同当事人在专用合同条款中约定使用两种以上语言时，汉语为优先解释和说明合同的语言。</w:t>
      </w:r>
    </w:p>
    <w:p w14:paraId="363D220D">
      <w:pPr>
        <w:pageBreakBefore w:val="0"/>
        <w:widowControl w:val="0"/>
        <w:kinsoku/>
        <w:wordWrap/>
        <w:overflowPunct/>
        <w:topLinePunct w:val="0"/>
        <w:bidi w:val="0"/>
        <w:snapToGrid/>
        <w:spacing w:before="120" w:after="120" w:line="480" w:lineRule="exact"/>
        <w:ind w:firstLine="480" w:firstLineChars="200"/>
        <w:textAlignment w:val="auto"/>
        <w:outlineLvl w:val="9"/>
        <w:rPr>
          <w:rFonts w:hint="eastAsia" w:ascii="宋体" w:hAnsi="宋体" w:eastAsia="宋体" w:cs="宋体"/>
          <w:b w:val="0"/>
          <w:sz w:val="24"/>
          <w:szCs w:val="24"/>
        </w:rPr>
      </w:pPr>
      <w:bookmarkStart w:id="615" w:name="_Toc351203498"/>
      <w:bookmarkStart w:id="616" w:name="_Toc296503030"/>
      <w:bookmarkStart w:id="617" w:name="_Toc296346531"/>
      <w:bookmarkStart w:id="618" w:name="_Toc337558730"/>
      <w:r>
        <w:rPr>
          <w:rFonts w:hint="eastAsia" w:ascii="宋体" w:hAnsi="宋体" w:eastAsia="宋体" w:cs="宋体"/>
          <w:b w:val="0"/>
          <w:sz w:val="24"/>
          <w:szCs w:val="24"/>
        </w:rPr>
        <w:t>1.3法律</w:t>
      </w:r>
      <w:bookmarkEnd w:id="615"/>
      <w:bookmarkEnd w:id="616"/>
      <w:bookmarkEnd w:id="617"/>
      <w:bookmarkEnd w:id="618"/>
    </w:p>
    <w:p w14:paraId="5D7B9000">
      <w:pPr>
        <w:pageBreakBefore w:val="0"/>
        <w:widowControl w:val="0"/>
        <w:kinsoku/>
        <w:wordWrap/>
        <w:overflowPunct/>
        <w:topLinePunct w:val="0"/>
        <w:autoSpaceDE w:val="0"/>
        <w:autoSpaceDN w:val="0"/>
        <w:bidi w:val="0"/>
        <w:adjustRightInd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合同所称法律是指中华人民共和国法律、行政法规、部门规章，以及工程所在地的地方性法规、自治条例、单行条例和地方政府规章等。</w:t>
      </w:r>
    </w:p>
    <w:p w14:paraId="0CC4A0E4">
      <w:pPr>
        <w:pageBreakBefore w:val="0"/>
        <w:widowControl w:val="0"/>
        <w:kinsoku/>
        <w:wordWrap/>
        <w:overflowPunct/>
        <w:topLinePunct w:val="0"/>
        <w:autoSpaceDE w:val="0"/>
        <w:autoSpaceDN w:val="0"/>
        <w:bidi w:val="0"/>
        <w:adjustRightInd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合同当事人可以在专用合同条款中约定合同适用的其他规范性文件。</w:t>
      </w:r>
    </w:p>
    <w:p w14:paraId="496240EA">
      <w:pPr>
        <w:pageBreakBefore w:val="0"/>
        <w:widowControl w:val="0"/>
        <w:kinsoku/>
        <w:wordWrap/>
        <w:overflowPunct/>
        <w:topLinePunct w:val="0"/>
        <w:bidi w:val="0"/>
        <w:snapToGrid/>
        <w:spacing w:before="120" w:after="120" w:line="480" w:lineRule="exact"/>
        <w:ind w:firstLine="480" w:firstLineChars="200"/>
        <w:textAlignment w:val="auto"/>
        <w:outlineLvl w:val="9"/>
        <w:rPr>
          <w:rFonts w:hint="eastAsia" w:ascii="宋体" w:hAnsi="宋体" w:eastAsia="宋体" w:cs="宋体"/>
          <w:b w:val="0"/>
          <w:sz w:val="24"/>
          <w:szCs w:val="24"/>
        </w:rPr>
      </w:pPr>
      <w:bookmarkStart w:id="619" w:name="_Toc351203499"/>
      <w:r>
        <w:rPr>
          <w:rFonts w:hint="eastAsia" w:ascii="宋体" w:hAnsi="宋体" w:eastAsia="宋体" w:cs="宋体"/>
          <w:b w:val="0"/>
          <w:sz w:val="24"/>
          <w:szCs w:val="24"/>
        </w:rPr>
        <w:t>1.4 标准和规范</w:t>
      </w:r>
      <w:bookmarkEnd w:id="619"/>
    </w:p>
    <w:p w14:paraId="4CC912B4">
      <w:pPr>
        <w:pageBreakBefore w:val="0"/>
        <w:widowControl w:val="0"/>
        <w:kinsoku/>
        <w:wordWrap/>
        <w:overflowPunct/>
        <w:topLinePunct w:val="0"/>
        <w:autoSpaceDE w:val="0"/>
        <w:autoSpaceDN w:val="0"/>
        <w:bidi w:val="0"/>
        <w:adjustRightInd w:val="0"/>
        <w:snapToGrid/>
        <w:spacing w:line="480" w:lineRule="exact"/>
        <w:ind w:firstLine="64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1.4.1 适用于工程的国家标准、行业标准、工程所在地的地方性标准，以及相应的规范、规程等，合同当事人有特别要求的，应在专用合同条款中约定。</w:t>
      </w:r>
    </w:p>
    <w:p w14:paraId="74688655">
      <w:pPr>
        <w:pageBreakBefore w:val="0"/>
        <w:widowControl w:val="0"/>
        <w:kinsoku/>
        <w:wordWrap/>
        <w:overflowPunct/>
        <w:topLinePunct w:val="0"/>
        <w:autoSpaceDE w:val="0"/>
        <w:autoSpaceDN w:val="0"/>
        <w:bidi w:val="0"/>
        <w:adjustRightInd w:val="0"/>
        <w:snapToGrid/>
        <w:spacing w:line="480" w:lineRule="exact"/>
        <w:ind w:firstLine="64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1.4.2 发包人要求使用国外标准、规范的，发包人负责提供原文版本和中文译本，并在专用合同条款中约定提供标准规范的名称、份数和时间。</w:t>
      </w:r>
    </w:p>
    <w:p w14:paraId="0AC47E26">
      <w:pPr>
        <w:pageBreakBefore w:val="0"/>
        <w:widowControl w:val="0"/>
        <w:kinsoku/>
        <w:wordWrap/>
        <w:overflowPunct/>
        <w:topLinePunct w:val="0"/>
        <w:autoSpaceDE w:val="0"/>
        <w:autoSpaceDN w:val="0"/>
        <w:bidi w:val="0"/>
        <w:adjustRightInd w:val="0"/>
        <w:snapToGrid/>
        <w:spacing w:line="480" w:lineRule="exact"/>
        <w:ind w:firstLine="64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1.4.3 发包人对工程的技术标准、功能要求高于或严于现行国家、行业或地方标准的，应当在专用合同条款中予以明确。除专用合同条款另有约定外，应视为承包人在签订合同前已充分预见前述技术标准和功能要求的复杂程度，签约合同价中已包含由此产生的费用。</w:t>
      </w:r>
    </w:p>
    <w:p w14:paraId="6199BB79">
      <w:pPr>
        <w:pageBreakBefore w:val="0"/>
        <w:widowControl w:val="0"/>
        <w:kinsoku/>
        <w:wordWrap/>
        <w:overflowPunct/>
        <w:topLinePunct w:val="0"/>
        <w:bidi w:val="0"/>
        <w:snapToGrid/>
        <w:spacing w:before="120" w:after="120" w:line="480" w:lineRule="exact"/>
        <w:ind w:firstLine="480" w:firstLineChars="200"/>
        <w:textAlignment w:val="auto"/>
        <w:outlineLvl w:val="9"/>
        <w:rPr>
          <w:rFonts w:hint="eastAsia" w:ascii="宋体" w:hAnsi="宋体" w:eastAsia="宋体" w:cs="宋体"/>
          <w:b w:val="0"/>
          <w:sz w:val="24"/>
          <w:szCs w:val="24"/>
        </w:rPr>
      </w:pPr>
      <w:bookmarkStart w:id="620" w:name="_Toc351203500"/>
      <w:r>
        <w:rPr>
          <w:rFonts w:hint="eastAsia" w:ascii="宋体" w:hAnsi="宋体" w:eastAsia="宋体" w:cs="宋体"/>
          <w:b w:val="0"/>
          <w:sz w:val="24"/>
          <w:szCs w:val="24"/>
        </w:rPr>
        <w:t>1</w:t>
      </w:r>
      <w:bookmarkStart w:id="621" w:name="_Toc337558731"/>
      <w:bookmarkStart w:id="622" w:name="_Toc296346532"/>
      <w:bookmarkStart w:id="623" w:name="_Toc296503031"/>
      <w:r>
        <w:rPr>
          <w:rFonts w:hint="eastAsia" w:ascii="宋体" w:hAnsi="宋体" w:eastAsia="宋体" w:cs="宋体"/>
          <w:b w:val="0"/>
          <w:sz w:val="24"/>
          <w:szCs w:val="24"/>
        </w:rPr>
        <w:t>.5 合同文件的优先顺序</w:t>
      </w:r>
      <w:bookmarkEnd w:id="620"/>
    </w:p>
    <w:bookmarkEnd w:id="621"/>
    <w:bookmarkEnd w:id="622"/>
    <w:bookmarkEnd w:id="623"/>
    <w:p w14:paraId="4619CD72">
      <w:pPr>
        <w:pageBreakBefore w:val="0"/>
        <w:widowControl w:val="0"/>
        <w:kinsoku/>
        <w:wordWrap/>
        <w:overflowPunct/>
        <w:topLinePunct w:val="0"/>
        <w:autoSpaceDE w:val="0"/>
        <w:autoSpaceDN w:val="0"/>
        <w:bidi w:val="0"/>
        <w:adjustRightInd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组成合同的各项文件应互相解释，互为说明。除专用合同条款另有约定外，解释合同文件的优先顺序如下：</w:t>
      </w:r>
    </w:p>
    <w:p w14:paraId="5E2FD258">
      <w:pPr>
        <w:pageBreakBefore w:val="0"/>
        <w:widowControl w:val="0"/>
        <w:kinsoku/>
        <w:wordWrap/>
        <w:overflowPunct/>
        <w:topLinePunct w:val="0"/>
        <w:autoSpaceDE w:val="0"/>
        <w:autoSpaceDN w:val="0"/>
        <w:bidi w:val="0"/>
        <w:adjustRightInd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（1）合同协议书；</w:t>
      </w:r>
    </w:p>
    <w:p w14:paraId="31F83C68">
      <w:pPr>
        <w:pageBreakBefore w:val="0"/>
        <w:widowControl w:val="0"/>
        <w:kinsoku/>
        <w:wordWrap/>
        <w:overflowPunct/>
        <w:topLinePunct w:val="0"/>
        <w:autoSpaceDE w:val="0"/>
        <w:autoSpaceDN w:val="0"/>
        <w:bidi w:val="0"/>
        <w:adjustRightInd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（2）中标通知书（如果有）；</w:t>
      </w:r>
    </w:p>
    <w:p w14:paraId="27676B98">
      <w:pPr>
        <w:pageBreakBefore w:val="0"/>
        <w:widowControl w:val="0"/>
        <w:kinsoku/>
        <w:wordWrap/>
        <w:overflowPunct/>
        <w:topLinePunct w:val="0"/>
        <w:autoSpaceDE w:val="0"/>
        <w:autoSpaceDN w:val="0"/>
        <w:bidi w:val="0"/>
        <w:adjustRightInd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（3）投标函及其附录（如果有）；</w:t>
      </w:r>
    </w:p>
    <w:p w14:paraId="56A16EFA">
      <w:pPr>
        <w:pageBreakBefore w:val="0"/>
        <w:widowControl w:val="0"/>
        <w:kinsoku/>
        <w:wordWrap/>
        <w:overflowPunct/>
        <w:topLinePunct w:val="0"/>
        <w:autoSpaceDE w:val="0"/>
        <w:autoSpaceDN w:val="0"/>
        <w:bidi w:val="0"/>
        <w:adjustRightInd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（4）专用合同条款</w:t>
      </w:r>
      <w:r>
        <w:rPr>
          <w:rFonts w:hint="eastAsia" w:ascii="宋体" w:hAnsi="宋体" w:eastAsia="宋体" w:cs="宋体"/>
          <w:sz w:val="24"/>
        </w:rPr>
        <w:t>及其附件</w:t>
      </w:r>
      <w:r>
        <w:rPr>
          <w:rFonts w:hint="eastAsia" w:ascii="宋体" w:hAnsi="宋体" w:eastAsia="宋体" w:cs="宋体"/>
          <w:kern w:val="0"/>
          <w:sz w:val="24"/>
        </w:rPr>
        <w:t>；</w:t>
      </w:r>
    </w:p>
    <w:p w14:paraId="485D9AAE">
      <w:pPr>
        <w:pageBreakBefore w:val="0"/>
        <w:widowControl w:val="0"/>
        <w:kinsoku/>
        <w:wordWrap/>
        <w:overflowPunct/>
        <w:topLinePunct w:val="0"/>
        <w:autoSpaceDE w:val="0"/>
        <w:autoSpaceDN w:val="0"/>
        <w:bidi w:val="0"/>
        <w:adjustRightInd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（5）通用合同条款；</w:t>
      </w:r>
    </w:p>
    <w:p w14:paraId="0DB6282E">
      <w:pPr>
        <w:pageBreakBefore w:val="0"/>
        <w:widowControl w:val="0"/>
        <w:kinsoku/>
        <w:wordWrap/>
        <w:overflowPunct/>
        <w:topLinePunct w:val="0"/>
        <w:autoSpaceDE w:val="0"/>
        <w:autoSpaceDN w:val="0"/>
        <w:bidi w:val="0"/>
        <w:adjustRightInd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（6）技术标准和要求；</w:t>
      </w:r>
    </w:p>
    <w:p w14:paraId="36C168BE">
      <w:pPr>
        <w:pageBreakBefore w:val="0"/>
        <w:widowControl w:val="0"/>
        <w:kinsoku/>
        <w:wordWrap/>
        <w:overflowPunct/>
        <w:topLinePunct w:val="0"/>
        <w:autoSpaceDE w:val="0"/>
        <w:autoSpaceDN w:val="0"/>
        <w:bidi w:val="0"/>
        <w:adjustRightInd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（7）图纸；</w:t>
      </w:r>
    </w:p>
    <w:p w14:paraId="681895F1">
      <w:pPr>
        <w:pageBreakBefore w:val="0"/>
        <w:widowControl w:val="0"/>
        <w:kinsoku/>
        <w:wordWrap/>
        <w:overflowPunct/>
        <w:topLinePunct w:val="0"/>
        <w:autoSpaceDE w:val="0"/>
        <w:autoSpaceDN w:val="0"/>
        <w:bidi w:val="0"/>
        <w:adjustRightInd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（8）已标价工程量清单或预算书；</w:t>
      </w:r>
    </w:p>
    <w:p w14:paraId="66E550FC">
      <w:pPr>
        <w:pageBreakBefore w:val="0"/>
        <w:widowControl w:val="0"/>
        <w:kinsoku/>
        <w:wordWrap/>
        <w:overflowPunct/>
        <w:topLinePunct w:val="0"/>
        <w:autoSpaceDE w:val="0"/>
        <w:autoSpaceDN w:val="0"/>
        <w:bidi w:val="0"/>
        <w:adjustRightInd w:val="0"/>
        <w:snapToGrid/>
        <w:spacing w:line="480" w:lineRule="exact"/>
        <w:ind w:firstLine="480" w:firstLineChars="200"/>
        <w:jc w:val="left"/>
        <w:textAlignment w:val="auto"/>
        <w:outlineLvl w:val="9"/>
        <w:rPr>
          <w:rFonts w:hint="eastAsia" w:ascii="宋体" w:hAnsi="宋体" w:eastAsia="宋体" w:cs="宋体"/>
          <w:sz w:val="24"/>
        </w:rPr>
      </w:pPr>
      <w:r>
        <w:rPr>
          <w:rFonts w:hint="eastAsia" w:ascii="宋体" w:hAnsi="宋体" w:eastAsia="宋体" w:cs="宋体"/>
          <w:kern w:val="0"/>
          <w:sz w:val="24"/>
        </w:rPr>
        <w:t>（9）其他合同文件。</w:t>
      </w:r>
    </w:p>
    <w:p w14:paraId="46C65544">
      <w:pPr>
        <w:pageBreakBefore w:val="0"/>
        <w:widowControl w:val="0"/>
        <w:kinsoku/>
        <w:wordWrap/>
        <w:overflowPunct/>
        <w:topLinePunct w:val="0"/>
        <w:bidi w:val="0"/>
        <w:snapToGrid/>
        <w:spacing w:line="480" w:lineRule="exact"/>
        <w:ind w:firstLine="511" w:firstLineChars="213"/>
        <w:textAlignment w:val="auto"/>
        <w:outlineLvl w:val="9"/>
        <w:rPr>
          <w:rFonts w:hint="eastAsia" w:ascii="宋体" w:hAnsi="宋体" w:eastAsia="宋体" w:cs="宋体"/>
          <w:sz w:val="24"/>
        </w:rPr>
      </w:pPr>
      <w:r>
        <w:rPr>
          <w:rFonts w:hint="eastAsia" w:ascii="宋体" w:hAnsi="宋体" w:eastAsia="宋体" w:cs="宋体"/>
          <w:sz w:val="24"/>
        </w:rPr>
        <w:t>上述各项合同文件包括合同当事人就该项合同文件所作出的补充和修改，属于同一类内容的文件，应以最新签署的为准。</w:t>
      </w:r>
    </w:p>
    <w:p w14:paraId="7150785C">
      <w:pPr>
        <w:pageBreakBefore w:val="0"/>
        <w:widowControl w:val="0"/>
        <w:kinsoku/>
        <w:wordWrap/>
        <w:overflowPunct/>
        <w:topLinePunct w:val="0"/>
        <w:bidi w:val="0"/>
        <w:snapToGrid/>
        <w:spacing w:line="480" w:lineRule="exact"/>
        <w:ind w:firstLine="511" w:firstLineChars="213"/>
        <w:textAlignment w:val="auto"/>
        <w:outlineLvl w:val="9"/>
        <w:rPr>
          <w:rFonts w:hint="eastAsia" w:ascii="宋体" w:hAnsi="宋体" w:eastAsia="宋体" w:cs="宋体"/>
          <w:sz w:val="24"/>
        </w:rPr>
      </w:pPr>
      <w:r>
        <w:rPr>
          <w:rFonts w:hint="eastAsia" w:ascii="宋体" w:hAnsi="宋体" w:eastAsia="宋体" w:cs="宋体"/>
          <w:sz w:val="24"/>
        </w:rPr>
        <w:t>在合同订立及履行过程中形成的与合同有关的文件均构成合同文件组成部分，并根据其性质确定优先解释顺序。</w:t>
      </w:r>
    </w:p>
    <w:p w14:paraId="439AA8B1">
      <w:pPr>
        <w:pageBreakBefore w:val="0"/>
        <w:widowControl w:val="0"/>
        <w:kinsoku/>
        <w:wordWrap/>
        <w:overflowPunct/>
        <w:topLinePunct w:val="0"/>
        <w:bidi w:val="0"/>
        <w:snapToGrid/>
        <w:spacing w:before="120" w:after="120" w:line="480" w:lineRule="exact"/>
        <w:ind w:firstLine="480" w:firstLineChars="200"/>
        <w:textAlignment w:val="auto"/>
        <w:outlineLvl w:val="9"/>
        <w:rPr>
          <w:rFonts w:hint="eastAsia" w:ascii="宋体" w:hAnsi="宋体" w:eastAsia="宋体" w:cs="宋体"/>
          <w:b w:val="0"/>
          <w:sz w:val="24"/>
          <w:szCs w:val="24"/>
        </w:rPr>
      </w:pPr>
      <w:bookmarkStart w:id="624" w:name="_Toc351203501"/>
      <w:r>
        <w:rPr>
          <w:rFonts w:hint="eastAsia" w:ascii="宋体" w:hAnsi="宋体" w:eastAsia="宋体" w:cs="宋体"/>
          <w:b w:val="0"/>
          <w:sz w:val="24"/>
          <w:szCs w:val="24"/>
        </w:rPr>
        <w:t>1</w:t>
      </w:r>
      <w:bookmarkStart w:id="625" w:name="_Toc296503032"/>
      <w:bookmarkStart w:id="626" w:name="_Toc337558732"/>
      <w:bookmarkStart w:id="627" w:name="_Toc296346533"/>
      <w:r>
        <w:rPr>
          <w:rFonts w:hint="eastAsia" w:ascii="宋体" w:hAnsi="宋体" w:eastAsia="宋体" w:cs="宋体"/>
          <w:b w:val="0"/>
          <w:sz w:val="24"/>
          <w:szCs w:val="24"/>
        </w:rPr>
        <w:t>.6图纸和承包人文件</w:t>
      </w:r>
      <w:bookmarkEnd w:id="624"/>
    </w:p>
    <w:bookmarkEnd w:id="625"/>
    <w:bookmarkEnd w:id="626"/>
    <w:bookmarkEnd w:id="627"/>
    <w:p w14:paraId="6CD65E70">
      <w:pPr>
        <w:pageBreakBefore w:val="0"/>
        <w:widowControl w:val="0"/>
        <w:kinsoku/>
        <w:wordWrap/>
        <w:overflowPunct/>
        <w:topLinePunct w:val="0"/>
        <w:bidi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1.6.1 图纸的提供和交底</w:t>
      </w:r>
    </w:p>
    <w:p w14:paraId="07FD9C3C">
      <w:pPr>
        <w:pageBreakBefore w:val="0"/>
        <w:widowControl w:val="0"/>
        <w:kinsoku/>
        <w:wordWrap/>
        <w:overflowPunct/>
        <w:topLinePunct w:val="0"/>
        <w:bidi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发包人应按照专用合同条款约定的期限、数量和内容向承包人免费提供图纸，并组织承包人、监理人和设计人进行图纸会审和设计交底。发包人至迟不得晚于第7.3.2项〔开工通知〕载明的开工日期前14天向承包人提供图纸。</w:t>
      </w:r>
    </w:p>
    <w:p w14:paraId="01864991">
      <w:pPr>
        <w:pageBreakBefore w:val="0"/>
        <w:widowControl w:val="0"/>
        <w:kinsoku/>
        <w:wordWrap/>
        <w:overflowPunct/>
        <w:topLinePunct w:val="0"/>
        <w:bidi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因发包人未按合同约定提供图纸导致承包人费用增加和（或）工期延误的，按照第7.5.1项〔因发包人原因导致工期延误〕约定办理。</w:t>
      </w:r>
    </w:p>
    <w:p w14:paraId="1D439DF3">
      <w:pPr>
        <w:pageBreakBefore w:val="0"/>
        <w:widowControl w:val="0"/>
        <w:kinsoku/>
        <w:wordWrap/>
        <w:overflowPunct/>
        <w:topLinePunct w:val="0"/>
        <w:bidi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1.6.2 图纸的错误</w:t>
      </w:r>
    </w:p>
    <w:p w14:paraId="755DA76E">
      <w:pPr>
        <w:pageBreakBefore w:val="0"/>
        <w:widowControl w:val="0"/>
        <w:kinsoku/>
        <w:wordWrap/>
        <w:overflowPunct/>
        <w:topLinePunct w:val="0"/>
        <w:bidi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承包人在收到发包人提供的图纸后，发现图纸存在差错、遗漏或缺陷的，应及时通知监理人。监理人接到该通知后，应附具相关意见并立即报送发包人，发包人应在收到监理人报送的通知后的合理时间内作出决定。合理时间是指发包人在收到监理人的报送通知后，尽其努力且不懈怠地完成图纸修改补充所需的时间。</w:t>
      </w:r>
    </w:p>
    <w:p w14:paraId="71C70BB2">
      <w:pPr>
        <w:pageBreakBefore w:val="0"/>
        <w:widowControl w:val="0"/>
        <w:kinsoku/>
        <w:wordWrap/>
        <w:overflowPunct/>
        <w:topLinePunct w:val="0"/>
        <w:bidi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1.6.3 图纸的修改和补充</w:t>
      </w:r>
    </w:p>
    <w:p w14:paraId="58E5A948">
      <w:pPr>
        <w:pageBreakBefore w:val="0"/>
        <w:widowControl w:val="0"/>
        <w:kinsoku/>
        <w:wordWrap/>
        <w:overflowPunct/>
        <w:topLinePunct w:val="0"/>
        <w:bidi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图纸需要修改和补充的，应经图纸原设计人及审批部门同意，并由监理人在工程或工程相应部位施工前将修改后的图纸或补充图纸提交给承包人，承包人应按修改或补充后的图纸施工。</w:t>
      </w:r>
    </w:p>
    <w:p w14:paraId="6B6EB067">
      <w:pPr>
        <w:pageBreakBefore w:val="0"/>
        <w:widowControl w:val="0"/>
        <w:kinsoku/>
        <w:wordWrap/>
        <w:overflowPunct/>
        <w:topLinePunct w:val="0"/>
        <w:bidi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1.6.4 承包人文件</w:t>
      </w:r>
    </w:p>
    <w:p w14:paraId="11453EFB">
      <w:pPr>
        <w:pageBreakBefore w:val="0"/>
        <w:widowControl w:val="0"/>
        <w:kinsoku/>
        <w:wordWrap/>
        <w:overflowPunct/>
        <w:topLinePunct w:val="0"/>
        <w:bidi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承包人应按照专用合同条款的约定提供应当由其编制的与工程施工有关的文件，并按照专用合同条款约定的期限、数量和形式提交监理人，并由监理人报送发包人。</w:t>
      </w:r>
    </w:p>
    <w:p w14:paraId="1056F653">
      <w:pPr>
        <w:pageBreakBefore w:val="0"/>
        <w:widowControl w:val="0"/>
        <w:kinsoku/>
        <w:wordWrap/>
        <w:overflowPunct/>
        <w:topLinePunct w:val="0"/>
        <w:bidi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除专用合同条款另有约定外，监理人应在收到承包人文件后7天内审查完毕，监理人对承包人文件有异议的，承包人应予以修改，并重新报送监理人。监理人的审查并不减轻或免除承包人根据合同约定应当承担的责任。</w:t>
      </w:r>
    </w:p>
    <w:p w14:paraId="39290A90">
      <w:pPr>
        <w:pageBreakBefore w:val="0"/>
        <w:widowControl w:val="0"/>
        <w:kinsoku/>
        <w:wordWrap/>
        <w:overflowPunct/>
        <w:topLinePunct w:val="0"/>
        <w:bidi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1.6.5 图纸和承包人文件的保管</w:t>
      </w:r>
    </w:p>
    <w:p w14:paraId="7CB8A128">
      <w:pPr>
        <w:pageBreakBefore w:val="0"/>
        <w:widowControl w:val="0"/>
        <w:kinsoku/>
        <w:wordWrap/>
        <w:overflowPunct/>
        <w:topLinePunct w:val="0"/>
        <w:bidi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除专用合同条款另有约定外，承包人应在施工现场另外保存一套完整的图纸和承包人文件，供发包人、监理人及有关人员进行工程检查时使用。</w:t>
      </w:r>
    </w:p>
    <w:p w14:paraId="3C481CE1">
      <w:pPr>
        <w:pageBreakBefore w:val="0"/>
        <w:widowControl w:val="0"/>
        <w:kinsoku/>
        <w:wordWrap/>
        <w:overflowPunct/>
        <w:topLinePunct w:val="0"/>
        <w:bidi w:val="0"/>
        <w:snapToGrid/>
        <w:spacing w:before="120" w:after="120" w:line="480" w:lineRule="exact"/>
        <w:ind w:firstLine="480" w:firstLineChars="200"/>
        <w:textAlignment w:val="auto"/>
        <w:outlineLvl w:val="9"/>
        <w:rPr>
          <w:rFonts w:hint="eastAsia" w:ascii="宋体" w:hAnsi="宋体" w:eastAsia="宋体" w:cs="宋体"/>
          <w:b w:val="0"/>
          <w:sz w:val="24"/>
          <w:szCs w:val="24"/>
        </w:rPr>
      </w:pPr>
      <w:bookmarkStart w:id="628" w:name="_Toc351203502"/>
      <w:r>
        <w:rPr>
          <w:rFonts w:hint="eastAsia" w:ascii="宋体" w:hAnsi="宋体" w:eastAsia="宋体" w:cs="宋体"/>
          <w:b w:val="0"/>
          <w:sz w:val="24"/>
          <w:szCs w:val="24"/>
        </w:rPr>
        <w:t>1</w:t>
      </w:r>
      <w:bookmarkStart w:id="629" w:name="_Toc337558733"/>
      <w:bookmarkStart w:id="630" w:name="_Toc296346534"/>
      <w:bookmarkStart w:id="631" w:name="_Toc296503033"/>
      <w:r>
        <w:rPr>
          <w:rFonts w:hint="eastAsia" w:ascii="宋体" w:hAnsi="宋体" w:eastAsia="宋体" w:cs="宋体"/>
          <w:b w:val="0"/>
          <w:sz w:val="24"/>
          <w:szCs w:val="24"/>
        </w:rPr>
        <w:t>.7联络</w:t>
      </w:r>
      <w:bookmarkEnd w:id="628"/>
    </w:p>
    <w:bookmarkEnd w:id="629"/>
    <w:bookmarkEnd w:id="630"/>
    <w:bookmarkEnd w:id="631"/>
    <w:p w14:paraId="10802547">
      <w:pPr>
        <w:pageBreakBefore w:val="0"/>
        <w:widowControl w:val="0"/>
        <w:kinsoku/>
        <w:wordWrap/>
        <w:overflowPunct/>
        <w:topLinePunct w:val="0"/>
        <w:autoSpaceDE w:val="0"/>
        <w:autoSpaceDN w:val="0"/>
        <w:bidi w:val="0"/>
        <w:adjustRightInd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1.7.1 与合同有关的通知、批准、证明、证书、指示、指令、要求、请求、同意、意见、确定和决定等，均应采用书面形式，并应在合同约定的期限内送达接收人和送达地点。</w:t>
      </w:r>
    </w:p>
    <w:p w14:paraId="68F5D428">
      <w:pPr>
        <w:pageBreakBefore w:val="0"/>
        <w:widowControl w:val="0"/>
        <w:kinsoku/>
        <w:wordWrap/>
        <w:overflowPunct/>
        <w:topLinePunct w:val="0"/>
        <w:autoSpaceDE w:val="0"/>
        <w:autoSpaceDN w:val="0"/>
        <w:bidi w:val="0"/>
        <w:adjustRightInd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1.7.2 发包人和承包人应在专用合同条款中约定各自的送达接收人和送达地点。任何一方合同当事人指定的接收人或送达地点发生变动的，应提前3天以书面形式通知对方。</w:t>
      </w:r>
    </w:p>
    <w:p w14:paraId="4510B7DF">
      <w:pPr>
        <w:pageBreakBefore w:val="0"/>
        <w:widowControl w:val="0"/>
        <w:kinsoku/>
        <w:wordWrap/>
        <w:overflowPunct/>
        <w:topLinePunct w:val="0"/>
        <w:autoSpaceDE w:val="0"/>
        <w:autoSpaceDN w:val="0"/>
        <w:bidi w:val="0"/>
        <w:adjustRightInd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1.7.3 发包人和承包人应当及时签收另一方送达至送达地点和指定接收人的来往信函。拒不签收的，由此增加的费用和（或）延误的工期由拒绝接收一方承担。</w:t>
      </w:r>
    </w:p>
    <w:p w14:paraId="1B3F4B62">
      <w:pPr>
        <w:pageBreakBefore w:val="0"/>
        <w:widowControl w:val="0"/>
        <w:kinsoku/>
        <w:wordWrap/>
        <w:overflowPunct/>
        <w:topLinePunct w:val="0"/>
        <w:bidi w:val="0"/>
        <w:snapToGrid/>
        <w:spacing w:before="120" w:after="120" w:line="480" w:lineRule="exact"/>
        <w:ind w:firstLine="480" w:firstLineChars="200"/>
        <w:textAlignment w:val="auto"/>
        <w:outlineLvl w:val="9"/>
        <w:rPr>
          <w:rFonts w:hint="eastAsia" w:ascii="宋体" w:hAnsi="宋体" w:eastAsia="宋体" w:cs="宋体"/>
          <w:b w:val="0"/>
          <w:sz w:val="24"/>
          <w:szCs w:val="24"/>
        </w:rPr>
      </w:pPr>
      <w:bookmarkStart w:id="632" w:name="_Toc351203503"/>
      <w:r>
        <w:rPr>
          <w:rFonts w:hint="eastAsia" w:ascii="宋体" w:hAnsi="宋体" w:eastAsia="宋体" w:cs="宋体"/>
          <w:b w:val="0"/>
          <w:sz w:val="24"/>
          <w:szCs w:val="24"/>
        </w:rPr>
        <w:t>1</w:t>
      </w:r>
      <w:bookmarkStart w:id="633" w:name="_Toc296346536"/>
      <w:bookmarkStart w:id="634" w:name="_Toc337558734"/>
      <w:bookmarkStart w:id="635" w:name="_Toc296503035"/>
      <w:r>
        <w:rPr>
          <w:rFonts w:hint="eastAsia" w:ascii="宋体" w:hAnsi="宋体" w:eastAsia="宋体" w:cs="宋体"/>
          <w:b w:val="0"/>
          <w:sz w:val="24"/>
          <w:szCs w:val="24"/>
        </w:rPr>
        <w:t>.8严禁贿赂</w:t>
      </w:r>
      <w:bookmarkEnd w:id="632"/>
    </w:p>
    <w:bookmarkEnd w:id="633"/>
    <w:bookmarkEnd w:id="634"/>
    <w:bookmarkEnd w:id="635"/>
    <w:p w14:paraId="0ED554C1">
      <w:pPr>
        <w:pageBreakBefore w:val="0"/>
        <w:widowControl w:val="0"/>
        <w:kinsoku/>
        <w:wordWrap/>
        <w:overflowPunct/>
        <w:topLinePunct w:val="0"/>
        <w:autoSpaceDE w:val="0"/>
        <w:autoSpaceDN w:val="0"/>
        <w:bidi w:val="0"/>
        <w:adjustRightInd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合同当事人不得以贿赂或变相贿赂的方式，谋取非法利益或损害对方权益。因一方合同当事人的贿赂造成对方损失的，应赔偿损失，并承担相应的法律责任。</w:t>
      </w:r>
    </w:p>
    <w:p w14:paraId="2937C5B8">
      <w:pPr>
        <w:pageBreakBefore w:val="0"/>
        <w:widowControl w:val="0"/>
        <w:kinsoku/>
        <w:wordWrap/>
        <w:overflowPunct/>
        <w:topLinePunct w:val="0"/>
        <w:autoSpaceDE w:val="0"/>
        <w:autoSpaceDN w:val="0"/>
        <w:bidi w:val="0"/>
        <w:adjustRightInd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承包人不得与监理人或发包人聘请的第三方串通损害发包人利益。未经发包人书面同意，承包人不得为监理人提供合同约定以外的通讯设备、交通工具及其他任何形式的利益，不得向监理人支付报酬。</w:t>
      </w:r>
    </w:p>
    <w:p w14:paraId="17B72795">
      <w:pPr>
        <w:pageBreakBefore w:val="0"/>
        <w:widowControl w:val="0"/>
        <w:kinsoku/>
        <w:wordWrap/>
        <w:overflowPunct/>
        <w:topLinePunct w:val="0"/>
        <w:bidi w:val="0"/>
        <w:snapToGrid/>
        <w:spacing w:before="120" w:after="120" w:line="480" w:lineRule="exact"/>
        <w:ind w:firstLine="480" w:firstLineChars="200"/>
        <w:textAlignment w:val="auto"/>
        <w:outlineLvl w:val="9"/>
        <w:rPr>
          <w:rFonts w:hint="eastAsia" w:ascii="宋体" w:hAnsi="宋体" w:eastAsia="宋体" w:cs="宋体"/>
          <w:b w:val="0"/>
          <w:sz w:val="24"/>
          <w:szCs w:val="24"/>
        </w:rPr>
      </w:pPr>
      <w:bookmarkStart w:id="636" w:name="_Toc351203504"/>
      <w:r>
        <w:rPr>
          <w:rFonts w:hint="eastAsia" w:ascii="宋体" w:hAnsi="宋体" w:eastAsia="宋体" w:cs="宋体"/>
          <w:b w:val="0"/>
          <w:sz w:val="24"/>
          <w:szCs w:val="24"/>
        </w:rPr>
        <w:t>1</w:t>
      </w:r>
      <w:bookmarkStart w:id="637" w:name="_Toc296503036"/>
      <w:bookmarkStart w:id="638" w:name="_Toc296346537"/>
      <w:bookmarkStart w:id="639" w:name="_Toc337558735"/>
      <w:r>
        <w:rPr>
          <w:rFonts w:hint="eastAsia" w:ascii="宋体" w:hAnsi="宋体" w:eastAsia="宋体" w:cs="宋体"/>
          <w:b w:val="0"/>
          <w:sz w:val="24"/>
          <w:szCs w:val="24"/>
        </w:rPr>
        <w:t>.9化石、文物</w:t>
      </w:r>
      <w:bookmarkEnd w:id="636"/>
    </w:p>
    <w:bookmarkEnd w:id="637"/>
    <w:bookmarkEnd w:id="638"/>
    <w:bookmarkEnd w:id="639"/>
    <w:p w14:paraId="7DBDE50E">
      <w:pPr>
        <w:pageBreakBefore w:val="0"/>
        <w:widowControl w:val="0"/>
        <w:kinsoku/>
        <w:wordWrap/>
        <w:overflowPunct/>
        <w:topLinePunct w:val="0"/>
        <w:autoSpaceDE w:val="0"/>
        <w:autoSpaceDN w:val="0"/>
        <w:bidi w:val="0"/>
        <w:adjustRightInd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在施工现场发掘的所有文物、古迹以及具有地质研究或考古价值的其他遗迹、化石、钱币或物品属于国家所有。一旦发现上述文物，承包人应采取合理有效的保护措施，防止任何人员移动或损坏上述物品，并立即报告有关政府行政管理部门，同时通知监理人。</w:t>
      </w:r>
    </w:p>
    <w:p w14:paraId="690EC1EA">
      <w:pPr>
        <w:pageBreakBefore w:val="0"/>
        <w:widowControl w:val="0"/>
        <w:kinsoku/>
        <w:wordWrap/>
        <w:overflowPunct/>
        <w:topLinePunct w:val="0"/>
        <w:autoSpaceDE w:val="0"/>
        <w:autoSpaceDN w:val="0"/>
        <w:bidi w:val="0"/>
        <w:adjustRightInd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发包人、监理人和承包人应按有关政府行政管理部门要求采取妥善的保护措施，由此增加的费用和（或）延误的工期由发包人承担。</w:t>
      </w:r>
    </w:p>
    <w:p w14:paraId="3A9C38A2">
      <w:pPr>
        <w:pageBreakBefore w:val="0"/>
        <w:widowControl w:val="0"/>
        <w:kinsoku/>
        <w:wordWrap/>
        <w:overflowPunct/>
        <w:topLinePunct w:val="0"/>
        <w:autoSpaceDE w:val="0"/>
        <w:autoSpaceDN w:val="0"/>
        <w:bidi w:val="0"/>
        <w:adjustRightInd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承包人发现文物后不及时报告或隐瞒不报，致使文物丢失或损坏的，应赔偿损失，并承担相应的法律责任。</w:t>
      </w:r>
    </w:p>
    <w:p w14:paraId="61D244B8">
      <w:pPr>
        <w:pageBreakBefore w:val="0"/>
        <w:widowControl w:val="0"/>
        <w:kinsoku/>
        <w:wordWrap/>
        <w:overflowPunct/>
        <w:topLinePunct w:val="0"/>
        <w:bidi w:val="0"/>
        <w:snapToGrid/>
        <w:spacing w:before="120" w:after="120" w:line="480" w:lineRule="exact"/>
        <w:ind w:firstLine="480" w:firstLineChars="200"/>
        <w:textAlignment w:val="auto"/>
        <w:outlineLvl w:val="9"/>
        <w:rPr>
          <w:rFonts w:hint="eastAsia" w:ascii="宋体" w:hAnsi="宋体" w:eastAsia="宋体" w:cs="宋体"/>
          <w:b w:val="0"/>
          <w:sz w:val="24"/>
          <w:szCs w:val="24"/>
        </w:rPr>
      </w:pPr>
      <w:bookmarkStart w:id="640" w:name="_Toc351203505"/>
      <w:r>
        <w:rPr>
          <w:rFonts w:hint="eastAsia" w:ascii="宋体" w:hAnsi="宋体" w:eastAsia="宋体" w:cs="宋体"/>
          <w:b w:val="0"/>
          <w:sz w:val="24"/>
          <w:szCs w:val="24"/>
        </w:rPr>
        <w:t>1</w:t>
      </w:r>
      <w:bookmarkStart w:id="641" w:name="_Toc337558736"/>
      <w:r>
        <w:rPr>
          <w:rFonts w:hint="eastAsia" w:ascii="宋体" w:hAnsi="宋体" w:eastAsia="宋体" w:cs="宋体"/>
          <w:b w:val="0"/>
          <w:sz w:val="24"/>
          <w:szCs w:val="24"/>
        </w:rPr>
        <w:t>.10交通运输</w:t>
      </w:r>
      <w:bookmarkEnd w:id="640"/>
    </w:p>
    <w:bookmarkEnd w:id="641"/>
    <w:p w14:paraId="13103ABF">
      <w:pPr>
        <w:pageBreakBefore w:val="0"/>
        <w:widowControl w:val="0"/>
        <w:kinsoku/>
        <w:wordWrap/>
        <w:overflowPunct/>
        <w:topLinePunct w:val="0"/>
        <w:bidi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1.10.1 出入现场的权利</w:t>
      </w:r>
    </w:p>
    <w:p w14:paraId="1B76532B">
      <w:pPr>
        <w:pageBreakBefore w:val="0"/>
        <w:widowControl w:val="0"/>
        <w:kinsoku/>
        <w:wordWrap/>
        <w:overflowPunct/>
        <w:topLinePunct w:val="0"/>
        <w:bidi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除专用合同条款另有约定外，发包人应根据施工需要，负责取得出入施工现场所需的批准手续和全部权利，以及取得因施工所需修建道路、桥梁以及其他基础设施的权利，并承担相关手续费用和建设费用。承包人应协助发包人办理修建场内外道路、桥梁以及其他基础设施的手续。</w:t>
      </w:r>
    </w:p>
    <w:p w14:paraId="2401FE81">
      <w:pPr>
        <w:pageBreakBefore w:val="0"/>
        <w:widowControl w:val="0"/>
        <w:kinsoku/>
        <w:wordWrap/>
        <w:overflowPunct/>
        <w:topLinePunct w:val="0"/>
        <w:bidi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承包人应在订立合同前查勘施工现场，并根据工程规模及技术参数合理预见工程施工所需的进出施工现场的方式、手段、路径等。因承包人未合理预见所增加的费用和（或）延误的工期由承包人承担。</w:t>
      </w:r>
    </w:p>
    <w:p w14:paraId="269AA296">
      <w:pPr>
        <w:pageBreakBefore w:val="0"/>
        <w:widowControl w:val="0"/>
        <w:kinsoku/>
        <w:wordWrap/>
        <w:overflowPunct/>
        <w:topLinePunct w:val="0"/>
        <w:bidi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1.10.2 场外交通</w:t>
      </w:r>
    </w:p>
    <w:p w14:paraId="481E5149">
      <w:pPr>
        <w:pageBreakBefore w:val="0"/>
        <w:widowControl w:val="0"/>
        <w:kinsoku/>
        <w:wordWrap/>
        <w:overflowPunct/>
        <w:topLinePunct w:val="0"/>
        <w:bidi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发包人应提供场外交通设施的技术参数和具体条件，承包人应遵守有关交通法规，严格按照道路和桥梁的限制荷载行驶，执行有关道路限速、限行、禁止超载的规定，并配合交通管理部门的监督和检查。场外交通设施无法满足工程施工需要的，由发包人负责完善并承担相关费用。</w:t>
      </w:r>
    </w:p>
    <w:p w14:paraId="10D94403">
      <w:pPr>
        <w:pageBreakBefore w:val="0"/>
        <w:widowControl w:val="0"/>
        <w:kinsoku/>
        <w:wordWrap/>
        <w:overflowPunct/>
        <w:topLinePunct w:val="0"/>
        <w:bidi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1.10.3场内交通</w:t>
      </w:r>
    </w:p>
    <w:p w14:paraId="3C818239">
      <w:pPr>
        <w:pageBreakBefore w:val="0"/>
        <w:widowControl w:val="0"/>
        <w:kinsoku/>
        <w:wordWrap/>
        <w:overflowPunct/>
        <w:topLinePunct w:val="0"/>
        <w:bidi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发包人应提供场内交通设施的技术参数和具体条件，并应按照专用合同条款的约定向承包人免费提供满足工程施工所需的场内道路和交通设施。因承包人原因造成上述道路或交通设施损坏的，承包人负责修复并承担由此增加的费用。</w:t>
      </w:r>
    </w:p>
    <w:p w14:paraId="54E063DE">
      <w:pPr>
        <w:pageBreakBefore w:val="0"/>
        <w:widowControl w:val="0"/>
        <w:kinsoku/>
        <w:wordWrap/>
        <w:overflowPunct/>
        <w:topLinePunct w:val="0"/>
        <w:bidi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除发包人按照合同约定提供的场内道路和交通设施外，承包人负责修建、维修、养护和管理施工所需的其他场内临时道路和交通设施。发包人和监理人可以为实现合同目的使用承包人修建的场内临时道路和交通设施。</w:t>
      </w:r>
    </w:p>
    <w:p w14:paraId="4C7FCC0B">
      <w:pPr>
        <w:pageBreakBefore w:val="0"/>
        <w:widowControl w:val="0"/>
        <w:kinsoku/>
        <w:wordWrap/>
        <w:overflowPunct/>
        <w:topLinePunct w:val="0"/>
        <w:bidi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场外交通和场内交通的边界由合同当事人在专用合同条款中约定。</w:t>
      </w:r>
    </w:p>
    <w:p w14:paraId="622D5EEB">
      <w:pPr>
        <w:pageBreakBefore w:val="0"/>
        <w:widowControl w:val="0"/>
        <w:kinsoku/>
        <w:wordWrap/>
        <w:overflowPunct/>
        <w:topLinePunct w:val="0"/>
        <w:bidi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1.10.4 超大件和超重件的运输</w:t>
      </w:r>
    </w:p>
    <w:p w14:paraId="52F60415">
      <w:pPr>
        <w:pageBreakBefore w:val="0"/>
        <w:widowControl w:val="0"/>
        <w:kinsoku/>
        <w:wordWrap/>
        <w:overflowPunct/>
        <w:topLinePunct w:val="0"/>
        <w:bidi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由承包人负责运输的超大件或超重件，应由承包人负责向交通管理部门办理申请手续，发包人给予协助。运输超大件或超重件所需的道路和桥梁临时加固改造费用和其他有关费用，由承包人承担，但专用合同条款另有约定除外。</w:t>
      </w:r>
    </w:p>
    <w:p w14:paraId="34AC0BB3">
      <w:pPr>
        <w:pageBreakBefore w:val="0"/>
        <w:widowControl w:val="0"/>
        <w:kinsoku/>
        <w:wordWrap/>
        <w:overflowPunct/>
        <w:topLinePunct w:val="0"/>
        <w:bidi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1.10.5 道路和桥梁的损坏责任</w:t>
      </w:r>
    </w:p>
    <w:p w14:paraId="31222064">
      <w:pPr>
        <w:pageBreakBefore w:val="0"/>
        <w:widowControl w:val="0"/>
        <w:kinsoku/>
        <w:wordWrap/>
        <w:overflowPunct/>
        <w:topLinePunct w:val="0"/>
        <w:bidi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因承包人运输造成施工场地内外公共道路和桥梁损坏的，由承包人承担修复损坏的全部费用和可能引起的赔偿。</w:t>
      </w:r>
    </w:p>
    <w:p w14:paraId="099E76F0">
      <w:pPr>
        <w:pageBreakBefore w:val="0"/>
        <w:widowControl w:val="0"/>
        <w:kinsoku/>
        <w:wordWrap/>
        <w:overflowPunct/>
        <w:topLinePunct w:val="0"/>
        <w:bidi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1.10.6 水路和航空运输</w:t>
      </w:r>
    </w:p>
    <w:p w14:paraId="2E708C63">
      <w:pPr>
        <w:pageBreakBefore w:val="0"/>
        <w:widowControl w:val="0"/>
        <w:kinsoku/>
        <w:wordWrap/>
        <w:overflowPunct/>
        <w:topLinePunct w:val="0"/>
        <w:bidi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本款前述各项的内容适用于水路运输和航空运输，其中“道路”一词的涵义包括河道、航线、船闸、机场、码头、堤防以及水路或航空运输中其他相似结构物；“车辆”一词的涵义包括船舶和飞机等。</w:t>
      </w:r>
    </w:p>
    <w:p w14:paraId="1276A7C8">
      <w:pPr>
        <w:pageBreakBefore w:val="0"/>
        <w:widowControl w:val="0"/>
        <w:kinsoku/>
        <w:wordWrap/>
        <w:overflowPunct/>
        <w:topLinePunct w:val="0"/>
        <w:bidi w:val="0"/>
        <w:snapToGrid/>
        <w:spacing w:before="120" w:after="120" w:line="480" w:lineRule="exact"/>
        <w:ind w:firstLine="480" w:firstLineChars="200"/>
        <w:textAlignment w:val="auto"/>
        <w:outlineLvl w:val="9"/>
        <w:rPr>
          <w:rFonts w:hint="eastAsia" w:ascii="宋体" w:hAnsi="宋体" w:eastAsia="宋体" w:cs="宋体"/>
          <w:b w:val="0"/>
          <w:sz w:val="24"/>
          <w:szCs w:val="24"/>
        </w:rPr>
      </w:pPr>
      <w:bookmarkStart w:id="642" w:name="_Toc351203506"/>
      <w:r>
        <w:rPr>
          <w:rFonts w:hint="eastAsia" w:ascii="宋体" w:hAnsi="宋体" w:eastAsia="宋体" w:cs="宋体"/>
          <w:b w:val="0"/>
          <w:sz w:val="24"/>
          <w:szCs w:val="24"/>
        </w:rPr>
        <w:t>1</w:t>
      </w:r>
      <w:bookmarkStart w:id="643" w:name="_Toc337558737"/>
      <w:bookmarkStart w:id="644" w:name="_Toc296503037"/>
      <w:bookmarkStart w:id="645" w:name="_Toc296346538"/>
      <w:r>
        <w:rPr>
          <w:rFonts w:hint="eastAsia" w:ascii="宋体" w:hAnsi="宋体" w:eastAsia="宋体" w:cs="宋体"/>
          <w:b w:val="0"/>
          <w:sz w:val="24"/>
          <w:szCs w:val="24"/>
        </w:rPr>
        <w:t>.11知识产权</w:t>
      </w:r>
      <w:bookmarkEnd w:id="642"/>
      <w:r>
        <w:rPr>
          <w:rFonts w:hint="eastAsia" w:ascii="宋体" w:hAnsi="宋体" w:eastAsia="宋体" w:cs="宋体"/>
          <w:b w:val="0"/>
          <w:sz w:val="24"/>
          <w:szCs w:val="24"/>
        </w:rPr>
        <w:t xml:space="preserve"> </w:t>
      </w:r>
      <w:bookmarkEnd w:id="643"/>
    </w:p>
    <w:bookmarkEnd w:id="644"/>
    <w:bookmarkEnd w:id="645"/>
    <w:p w14:paraId="181EEBC2">
      <w:pPr>
        <w:pageBreakBefore w:val="0"/>
        <w:widowControl w:val="0"/>
        <w:kinsoku/>
        <w:wordWrap/>
        <w:overflowPunct/>
        <w:topLinePunct w:val="0"/>
        <w:autoSpaceDE w:val="0"/>
        <w:autoSpaceDN w:val="0"/>
        <w:bidi w:val="0"/>
        <w:adjustRightInd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1.11.1 除专用合同条款另有约定外，发包人提供给承包人的图纸、发包人为实施工程自行编制或委托编制的技术规范以及反映发包人要求的或其他类似性质的文件的著作权属于发包人，承包人可以为实现合同目的而复制、使用此类文件，但不能用于与合同无关的其他事项。未经发包人书面同意，承包人不得为了合同以外的目的而复制、使用上述文件或将之提供给任何第三方。</w:t>
      </w:r>
    </w:p>
    <w:p w14:paraId="1B110E24">
      <w:pPr>
        <w:pageBreakBefore w:val="0"/>
        <w:widowControl w:val="0"/>
        <w:kinsoku/>
        <w:wordWrap/>
        <w:overflowPunct/>
        <w:topLinePunct w:val="0"/>
        <w:autoSpaceDE w:val="0"/>
        <w:autoSpaceDN w:val="0"/>
        <w:bidi w:val="0"/>
        <w:adjustRightInd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1.11.2 除专用合同条款另有约定外，承包人为实施工程所编制的文件，除署名权以外的著作权属于发包人，承包人可因实施工程的运行、调试、维修、改造等目的而复制、使用此类文件，但不能用于与合同无关的其他事项。未经发包人书面同意，承包人不得为了合同以外的目的而复制、使用上述文件或将之提供给任何第三方。</w:t>
      </w:r>
    </w:p>
    <w:p w14:paraId="0F4F002D">
      <w:pPr>
        <w:pageBreakBefore w:val="0"/>
        <w:widowControl w:val="0"/>
        <w:kinsoku/>
        <w:wordWrap/>
        <w:overflowPunct/>
        <w:topLinePunct w:val="0"/>
        <w:autoSpaceDE w:val="0"/>
        <w:autoSpaceDN w:val="0"/>
        <w:bidi w:val="0"/>
        <w:adjustRightInd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1.11.3 合同当事人保证在履行合同过程中不侵犯对方及第三方的知识产权。承包人在使用材料、施工设备、工程设备或采用施工工艺时，因侵犯他人的专利权或其他知识产权所引起的责任，由承包人承担；因发包人提供的材料、施工设备、工程设备或施工工艺导致侵权的，由发包人承担责任。</w:t>
      </w:r>
    </w:p>
    <w:p w14:paraId="14348BBB">
      <w:pPr>
        <w:pageBreakBefore w:val="0"/>
        <w:widowControl w:val="0"/>
        <w:kinsoku/>
        <w:wordWrap/>
        <w:overflowPunct/>
        <w:topLinePunct w:val="0"/>
        <w:bidi w:val="0"/>
        <w:snapToGrid/>
        <w:spacing w:line="480" w:lineRule="exact"/>
        <w:textAlignment w:val="auto"/>
        <w:outlineLvl w:val="9"/>
        <w:rPr>
          <w:rFonts w:hint="eastAsia" w:ascii="宋体" w:hAnsi="宋体" w:eastAsia="宋体" w:cs="宋体"/>
          <w:sz w:val="24"/>
        </w:rPr>
      </w:pPr>
      <w:r>
        <w:rPr>
          <w:rFonts w:hint="eastAsia" w:ascii="宋体" w:hAnsi="宋体" w:eastAsia="宋体" w:cs="宋体"/>
          <w:kern w:val="0"/>
          <w:sz w:val="24"/>
        </w:rPr>
        <w:t xml:space="preserve">    </w:t>
      </w:r>
      <w:r>
        <w:rPr>
          <w:rFonts w:hint="eastAsia" w:ascii="宋体" w:hAnsi="宋体" w:eastAsia="宋体" w:cs="宋体"/>
          <w:sz w:val="24"/>
        </w:rPr>
        <w:t>1.11.4 除专用合同条款另有约定外，承包人在合同签订前和签订时已确定采用的专利、专有技术、技术秘密的使用费已包含在签约合同价中。</w:t>
      </w:r>
    </w:p>
    <w:p w14:paraId="44378A32">
      <w:pPr>
        <w:pageBreakBefore w:val="0"/>
        <w:widowControl w:val="0"/>
        <w:kinsoku/>
        <w:wordWrap/>
        <w:overflowPunct/>
        <w:topLinePunct w:val="0"/>
        <w:bidi w:val="0"/>
        <w:snapToGrid/>
        <w:spacing w:before="120" w:after="120" w:line="480" w:lineRule="exact"/>
        <w:ind w:firstLine="480" w:firstLineChars="200"/>
        <w:textAlignment w:val="auto"/>
        <w:outlineLvl w:val="9"/>
        <w:rPr>
          <w:rFonts w:hint="eastAsia" w:ascii="宋体" w:hAnsi="宋体" w:eastAsia="宋体" w:cs="宋体"/>
          <w:b w:val="0"/>
          <w:sz w:val="24"/>
          <w:szCs w:val="24"/>
        </w:rPr>
      </w:pPr>
      <w:bookmarkStart w:id="646" w:name="_Toc351203507"/>
      <w:r>
        <w:rPr>
          <w:rFonts w:hint="eastAsia" w:ascii="宋体" w:hAnsi="宋体" w:eastAsia="宋体" w:cs="宋体"/>
          <w:b w:val="0"/>
          <w:sz w:val="24"/>
          <w:szCs w:val="24"/>
        </w:rPr>
        <w:t>1</w:t>
      </w:r>
      <w:bookmarkStart w:id="647" w:name="_Toc337558738"/>
      <w:r>
        <w:rPr>
          <w:rFonts w:hint="eastAsia" w:ascii="宋体" w:hAnsi="宋体" w:eastAsia="宋体" w:cs="宋体"/>
          <w:b w:val="0"/>
          <w:sz w:val="24"/>
          <w:szCs w:val="24"/>
        </w:rPr>
        <w:t>.12保密</w:t>
      </w:r>
      <w:bookmarkEnd w:id="646"/>
    </w:p>
    <w:bookmarkEnd w:id="647"/>
    <w:p w14:paraId="74ABA581">
      <w:pPr>
        <w:pageBreakBefore w:val="0"/>
        <w:widowControl w:val="0"/>
        <w:kinsoku/>
        <w:wordWrap/>
        <w:overflowPunct/>
        <w:topLinePunct w:val="0"/>
        <w:autoSpaceDE w:val="0"/>
        <w:autoSpaceDN w:val="0"/>
        <w:bidi w:val="0"/>
        <w:adjustRightInd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除法律规定或合同另有约定外，未经发包人同意，承包人不得将发包人提供的图纸、文件以及声明需要保密的资料信息等商业秘密泄露给第三方。</w:t>
      </w:r>
    </w:p>
    <w:p w14:paraId="4498D852">
      <w:pPr>
        <w:pageBreakBefore w:val="0"/>
        <w:widowControl w:val="0"/>
        <w:kinsoku/>
        <w:wordWrap/>
        <w:overflowPunct/>
        <w:topLinePunct w:val="0"/>
        <w:autoSpaceDE w:val="0"/>
        <w:autoSpaceDN w:val="0"/>
        <w:bidi w:val="0"/>
        <w:adjustRightInd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除法律规定或合同另有约定外，未经承包人同意，发包人不得将承包人提供的技术秘密及声明需要保密的资料信息等商业秘密泄露给第三方。</w:t>
      </w:r>
    </w:p>
    <w:p w14:paraId="4B98A17D">
      <w:pPr>
        <w:pageBreakBefore w:val="0"/>
        <w:widowControl w:val="0"/>
        <w:kinsoku/>
        <w:wordWrap/>
        <w:overflowPunct/>
        <w:topLinePunct w:val="0"/>
        <w:bidi w:val="0"/>
        <w:snapToGrid/>
        <w:spacing w:before="120" w:after="120" w:line="480" w:lineRule="exact"/>
        <w:ind w:firstLine="480" w:firstLineChars="200"/>
        <w:textAlignment w:val="auto"/>
        <w:outlineLvl w:val="9"/>
        <w:rPr>
          <w:rFonts w:hint="eastAsia" w:ascii="宋体" w:hAnsi="宋体" w:eastAsia="宋体" w:cs="宋体"/>
          <w:b w:val="0"/>
          <w:sz w:val="24"/>
          <w:szCs w:val="24"/>
        </w:rPr>
      </w:pPr>
      <w:bookmarkStart w:id="648" w:name="_Toc351203508"/>
      <w:r>
        <w:rPr>
          <w:rFonts w:hint="eastAsia" w:ascii="宋体" w:hAnsi="宋体" w:eastAsia="宋体" w:cs="宋体"/>
          <w:b w:val="0"/>
          <w:sz w:val="24"/>
          <w:szCs w:val="24"/>
        </w:rPr>
        <w:t>1.13工程量清单错误的修正</w:t>
      </w:r>
      <w:bookmarkEnd w:id="648"/>
    </w:p>
    <w:p w14:paraId="14BFDEB1">
      <w:pPr>
        <w:pageBreakBefore w:val="0"/>
        <w:widowControl w:val="0"/>
        <w:kinsoku/>
        <w:wordWrap/>
        <w:overflowPunct/>
        <w:topLinePunct w:val="0"/>
        <w:autoSpaceDE w:val="0"/>
        <w:autoSpaceDN w:val="0"/>
        <w:bidi w:val="0"/>
        <w:adjustRightInd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除专用合同条款另有约定外，发包人提供的工程量清单，应被认为是准确的和完整的。出现下列情形之一时，发包人应予以修正，并相应调整合同价格：</w:t>
      </w:r>
    </w:p>
    <w:p w14:paraId="4461CA50">
      <w:pPr>
        <w:pageBreakBefore w:val="0"/>
        <w:widowControl w:val="0"/>
        <w:kinsoku/>
        <w:wordWrap/>
        <w:overflowPunct/>
        <w:topLinePunct w:val="0"/>
        <w:autoSpaceDE w:val="0"/>
        <w:autoSpaceDN w:val="0"/>
        <w:bidi w:val="0"/>
        <w:adjustRightInd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（1）工程量清单存在错项、缺项、漏项的；</w:t>
      </w:r>
    </w:p>
    <w:p w14:paraId="5060C682">
      <w:pPr>
        <w:pageBreakBefore w:val="0"/>
        <w:widowControl w:val="0"/>
        <w:kinsoku/>
        <w:wordWrap/>
        <w:overflowPunct/>
        <w:topLinePunct w:val="0"/>
        <w:autoSpaceDE w:val="0"/>
        <w:autoSpaceDN w:val="0"/>
        <w:bidi w:val="0"/>
        <w:adjustRightInd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（2）工程量清单偏差超出专用合同条款约定的工程量偏差范围的；</w:t>
      </w:r>
    </w:p>
    <w:p w14:paraId="2C37537E">
      <w:pPr>
        <w:pageBreakBefore w:val="0"/>
        <w:widowControl w:val="0"/>
        <w:kinsoku/>
        <w:wordWrap/>
        <w:overflowPunct/>
        <w:topLinePunct w:val="0"/>
        <w:autoSpaceDE w:val="0"/>
        <w:autoSpaceDN w:val="0"/>
        <w:bidi w:val="0"/>
        <w:adjustRightInd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（3）未按照国家现行计量规范强制性规定计量的。</w:t>
      </w:r>
    </w:p>
    <w:p w14:paraId="5D7BCBE5">
      <w:pPr>
        <w:pageBreakBefore w:val="0"/>
        <w:widowControl w:val="0"/>
        <w:kinsoku/>
        <w:wordWrap/>
        <w:overflowPunct/>
        <w:topLinePunct w:val="0"/>
        <w:bidi w:val="0"/>
        <w:snapToGrid/>
        <w:spacing w:before="120" w:after="120" w:line="480" w:lineRule="exact"/>
        <w:textAlignment w:val="auto"/>
        <w:outlineLvl w:val="9"/>
        <w:rPr>
          <w:rFonts w:hint="eastAsia" w:ascii="宋体" w:hAnsi="宋体" w:eastAsia="宋体" w:cs="宋体"/>
          <w:bCs w:val="0"/>
          <w:sz w:val="24"/>
          <w:szCs w:val="24"/>
        </w:rPr>
      </w:pPr>
      <w:bookmarkStart w:id="649" w:name="_Toc351203509"/>
      <w:r>
        <w:rPr>
          <w:rFonts w:hint="eastAsia" w:ascii="宋体" w:hAnsi="宋体" w:eastAsia="宋体" w:cs="宋体"/>
          <w:bCs w:val="0"/>
          <w:sz w:val="24"/>
          <w:szCs w:val="24"/>
        </w:rPr>
        <w:t>2</w:t>
      </w:r>
      <w:bookmarkStart w:id="650" w:name="_Toc337558739"/>
      <w:bookmarkStart w:id="651" w:name="_Toc296346539"/>
      <w:bookmarkStart w:id="652" w:name="_Toc296503038"/>
      <w:r>
        <w:rPr>
          <w:rFonts w:hint="eastAsia" w:ascii="宋体" w:hAnsi="宋体" w:eastAsia="宋体" w:cs="宋体"/>
          <w:bCs w:val="0"/>
          <w:sz w:val="24"/>
          <w:szCs w:val="24"/>
        </w:rPr>
        <w:t>. 发包人</w:t>
      </w:r>
      <w:bookmarkEnd w:id="649"/>
    </w:p>
    <w:bookmarkEnd w:id="650"/>
    <w:bookmarkEnd w:id="651"/>
    <w:bookmarkEnd w:id="652"/>
    <w:p w14:paraId="0781A8B5">
      <w:pPr>
        <w:pageBreakBefore w:val="0"/>
        <w:widowControl w:val="0"/>
        <w:kinsoku/>
        <w:wordWrap/>
        <w:overflowPunct/>
        <w:topLinePunct w:val="0"/>
        <w:bidi w:val="0"/>
        <w:snapToGrid/>
        <w:spacing w:before="120" w:after="120" w:line="480" w:lineRule="exact"/>
        <w:ind w:firstLine="480" w:firstLineChars="200"/>
        <w:textAlignment w:val="auto"/>
        <w:outlineLvl w:val="9"/>
        <w:rPr>
          <w:rFonts w:hint="eastAsia" w:ascii="宋体" w:hAnsi="宋体" w:eastAsia="宋体" w:cs="宋体"/>
          <w:b w:val="0"/>
          <w:sz w:val="24"/>
          <w:szCs w:val="24"/>
        </w:rPr>
      </w:pPr>
      <w:bookmarkStart w:id="653" w:name="_Toc351203510"/>
      <w:r>
        <w:rPr>
          <w:rFonts w:hint="eastAsia" w:ascii="宋体" w:hAnsi="宋体" w:eastAsia="宋体" w:cs="宋体"/>
          <w:b w:val="0"/>
          <w:sz w:val="24"/>
          <w:szCs w:val="24"/>
        </w:rPr>
        <w:t>2</w:t>
      </w:r>
      <w:bookmarkStart w:id="654" w:name="_Toc296503039"/>
      <w:bookmarkStart w:id="655" w:name="_Toc296346540"/>
      <w:bookmarkStart w:id="656" w:name="_Toc337558740"/>
      <w:r>
        <w:rPr>
          <w:rFonts w:hint="eastAsia" w:ascii="宋体" w:hAnsi="宋体" w:eastAsia="宋体" w:cs="宋体"/>
          <w:b w:val="0"/>
          <w:sz w:val="24"/>
          <w:szCs w:val="24"/>
        </w:rPr>
        <w:t>.1 许可或批准</w:t>
      </w:r>
      <w:bookmarkEnd w:id="653"/>
    </w:p>
    <w:p w14:paraId="4A8A0AA1">
      <w:pPr>
        <w:pageBreakBefore w:val="0"/>
        <w:widowControl w:val="0"/>
        <w:kinsoku/>
        <w:wordWrap/>
        <w:overflowPunct/>
        <w:topLinePunct w:val="0"/>
        <w:autoSpaceDE w:val="0"/>
        <w:autoSpaceDN w:val="0"/>
        <w:bidi w:val="0"/>
        <w:adjustRightInd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发包人应遵守法律，并办理法律规定由其办理的许可、批准或备案，包括但不限于建设用地规划许可证、建设工程规划许可证、建设工程施工许可证、施工所需临时用水、临时用电、中断道路交通、临时占用土地等许可和批准。发包人应协助承包人办理法律规定的有关施工证件和批件。</w:t>
      </w:r>
    </w:p>
    <w:p w14:paraId="3CC32E66">
      <w:pPr>
        <w:pageBreakBefore w:val="0"/>
        <w:widowControl w:val="0"/>
        <w:kinsoku/>
        <w:wordWrap/>
        <w:overflowPunct/>
        <w:topLinePunct w:val="0"/>
        <w:autoSpaceDE w:val="0"/>
        <w:autoSpaceDN w:val="0"/>
        <w:bidi w:val="0"/>
        <w:adjustRightInd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因发包人原因未能及时办理完毕前述许可、批准或备案，由发包人承担由此增加的费用和（或）延误的工期，并支付承包人合理的利润。</w:t>
      </w:r>
    </w:p>
    <w:p w14:paraId="1A9DE8D3">
      <w:pPr>
        <w:pageBreakBefore w:val="0"/>
        <w:widowControl w:val="0"/>
        <w:kinsoku/>
        <w:wordWrap/>
        <w:overflowPunct/>
        <w:topLinePunct w:val="0"/>
        <w:bidi w:val="0"/>
        <w:snapToGrid/>
        <w:spacing w:before="120" w:after="120" w:line="480" w:lineRule="exact"/>
        <w:ind w:firstLine="480" w:firstLineChars="200"/>
        <w:textAlignment w:val="auto"/>
        <w:outlineLvl w:val="9"/>
        <w:rPr>
          <w:rFonts w:hint="eastAsia" w:ascii="宋体" w:hAnsi="宋体" w:eastAsia="宋体" w:cs="宋体"/>
          <w:b w:val="0"/>
          <w:sz w:val="24"/>
          <w:szCs w:val="24"/>
        </w:rPr>
      </w:pPr>
      <w:bookmarkStart w:id="657" w:name="_Toc351203511"/>
      <w:r>
        <w:rPr>
          <w:rFonts w:hint="eastAsia" w:ascii="宋体" w:hAnsi="宋体" w:eastAsia="宋体" w:cs="宋体"/>
          <w:b w:val="0"/>
          <w:sz w:val="24"/>
          <w:szCs w:val="24"/>
        </w:rPr>
        <w:t>2.2 发包人代表</w:t>
      </w:r>
      <w:bookmarkEnd w:id="657"/>
    </w:p>
    <w:p w14:paraId="16220B4B">
      <w:pPr>
        <w:pageBreakBefore w:val="0"/>
        <w:widowControl w:val="0"/>
        <w:kinsoku/>
        <w:wordWrap/>
        <w:overflowPunct/>
        <w:topLinePunct w:val="0"/>
        <w:autoSpaceDE w:val="0"/>
        <w:autoSpaceDN w:val="0"/>
        <w:bidi w:val="0"/>
        <w:adjustRightInd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发包人应在专用合同条款中明确其派驻施工现场的发包人代表的姓名、职务、联系方式及授权范围等事项。发包人代表在发包人的授权范围内，负责处理合同履行过程中与发包人有关的具体事宜。发包人代表在授权范围内的行为由发包人承担法律责任。发包人更换发包人代表的，应提前7天书面通知承包人。</w:t>
      </w:r>
    </w:p>
    <w:p w14:paraId="39E46ECC">
      <w:pPr>
        <w:pageBreakBefore w:val="0"/>
        <w:widowControl w:val="0"/>
        <w:kinsoku/>
        <w:wordWrap/>
        <w:overflowPunct/>
        <w:topLinePunct w:val="0"/>
        <w:bidi w:val="0"/>
        <w:snapToGrid/>
        <w:spacing w:line="480" w:lineRule="exact"/>
        <w:ind w:firstLine="480" w:firstLineChars="200"/>
        <w:textAlignment w:val="auto"/>
        <w:outlineLvl w:val="9"/>
        <w:rPr>
          <w:rFonts w:hint="eastAsia" w:ascii="宋体" w:hAnsi="宋体" w:eastAsia="宋体" w:cs="宋体"/>
          <w:kern w:val="0"/>
          <w:sz w:val="24"/>
        </w:rPr>
      </w:pPr>
      <w:r>
        <w:rPr>
          <w:rFonts w:hint="eastAsia" w:ascii="宋体" w:hAnsi="宋体" w:eastAsia="宋体" w:cs="宋体"/>
          <w:kern w:val="0"/>
          <w:sz w:val="24"/>
        </w:rPr>
        <w:t>发包人代表不能按照合同约定履行其职责及义务，并导致合同无法继续正常履行的，承包人可以要求发包人撤换发包人代表。</w:t>
      </w:r>
    </w:p>
    <w:p w14:paraId="7824B65E">
      <w:pPr>
        <w:pageBreakBefore w:val="0"/>
        <w:widowControl w:val="0"/>
        <w:kinsoku/>
        <w:wordWrap/>
        <w:overflowPunct/>
        <w:topLinePunct w:val="0"/>
        <w:bidi w:val="0"/>
        <w:snapToGrid/>
        <w:spacing w:line="480" w:lineRule="exact"/>
        <w:ind w:firstLine="480" w:firstLineChars="200"/>
        <w:textAlignment w:val="auto"/>
        <w:outlineLvl w:val="9"/>
        <w:rPr>
          <w:rFonts w:hint="eastAsia" w:ascii="宋体" w:hAnsi="宋体" w:eastAsia="宋体" w:cs="宋体"/>
          <w:sz w:val="24"/>
        </w:rPr>
      </w:pPr>
      <w:r>
        <w:rPr>
          <w:rFonts w:hint="eastAsia" w:ascii="宋体" w:hAnsi="宋体" w:eastAsia="宋体" w:cs="宋体"/>
          <w:kern w:val="0"/>
          <w:sz w:val="24"/>
        </w:rPr>
        <w:t>不属于法定必须监理的工程，监理人的职权可以由发包人代表或发包人指定的其他人员行使。</w:t>
      </w:r>
    </w:p>
    <w:p w14:paraId="03894226">
      <w:pPr>
        <w:pageBreakBefore w:val="0"/>
        <w:widowControl w:val="0"/>
        <w:kinsoku/>
        <w:wordWrap/>
        <w:overflowPunct/>
        <w:topLinePunct w:val="0"/>
        <w:bidi w:val="0"/>
        <w:snapToGrid/>
        <w:spacing w:before="120" w:after="120" w:line="480" w:lineRule="exact"/>
        <w:ind w:firstLine="480" w:firstLineChars="200"/>
        <w:textAlignment w:val="auto"/>
        <w:outlineLvl w:val="9"/>
        <w:rPr>
          <w:rFonts w:hint="eastAsia" w:ascii="宋体" w:hAnsi="宋体" w:eastAsia="宋体" w:cs="宋体"/>
          <w:b w:val="0"/>
          <w:sz w:val="24"/>
          <w:szCs w:val="24"/>
        </w:rPr>
      </w:pPr>
      <w:bookmarkStart w:id="658" w:name="_Toc351203512"/>
      <w:r>
        <w:rPr>
          <w:rFonts w:hint="eastAsia" w:ascii="宋体" w:hAnsi="宋体" w:eastAsia="宋体" w:cs="宋体"/>
          <w:b w:val="0"/>
          <w:sz w:val="24"/>
          <w:szCs w:val="24"/>
        </w:rPr>
        <w:t>2.3 发包人人员</w:t>
      </w:r>
      <w:bookmarkEnd w:id="658"/>
    </w:p>
    <w:p w14:paraId="6E434815">
      <w:pPr>
        <w:pageBreakBefore w:val="0"/>
        <w:widowControl w:val="0"/>
        <w:kinsoku/>
        <w:wordWrap/>
        <w:overflowPunct/>
        <w:topLinePunct w:val="0"/>
        <w:autoSpaceDE w:val="0"/>
        <w:autoSpaceDN w:val="0"/>
        <w:bidi w:val="0"/>
        <w:adjustRightInd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发包人应要求在施工现场的发包人人员遵守法律及有关安全、质量、环境保护、文明施工等规定，并保障承包人免于承受因发包人人员未遵守上述要求给承包人造成的损失和责任。</w:t>
      </w:r>
    </w:p>
    <w:p w14:paraId="293D68D6">
      <w:pPr>
        <w:pageBreakBefore w:val="0"/>
        <w:widowControl w:val="0"/>
        <w:kinsoku/>
        <w:wordWrap/>
        <w:overflowPunct/>
        <w:topLinePunct w:val="0"/>
        <w:bidi w:val="0"/>
        <w:snapToGrid/>
        <w:spacing w:line="480" w:lineRule="exact"/>
        <w:ind w:firstLine="64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发包人人员包括发包人代表及其他由发包人派驻施工现场的人员。</w:t>
      </w:r>
      <w:bookmarkEnd w:id="654"/>
      <w:bookmarkEnd w:id="655"/>
      <w:bookmarkEnd w:id="656"/>
    </w:p>
    <w:p w14:paraId="6A8CAFFA">
      <w:pPr>
        <w:pageBreakBefore w:val="0"/>
        <w:widowControl w:val="0"/>
        <w:kinsoku/>
        <w:wordWrap/>
        <w:overflowPunct/>
        <w:topLinePunct w:val="0"/>
        <w:bidi w:val="0"/>
        <w:snapToGrid/>
        <w:spacing w:before="120" w:after="120" w:line="480" w:lineRule="exact"/>
        <w:ind w:firstLine="480" w:firstLineChars="200"/>
        <w:textAlignment w:val="auto"/>
        <w:outlineLvl w:val="9"/>
        <w:rPr>
          <w:rFonts w:hint="eastAsia" w:ascii="宋体" w:hAnsi="宋体" w:eastAsia="宋体" w:cs="宋体"/>
          <w:b w:val="0"/>
          <w:sz w:val="24"/>
          <w:szCs w:val="24"/>
        </w:rPr>
      </w:pPr>
      <w:bookmarkStart w:id="659" w:name="_Toc351203513"/>
      <w:r>
        <w:rPr>
          <w:rFonts w:hint="eastAsia" w:ascii="宋体" w:hAnsi="宋体" w:eastAsia="宋体" w:cs="宋体"/>
          <w:b w:val="0"/>
          <w:sz w:val="24"/>
          <w:szCs w:val="24"/>
        </w:rPr>
        <w:t>2</w:t>
      </w:r>
      <w:bookmarkStart w:id="660" w:name="_Toc337558741"/>
      <w:bookmarkStart w:id="661" w:name="_Toc296503040"/>
      <w:bookmarkStart w:id="662" w:name="_Toc296346541"/>
      <w:r>
        <w:rPr>
          <w:rFonts w:hint="eastAsia" w:ascii="宋体" w:hAnsi="宋体" w:eastAsia="宋体" w:cs="宋体"/>
          <w:b w:val="0"/>
          <w:sz w:val="24"/>
          <w:szCs w:val="24"/>
        </w:rPr>
        <w:t>.4 施工现场、施工条件和基础资料的提供</w:t>
      </w:r>
      <w:bookmarkEnd w:id="659"/>
      <w:r>
        <w:rPr>
          <w:rFonts w:hint="eastAsia" w:ascii="宋体" w:hAnsi="宋体" w:eastAsia="宋体" w:cs="宋体"/>
          <w:b w:val="0"/>
          <w:sz w:val="24"/>
          <w:szCs w:val="24"/>
        </w:rPr>
        <w:t xml:space="preserve"> </w:t>
      </w:r>
      <w:bookmarkEnd w:id="660"/>
      <w:bookmarkEnd w:id="661"/>
      <w:bookmarkEnd w:id="662"/>
      <w:r>
        <w:rPr>
          <w:rFonts w:hint="eastAsia" w:ascii="宋体" w:hAnsi="宋体" w:eastAsia="宋体" w:cs="宋体"/>
          <w:b w:val="0"/>
          <w:sz w:val="24"/>
          <w:szCs w:val="24"/>
        </w:rPr>
        <w:t xml:space="preserve"> </w:t>
      </w:r>
    </w:p>
    <w:p w14:paraId="4ABD7DE9">
      <w:pPr>
        <w:pageBreakBefore w:val="0"/>
        <w:widowControl w:val="0"/>
        <w:kinsoku/>
        <w:wordWrap/>
        <w:overflowPunct/>
        <w:topLinePunct w:val="0"/>
        <w:autoSpaceDE w:val="0"/>
        <w:autoSpaceDN w:val="0"/>
        <w:bidi w:val="0"/>
        <w:adjustRightInd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2.4.1 提供施工现场</w:t>
      </w:r>
    </w:p>
    <w:p w14:paraId="4135ABA5">
      <w:pPr>
        <w:pageBreakBefore w:val="0"/>
        <w:widowControl w:val="0"/>
        <w:kinsoku/>
        <w:wordWrap/>
        <w:overflowPunct/>
        <w:topLinePunct w:val="0"/>
        <w:autoSpaceDE w:val="0"/>
        <w:autoSpaceDN w:val="0"/>
        <w:bidi w:val="0"/>
        <w:adjustRightInd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除专用合同条款另有约定外，发包人应最迟于开工日期7天前向承包人移交施工现场。</w:t>
      </w:r>
    </w:p>
    <w:p w14:paraId="5B73D933">
      <w:pPr>
        <w:pageBreakBefore w:val="0"/>
        <w:widowControl w:val="0"/>
        <w:kinsoku/>
        <w:wordWrap/>
        <w:overflowPunct/>
        <w:topLinePunct w:val="0"/>
        <w:autoSpaceDE w:val="0"/>
        <w:autoSpaceDN w:val="0"/>
        <w:bidi w:val="0"/>
        <w:adjustRightInd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2.4.2 提供施工条件</w:t>
      </w:r>
    </w:p>
    <w:p w14:paraId="20D6773E">
      <w:pPr>
        <w:pageBreakBefore w:val="0"/>
        <w:widowControl w:val="0"/>
        <w:kinsoku/>
        <w:wordWrap/>
        <w:overflowPunct/>
        <w:topLinePunct w:val="0"/>
        <w:autoSpaceDE w:val="0"/>
        <w:autoSpaceDN w:val="0"/>
        <w:bidi w:val="0"/>
        <w:adjustRightInd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除专用合同条款另有约定外，发包人应负责提供施工所需要的条件，包括：</w:t>
      </w:r>
    </w:p>
    <w:p w14:paraId="4413E70B">
      <w:pPr>
        <w:pageBreakBefore w:val="0"/>
        <w:widowControl w:val="0"/>
        <w:kinsoku/>
        <w:wordWrap/>
        <w:overflowPunct/>
        <w:topLinePunct w:val="0"/>
        <w:autoSpaceDE w:val="0"/>
        <w:autoSpaceDN w:val="0"/>
        <w:bidi w:val="0"/>
        <w:adjustRightInd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（1）将施工用水、电力、通讯线路等施工所必需的条件接至施工现场内；</w:t>
      </w:r>
    </w:p>
    <w:p w14:paraId="1C72A3F7">
      <w:pPr>
        <w:pageBreakBefore w:val="0"/>
        <w:widowControl w:val="0"/>
        <w:kinsoku/>
        <w:wordWrap/>
        <w:overflowPunct/>
        <w:topLinePunct w:val="0"/>
        <w:autoSpaceDE w:val="0"/>
        <w:autoSpaceDN w:val="0"/>
        <w:bidi w:val="0"/>
        <w:adjustRightInd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（2）保证向承包人提供正常施工所需要的进入施工现场的交通条件；</w:t>
      </w:r>
    </w:p>
    <w:p w14:paraId="1263DAB1">
      <w:pPr>
        <w:pageBreakBefore w:val="0"/>
        <w:widowControl w:val="0"/>
        <w:kinsoku/>
        <w:wordWrap/>
        <w:overflowPunct/>
        <w:topLinePunct w:val="0"/>
        <w:autoSpaceDE w:val="0"/>
        <w:autoSpaceDN w:val="0"/>
        <w:bidi w:val="0"/>
        <w:adjustRightInd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（3）协调处理施工现场周围地下管线和邻近建筑物、构筑物、古树名木的保护工作，并承担相关费用；</w:t>
      </w:r>
    </w:p>
    <w:p w14:paraId="4334CD62">
      <w:pPr>
        <w:pageBreakBefore w:val="0"/>
        <w:widowControl w:val="0"/>
        <w:kinsoku/>
        <w:wordWrap/>
        <w:overflowPunct/>
        <w:topLinePunct w:val="0"/>
        <w:autoSpaceDE w:val="0"/>
        <w:autoSpaceDN w:val="0"/>
        <w:bidi w:val="0"/>
        <w:adjustRightInd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（4）按照专用合同条款约定应提供的其他设施和条件。</w:t>
      </w:r>
    </w:p>
    <w:p w14:paraId="0028E181">
      <w:pPr>
        <w:pageBreakBefore w:val="0"/>
        <w:widowControl w:val="0"/>
        <w:kinsoku/>
        <w:wordWrap/>
        <w:overflowPunct/>
        <w:topLinePunct w:val="0"/>
        <w:autoSpaceDE w:val="0"/>
        <w:autoSpaceDN w:val="0"/>
        <w:bidi w:val="0"/>
        <w:adjustRightInd w:val="0"/>
        <w:snapToGrid/>
        <w:spacing w:line="480" w:lineRule="exact"/>
        <w:ind w:firstLine="480" w:firstLineChars="200"/>
        <w:jc w:val="left"/>
        <w:textAlignment w:val="auto"/>
        <w:outlineLvl w:val="9"/>
        <w:rPr>
          <w:rFonts w:hint="eastAsia" w:ascii="宋体" w:hAnsi="宋体" w:eastAsia="宋体" w:cs="宋体"/>
          <w:sz w:val="24"/>
        </w:rPr>
      </w:pPr>
      <w:r>
        <w:rPr>
          <w:rFonts w:hint="eastAsia" w:ascii="宋体" w:hAnsi="宋体" w:eastAsia="宋体" w:cs="宋体"/>
          <w:kern w:val="0"/>
          <w:sz w:val="24"/>
        </w:rPr>
        <w:t>2.4.3 提供基础资料</w:t>
      </w:r>
    </w:p>
    <w:p w14:paraId="6B2EAADC">
      <w:pPr>
        <w:pageBreakBefore w:val="0"/>
        <w:widowControl w:val="0"/>
        <w:kinsoku/>
        <w:wordWrap/>
        <w:overflowPunct/>
        <w:topLinePunct w:val="0"/>
        <w:autoSpaceDE w:val="0"/>
        <w:autoSpaceDN w:val="0"/>
        <w:bidi w:val="0"/>
        <w:adjustRightInd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发包人应当在移交施工现场前向承包人提供施工现场及工程施工所必需的毗邻区域内供水、排水、供电、供气、供热、通信、广播电视等地下管线资料，气象和水文观测资料，地质勘察资料，相邻建筑物、构筑物和地下工程等有关基础资料，并对所提供资料的真实性、准确性和完整性负责。</w:t>
      </w:r>
    </w:p>
    <w:p w14:paraId="1E9526AB">
      <w:pPr>
        <w:pageBreakBefore w:val="0"/>
        <w:widowControl w:val="0"/>
        <w:kinsoku/>
        <w:wordWrap/>
        <w:overflowPunct/>
        <w:topLinePunct w:val="0"/>
        <w:autoSpaceDE w:val="0"/>
        <w:autoSpaceDN w:val="0"/>
        <w:bidi w:val="0"/>
        <w:adjustRightInd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按照法律规定确需在开工后方能提供的基础资料，发包人应尽其努力及时地在相应工程施工前的合理期限内提供，合理期限应以不影响承包人的正常施工为限。</w:t>
      </w:r>
    </w:p>
    <w:p w14:paraId="25705475">
      <w:pPr>
        <w:pageBreakBefore w:val="0"/>
        <w:widowControl w:val="0"/>
        <w:kinsoku/>
        <w:wordWrap/>
        <w:overflowPunct/>
        <w:topLinePunct w:val="0"/>
        <w:bidi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2.4.4 逾期提供的责任</w:t>
      </w:r>
    </w:p>
    <w:p w14:paraId="73D024A7">
      <w:pPr>
        <w:pageBreakBefore w:val="0"/>
        <w:widowControl w:val="0"/>
        <w:kinsoku/>
        <w:wordWrap/>
        <w:overflowPunct/>
        <w:topLinePunct w:val="0"/>
        <w:bidi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因发包人原因未能按合同约定及时向承包人提供施工现场、施工条件、基础资料的，由发包人承担由此增加的费用和（或）延误的工期。</w:t>
      </w:r>
    </w:p>
    <w:p w14:paraId="6B026315">
      <w:pPr>
        <w:pageBreakBefore w:val="0"/>
        <w:widowControl w:val="0"/>
        <w:kinsoku/>
        <w:wordWrap/>
        <w:overflowPunct/>
        <w:topLinePunct w:val="0"/>
        <w:bidi w:val="0"/>
        <w:snapToGrid/>
        <w:spacing w:before="120" w:after="120" w:line="480" w:lineRule="exact"/>
        <w:ind w:firstLine="480" w:firstLineChars="200"/>
        <w:textAlignment w:val="auto"/>
        <w:outlineLvl w:val="9"/>
        <w:rPr>
          <w:rFonts w:hint="eastAsia" w:ascii="宋体" w:hAnsi="宋体" w:eastAsia="宋体" w:cs="宋体"/>
          <w:b w:val="0"/>
          <w:sz w:val="24"/>
          <w:szCs w:val="24"/>
        </w:rPr>
      </w:pPr>
      <w:bookmarkStart w:id="663" w:name="_Toc351203514"/>
      <w:r>
        <w:rPr>
          <w:rFonts w:hint="eastAsia" w:ascii="宋体" w:hAnsi="宋体" w:eastAsia="宋体" w:cs="宋体"/>
          <w:b w:val="0"/>
          <w:sz w:val="24"/>
          <w:szCs w:val="24"/>
        </w:rPr>
        <w:t>2</w:t>
      </w:r>
      <w:bookmarkStart w:id="664" w:name="_Toc296346543"/>
      <w:bookmarkStart w:id="665" w:name="_Toc337558745"/>
      <w:bookmarkStart w:id="666" w:name="_Toc296503042"/>
      <w:r>
        <w:rPr>
          <w:rFonts w:hint="eastAsia" w:ascii="宋体" w:hAnsi="宋体" w:eastAsia="宋体" w:cs="宋体"/>
          <w:b w:val="0"/>
          <w:sz w:val="24"/>
          <w:szCs w:val="24"/>
        </w:rPr>
        <w:t>.5 资</w:t>
      </w:r>
      <w:bookmarkEnd w:id="664"/>
      <w:bookmarkEnd w:id="665"/>
      <w:bookmarkEnd w:id="666"/>
      <w:r>
        <w:rPr>
          <w:rFonts w:hint="eastAsia" w:ascii="宋体" w:hAnsi="宋体" w:eastAsia="宋体" w:cs="宋体"/>
          <w:b w:val="0"/>
          <w:sz w:val="24"/>
          <w:szCs w:val="24"/>
        </w:rPr>
        <w:t>金来源证明及支付担保</w:t>
      </w:r>
      <w:bookmarkEnd w:id="663"/>
    </w:p>
    <w:p w14:paraId="6901EFAB">
      <w:pPr>
        <w:pageBreakBefore w:val="0"/>
        <w:widowControl w:val="0"/>
        <w:kinsoku/>
        <w:wordWrap/>
        <w:overflowPunct/>
        <w:topLinePunct w:val="0"/>
        <w:bidi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除专用合同条款另有约定外，发包人应在收到承包人要求提供资金来源证明的书面通知后28天内，向承包人提供能够按照合同约定支付合同价款的相应资金来源证明。</w:t>
      </w:r>
    </w:p>
    <w:p w14:paraId="68A9E6B8">
      <w:pPr>
        <w:pageBreakBefore w:val="0"/>
        <w:widowControl w:val="0"/>
        <w:kinsoku/>
        <w:wordWrap/>
        <w:overflowPunct/>
        <w:topLinePunct w:val="0"/>
        <w:bidi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除专用合同条款另有约定外，发包人要求承包人提供履约担保的，发包人应当向承包人提供支付担保。支付担保可以采用银行保函或担保公司担保等形式，具体由合同当事人在专用合同条款中约定。</w:t>
      </w:r>
    </w:p>
    <w:p w14:paraId="6EDB6929">
      <w:pPr>
        <w:pageBreakBefore w:val="0"/>
        <w:widowControl w:val="0"/>
        <w:kinsoku/>
        <w:wordWrap/>
        <w:overflowPunct/>
        <w:topLinePunct w:val="0"/>
        <w:bidi w:val="0"/>
        <w:snapToGrid/>
        <w:spacing w:before="120" w:after="120" w:line="480" w:lineRule="exact"/>
        <w:ind w:firstLine="480" w:firstLineChars="200"/>
        <w:textAlignment w:val="auto"/>
        <w:outlineLvl w:val="9"/>
        <w:rPr>
          <w:rFonts w:hint="eastAsia" w:ascii="宋体" w:hAnsi="宋体" w:eastAsia="宋体" w:cs="宋体"/>
          <w:b w:val="0"/>
          <w:bCs w:val="0"/>
          <w:kern w:val="0"/>
          <w:sz w:val="24"/>
          <w:szCs w:val="24"/>
        </w:rPr>
      </w:pPr>
      <w:bookmarkStart w:id="667" w:name="_Toc351203515"/>
      <w:r>
        <w:rPr>
          <w:rFonts w:hint="eastAsia" w:ascii="宋体" w:hAnsi="宋体" w:eastAsia="宋体" w:cs="宋体"/>
          <w:b w:val="0"/>
          <w:bCs w:val="0"/>
          <w:kern w:val="0"/>
          <w:sz w:val="24"/>
          <w:szCs w:val="24"/>
        </w:rPr>
        <w:t>2.6 支付合同价款</w:t>
      </w:r>
      <w:bookmarkEnd w:id="667"/>
    </w:p>
    <w:p w14:paraId="1C1DE215">
      <w:pPr>
        <w:pageBreakBefore w:val="0"/>
        <w:widowControl w:val="0"/>
        <w:kinsoku/>
        <w:wordWrap/>
        <w:overflowPunct/>
        <w:topLinePunct w:val="0"/>
        <w:autoSpaceDE w:val="0"/>
        <w:autoSpaceDN w:val="0"/>
        <w:bidi w:val="0"/>
        <w:adjustRightInd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发包人应按合同约定向承包人及时支付合同价款。</w:t>
      </w:r>
    </w:p>
    <w:p w14:paraId="26648703">
      <w:pPr>
        <w:pageBreakBefore w:val="0"/>
        <w:widowControl w:val="0"/>
        <w:kinsoku/>
        <w:wordWrap/>
        <w:overflowPunct/>
        <w:topLinePunct w:val="0"/>
        <w:bidi w:val="0"/>
        <w:snapToGrid/>
        <w:spacing w:before="120" w:after="120" w:line="480" w:lineRule="exact"/>
        <w:ind w:firstLine="480" w:firstLineChars="200"/>
        <w:textAlignment w:val="auto"/>
        <w:outlineLvl w:val="9"/>
        <w:rPr>
          <w:rFonts w:hint="eastAsia" w:ascii="宋体" w:hAnsi="宋体" w:eastAsia="宋体" w:cs="宋体"/>
          <w:b w:val="0"/>
          <w:sz w:val="24"/>
          <w:szCs w:val="24"/>
        </w:rPr>
      </w:pPr>
      <w:bookmarkStart w:id="668" w:name="_Toc351203516"/>
      <w:r>
        <w:rPr>
          <w:rFonts w:hint="eastAsia" w:ascii="宋体" w:hAnsi="宋体" w:eastAsia="宋体" w:cs="宋体"/>
          <w:b w:val="0"/>
          <w:sz w:val="24"/>
          <w:szCs w:val="24"/>
        </w:rPr>
        <w:t>2.7 组织竣工验收</w:t>
      </w:r>
      <w:bookmarkEnd w:id="668"/>
    </w:p>
    <w:p w14:paraId="63AEA5CC">
      <w:pPr>
        <w:pageBreakBefore w:val="0"/>
        <w:widowControl w:val="0"/>
        <w:kinsoku/>
        <w:wordWrap/>
        <w:overflowPunct/>
        <w:topLinePunct w:val="0"/>
        <w:autoSpaceDE w:val="0"/>
        <w:autoSpaceDN w:val="0"/>
        <w:bidi w:val="0"/>
        <w:adjustRightInd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发包人应按合同约定及时组织竣工验收。</w:t>
      </w:r>
    </w:p>
    <w:p w14:paraId="6E3836B2">
      <w:pPr>
        <w:pageBreakBefore w:val="0"/>
        <w:widowControl w:val="0"/>
        <w:kinsoku/>
        <w:wordWrap/>
        <w:overflowPunct/>
        <w:topLinePunct w:val="0"/>
        <w:bidi w:val="0"/>
        <w:snapToGrid/>
        <w:spacing w:before="120" w:after="120" w:line="480" w:lineRule="exact"/>
        <w:ind w:firstLine="480" w:firstLineChars="200"/>
        <w:textAlignment w:val="auto"/>
        <w:outlineLvl w:val="9"/>
        <w:rPr>
          <w:rFonts w:hint="eastAsia" w:ascii="宋体" w:hAnsi="宋体" w:eastAsia="宋体" w:cs="宋体"/>
          <w:b w:val="0"/>
          <w:sz w:val="24"/>
          <w:szCs w:val="24"/>
        </w:rPr>
      </w:pPr>
      <w:bookmarkStart w:id="669" w:name="_Toc351203517"/>
      <w:r>
        <w:rPr>
          <w:rFonts w:hint="eastAsia" w:ascii="宋体" w:hAnsi="宋体" w:eastAsia="宋体" w:cs="宋体"/>
          <w:b w:val="0"/>
          <w:sz w:val="24"/>
          <w:szCs w:val="24"/>
        </w:rPr>
        <w:t>2.8 现场统一管理协议</w:t>
      </w:r>
      <w:bookmarkEnd w:id="669"/>
    </w:p>
    <w:p w14:paraId="1BF903A5">
      <w:pPr>
        <w:pageBreakBefore w:val="0"/>
        <w:widowControl w:val="0"/>
        <w:kinsoku/>
        <w:wordWrap/>
        <w:overflowPunct/>
        <w:topLinePunct w:val="0"/>
        <w:bidi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发包人应与承包人、由发包人直接发包的专业工程的承包人签订施工现场统一管理协议，明确各方的权利义务。施工现场统一管理协议作为专用合同条款的附件。</w:t>
      </w:r>
    </w:p>
    <w:p w14:paraId="2353FB6E">
      <w:pPr>
        <w:pageBreakBefore w:val="0"/>
        <w:widowControl w:val="0"/>
        <w:kinsoku/>
        <w:wordWrap/>
        <w:overflowPunct/>
        <w:topLinePunct w:val="0"/>
        <w:bidi w:val="0"/>
        <w:snapToGrid/>
        <w:spacing w:before="120" w:after="120" w:line="480" w:lineRule="exact"/>
        <w:textAlignment w:val="auto"/>
        <w:outlineLvl w:val="9"/>
        <w:rPr>
          <w:rFonts w:hint="eastAsia" w:ascii="宋体" w:hAnsi="宋体" w:eastAsia="宋体" w:cs="宋体"/>
          <w:bCs w:val="0"/>
          <w:sz w:val="24"/>
          <w:szCs w:val="24"/>
        </w:rPr>
      </w:pPr>
      <w:bookmarkStart w:id="670" w:name="_Toc351203518"/>
      <w:r>
        <w:rPr>
          <w:rFonts w:hint="eastAsia" w:ascii="宋体" w:hAnsi="宋体" w:eastAsia="宋体" w:cs="宋体"/>
          <w:bCs w:val="0"/>
          <w:sz w:val="24"/>
          <w:szCs w:val="24"/>
        </w:rPr>
        <w:t>3</w:t>
      </w:r>
      <w:bookmarkStart w:id="671" w:name="_Toc337558746"/>
      <w:bookmarkStart w:id="672" w:name="_Toc296346546"/>
      <w:bookmarkStart w:id="673" w:name="_Toc296503045"/>
      <w:r>
        <w:rPr>
          <w:rFonts w:hint="eastAsia" w:ascii="宋体" w:hAnsi="宋体" w:eastAsia="宋体" w:cs="宋体"/>
          <w:bCs w:val="0"/>
          <w:sz w:val="24"/>
          <w:szCs w:val="24"/>
        </w:rPr>
        <w:t>. 承包人</w:t>
      </w:r>
      <w:bookmarkEnd w:id="670"/>
    </w:p>
    <w:bookmarkEnd w:id="671"/>
    <w:bookmarkEnd w:id="672"/>
    <w:bookmarkEnd w:id="673"/>
    <w:p w14:paraId="373EDB13">
      <w:pPr>
        <w:pageBreakBefore w:val="0"/>
        <w:widowControl w:val="0"/>
        <w:kinsoku/>
        <w:wordWrap/>
        <w:overflowPunct/>
        <w:topLinePunct w:val="0"/>
        <w:bidi w:val="0"/>
        <w:snapToGrid/>
        <w:spacing w:before="120" w:after="120" w:line="480" w:lineRule="exact"/>
        <w:ind w:firstLine="480" w:firstLineChars="200"/>
        <w:textAlignment w:val="auto"/>
        <w:outlineLvl w:val="9"/>
        <w:rPr>
          <w:rFonts w:hint="eastAsia" w:ascii="宋体" w:hAnsi="宋体" w:eastAsia="宋体" w:cs="宋体"/>
          <w:b w:val="0"/>
          <w:sz w:val="24"/>
          <w:szCs w:val="24"/>
        </w:rPr>
      </w:pPr>
      <w:bookmarkStart w:id="674" w:name="_Toc351203519"/>
      <w:r>
        <w:rPr>
          <w:rFonts w:hint="eastAsia" w:ascii="宋体" w:hAnsi="宋体" w:eastAsia="宋体" w:cs="宋体"/>
          <w:b w:val="0"/>
          <w:sz w:val="24"/>
          <w:szCs w:val="24"/>
        </w:rPr>
        <w:t>3</w:t>
      </w:r>
      <w:bookmarkStart w:id="675" w:name="_Toc296346547"/>
      <w:bookmarkStart w:id="676" w:name="_Toc337558747"/>
      <w:bookmarkStart w:id="677" w:name="_Toc296503046"/>
      <w:r>
        <w:rPr>
          <w:rFonts w:hint="eastAsia" w:ascii="宋体" w:hAnsi="宋体" w:eastAsia="宋体" w:cs="宋体"/>
          <w:b w:val="0"/>
          <w:sz w:val="24"/>
          <w:szCs w:val="24"/>
        </w:rPr>
        <w:t>.1 承包人的一般义务</w:t>
      </w:r>
      <w:bookmarkEnd w:id="674"/>
    </w:p>
    <w:bookmarkEnd w:id="675"/>
    <w:bookmarkEnd w:id="676"/>
    <w:bookmarkEnd w:id="677"/>
    <w:p w14:paraId="51FD859B">
      <w:pPr>
        <w:pageBreakBefore w:val="0"/>
        <w:widowControl w:val="0"/>
        <w:kinsoku/>
        <w:wordWrap/>
        <w:overflowPunct/>
        <w:topLinePunct w:val="0"/>
        <w:autoSpaceDE w:val="0"/>
        <w:autoSpaceDN w:val="0"/>
        <w:bidi w:val="0"/>
        <w:adjustRightInd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承包人在履行合同过程中应遵守法律和工程建设标准规范，并履行以下义务：</w:t>
      </w:r>
    </w:p>
    <w:p w14:paraId="5881FCE0">
      <w:pPr>
        <w:pageBreakBefore w:val="0"/>
        <w:widowControl w:val="0"/>
        <w:kinsoku/>
        <w:wordWrap/>
        <w:overflowPunct/>
        <w:topLinePunct w:val="0"/>
        <w:autoSpaceDE w:val="0"/>
        <w:autoSpaceDN w:val="0"/>
        <w:bidi w:val="0"/>
        <w:adjustRightInd w:val="0"/>
        <w:snapToGrid/>
        <w:spacing w:line="480" w:lineRule="exact"/>
        <w:ind w:left="420" w:left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 xml:space="preserve"> （1）办理法律规定应由承包人办理的许可和批准，并将办理结果书面报送发包人留存；</w:t>
      </w:r>
    </w:p>
    <w:p w14:paraId="3AE4036B">
      <w:pPr>
        <w:pageBreakBefore w:val="0"/>
        <w:widowControl w:val="0"/>
        <w:kinsoku/>
        <w:wordWrap/>
        <w:overflowPunct/>
        <w:topLinePunct w:val="0"/>
        <w:autoSpaceDE w:val="0"/>
        <w:autoSpaceDN w:val="0"/>
        <w:bidi w:val="0"/>
        <w:adjustRightInd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（2）按法律规定和合同约定完成工程，并在保修期内承担保修义务；</w:t>
      </w:r>
    </w:p>
    <w:p w14:paraId="08C8D08A">
      <w:pPr>
        <w:pageBreakBefore w:val="0"/>
        <w:widowControl w:val="0"/>
        <w:kinsoku/>
        <w:wordWrap/>
        <w:overflowPunct/>
        <w:topLinePunct w:val="0"/>
        <w:autoSpaceDE w:val="0"/>
        <w:autoSpaceDN w:val="0"/>
        <w:bidi w:val="0"/>
        <w:adjustRightInd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（3）按法律规定和合同约定采取施工安全和环境保护措施，办理工伤保险，确保工程及人员、材料、设备和设施的安全；</w:t>
      </w:r>
    </w:p>
    <w:p w14:paraId="12183A86">
      <w:pPr>
        <w:pageBreakBefore w:val="0"/>
        <w:widowControl w:val="0"/>
        <w:kinsoku/>
        <w:wordWrap/>
        <w:overflowPunct/>
        <w:topLinePunct w:val="0"/>
        <w:autoSpaceDE w:val="0"/>
        <w:autoSpaceDN w:val="0"/>
        <w:bidi w:val="0"/>
        <w:adjustRightInd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（4）按合同约定的工作内容和施工进度要求，编制施工组织设计和施工措施计划，并对所有施工作业和施工方法的完备性和安全可靠性负责；</w:t>
      </w:r>
    </w:p>
    <w:p w14:paraId="0C07B609">
      <w:pPr>
        <w:pageBreakBefore w:val="0"/>
        <w:widowControl w:val="0"/>
        <w:kinsoku/>
        <w:wordWrap/>
        <w:overflowPunct/>
        <w:topLinePunct w:val="0"/>
        <w:autoSpaceDE w:val="0"/>
        <w:autoSpaceDN w:val="0"/>
        <w:bidi w:val="0"/>
        <w:adjustRightInd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5）在进行合同约定的各项工作时，不得侵害发包人与他人使用公用道路、水源、市政管网等公共设施的权利，避免对邻近的公共设施产生干扰。承包人占用或使用他人的施工场地，影响他人作业或生活的，应承担相应责任；</w:t>
      </w:r>
    </w:p>
    <w:p w14:paraId="0E997958">
      <w:pPr>
        <w:pageBreakBefore w:val="0"/>
        <w:widowControl w:val="0"/>
        <w:kinsoku/>
        <w:wordWrap/>
        <w:overflowPunct/>
        <w:topLinePunct w:val="0"/>
        <w:autoSpaceDE w:val="0"/>
        <w:autoSpaceDN w:val="0"/>
        <w:bidi w:val="0"/>
        <w:adjustRightInd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（6）按照第6.3款〔环境保护〕约定负责施工场地及其周边环境与生态的保护工作；</w:t>
      </w:r>
    </w:p>
    <w:p w14:paraId="3FC5C8E6">
      <w:pPr>
        <w:pageBreakBefore w:val="0"/>
        <w:widowControl w:val="0"/>
        <w:kinsoku/>
        <w:wordWrap/>
        <w:overflowPunct/>
        <w:topLinePunct w:val="0"/>
        <w:autoSpaceDE w:val="0"/>
        <w:autoSpaceDN w:val="0"/>
        <w:bidi w:val="0"/>
        <w:adjustRightInd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（7）按第6.1款〔安全文明施工〕约定采取施工安全措施，确保工程及其人员、材料、设备和设施的安全，防止因工程施工造成的人身伤害和财产损失；</w:t>
      </w:r>
    </w:p>
    <w:p w14:paraId="4A9F0F33">
      <w:pPr>
        <w:pageBreakBefore w:val="0"/>
        <w:widowControl w:val="0"/>
        <w:kinsoku/>
        <w:wordWrap/>
        <w:overflowPunct/>
        <w:topLinePunct w:val="0"/>
        <w:autoSpaceDE w:val="0"/>
        <w:autoSpaceDN w:val="0"/>
        <w:bidi w:val="0"/>
        <w:adjustRightInd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（8）将发包人按合同约定支付的各项价款专用于合同工程，且应及时支付其雇用人员工资，并及时向分包人支付合同价款；</w:t>
      </w:r>
    </w:p>
    <w:p w14:paraId="088A62C7">
      <w:pPr>
        <w:pageBreakBefore w:val="0"/>
        <w:widowControl w:val="0"/>
        <w:kinsoku/>
        <w:wordWrap/>
        <w:overflowPunct/>
        <w:topLinePunct w:val="0"/>
        <w:autoSpaceDE w:val="0"/>
        <w:autoSpaceDN w:val="0"/>
        <w:bidi w:val="0"/>
        <w:adjustRightInd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（9）按照法律规定和合同约定编制竣工资料，完成竣工资料立卷及归档，并按专用合同条款约定的竣工资料的套数、内容、时间等要求移交发包人；</w:t>
      </w:r>
    </w:p>
    <w:p w14:paraId="54D9C68C">
      <w:pPr>
        <w:pageBreakBefore w:val="0"/>
        <w:widowControl w:val="0"/>
        <w:kinsoku/>
        <w:wordWrap/>
        <w:overflowPunct/>
        <w:topLinePunct w:val="0"/>
        <w:autoSpaceDE w:val="0"/>
        <w:autoSpaceDN w:val="0"/>
        <w:bidi w:val="0"/>
        <w:adjustRightInd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（10）应履行的其他义务。</w:t>
      </w:r>
    </w:p>
    <w:p w14:paraId="10E04BCF">
      <w:pPr>
        <w:pageBreakBefore w:val="0"/>
        <w:widowControl w:val="0"/>
        <w:kinsoku/>
        <w:wordWrap/>
        <w:overflowPunct/>
        <w:topLinePunct w:val="0"/>
        <w:bidi w:val="0"/>
        <w:snapToGrid/>
        <w:spacing w:before="120" w:after="120" w:line="480" w:lineRule="exact"/>
        <w:ind w:firstLine="480" w:firstLineChars="200"/>
        <w:textAlignment w:val="auto"/>
        <w:outlineLvl w:val="9"/>
        <w:rPr>
          <w:rFonts w:hint="eastAsia" w:ascii="宋体" w:hAnsi="宋体" w:eastAsia="宋体" w:cs="宋体"/>
          <w:b w:val="0"/>
          <w:sz w:val="24"/>
          <w:szCs w:val="24"/>
        </w:rPr>
      </w:pPr>
      <w:bookmarkStart w:id="678" w:name="_Toc351203520"/>
      <w:r>
        <w:rPr>
          <w:rFonts w:hint="eastAsia" w:ascii="宋体" w:hAnsi="宋体" w:eastAsia="宋体" w:cs="宋体"/>
          <w:b w:val="0"/>
          <w:sz w:val="24"/>
          <w:szCs w:val="24"/>
        </w:rPr>
        <w:t>3</w:t>
      </w:r>
      <w:bookmarkStart w:id="679" w:name="_Toc337558748"/>
      <w:bookmarkStart w:id="680" w:name="_Toc296503047"/>
      <w:bookmarkStart w:id="681" w:name="_Toc296346548"/>
      <w:r>
        <w:rPr>
          <w:rFonts w:hint="eastAsia" w:ascii="宋体" w:hAnsi="宋体" w:eastAsia="宋体" w:cs="宋体"/>
          <w:b w:val="0"/>
          <w:sz w:val="24"/>
          <w:szCs w:val="24"/>
        </w:rPr>
        <w:t xml:space="preserve">.2 </w:t>
      </w:r>
      <w:bookmarkEnd w:id="678"/>
      <w:r>
        <w:rPr>
          <w:rFonts w:hint="eastAsia" w:ascii="宋体" w:hAnsi="宋体" w:eastAsia="宋体" w:cs="宋体"/>
          <w:b w:val="0"/>
          <w:sz w:val="24"/>
          <w:szCs w:val="24"/>
        </w:rPr>
        <w:t>项目经理</w:t>
      </w:r>
    </w:p>
    <w:bookmarkEnd w:id="679"/>
    <w:bookmarkEnd w:id="680"/>
    <w:bookmarkEnd w:id="681"/>
    <w:p w14:paraId="4218C0D3">
      <w:pPr>
        <w:pageBreakBefore w:val="0"/>
        <w:widowControl w:val="0"/>
        <w:kinsoku/>
        <w:wordWrap/>
        <w:overflowPunct/>
        <w:topLinePunct w:val="0"/>
        <w:autoSpaceDE w:val="0"/>
        <w:autoSpaceDN w:val="0"/>
        <w:bidi w:val="0"/>
        <w:adjustRightInd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3.2.1 项目经理应为合同当事人所确认的人选，并在专用合同条款中明确项目经理的姓名、职称、注册执业证书编号、联系方式及授权范围等事项，项目经理经承包人授权后代表承包人负责履行合同。项目经理应是承包人正式聘用的员工，承包人应向发包人提交项目经理与承包人之间的劳动合同，以及承包人为项目经理缴纳社会保险的有效证明。承包人不提交上述文件的，项目经理无权履行职责，发包人有权要求更换项目经理，由此增加的费用和（或）延误的工期由承包人承担。</w:t>
      </w:r>
    </w:p>
    <w:p w14:paraId="62524D96">
      <w:pPr>
        <w:pageBreakBefore w:val="0"/>
        <w:widowControl w:val="0"/>
        <w:kinsoku/>
        <w:wordWrap/>
        <w:overflowPunct/>
        <w:topLinePunct w:val="0"/>
        <w:autoSpaceDE w:val="0"/>
        <w:autoSpaceDN w:val="0"/>
        <w:bidi w:val="0"/>
        <w:adjustRightInd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项目经理应常驻施工现场，且每月在施工现场时间不得少于专用合同条款约定的天数。项目经理不得同时担任其他项目的项目经理。项目经理确需离开施工现场时，应事先通知监理人，并取得发包人的书面同意。项目经理的通知中应当载明临时代行其职责的人员的注册执业资格、管理经验等资料，该人员应具备履行相应职责的能力。</w:t>
      </w:r>
    </w:p>
    <w:p w14:paraId="3B324448">
      <w:pPr>
        <w:pageBreakBefore w:val="0"/>
        <w:widowControl w:val="0"/>
        <w:kinsoku/>
        <w:wordWrap/>
        <w:overflowPunct/>
        <w:topLinePunct w:val="0"/>
        <w:autoSpaceDE w:val="0"/>
        <w:autoSpaceDN w:val="0"/>
        <w:bidi w:val="0"/>
        <w:adjustRightInd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承包人违反上述约定的，应按照专用合同条款的约定，承担违约责任。</w:t>
      </w:r>
    </w:p>
    <w:p w14:paraId="2B25A809">
      <w:pPr>
        <w:pageBreakBefore w:val="0"/>
        <w:widowControl w:val="0"/>
        <w:kinsoku/>
        <w:wordWrap/>
        <w:overflowPunct/>
        <w:topLinePunct w:val="0"/>
        <w:autoSpaceDE w:val="0"/>
        <w:autoSpaceDN w:val="0"/>
        <w:bidi w:val="0"/>
        <w:adjustRightInd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3.2.2 项目经理按合同约定组织工程实施。在紧急情况下为确保施工安全和人员安全，在无法与发包人代表和总监理工程师及时取得联系时，项目经理有权采取必要的措施保证与工程有关的人身、财产和工程的安全，但应在48小时内向发包人代表和总监理工程师提交书面报告。</w:t>
      </w:r>
    </w:p>
    <w:p w14:paraId="28251F7A">
      <w:pPr>
        <w:pageBreakBefore w:val="0"/>
        <w:widowControl w:val="0"/>
        <w:kinsoku/>
        <w:wordWrap/>
        <w:overflowPunct/>
        <w:topLinePunct w:val="0"/>
        <w:autoSpaceDE w:val="0"/>
        <w:autoSpaceDN w:val="0"/>
        <w:bidi w:val="0"/>
        <w:adjustRightInd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3.2.3 承包人需要更换项目经理的，应提前14天书面通知发包人和监理人，并征得发包人书面同意。通知中应当载明继任项目经理的注册执业资格、管理经验等资料，继任项目经理继续履行第3.2.1项约定的职责。未经发包人书面同意，承包人不得擅自更换项目经理。承包人擅自更换项目经理的，应按照专用合同条款的约定承担违约责任。</w:t>
      </w:r>
    </w:p>
    <w:p w14:paraId="7288A5A6">
      <w:pPr>
        <w:pageBreakBefore w:val="0"/>
        <w:widowControl w:val="0"/>
        <w:kinsoku/>
        <w:wordWrap/>
        <w:overflowPunct/>
        <w:topLinePunct w:val="0"/>
        <w:autoSpaceDE w:val="0"/>
        <w:autoSpaceDN w:val="0"/>
        <w:bidi w:val="0"/>
        <w:adjustRightInd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3.2.4 发包人有权书面通知承包人更换其认为不称职的项目经理，通知中应当载明要求更换的理由。承包人应在接到更换通知后14天内向发包人提出书面的改进报告。发包人收到改进报告后仍要求更换的，承包人应在接到第二次更换通知的28天内进行更换，并将新任命的项目经理的注册执业资格、管理经验等资料书面通知发包人。继任项目经理继续履行第3.2.1项约定的职责。承包人无正当理由拒绝更换项目经理的，应按照专用合同条款的约定承担违约责任。</w:t>
      </w:r>
    </w:p>
    <w:p w14:paraId="179EE243">
      <w:pPr>
        <w:pageBreakBefore w:val="0"/>
        <w:widowControl w:val="0"/>
        <w:kinsoku/>
        <w:wordWrap/>
        <w:overflowPunct/>
        <w:topLinePunct w:val="0"/>
        <w:autoSpaceDE w:val="0"/>
        <w:autoSpaceDN w:val="0"/>
        <w:bidi w:val="0"/>
        <w:adjustRightInd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3.2.5 项目经理因特殊情况授权其下属人员履行其某项工作职责的，该下属人员应具备履行相应职责的能力，并应提前7天将上述人员的姓名和授权范围书面通知监理人，并征得发包人书面同意。</w:t>
      </w:r>
    </w:p>
    <w:p w14:paraId="17E33ED5">
      <w:pPr>
        <w:pageBreakBefore w:val="0"/>
        <w:widowControl w:val="0"/>
        <w:kinsoku/>
        <w:wordWrap/>
        <w:overflowPunct/>
        <w:topLinePunct w:val="0"/>
        <w:bidi w:val="0"/>
        <w:snapToGrid/>
        <w:spacing w:before="120" w:after="120" w:line="480" w:lineRule="exact"/>
        <w:ind w:firstLine="480" w:firstLineChars="200"/>
        <w:textAlignment w:val="auto"/>
        <w:outlineLvl w:val="9"/>
        <w:rPr>
          <w:rFonts w:hint="eastAsia" w:ascii="宋体" w:hAnsi="宋体" w:eastAsia="宋体" w:cs="宋体"/>
          <w:b w:val="0"/>
          <w:sz w:val="24"/>
          <w:szCs w:val="24"/>
        </w:rPr>
      </w:pPr>
      <w:bookmarkStart w:id="682" w:name="_Toc351203521"/>
      <w:r>
        <w:rPr>
          <w:rFonts w:hint="eastAsia" w:ascii="宋体" w:hAnsi="宋体" w:eastAsia="宋体" w:cs="宋体"/>
          <w:b w:val="0"/>
          <w:sz w:val="24"/>
          <w:szCs w:val="24"/>
        </w:rPr>
        <w:t>3</w:t>
      </w:r>
      <w:bookmarkStart w:id="683" w:name="_Toc296346549"/>
      <w:bookmarkStart w:id="684" w:name="_Toc296503048"/>
      <w:bookmarkStart w:id="685" w:name="_Toc337558749"/>
      <w:r>
        <w:rPr>
          <w:rFonts w:hint="eastAsia" w:ascii="宋体" w:hAnsi="宋体" w:eastAsia="宋体" w:cs="宋体"/>
          <w:b w:val="0"/>
          <w:sz w:val="24"/>
          <w:szCs w:val="24"/>
        </w:rPr>
        <w:t xml:space="preserve">.3 </w:t>
      </w:r>
      <w:bookmarkEnd w:id="683"/>
      <w:bookmarkEnd w:id="684"/>
      <w:r>
        <w:rPr>
          <w:rFonts w:hint="eastAsia" w:ascii="宋体" w:hAnsi="宋体" w:eastAsia="宋体" w:cs="宋体"/>
          <w:b w:val="0"/>
          <w:sz w:val="24"/>
          <w:szCs w:val="24"/>
        </w:rPr>
        <w:t>承包人人员</w:t>
      </w:r>
      <w:bookmarkEnd w:id="682"/>
    </w:p>
    <w:bookmarkEnd w:id="685"/>
    <w:p w14:paraId="7AC8B7D5">
      <w:pPr>
        <w:pageBreakBefore w:val="0"/>
        <w:widowControl w:val="0"/>
        <w:kinsoku/>
        <w:wordWrap/>
        <w:overflowPunct/>
        <w:topLinePunct w:val="0"/>
        <w:autoSpaceDE w:val="0"/>
        <w:autoSpaceDN w:val="0"/>
        <w:bidi w:val="0"/>
        <w:adjustRightInd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3.3.1 除专用合同条款另有约定外，承包人应在接到开工通知后7天内，向监理人提交承包人项目管理机构及施工现场人员安排的报告，其内容应包括合同管理、施工、技术、材料、质量、安全、财务等主要施工管理人员名单及其岗位、注册执业资格等，以及各工种技术工人的安排情况，并同时提交主要施工管理人员与承包人之间的劳动关系证明和缴纳社会保险的有效证明。</w:t>
      </w:r>
    </w:p>
    <w:p w14:paraId="6F433755">
      <w:pPr>
        <w:pageBreakBefore w:val="0"/>
        <w:widowControl w:val="0"/>
        <w:kinsoku/>
        <w:wordWrap/>
        <w:overflowPunct/>
        <w:topLinePunct w:val="0"/>
        <w:autoSpaceDE w:val="0"/>
        <w:autoSpaceDN w:val="0"/>
        <w:bidi w:val="0"/>
        <w:adjustRightInd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3.3.2 承包人派驻到施工现场的主要施工管理人员应相对稳定。施工过程中如有变动，承包人应及时向监理人提交施工现场人员变动情况的报告。承包人更换主要施工管理人员时，应提前7天书面通知监理人，并征得发包人书面同意。通知中应当载明继任人员的注册执业资格、管理经验等资料。</w:t>
      </w:r>
    </w:p>
    <w:p w14:paraId="36128378">
      <w:pPr>
        <w:pageBreakBefore w:val="0"/>
        <w:widowControl w:val="0"/>
        <w:kinsoku/>
        <w:wordWrap/>
        <w:overflowPunct/>
        <w:topLinePunct w:val="0"/>
        <w:autoSpaceDE w:val="0"/>
        <w:autoSpaceDN w:val="0"/>
        <w:bidi w:val="0"/>
        <w:adjustRightInd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特殊工种作业人员均应持有相应的资格证明，监理人可以随时检查。</w:t>
      </w:r>
    </w:p>
    <w:p w14:paraId="1B9F43E0">
      <w:pPr>
        <w:pageBreakBefore w:val="0"/>
        <w:widowControl w:val="0"/>
        <w:kinsoku/>
        <w:wordWrap/>
        <w:overflowPunct/>
        <w:topLinePunct w:val="0"/>
        <w:autoSpaceDE w:val="0"/>
        <w:autoSpaceDN w:val="0"/>
        <w:bidi w:val="0"/>
        <w:adjustRightInd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3.3.3 发包人对于承包人主要施工管理人员的资格或能力有异议的，承包人应提供资料证明被质疑人员有能力完成其岗位工作或不存在发包人所质疑的情形。发包人要求撤换不能按照合同约定履行职责及义务的主要施工管理人员的，承包人应当撤换。承包人无正当理由拒绝撤换的，应按照专用合同条款的约定承担违约责任。</w:t>
      </w:r>
    </w:p>
    <w:p w14:paraId="314F805F">
      <w:pPr>
        <w:pageBreakBefore w:val="0"/>
        <w:widowControl w:val="0"/>
        <w:kinsoku/>
        <w:wordWrap/>
        <w:overflowPunct/>
        <w:topLinePunct w:val="0"/>
        <w:autoSpaceDE w:val="0"/>
        <w:autoSpaceDN w:val="0"/>
        <w:bidi w:val="0"/>
        <w:adjustRightInd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3.3.4 除专用合同条款另有约定外，承包人的主要施工管理人员离开施工现场每月累计不超过5天的，应报监理人同意；离开施工现场每月累计超过5天的，应通知监理人，并征得发包人书面同意。主要施工管理人员离开施工现场前应指定一名有经验的人员临时代行其职责，该人员应具备履行相应职责的资格和能力，且应征得监理人或发包人的同意。</w:t>
      </w:r>
    </w:p>
    <w:p w14:paraId="280BF374">
      <w:pPr>
        <w:pageBreakBefore w:val="0"/>
        <w:widowControl w:val="0"/>
        <w:kinsoku/>
        <w:wordWrap/>
        <w:overflowPunct/>
        <w:topLinePunct w:val="0"/>
        <w:autoSpaceDE w:val="0"/>
        <w:autoSpaceDN w:val="0"/>
        <w:bidi w:val="0"/>
        <w:adjustRightInd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3.3.5 承包人擅自更换主要施工管理人员，或前述人员未经监理人或发包人同意擅自离开施工现场的，应按照专用合同条款约定承担违约责任。</w:t>
      </w:r>
    </w:p>
    <w:p w14:paraId="0FD3F5B0">
      <w:pPr>
        <w:pageBreakBefore w:val="0"/>
        <w:widowControl w:val="0"/>
        <w:kinsoku/>
        <w:wordWrap/>
        <w:overflowPunct/>
        <w:topLinePunct w:val="0"/>
        <w:bidi w:val="0"/>
        <w:snapToGrid/>
        <w:spacing w:before="120" w:after="120" w:line="480" w:lineRule="exact"/>
        <w:ind w:firstLine="480" w:firstLineChars="200"/>
        <w:textAlignment w:val="auto"/>
        <w:outlineLvl w:val="9"/>
        <w:rPr>
          <w:rFonts w:hint="eastAsia" w:ascii="宋体" w:hAnsi="宋体" w:eastAsia="宋体" w:cs="宋体"/>
          <w:b w:val="0"/>
          <w:sz w:val="24"/>
          <w:szCs w:val="24"/>
        </w:rPr>
      </w:pPr>
      <w:bookmarkStart w:id="686" w:name="_Toc351203522"/>
      <w:r>
        <w:rPr>
          <w:rFonts w:hint="eastAsia" w:ascii="宋体" w:hAnsi="宋体" w:eastAsia="宋体" w:cs="宋体"/>
          <w:b w:val="0"/>
          <w:sz w:val="24"/>
          <w:szCs w:val="24"/>
        </w:rPr>
        <w:t>3</w:t>
      </w:r>
      <w:bookmarkStart w:id="687" w:name="_Toc296503050"/>
      <w:bookmarkStart w:id="688" w:name="_Toc337558750"/>
      <w:bookmarkStart w:id="689" w:name="_Toc296346551"/>
      <w:r>
        <w:rPr>
          <w:rFonts w:hint="eastAsia" w:ascii="宋体" w:hAnsi="宋体" w:eastAsia="宋体" w:cs="宋体"/>
          <w:b w:val="0"/>
          <w:sz w:val="24"/>
          <w:szCs w:val="24"/>
        </w:rPr>
        <w:t>.4 承包人现场查勘</w:t>
      </w:r>
      <w:bookmarkEnd w:id="686"/>
    </w:p>
    <w:bookmarkEnd w:id="687"/>
    <w:bookmarkEnd w:id="688"/>
    <w:bookmarkEnd w:id="689"/>
    <w:p w14:paraId="4BAE8BA9">
      <w:pPr>
        <w:pageBreakBefore w:val="0"/>
        <w:widowControl w:val="0"/>
        <w:kinsoku/>
        <w:wordWrap/>
        <w:overflowPunct/>
        <w:topLinePunct w:val="0"/>
        <w:autoSpaceDE w:val="0"/>
        <w:autoSpaceDN w:val="0"/>
        <w:bidi w:val="0"/>
        <w:adjustRightInd w:val="0"/>
        <w:snapToGrid/>
        <w:spacing w:line="480" w:lineRule="exact"/>
        <w:ind w:firstLine="480" w:firstLineChars="200"/>
        <w:jc w:val="left"/>
        <w:textAlignment w:val="auto"/>
        <w:outlineLvl w:val="9"/>
        <w:rPr>
          <w:rFonts w:hint="eastAsia" w:ascii="宋体" w:hAnsi="宋体" w:eastAsia="宋体" w:cs="宋体"/>
          <w:sz w:val="24"/>
        </w:rPr>
      </w:pPr>
      <w:r>
        <w:rPr>
          <w:rFonts w:hint="eastAsia" w:ascii="宋体" w:hAnsi="宋体" w:eastAsia="宋体" w:cs="宋体"/>
          <w:kern w:val="0"/>
          <w:sz w:val="24"/>
        </w:rPr>
        <w:t>承包人应对基于发包人按照第2.4.3项〔提供基础资料〕提交的基础资料所做出的解释和推断负责，但因基础资料存在错误、遗漏导致承包人解释或推断失实的，由发包人承担责任。</w:t>
      </w:r>
    </w:p>
    <w:p w14:paraId="5B31097D">
      <w:pPr>
        <w:pageBreakBefore w:val="0"/>
        <w:widowControl w:val="0"/>
        <w:kinsoku/>
        <w:wordWrap/>
        <w:overflowPunct/>
        <w:topLinePunct w:val="0"/>
        <w:autoSpaceDE w:val="0"/>
        <w:autoSpaceDN w:val="0"/>
        <w:bidi w:val="0"/>
        <w:adjustRightInd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承包人应对施工现场和施工条件进行查勘，并充分了解工程所在地的气象条件、交通条件、风俗习惯以及其他与完成合同工作有关的其他资料。因承包人未能充分查勘、了解前述情况或未能充分估计前述情况所可能产生后果的，承包人承担由此增加的费用和（或）延误的工期。</w:t>
      </w:r>
    </w:p>
    <w:p w14:paraId="32AB9698">
      <w:pPr>
        <w:pageBreakBefore w:val="0"/>
        <w:widowControl w:val="0"/>
        <w:kinsoku/>
        <w:wordWrap/>
        <w:overflowPunct/>
        <w:topLinePunct w:val="0"/>
        <w:bidi w:val="0"/>
        <w:snapToGrid/>
        <w:spacing w:before="120" w:after="120" w:line="480" w:lineRule="exact"/>
        <w:ind w:firstLine="480" w:firstLineChars="200"/>
        <w:textAlignment w:val="auto"/>
        <w:outlineLvl w:val="9"/>
        <w:rPr>
          <w:rFonts w:hint="eastAsia" w:ascii="宋体" w:hAnsi="宋体" w:eastAsia="宋体" w:cs="宋体"/>
          <w:b w:val="0"/>
          <w:sz w:val="24"/>
          <w:szCs w:val="24"/>
        </w:rPr>
      </w:pPr>
      <w:bookmarkStart w:id="690" w:name="_Toc351203523"/>
      <w:r>
        <w:rPr>
          <w:rFonts w:hint="eastAsia" w:ascii="宋体" w:hAnsi="宋体" w:eastAsia="宋体" w:cs="宋体"/>
          <w:b w:val="0"/>
          <w:sz w:val="24"/>
          <w:szCs w:val="24"/>
        </w:rPr>
        <w:t>3</w:t>
      </w:r>
      <w:bookmarkStart w:id="691" w:name="_Toc296503051"/>
      <w:bookmarkStart w:id="692" w:name="_Toc337558751"/>
      <w:bookmarkStart w:id="693" w:name="_Toc296346552"/>
      <w:r>
        <w:rPr>
          <w:rFonts w:hint="eastAsia" w:ascii="宋体" w:hAnsi="宋体" w:eastAsia="宋体" w:cs="宋体"/>
          <w:b w:val="0"/>
          <w:sz w:val="24"/>
          <w:szCs w:val="24"/>
        </w:rPr>
        <w:t>.5 分包</w:t>
      </w:r>
      <w:bookmarkEnd w:id="690"/>
    </w:p>
    <w:bookmarkEnd w:id="691"/>
    <w:bookmarkEnd w:id="692"/>
    <w:bookmarkEnd w:id="693"/>
    <w:p w14:paraId="48AF2EFA">
      <w:pPr>
        <w:pageBreakBefore w:val="0"/>
        <w:widowControl w:val="0"/>
        <w:kinsoku/>
        <w:wordWrap/>
        <w:overflowPunct/>
        <w:topLinePunct w:val="0"/>
        <w:bidi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3.5.1 分包的一般约定</w:t>
      </w:r>
    </w:p>
    <w:p w14:paraId="7B599D44">
      <w:pPr>
        <w:pageBreakBefore w:val="0"/>
        <w:widowControl w:val="0"/>
        <w:kinsoku/>
        <w:wordWrap/>
        <w:overflowPunct/>
        <w:topLinePunct w:val="0"/>
        <w:bidi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承包人不得将其承包的全部工程转包给第三人，或将其承包的全部工程肢解后以分包的名义转包给第三人。承包人不得将工程主体结构、关键性工作及专用合同条款中禁止分包的专业工程分包给第三人，主体结构、关键性工作的范围由合同当事人按照法律规定在专用合同条款中予以明确。</w:t>
      </w:r>
    </w:p>
    <w:p w14:paraId="57D400BA">
      <w:pPr>
        <w:pageBreakBefore w:val="0"/>
        <w:widowControl w:val="0"/>
        <w:kinsoku/>
        <w:wordWrap/>
        <w:overflowPunct/>
        <w:topLinePunct w:val="0"/>
        <w:bidi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承包人不得以劳务分包的名义转包或违法分包工程。</w:t>
      </w:r>
    </w:p>
    <w:p w14:paraId="5907E0DD">
      <w:pPr>
        <w:pageBreakBefore w:val="0"/>
        <w:widowControl w:val="0"/>
        <w:kinsoku/>
        <w:wordWrap/>
        <w:overflowPunct/>
        <w:topLinePunct w:val="0"/>
        <w:bidi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3.5.2 分包的确定</w:t>
      </w:r>
    </w:p>
    <w:p w14:paraId="49A59C7B">
      <w:pPr>
        <w:pageBreakBefore w:val="0"/>
        <w:widowControl w:val="0"/>
        <w:kinsoku/>
        <w:wordWrap/>
        <w:overflowPunct/>
        <w:topLinePunct w:val="0"/>
        <w:bidi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承包人应按专用合同条款的约定进行分包，确定分包人。已标价工程量清单或预算书中给定暂估价的专业工程，按照第10.7款〔暂估价〕确定分包人。按照合同约定进行分包的，承包人应确保分包人具有相应的资质和能力。工程分包不减轻或免除承包人的责任和义务，承包人和分包人就分包工程向发包人承担连带责任。除合同另有约定外，承包人应在分包合同签订后7天内向发包人和监理人提交分包合同副本。</w:t>
      </w:r>
    </w:p>
    <w:p w14:paraId="4839F07A">
      <w:pPr>
        <w:pageBreakBefore w:val="0"/>
        <w:widowControl w:val="0"/>
        <w:kinsoku/>
        <w:wordWrap/>
        <w:overflowPunct/>
        <w:topLinePunct w:val="0"/>
        <w:bidi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3.5.3 分包管理</w:t>
      </w:r>
    </w:p>
    <w:p w14:paraId="00CE3C9E">
      <w:pPr>
        <w:pageBreakBefore w:val="0"/>
        <w:widowControl w:val="0"/>
        <w:kinsoku/>
        <w:wordWrap/>
        <w:overflowPunct/>
        <w:topLinePunct w:val="0"/>
        <w:bidi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承包人应向监理人提交分包人的主要施工管理人员表，并对分包人的施工人员进行实名制管理，包括但不限于进出场管理、登记造册以及各种证照的办理。</w:t>
      </w:r>
    </w:p>
    <w:p w14:paraId="0F0AAC25">
      <w:pPr>
        <w:pageBreakBefore w:val="0"/>
        <w:widowControl w:val="0"/>
        <w:kinsoku/>
        <w:wordWrap/>
        <w:overflowPunct/>
        <w:topLinePunct w:val="0"/>
        <w:bidi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3.5.4 分包合同价款</w:t>
      </w:r>
    </w:p>
    <w:p w14:paraId="51F8BE38">
      <w:pPr>
        <w:pageBreakBefore w:val="0"/>
        <w:widowControl w:val="0"/>
        <w:kinsoku/>
        <w:wordWrap/>
        <w:overflowPunct/>
        <w:topLinePunct w:val="0"/>
        <w:bidi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（1）除本项第（2）目约定的情况或专用合同条款另有约定外，分包合同价款由承包人与分包人结算，未经承包人同意，发包人不得向分包人支付分包工程价款；</w:t>
      </w:r>
    </w:p>
    <w:p w14:paraId="04EEA37B">
      <w:pPr>
        <w:pageBreakBefore w:val="0"/>
        <w:widowControl w:val="0"/>
        <w:kinsoku/>
        <w:wordWrap/>
        <w:overflowPunct/>
        <w:topLinePunct w:val="0"/>
        <w:bidi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（2）生效法律文书要求发包人向分包人支付分包合同价款的，发包人有权从应付承包人工程款中扣除该部分款项。</w:t>
      </w:r>
    </w:p>
    <w:p w14:paraId="31EE437A">
      <w:pPr>
        <w:pageBreakBefore w:val="0"/>
        <w:widowControl w:val="0"/>
        <w:kinsoku/>
        <w:wordWrap/>
        <w:overflowPunct/>
        <w:topLinePunct w:val="0"/>
        <w:bidi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3.5.5 分包合同权益的转让</w:t>
      </w:r>
    </w:p>
    <w:p w14:paraId="6AECD1B7">
      <w:pPr>
        <w:pageBreakBefore w:val="0"/>
        <w:widowControl w:val="0"/>
        <w:kinsoku/>
        <w:wordWrap/>
        <w:overflowPunct/>
        <w:topLinePunct w:val="0"/>
        <w:bidi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分包人在分包合同项下的义务持续到缺陷责任期届满以后的，发包人有权在缺陷责任期届满前，要求承包人将其在分包合同项下的权益转让给发包人，承包人应当转让。除转让合同另有约定外，转让合同生效后，由分包人向发包人履行义务。</w:t>
      </w:r>
      <w:bookmarkStart w:id="694" w:name="_Toc351203524"/>
    </w:p>
    <w:p w14:paraId="6D4D1D08">
      <w:pPr>
        <w:pageBreakBefore w:val="0"/>
        <w:widowControl w:val="0"/>
        <w:kinsoku/>
        <w:wordWrap/>
        <w:overflowPunct/>
        <w:topLinePunct w:val="0"/>
        <w:bidi w:val="0"/>
        <w:snapToGrid/>
        <w:spacing w:before="120" w:after="120" w:line="480" w:lineRule="exact"/>
        <w:ind w:firstLine="480" w:firstLineChars="200"/>
        <w:textAlignment w:val="auto"/>
        <w:outlineLvl w:val="9"/>
        <w:rPr>
          <w:rFonts w:hint="eastAsia" w:ascii="宋体" w:hAnsi="宋体" w:eastAsia="宋体" w:cs="宋体"/>
          <w:b w:val="0"/>
          <w:sz w:val="24"/>
          <w:szCs w:val="24"/>
        </w:rPr>
      </w:pPr>
      <w:r>
        <w:rPr>
          <w:rFonts w:hint="eastAsia" w:ascii="宋体" w:hAnsi="宋体" w:eastAsia="宋体" w:cs="宋体"/>
          <w:b w:val="0"/>
          <w:sz w:val="24"/>
          <w:szCs w:val="24"/>
        </w:rPr>
        <w:t>3.6 工程照管与成品、半成品保护</w:t>
      </w:r>
      <w:bookmarkEnd w:id="694"/>
    </w:p>
    <w:p w14:paraId="297E6834">
      <w:pPr>
        <w:pageBreakBefore w:val="0"/>
        <w:widowControl w:val="0"/>
        <w:kinsoku/>
        <w:wordWrap/>
        <w:overflowPunct/>
        <w:topLinePunct w:val="0"/>
        <w:bidi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（1）除专用合同条款另有约定外，自发包人向承包人移交施工现场之日起，承包人应负责照管工程及工程相关的材料、工程设备，直到颁发工程接收证书之日止。</w:t>
      </w:r>
    </w:p>
    <w:p w14:paraId="631012B9">
      <w:pPr>
        <w:pageBreakBefore w:val="0"/>
        <w:widowControl w:val="0"/>
        <w:kinsoku/>
        <w:wordWrap/>
        <w:overflowPunct/>
        <w:topLinePunct w:val="0"/>
        <w:bidi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（2）在承包人负责照管期间，因承包人原因造成工程、材料、工程设备损坏的，由承包人负责修复或更换，并承担由此增加的费用和（或）延误的工期。</w:t>
      </w:r>
    </w:p>
    <w:p w14:paraId="12417FBB">
      <w:pPr>
        <w:pageBreakBefore w:val="0"/>
        <w:widowControl w:val="0"/>
        <w:kinsoku/>
        <w:wordWrap/>
        <w:overflowPunct/>
        <w:topLinePunct w:val="0"/>
        <w:bidi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（3）对合同内分期完成的成品和半成品，在工程接收证书颁发前，由承包人承担保护责任。因承包人原因造成成品或半成品损坏的，由承包人负责修复或更换，并承担由此增加的费用和（或）延误的工期。</w:t>
      </w:r>
    </w:p>
    <w:p w14:paraId="76B47483">
      <w:pPr>
        <w:pageBreakBefore w:val="0"/>
        <w:widowControl w:val="0"/>
        <w:kinsoku/>
        <w:wordWrap/>
        <w:overflowPunct/>
        <w:topLinePunct w:val="0"/>
        <w:bidi w:val="0"/>
        <w:snapToGrid/>
        <w:spacing w:before="120" w:after="120" w:line="480" w:lineRule="exact"/>
        <w:ind w:firstLine="480" w:firstLineChars="200"/>
        <w:textAlignment w:val="auto"/>
        <w:outlineLvl w:val="9"/>
        <w:rPr>
          <w:rFonts w:hint="eastAsia" w:ascii="宋体" w:hAnsi="宋体" w:eastAsia="宋体" w:cs="宋体"/>
          <w:b w:val="0"/>
          <w:sz w:val="24"/>
          <w:szCs w:val="24"/>
        </w:rPr>
      </w:pPr>
      <w:bookmarkStart w:id="695" w:name="_Toc351203525"/>
      <w:r>
        <w:rPr>
          <w:rFonts w:hint="eastAsia" w:ascii="宋体" w:hAnsi="宋体" w:eastAsia="宋体" w:cs="宋体"/>
          <w:b w:val="0"/>
          <w:sz w:val="24"/>
          <w:szCs w:val="24"/>
        </w:rPr>
        <w:t>3</w:t>
      </w:r>
      <w:bookmarkStart w:id="696" w:name="_Toc296503052"/>
      <w:bookmarkStart w:id="697" w:name="_Toc296346553"/>
      <w:bookmarkStart w:id="698" w:name="_Toc337558752"/>
      <w:r>
        <w:rPr>
          <w:rFonts w:hint="eastAsia" w:ascii="宋体" w:hAnsi="宋体" w:eastAsia="宋体" w:cs="宋体"/>
          <w:b w:val="0"/>
          <w:sz w:val="24"/>
          <w:szCs w:val="24"/>
        </w:rPr>
        <w:t>.7 履约担保</w:t>
      </w:r>
      <w:bookmarkEnd w:id="695"/>
    </w:p>
    <w:bookmarkEnd w:id="696"/>
    <w:bookmarkEnd w:id="697"/>
    <w:bookmarkEnd w:id="698"/>
    <w:p w14:paraId="6FE34887">
      <w:pPr>
        <w:pageBreakBefore w:val="0"/>
        <w:widowControl w:val="0"/>
        <w:kinsoku/>
        <w:wordWrap/>
        <w:overflowPunct/>
        <w:topLinePunct w:val="0"/>
        <w:autoSpaceDE w:val="0"/>
        <w:autoSpaceDN w:val="0"/>
        <w:bidi w:val="0"/>
        <w:adjustRightInd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发包人需要承包人提供履约担保的，由合同当事人在专用合同条款中约定履约担保的方式、金额及期限等。履约担保可以采用银行保函或担保公司担保等形式，具体由合同当事人在专用合同条款中约定。</w:t>
      </w:r>
    </w:p>
    <w:p w14:paraId="7371879A">
      <w:pPr>
        <w:pageBreakBefore w:val="0"/>
        <w:widowControl w:val="0"/>
        <w:kinsoku/>
        <w:wordWrap/>
        <w:overflowPunct/>
        <w:topLinePunct w:val="0"/>
        <w:autoSpaceDE w:val="0"/>
        <w:autoSpaceDN w:val="0"/>
        <w:bidi w:val="0"/>
        <w:adjustRightInd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因承包人原因导致工期延长的，继续提供履约担保所增加的费用由承包人承担；非因承包人原因导致工期延长的，继续提供履约担保所增加的费用由发包人承担。</w:t>
      </w:r>
    </w:p>
    <w:p w14:paraId="5CF102F1">
      <w:pPr>
        <w:pageBreakBefore w:val="0"/>
        <w:widowControl w:val="0"/>
        <w:kinsoku/>
        <w:wordWrap/>
        <w:overflowPunct/>
        <w:topLinePunct w:val="0"/>
        <w:bidi w:val="0"/>
        <w:snapToGrid/>
        <w:spacing w:before="120" w:after="120" w:line="480" w:lineRule="exact"/>
        <w:ind w:firstLine="480" w:firstLineChars="200"/>
        <w:textAlignment w:val="auto"/>
        <w:outlineLvl w:val="9"/>
        <w:rPr>
          <w:rFonts w:hint="eastAsia" w:ascii="宋体" w:hAnsi="宋体" w:eastAsia="宋体" w:cs="宋体"/>
          <w:b w:val="0"/>
          <w:sz w:val="24"/>
          <w:szCs w:val="24"/>
        </w:rPr>
      </w:pPr>
      <w:bookmarkStart w:id="699" w:name="_Toc351203526"/>
      <w:r>
        <w:rPr>
          <w:rFonts w:hint="eastAsia" w:ascii="宋体" w:hAnsi="宋体" w:eastAsia="宋体" w:cs="宋体"/>
          <w:b w:val="0"/>
          <w:sz w:val="24"/>
          <w:szCs w:val="24"/>
        </w:rPr>
        <w:t>3.8 联合体</w:t>
      </w:r>
      <w:bookmarkEnd w:id="699"/>
    </w:p>
    <w:p w14:paraId="200D0CB0">
      <w:pPr>
        <w:pageBreakBefore w:val="0"/>
        <w:widowControl w:val="0"/>
        <w:kinsoku/>
        <w:wordWrap/>
        <w:overflowPunct/>
        <w:topLinePunct w:val="0"/>
        <w:autoSpaceDE w:val="0"/>
        <w:autoSpaceDN w:val="0"/>
        <w:bidi w:val="0"/>
        <w:adjustRightInd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3.8.1 联合体各方应共同与发包人签订合同协议书。联合体各方应为履行合同向发包人承担连带责任。</w:t>
      </w:r>
    </w:p>
    <w:p w14:paraId="7A986A7F">
      <w:pPr>
        <w:pageBreakBefore w:val="0"/>
        <w:widowControl w:val="0"/>
        <w:kinsoku/>
        <w:wordWrap/>
        <w:overflowPunct/>
        <w:topLinePunct w:val="0"/>
        <w:autoSpaceDE w:val="0"/>
        <w:autoSpaceDN w:val="0"/>
        <w:bidi w:val="0"/>
        <w:adjustRightInd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3.8.2 联合体协议经发包人确认后作为合同附件。在履行合同过程中，未经发包人同意，不得修改联合体协议。</w:t>
      </w:r>
    </w:p>
    <w:p w14:paraId="054CE712">
      <w:pPr>
        <w:pageBreakBefore w:val="0"/>
        <w:widowControl w:val="0"/>
        <w:kinsoku/>
        <w:wordWrap/>
        <w:overflowPunct/>
        <w:topLinePunct w:val="0"/>
        <w:autoSpaceDE w:val="0"/>
        <w:autoSpaceDN w:val="0"/>
        <w:bidi w:val="0"/>
        <w:adjustRightInd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3.8.3 联合体牵头人负责与发包人和监理人联系，并接受指示，负责组织联合体各成员全面履行合同。</w:t>
      </w:r>
    </w:p>
    <w:p w14:paraId="58E193FA">
      <w:pPr>
        <w:pageBreakBefore w:val="0"/>
        <w:widowControl w:val="0"/>
        <w:kinsoku/>
        <w:wordWrap/>
        <w:overflowPunct/>
        <w:topLinePunct w:val="0"/>
        <w:bidi w:val="0"/>
        <w:snapToGrid/>
        <w:spacing w:before="120" w:after="120" w:line="480" w:lineRule="exact"/>
        <w:textAlignment w:val="auto"/>
        <w:outlineLvl w:val="9"/>
        <w:rPr>
          <w:rFonts w:hint="eastAsia" w:ascii="宋体" w:hAnsi="宋体" w:eastAsia="宋体" w:cs="宋体"/>
          <w:bCs w:val="0"/>
          <w:sz w:val="24"/>
          <w:szCs w:val="24"/>
        </w:rPr>
      </w:pPr>
      <w:bookmarkStart w:id="700" w:name="_Toc351203527"/>
      <w:r>
        <w:rPr>
          <w:rFonts w:hint="eastAsia" w:ascii="宋体" w:hAnsi="宋体" w:eastAsia="宋体" w:cs="宋体"/>
          <w:bCs w:val="0"/>
          <w:sz w:val="24"/>
          <w:szCs w:val="24"/>
        </w:rPr>
        <w:t>4</w:t>
      </w:r>
      <w:bookmarkStart w:id="701" w:name="_Toc296346554"/>
      <w:bookmarkStart w:id="702" w:name="_Toc296503053"/>
      <w:bookmarkStart w:id="703" w:name="_Toc337558753"/>
      <w:r>
        <w:rPr>
          <w:rFonts w:hint="eastAsia" w:ascii="宋体" w:hAnsi="宋体" w:eastAsia="宋体" w:cs="宋体"/>
          <w:bCs w:val="0"/>
          <w:sz w:val="24"/>
          <w:szCs w:val="24"/>
        </w:rPr>
        <w:t>. 监</w:t>
      </w:r>
      <w:bookmarkEnd w:id="701"/>
      <w:bookmarkEnd w:id="702"/>
      <w:r>
        <w:rPr>
          <w:rFonts w:hint="eastAsia" w:ascii="宋体" w:hAnsi="宋体" w:eastAsia="宋体" w:cs="宋体"/>
          <w:bCs w:val="0"/>
          <w:sz w:val="24"/>
          <w:szCs w:val="24"/>
        </w:rPr>
        <w:t>理人</w:t>
      </w:r>
      <w:bookmarkEnd w:id="700"/>
    </w:p>
    <w:bookmarkEnd w:id="703"/>
    <w:p w14:paraId="0E37A3DA">
      <w:pPr>
        <w:pageBreakBefore w:val="0"/>
        <w:widowControl w:val="0"/>
        <w:kinsoku/>
        <w:wordWrap/>
        <w:overflowPunct/>
        <w:topLinePunct w:val="0"/>
        <w:bidi w:val="0"/>
        <w:snapToGrid/>
        <w:spacing w:before="120" w:after="120" w:line="480" w:lineRule="exact"/>
        <w:ind w:firstLine="480" w:firstLineChars="200"/>
        <w:textAlignment w:val="auto"/>
        <w:outlineLvl w:val="9"/>
        <w:rPr>
          <w:rFonts w:hint="eastAsia" w:ascii="宋体" w:hAnsi="宋体" w:eastAsia="宋体" w:cs="宋体"/>
          <w:b w:val="0"/>
          <w:sz w:val="24"/>
          <w:szCs w:val="24"/>
        </w:rPr>
      </w:pPr>
      <w:bookmarkStart w:id="704" w:name="_Toc351203528"/>
      <w:r>
        <w:rPr>
          <w:rFonts w:hint="eastAsia" w:ascii="宋体" w:hAnsi="宋体" w:eastAsia="宋体" w:cs="宋体"/>
          <w:b w:val="0"/>
          <w:sz w:val="24"/>
          <w:szCs w:val="24"/>
        </w:rPr>
        <w:t>4</w:t>
      </w:r>
      <w:bookmarkStart w:id="705" w:name="_Toc337558754"/>
      <w:bookmarkStart w:id="706" w:name="_Toc296346555"/>
      <w:bookmarkStart w:id="707" w:name="_Toc296503054"/>
      <w:r>
        <w:rPr>
          <w:rFonts w:hint="eastAsia" w:ascii="宋体" w:hAnsi="宋体" w:eastAsia="宋体" w:cs="宋体"/>
          <w:b w:val="0"/>
          <w:sz w:val="24"/>
          <w:szCs w:val="24"/>
        </w:rPr>
        <w:t>.1监理人的一般规定</w:t>
      </w:r>
      <w:bookmarkEnd w:id="704"/>
    </w:p>
    <w:bookmarkEnd w:id="705"/>
    <w:bookmarkEnd w:id="706"/>
    <w:bookmarkEnd w:id="707"/>
    <w:p w14:paraId="300366B4">
      <w:pPr>
        <w:pageBreakBefore w:val="0"/>
        <w:widowControl w:val="0"/>
        <w:kinsoku/>
        <w:wordWrap/>
        <w:overflowPunct/>
        <w:topLinePunct w:val="0"/>
        <w:autoSpaceDE w:val="0"/>
        <w:autoSpaceDN w:val="0"/>
        <w:bidi w:val="0"/>
        <w:adjustRightInd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工程实行监理的，发包人和承包人应在专用合同条款中明确监理人的监理内容及监理权限等事项。监理人应当根据发包人授权及法律规定，代表发包人对工程施工相关事项进行检查、查验、审核、验收，并签发相关指示，但监理人无权修改合同，且无权减轻或免除合同约定的承包人的任何责任与义务。</w:t>
      </w:r>
    </w:p>
    <w:p w14:paraId="0101D750">
      <w:pPr>
        <w:pageBreakBefore w:val="0"/>
        <w:widowControl w:val="0"/>
        <w:kinsoku/>
        <w:wordWrap/>
        <w:overflowPunct/>
        <w:topLinePunct w:val="0"/>
        <w:autoSpaceDE w:val="0"/>
        <w:autoSpaceDN w:val="0"/>
        <w:bidi w:val="0"/>
        <w:adjustRightInd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除专用合同条款另有约定外，监理人在施工现场的办公场所、生活场所由承包人提供，所发生的费用由发包人承担。</w:t>
      </w:r>
    </w:p>
    <w:p w14:paraId="45BF4E2A">
      <w:pPr>
        <w:pageBreakBefore w:val="0"/>
        <w:widowControl w:val="0"/>
        <w:kinsoku/>
        <w:wordWrap/>
        <w:overflowPunct/>
        <w:topLinePunct w:val="0"/>
        <w:bidi w:val="0"/>
        <w:snapToGrid/>
        <w:spacing w:before="120" w:after="120" w:line="480" w:lineRule="exact"/>
        <w:ind w:firstLine="480" w:firstLineChars="200"/>
        <w:textAlignment w:val="auto"/>
        <w:outlineLvl w:val="9"/>
        <w:rPr>
          <w:rFonts w:hint="eastAsia" w:ascii="宋体" w:hAnsi="宋体" w:eastAsia="宋体" w:cs="宋体"/>
          <w:b w:val="0"/>
          <w:sz w:val="24"/>
          <w:szCs w:val="24"/>
        </w:rPr>
      </w:pPr>
      <w:bookmarkStart w:id="708" w:name="_Toc351203529"/>
      <w:r>
        <w:rPr>
          <w:rFonts w:hint="eastAsia" w:ascii="宋体" w:hAnsi="宋体" w:eastAsia="宋体" w:cs="宋体"/>
          <w:b w:val="0"/>
          <w:sz w:val="24"/>
          <w:szCs w:val="24"/>
        </w:rPr>
        <w:t>4</w:t>
      </w:r>
      <w:bookmarkStart w:id="709" w:name="_Toc337558755"/>
      <w:r>
        <w:rPr>
          <w:rFonts w:hint="eastAsia" w:ascii="宋体" w:hAnsi="宋体" w:eastAsia="宋体" w:cs="宋体"/>
          <w:b w:val="0"/>
          <w:sz w:val="24"/>
          <w:szCs w:val="24"/>
        </w:rPr>
        <w:t>.2监理人员</w:t>
      </w:r>
      <w:bookmarkEnd w:id="708"/>
    </w:p>
    <w:bookmarkEnd w:id="709"/>
    <w:p w14:paraId="61D2712F">
      <w:pPr>
        <w:pageBreakBefore w:val="0"/>
        <w:widowControl w:val="0"/>
        <w:kinsoku/>
        <w:wordWrap/>
        <w:overflowPunct/>
        <w:topLinePunct w:val="0"/>
        <w:autoSpaceDE w:val="0"/>
        <w:autoSpaceDN w:val="0"/>
        <w:bidi w:val="0"/>
        <w:adjustRightInd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发包人授予监理人对工程实施监理的权利由监理人派驻施工现场的监理人员行使，监理人员包括总监理工程师及监理工程师。监理人应将授权的总监理工程师和监理工程师的姓名及授权范围以书面形式提前通知承包人。更换总监理工程师的，监理人应提前7天书面通知承包人；更换其他监理人员，监理人应提前48小时书面通知承包人。</w:t>
      </w:r>
    </w:p>
    <w:p w14:paraId="0F32D94B">
      <w:pPr>
        <w:pageBreakBefore w:val="0"/>
        <w:widowControl w:val="0"/>
        <w:kinsoku/>
        <w:wordWrap/>
        <w:overflowPunct/>
        <w:topLinePunct w:val="0"/>
        <w:bidi w:val="0"/>
        <w:snapToGrid/>
        <w:spacing w:before="120" w:after="120" w:line="480" w:lineRule="exact"/>
        <w:ind w:firstLine="480" w:firstLineChars="200"/>
        <w:textAlignment w:val="auto"/>
        <w:outlineLvl w:val="9"/>
        <w:rPr>
          <w:rFonts w:hint="eastAsia" w:ascii="宋体" w:hAnsi="宋体" w:eastAsia="宋体" w:cs="宋体"/>
          <w:b w:val="0"/>
          <w:sz w:val="24"/>
          <w:szCs w:val="24"/>
        </w:rPr>
      </w:pPr>
      <w:bookmarkStart w:id="710" w:name="_Toc351203530"/>
      <w:r>
        <w:rPr>
          <w:rFonts w:hint="eastAsia" w:ascii="宋体" w:hAnsi="宋体" w:eastAsia="宋体" w:cs="宋体"/>
          <w:b w:val="0"/>
          <w:sz w:val="24"/>
          <w:szCs w:val="24"/>
        </w:rPr>
        <w:t>4</w:t>
      </w:r>
      <w:bookmarkStart w:id="711" w:name="_Toc296503055"/>
      <w:bookmarkStart w:id="712" w:name="_Toc296346556"/>
      <w:bookmarkStart w:id="713" w:name="_Toc337558756"/>
      <w:r>
        <w:rPr>
          <w:rFonts w:hint="eastAsia" w:ascii="宋体" w:hAnsi="宋体" w:eastAsia="宋体" w:cs="宋体"/>
          <w:b w:val="0"/>
          <w:sz w:val="24"/>
          <w:szCs w:val="24"/>
        </w:rPr>
        <w:t>.3</w:t>
      </w:r>
      <w:bookmarkEnd w:id="711"/>
      <w:bookmarkEnd w:id="712"/>
      <w:r>
        <w:rPr>
          <w:rFonts w:hint="eastAsia" w:ascii="宋体" w:hAnsi="宋体" w:eastAsia="宋体" w:cs="宋体"/>
          <w:b w:val="0"/>
          <w:sz w:val="24"/>
          <w:szCs w:val="24"/>
        </w:rPr>
        <w:t>监理人的指</w:t>
      </w:r>
      <w:bookmarkEnd w:id="713"/>
      <w:r>
        <w:rPr>
          <w:rFonts w:hint="eastAsia" w:ascii="宋体" w:hAnsi="宋体" w:eastAsia="宋体" w:cs="宋体"/>
          <w:b w:val="0"/>
          <w:sz w:val="24"/>
          <w:szCs w:val="24"/>
        </w:rPr>
        <w:t>示</w:t>
      </w:r>
      <w:bookmarkEnd w:id="710"/>
    </w:p>
    <w:p w14:paraId="700B723B">
      <w:pPr>
        <w:pageBreakBefore w:val="0"/>
        <w:widowControl w:val="0"/>
        <w:kinsoku/>
        <w:wordWrap/>
        <w:overflowPunct/>
        <w:topLinePunct w:val="0"/>
        <w:autoSpaceDE w:val="0"/>
        <w:autoSpaceDN w:val="0"/>
        <w:bidi w:val="0"/>
        <w:adjustRightInd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监理人应按照发包人的授权发出监理指示。监理人的指示应采用书面形式，并经其授权的监理人员签字。紧急情况下，为了保证施工人员的安全或避免工程受损，监理人员可以口头形式发出指示，该指示与书面形式的指示具有同等法律效力，但必须在发出口头指示后24小时内补发书面监理指示，补发的书面监理指示应与口头指示一致。</w:t>
      </w:r>
    </w:p>
    <w:p w14:paraId="11BC4EE6">
      <w:pPr>
        <w:pageBreakBefore w:val="0"/>
        <w:widowControl w:val="0"/>
        <w:kinsoku/>
        <w:wordWrap/>
        <w:overflowPunct/>
        <w:topLinePunct w:val="0"/>
        <w:autoSpaceDE w:val="0"/>
        <w:autoSpaceDN w:val="0"/>
        <w:bidi w:val="0"/>
        <w:adjustRightInd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监理人发出的指示应送达承包人项目经理或经项目经理授权接收的人员。因监理人未能按合同约定发出指示、指示延误或发出了错误指示而导致承包人费用增加和（或）工期延误的，由发包人承担相应责任。除专用合同条款另有约定外，总监理工程师不应将第4.4款〔商定或确定〕约定应由总监理工程师作出确定的权力授权或委托给其他监理人员。</w:t>
      </w:r>
    </w:p>
    <w:p w14:paraId="1149C83A">
      <w:pPr>
        <w:pageBreakBefore w:val="0"/>
        <w:widowControl w:val="0"/>
        <w:kinsoku/>
        <w:wordWrap/>
        <w:overflowPunct/>
        <w:topLinePunct w:val="0"/>
        <w:autoSpaceDE w:val="0"/>
        <w:autoSpaceDN w:val="0"/>
        <w:bidi w:val="0"/>
        <w:adjustRightInd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承包人对监理人发出的指示有疑问的，应向监理人提出书面异议，监理人应在48小时内对该指示予以确认、更改或撤销，监理人逾期未回复的，承包人有权拒绝执行上述指示。</w:t>
      </w:r>
    </w:p>
    <w:p w14:paraId="771B9910">
      <w:pPr>
        <w:pageBreakBefore w:val="0"/>
        <w:widowControl w:val="0"/>
        <w:kinsoku/>
        <w:wordWrap/>
        <w:overflowPunct/>
        <w:topLinePunct w:val="0"/>
        <w:autoSpaceDE w:val="0"/>
        <w:autoSpaceDN w:val="0"/>
        <w:bidi w:val="0"/>
        <w:adjustRightInd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监理人对承包人的任何工作、工程或其采用的材料和工程设备未在约定的或合理期限内提出意见的，视为批准，但不免除或减轻承包人对该工作、工程、材料、工程设备等应承担的责任和义务。</w:t>
      </w:r>
    </w:p>
    <w:p w14:paraId="51F22075">
      <w:pPr>
        <w:pageBreakBefore w:val="0"/>
        <w:widowControl w:val="0"/>
        <w:kinsoku/>
        <w:wordWrap/>
        <w:overflowPunct/>
        <w:topLinePunct w:val="0"/>
        <w:bidi w:val="0"/>
        <w:snapToGrid/>
        <w:spacing w:before="120" w:after="120" w:line="480" w:lineRule="exact"/>
        <w:ind w:firstLine="480" w:firstLineChars="200"/>
        <w:textAlignment w:val="auto"/>
        <w:outlineLvl w:val="9"/>
        <w:rPr>
          <w:rFonts w:hint="eastAsia" w:ascii="宋体" w:hAnsi="宋体" w:eastAsia="宋体" w:cs="宋体"/>
          <w:b w:val="0"/>
          <w:sz w:val="24"/>
          <w:szCs w:val="24"/>
        </w:rPr>
      </w:pPr>
      <w:bookmarkStart w:id="714" w:name="_Toc351203531"/>
      <w:r>
        <w:rPr>
          <w:rFonts w:hint="eastAsia" w:ascii="宋体" w:hAnsi="宋体" w:eastAsia="宋体" w:cs="宋体"/>
          <w:b w:val="0"/>
          <w:sz w:val="24"/>
          <w:szCs w:val="24"/>
        </w:rPr>
        <w:t>4</w:t>
      </w:r>
      <w:bookmarkStart w:id="715" w:name="_Toc337558757"/>
      <w:bookmarkStart w:id="716" w:name="_Toc296346558"/>
      <w:bookmarkStart w:id="717" w:name="_Toc296503057"/>
      <w:r>
        <w:rPr>
          <w:rFonts w:hint="eastAsia" w:ascii="宋体" w:hAnsi="宋体" w:eastAsia="宋体" w:cs="宋体"/>
          <w:b w:val="0"/>
          <w:sz w:val="24"/>
          <w:szCs w:val="24"/>
        </w:rPr>
        <w:t>.4 商定或确定</w:t>
      </w:r>
      <w:bookmarkEnd w:id="714"/>
    </w:p>
    <w:bookmarkEnd w:id="715"/>
    <w:bookmarkEnd w:id="716"/>
    <w:bookmarkEnd w:id="717"/>
    <w:p w14:paraId="2AE478EF">
      <w:pPr>
        <w:pageBreakBefore w:val="0"/>
        <w:widowControl w:val="0"/>
        <w:kinsoku/>
        <w:wordWrap/>
        <w:overflowPunct/>
        <w:topLinePunct w:val="0"/>
        <w:autoSpaceDE w:val="0"/>
        <w:autoSpaceDN w:val="0"/>
        <w:bidi w:val="0"/>
        <w:adjustRightInd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合同当事人进行商定或确定时，总监理工程师应当会同合同当事人尽量通过协商达成一致，不能达成一致的，由总监理工程师按照合同约定审慎做出公正的确定。</w:t>
      </w:r>
    </w:p>
    <w:p w14:paraId="2348A844">
      <w:pPr>
        <w:pageBreakBefore w:val="0"/>
        <w:widowControl w:val="0"/>
        <w:kinsoku/>
        <w:wordWrap/>
        <w:overflowPunct/>
        <w:topLinePunct w:val="0"/>
        <w:autoSpaceDE w:val="0"/>
        <w:autoSpaceDN w:val="0"/>
        <w:bidi w:val="0"/>
        <w:adjustRightInd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总监理工程师应将确定以书面形式通知发包人和承包人，并附详细依据。合同当事人对总监理工程师的确定没有异议的，按照总监理工程师的确定执行。任何一方合同当事人有异议，按照第20条〔争议解决〕约定处理。争议解决前，合同当事人暂按总监理工程师的确定执行；争议解决后，争议解决的结果与总监理工程师的确定不一致的，按照争议解决的结果执行，由此造成的损失由责任人承担。</w:t>
      </w:r>
    </w:p>
    <w:p w14:paraId="758CFA34">
      <w:pPr>
        <w:pageBreakBefore w:val="0"/>
        <w:widowControl w:val="0"/>
        <w:kinsoku/>
        <w:wordWrap/>
        <w:overflowPunct/>
        <w:topLinePunct w:val="0"/>
        <w:bidi w:val="0"/>
        <w:snapToGrid/>
        <w:spacing w:before="120" w:after="120" w:line="480" w:lineRule="exact"/>
        <w:textAlignment w:val="auto"/>
        <w:outlineLvl w:val="9"/>
        <w:rPr>
          <w:rFonts w:hint="eastAsia" w:ascii="宋体" w:hAnsi="宋体" w:eastAsia="宋体" w:cs="宋体"/>
          <w:bCs w:val="0"/>
          <w:sz w:val="24"/>
          <w:szCs w:val="24"/>
        </w:rPr>
      </w:pPr>
      <w:bookmarkStart w:id="718" w:name="_Toc351203532"/>
      <w:r>
        <w:rPr>
          <w:rFonts w:hint="eastAsia" w:ascii="宋体" w:hAnsi="宋体" w:eastAsia="宋体" w:cs="宋体"/>
          <w:bCs w:val="0"/>
          <w:sz w:val="24"/>
          <w:szCs w:val="24"/>
        </w:rPr>
        <w:t>5</w:t>
      </w:r>
      <w:bookmarkStart w:id="719" w:name="_Toc337558758"/>
      <w:r>
        <w:rPr>
          <w:rFonts w:hint="eastAsia" w:ascii="宋体" w:hAnsi="宋体" w:eastAsia="宋体" w:cs="宋体"/>
          <w:bCs w:val="0"/>
          <w:sz w:val="24"/>
          <w:szCs w:val="24"/>
        </w:rPr>
        <w:t>. 工程质量</w:t>
      </w:r>
      <w:bookmarkEnd w:id="718"/>
    </w:p>
    <w:bookmarkEnd w:id="719"/>
    <w:p w14:paraId="0BEB08E9">
      <w:pPr>
        <w:pageBreakBefore w:val="0"/>
        <w:widowControl w:val="0"/>
        <w:kinsoku/>
        <w:wordWrap/>
        <w:overflowPunct/>
        <w:topLinePunct w:val="0"/>
        <w:bidi w:val="0"/>
        <w:snapToGrid/>
        <w:spacing w:before="120" w:after="120" w:line="480" w:lineRule="exact"/>
        <w:ind w:firstLine="480" w:firstLineChars="200"/>
        <w:textAlignment w:val="auto"/>
        <w:outlineLvl w:val="9"/>
        <w:rPr>
          <w:rFonts w:hint="eastAsia" w:ascii="宋体" w:hAnsi="宋体" w:eastAsia="宋体" w:cs="宋体"/>
          <w:b w:val="0"/>
          <w:sz w:val="24"/>
          <w:szCs w:val="24"/>
        </w:rPr>
      </w:pPr>
      <w:bookmarkStart w:id="720" w:name="_Toc351203533"/>
      <w:r>
        <w:rPr>
          <w:rFonts w:hint="eastAsia" w:ascii="宋体" w:hAnsi="宋体" w:eastAsia="宋体" w:cs="宋体"/>
          <w:b w:val="0"/>
          <w:sz w:val="24"/>
          <w:szCs w:val="24"/>
        </w:rPr>
        <w:t>5</w:t>
      </w:r>
      <w:bookmarkStart w:id="721" w:name="_Toc337558759"/>
      <w:r>
        <w:rPr>
          <w:rFonts w:hint="eastAsia" w:ascii="宋体" w:hAnsi="宋体" w:eastAsia="宋体" w:cs="宋体"/>
          <w:b w:val="0"/>
          <w:sz w:val="24"/>
          <w:szCs w:val="24"/>
        </w:rPr>
        <w:t>.1质量要求</w:t>
      </w:r>
      <w:bookmarkEnd w:id="720"/>
    </w:p>
    <w:bookmarkEnd w:id="721"/>
    <w:p w14:paraId="3A496113">
      <w:pPr>
        <w:pageBreakBefore w:val="0"/>
        <w:widowControl w:val="0"/>
        <w:kinsoku/>
        <w:wordWrap/>
        <w:overflowPunct/>
        <w:topLinePunct w:val="0"/>
        <w:autoSpaceDE w:val="0"/>
        <w:autoSpaceDN w:val="0"/>
        <w:bidi w:val="0"/>
        <w:adjustRightInd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5.1.1 工程质量标准必须符合现行国家有关工程施工质量验收规范和标准的要求。有关工程质量的特殊标准或要求由合同当事人在专用合同条款中约定。</w:t>
      </w:r>
    </w:p>
    <w:p w14:paraId="3E9A6522">
      <w:pPr>
        <w:pageBreakBefore w:val="0"/>
        <w:widowControl w:val="0"/>
        <w:kinsoku/>
        <w:wordWrap/>
        <w:overflowPunct/>
        <w:topLinePunct w:val="0"/>
        <w:autoSpaceDE w:val="0"/>
        <w:autoSpaceDN w:val="0"/>
        <w:bidi w:val="0"/>
        <w:adjustRightInd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5.1.2 因发包人原因造成工程质量未达到合同约定标准的，由发包人承担由此增加的费用和（或）延误的工期，并支付承包人合理的利润。</w:t>
      </w:r>
    </w:p>
    <w:p w14:paraId="001C6049">
      <w:pPr>
        <w:pageBreakBefore w:val="0"/>
        <w:widowControl w:val="0"/>
        <w:kinsoku/>
        <w:wordWrap/>
        <w:overflowPunct/>
        <w:topLinePunct w:val="0"/>
        <w:autoSpaceDE w:val="0"/>
        <w:autoSpaceDN w:val="0"/>
        <w:bidi w:val="0"/>
        <w:adjustRightInd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5.1.3 因承包人原因造成工程质量未达到合同约定标准的，发包人有权要求承包人返工直至工程质量达到合同约定的标准为止，并由承包人承担由此增加的费用和（或）延误的工期。</w:t>
      </w:r>
    </w:p>
    <w:p w14:paraId="321EACCE">
      <w:pPr>
        <w:pageBreakBefore w:val="0"/>
        <w:widowControl w:val="0"/>
        <w:kinsoku/>
        <w:wordWrap/>
        <w:overflowPunct/>
        <w:topLinePunct w:val="0"/>
        <w:bidi w:val="0"/>
        <w:snapToGrid/>
        <w:spacing w:before="120" w:after="120" w:line="480" w:lineRule="exact"/>
        <w:ind w:firstLine="480" w:firstLineChars="200"/>
        <w:textAlignment w:val="auto"/>
        <w:outlineLvl w:val="9"/>
        <w:rPr>
          <w:rFonts w:hint="eastAsia" w:ascii="宋体" w:hAnsi="宋体" w:eastAsia="宋体" w:cs="宋体"/>
          <w:b w:val="0"/>
          <w:sz w:val="24"/>
          <w:szCs w:val="24"/>
        </w:rPr>
      </w:pPr>
      <w:bookmarkStart w:id="722" w:name="_Toc351203534"/>
      <w:r>
        <w:rPr>
          <w:rFonts w:hint="eastAsia" w:ascii="宋体" w:hAnsi="宋体" w:eastAsia="宋体" w:cs="宋体"/>
          <w:b w:val="0"/>
          <w:sz w:val="24"/>
          <w:szCs w:val="24"/>
        </w:rPr>
        <w:t>5</w:t>
      </w:r>
      <w:bookmarkStart w:id="723" w:name="_Toc337558760"/>
      <w:r>
        <w:rPr>
          <w:rFonts w:hint="eastAsia" w:ascii="宋体" w:hAnsi="宋体" w:eastAsia="宋体" w:cs="宋体"/>
          <w:b w:val="0"/>
          <w:sz w:val="24"/>
          <w:szCs w:val="24"/>
        </w:rPr>
        <w:t>.2质量保证措施</w:t>
      </w:r>
      <w:bookmarkEnd w:id="722"/>
    </w:p>
    <w:bookmarkEnd w:id="723"/>
    <w:p w14:paraId="292BCB66">
      <w:pPr>
        <w:pageBreakBefore w:val="0"/>
        <w:widowControl w:val="0"/>
        <w:kinsoku/>
        <w:wordWrap/>
        <w:overflowPunct/>
        <w:topLinePunct w:val="0"/>
        <w:autoSpaceDE w:val="0"/>
        <w:autoSpaceDN w:val="0"/>
        <w:bidi w:val="0"/>
        <w:adjustRightInd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5.2.1 发包人的质量管理</w:t>
      </w:r>
    </w:p>
    <w:p w14:paraId="4E263E5D">
      <w:pPr>
        <w:pageBreakBefore w:val="0"/>
        <w:widowControl w:val="0"/>
        <w:kinsoku/>
        <w:wordWrap/>
        <w:overflowPunct/>
        <w:topLinePunct w:val="0"/>
        <w:autoSpaceDE w:val="0"/>
        <w:autoSpaceDN w:val="0"/>
        <w:bidi w:val="0"/>
        <w:adjustRightInd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发包人应按照法律规定及合同约定完成与工程质量有关的各项工作。</w:t>
      </w:r>
    </w:p>
    <w:p w14:paraId="26C9F149">
      <w:pPr>
        <w:pageBreakBefore w:val="0"/>
        <w:widowControl w:val="0"/>
        <w:kinsoku/>
        <w:wordWrap/>
        <w:overflowPunct/>
        <w:topLinePunct w:val="0"/>
        <w:autoSpaceDE w:val="0"/>
        <w:autoSpaceDN w:val="0"/>
        <w:bidi w:val="0"/>
        <w:adjustRightInd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5.2.2 承包人的质量管理</w:t>
      </w:r>
    </w:p>
    <w:p w14:paraId="74B39C50">
      <w:pPr>
        <w:pageBreakBefore w:val="0"/>
        <w:widowControl w:val="0"/>
        <w:kinsoku/>
        <w:wordWrap/>
        <w:overflowPunct/>
        <w:topLinePunct w:val="0"/>
        <w:autoSpaceDE w:val="0"/>
        <w:autoSpaceDN w:val="0"/>
        <w:bidi w:val="0"/>
        <w:adjustRightInd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承包人按照第7.1款〔施工组织设计〕约定向发包人和监理人提交工程质量保证体系及措施文件，建立完善的质量检查制度，并提交相应的工程质量文件。对于发包人和监理人违反法律规定和合同约定的错误指示，承包人有权拒绝实施。</w:t>
      </w:r>
    </w:p>
    <w:p w14:paraId="028CAF3F">
      <w:pPr>
        <w:pageBreakBefore w:val="0"/>
        <w:widowControl w:val="0"/>
        <w:kinsoku/>
        <w:wordWrap/>
        <w:overflowPunct/>
        <w:topLinePunct w:val="0"/>
        <w:autoSpaceDE w:val="0"/>
        <w:autoSpaceDN w:val="0"/>
        <w:bidi w:val="0"/>
        <w:adjustRightInd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承包人应对施工人员进行质量教育和技术培训，定期考核施工人员的劳动技能，严格执行施工规范和操作规程。</w:t>
      </w:r>
    </w:p>
    <w:p w14:paraId="3F22CE6A">
      <w:pPr>
        <w:pageBreakBefore w:val="0"/>
        <w:widowControl w:val="0"/>
        <w:kinsoku/>
        <w:wordWrap/>
        <w:overflowPunct/>
        <w:topLinePunct w:val="0"/>
        <w:autoSpaceDE w:val="0"/>
        <w:autoSpaceDN w:val="0"/>
        <w:bidi w:val="0"/>
        <w:adjustRightInd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承包人应按照法律规定和发包人的要求，对材料、工程设备以及工程的所有部位及其施工工艺进行全过程的质量检查和检验，并作详细记录，编制工程质量报表，报送监理人审查。此外，承包人还应按照法律规定和发包人的要求，进行施工现场取样试验、工程复核测量和设备性能检测，提供试验样品、提交试验报告和测量成果以及其他工作。</w:t>
      </w:r>
    </w:p>
    <w:p w14:paraId="35E897E8">
      <w:pPr>
        <w:pageBreakBefore w:val="0"/>
        <w:widowControl w:val="0"/>
        <w:kinsoku/>
        <w:wordWrap/>
        <w:overflowPunct/>
        <w:topLinePunct w:val="0"/>
        <w:autoSpaceDE w:val="0"/>
        <w:autoSpaceDN w:val="0"/>
        <w:bidi w:val="0"/>
        <w:adjustRightInd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5.2.3 监理人的质量检查和检验</w:t>
      </w:r>
    </w:p>
    <w:p w14:paraId="33231027">
      <w:pPr>
        <w:pageBreakBefore w:val="0"/>
        <w:widowControl w:val="0"/>
        <w:kinsoku/>
        <w:wordWrap/>
        <w:overflowPunct/>
        <w:topLinePunct w:val="0"/>
        <w:autoSpaceDE w:val="0"/>
        <w:autoSpaceDN w:val="0"/>
        <w:bidi w:val="0"/>
        <w:adjustRightInd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监理人按照法律规定和发包人授权对工程的所有部位及其施工工艺、材料和工程设备进行检查和检验。承包人应为监理人的检查和检验提供方便，包括监理人到施工现场，或制造、加工地点，或合同约定的其他地方进行察看和查阅施工原始记录。监理人为此进行的检查和检验，不免除或减轻承包人按照合同约定应当承担的责任。</w:t>
      </w:r>
    </w:p>
    <w:p w14:paraId="2AE54CC2">
      <w:pPr>
        <w:pageBreakBefore w:val="0"/>
        <w:widowControl w:val="0"/>
        <w:kinsoku/>
        <w:wordWrap/>
        <w:overflowPunct/>
        <w:topLinePunct w:val="0"/>
        <w:autoSpaceDE w:val="0"/>
        <w:autoSpaceDN w:val="0"/>
        <w:bidi w:val="0"/>
        <w:adjustRightInd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监理人的检查和检验不应影响施工正常进行。监理人的检查和检验影响施工正常进行的，且经检查检验不合格的，影响正常施工的费用由承包人承担，工期不予顺延；经检查检验合格的，由此增加的费用和（或）延误的工期由发包人承担。</w:t>
      </w:r>
    </w:p>
    <w:p w14:paraId="3E28CAD4">
      <w:pPr>
        <w:pageBreakBefore w:val="0"/>
        <w:widowControl w:val="0"/>
        <w:kinsoku/>
        <w:wordWrap/>
        <w:overflowPunct/>
        <w:topLinePunct w:val="0"/>
        <w:bidi w:val="0"/>
        <w:snapToGrid/>
        <w:spacing w:before="120" w:after="120" w:line="480" w:lineRule="exact"/>
        <w:ind w:firstLine="480" w:firstLineChars="200"/>
        <w:textAlignment w:val="auto"/>
        <w:outlineLvl w:val="9"/>
        <w:rPr>
          <w:rFonts w:hint="eastAsia" w:ascii="宋体" w:hAnsi="宋体" w:eastAsia="宋体" w:cs="宋体"/>
          <w:b w:val="0"/>
          <w:sz w:val="24"/>
          <w:szCs w:val="24"/>
        </w:rPr>
      </w:pPr>
      <w:bookmarkStart w:id="724" w:name="_Toc351203535"/>
      <w:r>
        <w:rPr>
          <w:rFonts w:hint="eastAsia" w:ascii="宋体" w:hAnsi="宋体" w:eastAsia="宋体" w:cs="宋体"/>
          <w:b w:val="0"/>
          <w:sz w:val="24"/>
          <w:szCs w:val="24"/>
        </w:rPr>
        <w:t>5</w:t>
      </w:r>
      <w:bookmarkStart w:id="725" w:name="_Toc337558761"/>
      <w:r>
        <w:rPr>
          <w:rFonts w:hint="eastAsia" w:ascii="宋体" w:hAnsi="宋体" w:eastAsia="宋体" w:cs="宋体"/>
          <w:b w:val="0"/>
          <w:sz w:val="24"/>
          <w:szCs w:val="24"/>
        </w:rPr>
        <w:t>.3 隐蔽工程检查</w:t>
      </w:r>
      <w:bookmarkEnd w:id="724"/>
    </w:p>
    <w:bookmarkEnd w:id="725"/>
    <w:p w14:paraId="50B3325B">
      <w:pPr>
        <w:pageBreakBefore w:val="0"/>
        <w:widowControl w:val="0"/>
        <w:kinsoku/>
        <w:wordWrap/>
        <w:overflowPunct/>
        <w:topLinePunct w:val="0"/>
        <w:bidi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5.3.1承包人自检</w:t>
      </w:r>
    </w:p>
    <w:p w14:paraId="2610AC44">
      <w:pPr>
        <w:pageBreakBefore w:val="0"/>
        <w:widowControl w:val="0"/>
        <w:kinsoku/>
        <w:wordWrap/>
        <w:overflowPunct/>
        <w:topLinePunct w:val="0"/>
        <w:bidi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承包人应当对工程隐蔽部位进行自检，并经自检确认是否具备覆盖条件。</w:t>
      </w:r>
    </w:p>
    <w:p w14:paraId="1152E6DC">
      <w:pPr>
        <w:pageBreakBefore w:val="0"/>
        <w:widowControl w:val="0"/>
        <w:kinsoku/>
        <w:wordWrap/>
        <w:overflowPunct/>
        <w:topLinePunct w:val="0"/>
        <w:bidi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5.3.2检查程序</w:t>
      </w:r>
    </w:p>
    <w:p w14:paraId="08AEAD7D">
      <w:pPr>
        <w:pageBreakBefore w:val="0"/>
        <w:widowControl w:val="0"/>
        <w:kinsoku/>
        <w:wordWrap/>
        <w:overflowPunct/>
        <w:topLinePunct w:val="0"/>
        <w:bidi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除专用合同条款另有约定外，工程隐蔽部位经承包人自检确认具备覆盖条件的，承包人应在共同检查前48小时书面通知监理人检查，通知中应载明隐蔽检查的内容、时间和地点，并应附有自检记录和必要的检查资料。</w:t>
      </w:r>
    </w:p>
    <w:p w14:paraId="77FD939D">
      <w:pPr>
        <w:pageBreakBefore w:val="0"/>
        <w:widowControl w:val="0"/>
        <w:kinsoku/>
        <w:wordWrap/>
        <w:overflowPunct/>
        <w:topLinePunct w:val="0"/>
        <w:bidi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监理人应按时到场并对隐蔽工程及其施工工艺、材料和工程设备进行检查。经监理人检查确认质量符合隐蔽要求，并在验收记录上签字后，承包人才能进行覆盖。经监理人检查质量不合格的，承包人应在监理人指示的时间内完成修复，并由监理人重新检查，由此增加的费用和（或）延误的工期由承包人承担。</w:t>
      </w:r>
    </w:p>
    <w:p w14:paraId="11755A43">
      <w:pPr>
        <w:pageBreakBefore w:val="0"/>
        <w:widowControl w:val="0"/>
        <w:kinsoku/>
        <w:wordWrap/>
        <w:overflowPunct/>
        <w:topLinePunct w:val="0"/>
        <w:bidi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除专用合同条款另有约定外，监理人不能按时进行检查的，应在检查前24小时向承包人提交书面延期要求，但延期不能超过48小时，由此导致工期延误的，工期应予以顺延。监理人未按时进行检查，也未提出延期要求的，视为隐蔽工程检查合格，承包人可自行完成覆盖工作，并作相应记录报送监理人，监理人应签字确认。监理人事后对检查记录有疑问的，可按第5.3.3项〔重新检查〕的约定重新检查。</w:t>
      </w:r>
    </w:p>
    <w:p w14:paraId="2FFCA486">
      <w:pPr>
        <w:pageBreakBefore w:val="0"/>
        <w:widowControl w:val="0"/>
        <w:kinsoku/>
        <w:wordWrap/>
        <w:overflowPunct/>
        <w:topLinePunct w:val="0"/>
        <w:bidi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5.3.3 重新检查</w:t>
      </w:r>
    </w:p>
    <w:p w14:paraId="0B7978E3">
      <w:pPr>
        <w:pageBreakBefore w:val="0"/>
        <w:widowControl w:val="0"/>
        <w:kinsoku/>
        <w:wordWrap/>
        <w:overflowPunct/>
        <w:topLinePunct w:val="0"/>
        <w:bidi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承包人覆盖工程隐蔽部位后，发包人或监理人对质量有疑问的，可要求承包人对已覆盖的部位进行钻孔探测或揭开重新检查，承包人应遵照执行，并在检查后重新覆盖恢复原状。经检查证明工程质量符合合同要求的，由发包人承担由此增加的费用和（或）延误的工期，并支付承包人合理的利润；经检查证明工程质量不符合合同要求的，由此增加的费用和（或）延误的工期由承包人承担。</w:t>
      </w:r>
    </w:p>
    <w:p w14:paraId="71CE9830">
      <w:pPr>
        <w:pageBreakBefore w:val="0"/>
        <w:widowControl w:val="0"/>
        <w:kinsoku/>
        <w:wordWrap/>
        <w:overflowPunct/>
        <w:topLinePunct w:val="0"/>
        <w:bidi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5.3.4 承包人私自覆盖</w:t>
      </w:r>
    </w:p>
    <w:p w14:paraId="1681A24D">
      <w:pPr>
        <w:pageBreakBefore w:val="0"/>
        <w:widowControl w:val="0"/>
        <w:kinsoku/>
        <w:wordWrap/>
        <w:overflowPunct/>
        <w:topLinePunct w:val="0"/>
        <w:bidi w:val="0"/>
        <w:snapToGrid/>
        <w:spacing w:line="480" w:lineRule="exact"/>
        <w:ind w:firstLine="480" w:firstLineChars="200"/>
        <w:jc w:val="left"/>
        <w:textAlignment w:val="auto"/>
        <w:outlineLvl w:val="9"/>
        <w:rPr>
          <w:rFonts w:hint="eastAsia" w:ascii="宋体" w:hAnsi="宋体" w:eastAsia="宋体" w:cs="宋体"/>
          <w:sz w:val="24"/>
        </w:rPr>
      </w:pPr>
      <w:r>
        <w:rPr>
          <w:rFonts w:hint="eastAsia" w:ascii="宋体" w:hAnsi="宋体" w:eastAsia="宋体" w:cs="宋体"/>
          <w:kern w:val="0"/>
          <w:sz w:val="24"/>
        </w:rPr>
        <w:t>承包人未通知监理人到场检查，私自将工程隐蔽部位覆盖的，监理人有权指示承包人钻孔探测或揭开检查，无论工程隐蔽部位质量是否合格，由此增加的费用和（或）延误的工期均由承包人承担。</w:t>
      </w:r>
    </w:p>
    <w:p w14:paraId="05B9DA29">
      <w:pPr>
        <w:pageBreakBefore w:val="0"/>
        <w:widowControl w:val="0"/>
        <w:kinsoku/>
        <w:wordWrap/>
        <w:overflowPunct/>
        <w:topLinePunct w:val="0"/>
        <w:bidi w:val="0"/>
        <w:snapToGrid/>
        <w:spacing w:before="120" w:after="120" w:line="480" w:lineRule="exact"/>
        <w:ind w:firstLine="480" w:firstLineChars="200"/>
        <w:textAlignment w:val="auto"/>
        <w:outlineLvl w:val="9"/>
        <w:rPr>
          <w:rFonts w:hint="eastAsia" w:ascii="宋体" w:hAnsi="宋体" w:eastAsia="宋体" w:cs="宋体"/>
          <w:b w:val="0"/>
          <w:sz w:val="24"/>
          <w:szCs w:val="24"/>
        </w:rPr>
      </w:pPr>
      <w:bookmarkStart w:id="726" w:name="_Toc351203536"/>
      <w:r>
        <w:rPr>
          <w:rFonts w:hint="eastAsia" w:ascii="宋体" w:hAnsi="宋体" w:eastAsia="宋体" w:cs="宋体"/>
          <w:b w:val="0"/>
          <w:sz w:val="24"/>
          <w:szCs w:val="24"/>
        </w:rPr>
        <w:t>5</w:t>
      </w:r>
      <w:bookmarkStart w:id="727" w:name="_Toc337558762"/>
      <w:r>
        <w:rPr>
          <w:rFonts w:hint="eastAsia" w:ascii="宋体" w:hAnsi="宋体" w:eastAsia="宋体" w:cs="宋体"/>
          <w:b w:val="0"/>
          <w:sz w:val="24"/>
          <w:szCs w:val="24"/>
        </w:rPr>
        <w:t>.4不合格工程的处理</w:t>
      </w:r>
      <w:bookmarkEnd w:id="726"/>
    </w:p>
    <w:bookmarkEnd w:id="727"/>
    <w:p w14:paraId="280F0A1B">
      <w:pPr>
        <w:pageBreakBefore w:val="0"/>
        <w:widowControl w:val="0"/>
        <w:kinsoku/>
        <w:wordWrap/>
        <w:overflowPunct/>
        <w:topLinePunct w:val="0"/>
        <w:bidi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 xml:space="preserve">5.4.1 因承包人原因造成工程不合格的，发包人有权随时要求承包人采取补救措施，直至达到合同要求的质量标准，由此增加的费用和（或）延误的工期由承包人承担。无法补救的，按照第13.2.4项〔拒绝接收全部或部分工程〕约定执行。 </w:t>
      </w:r>
    </w:p>
    <w:p w14:paraId="16005EC2">
      <w:pPr>
        <w:pageBreakBefore w:val="0"/>
        <w:widowControl w:val="0"/>
        <w:kinsoku/>
        <w:wordWrap/>
        <w:overflowPunct/>
        <w:topLinePunct w:val="0"/>
        <w:bidi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5.4.2 因发包人原因造成工程不合格的，由此增加的费用和（或）延误的工期由发包人承担，并支付承包人合理的利润。</w:t>
      </w:r>
    </w:p>
    <w:p w14:paraId="659F7835">
      <w:pPr>
        <w:pageBreakBefore w:val="0"/>
        <w:widowControl w:val="0"/>
        <w:kinsoku/>
        <w:wordWrap/>
        <w:overflowPunct/>
        <w:topLinePunct w:val="0"/>
        <w:bidi w:val="0"/>
        <w:snapToGrid/>
        <w:spacing w:before="120" w:after="120" w:line="480" w:lineRule="exact"/>
        <w:ind w:firstLine="480" w:firstLineChars="200"/>
        <w:textAlignment w:val="auto"/>
        <w:outlineLvl w:val="9"/>
        <w:rPr>
          <w:rFonts w:hint="eastAsia" w:ascii="宋体" w:hAnsi="宋体" w:eastAsia="宋体" w:cs="宋体"/>
          <w:b w:val="0"/>
          <w:sz w:val="24"/>
          <w:szCs w:val="24"/>
        </w:rPr>
      </w:pPr>
      <w:bookmarkStart w:id="728" w:name="_Toc351203537"/>
      <w:r>
        <w:rPr>
          <w:rFonts w:hint="eastAsia" w:ascii="宋体" w:hAnsi="宋体" w:eastAsia="宋体" w:cs="宋体"/>
          <w:b w:val="0"/>
          <w:sz w:val="24"/>
          <w:szCs w:val="24"/>
        </w:rPr>
        <w:t>5.5 质量争议检测</w:t>
      </w:r>
      <w:bookmarkEnd w:id="728"/>
    </w:p>
    <w:p w14:paraId="63F1AC45">
      <w:pPr>
        <w:pageBreakBefore w:val="0"/>
        <w:widowControl w:val="0"/>
        <w:kinsoku/>
        <w:wordWrap/>
        <w:overflowPunct/>
        <w:topLinePunct w:val="0"/>
        <w:autoSpaceDE w:val="0"/>
        <w:autoSpaceDN w:val="0"/>
        <w:bidi w:val="0"/>
        <w:adjustRightInd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合同当事人对工程质量有争议的，由双方协商确定的工程质量检测机构鉴定，由此产生的费用及因此造成的损失，由责任方承担。</w:t>
      </w:r>
    </w:p>
    <w:p w14:paraId="2C5E2CAF">
      <w:pPr>
        <w:pageBreakBefore w:val="0"/>
        <w:widowControl w:val="0"/>
        <w:kinsoku/>
        <w:wordWrap/>
        <w:overflowPunct/>
        <w:topLinePunct w:val="0"/>
        <w:autoSpaceDE w:val="0"/>
        <w:autoSpaceDN w:val="0"/>
        <w:bidi w:val="0"/>
        <w:adjustRightInd w:val="0"/>
        <w:snapToGrid/>
        <w:spacing w:line="480" w:lineRule="exact"/>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合同当事人均有责任的，由双方根据其责任分别承担。合同当事人无法达成一致的，按照第4.4款〔商定或确定〕执行。</w:t>
      </w:r>
    </w:p>
    <w:p w14:paraId="16B7DADF">
      <w:pPr>
        <w:pageBreakBefore w:val="0"/>
        <w:widowControl w:val="0"/>
        <w:kinsoku/>
        <w:wordWrap/>
        <w:overflowPunct/>
        <w:topLinePunct w:val="0"/>
        <w:bidi w:val="0"/>
        <w:snapToGrid/>
        <w:spacing w:before="120" w:after="120" w:line="480" w:lineRule="exact"/>
        <w:textAlignment w:val="auto"/>
        <w:outlineLvl w:val="9"/>
        <w:rPr>
          <w:rFonts w:hint="eastAsia" w:ascii="宋体" w:hAnsi="宋体" w:eastAsia="宋体" w:cs="宋体"/>
          <w:bCs w:val="0"/>
          <w:sz w:val="24"/>
          <w:szCs w:val="24"/>
        </w:rPr>
      </w:pPr>
      <w:bookmarkStart w:id="729" w:name="_Toc351203538"/>
      <w:r>
        <w:rPr>
          <w:rFonts w:hint="eastAsia" w:ascii="宋体" w:hAnsi="宋体" w:eastAsia="宋体" w:cs="宋体"/>
          <w:bCs w:val="0"/>
          <w:sz w:val="24"/>
          <w:szCs w:val="24"/>
        </w:rPr>
        <w:t>6</w:t>
      </w:r>
      <w:bookmarkStart w:id="730" w:name="_Toc337558763"/>
      <w:r>
        <w:rPr>
          <w:rFonts w:hint="eastAsia" w:ascii="宋体" w:hAnsi="宋体" w:eastAsia="宋体" w:cs="宋体"/>
          <w:bCs w:val="0"/>
          <w:sz w:val="24"/>
          <w:szCs w:val="24"/>
        </w:rPr>
        <w:t>. 安全文明施工与环境保护</w:t>
      </w:r>
      <w:bookmarkEnd w:id="729"/>
    </w:p>
    <w:bookmarkEnd w:id="730"/>
    <w:p w14:paraId="0395915F">
      <w:pPr>
        <w:pageBreakBefore w:val="0"/>
        <w:widowControl w:val="0"/>
        <w:kinsoku/>
        <w:wordWrap/>
        <w:overflowPunct/>
        <w:topLinePunct w:val="0"/>
        <w:bidi w:val="0"/>
        <w:snapToGrid/>
        <w:spacing w:before="120" w:after="120" w:line="480" w:lineRule="exact"/>
        <w:ind w:firstLine="480" w:firstLineChars="200"/>
        <w:textAlignment w:val="auto"/>
        <w:outlineLvl w:val="9"/>
        <w:rPr>
          <w:rFonts w:hint="eastAsia" w:ascii="宋体" w:hAnsi="宋体" w:eastAsia="宋体" w:cs="宋体"/>
          <w:b w:val="0"/>
          <w:sz w:val="24"/>
          <w:szCs w:val="24"/>
        </w:rPr>
      </w:pPr>
      <w:bookmarkStart w:id="731" w:name="_Toc351203539"/>
      <w:r>
        <w:rPr>
          <w:rFonts w:hint="eastAsia" w:ascii="宋体" w:hAnsi="宋体" w:eastAsia="宋体" w:cs="宋体"/>
          <w:b w:val="0"/>
          <w:sz w:val="24"/>
          <w:szCs w:val="24"/>
        </w:rPr>
        <w:t>6</w:t>
      </w:r>
      <w:bookmarkStart w:id="732" w:name="_Toc337558764"/>
      <w:r>
        <w:rPr>
          <w:rFonts w:hint="eastAsia" w:ascii="宋体" w:hAnsi="宋体" w:eastAsia="宋体" w:cs="宋体"/>
          <w:b w:val="0"/>
          <w:sz w:val="24"/>
          <w:szCs w:val="24"/>
        </w:rPr>
        <w:t>.1安全文明施工</w:t>
      </w:r>
      <w:bookmarkEnd w:id="731"/>
    </w:p>
    <w:bookmarkEnd w:id="732"/>
    <w:p w14:paraId="28902691">
      <w:pPr>
        <w:pageBreakBefore w:val="0"/>
        <w:widowControl w:val="0"/>
        <w:kinsoku/>
        <w:wordWrap/>
        <w:overflowPunct/>
        <w:topLinePunct w:val="0"/>
        <w:bidi w:val="0"/>
        <w:snapToGrid/>
        <w:spacing w:line="480" w:lineRule="exact"/>
        <w:ind w:firstLine="480" w:firstLineChars="200"/>
        <w:textAlignment w:val="auto"/>
        <w:outlineLvl w:val="9"/>
        <w:rPr>
          <w:rFonts w:hint="eastAsia" w:ascii="宋体" w:hAnsi="宋体" w:eastAsia="宋体" w:cs="宋体"/>
          <w:sz w:val="24"/>
        </w:rPr>
      </w:pPr>
      <w:r>
        <w:rPr>
          <w:rFonts w:hint="eastAsia" w:ascii="宋体" w:hAnsi="宋体" w:eastAsia="宋体" w:cs="宋体"/>
          <w:sz w:val="24"/>
        </w:rPr>
        <w:t>6.1.1安全生产要求</w:t>
      </w:r>
    </w:p>
    <w:p w14:paraId="67092C5A">
      <w:pPr>
        <w:pageBreakBefore w:val="0"/>
        <w:widowControl w:val="0"/>
        <w:kinsoku/>
        <w:wordWrap/>
        <w:overflowPunct/>
        <w:topLinePunct w:val="0"/>
        <w:bidi w:val="0"/>
        <w:snapToGrid/>
        <w:spacing w:line="480" w:lineRule="exact"/>
        <w:ind w:firstLine="480" w:firstLineChars="200"/>
        <w:textAlignment w:val="auto"/>
        <w:outlineLvl w:val="9"/>
        <w:rPr>
          <w:rFonts w:hint="eastAsia" w:ascii="宋体" w:hAnsi="宋体" w:eastAsia="宋体" w:cs="宋体"/>
          <w:sz w:val="24"/>
        </w:rPr>
      </w:pPr>
      <w:r>
        <w:rPr>
          <w:rFonts w:hint="eastAsia" w:ascii="宋体" w:hAnsi="宋体" w:eastAsia="宋体" w:cs="宋体"/>
          <w:sz w:val="24"/>
        </w:rPr>
        <w:t>合同履行期间，合同当事人均应当遵守国家和工程所在地有关安全生产的要求，合同当事人有特别要求的，应在专用合同条款中明确施工项目安全生产标准化达标目标及相应事项。承包人有权拒绝发包人及监理人强令承包人违章作业、冒险施工的任何指示。</w:t>
      </w:r>
    </w:p>
    <w:p w14:paraId="3A93F046">
      <w:pPr>
        <w:pageBreakBefore w:val="0"/>
        <w:widowControl w:val="0"/>
        <w:kinsoku/>
        <w:wordWrap/>
        <w:overflowPunct/>
        <w:topLinePunct w:val="0"/>
        <w:bidi w:val="0"/>
        <w:snapToGrid/>
        <w:spacing w:line="480" w:lineRule="exact"/>
        <w:ind w:firstLine="480" w:firstLineChars="200"/>
        <w:textAlignment w:val="auto"/>
        <w:outlineLvl w:val="9"/>
        <w:rPr>
          <w:rFonts w:hint="eastAsia" w:ascii="宋体" w:hAnsi="宋体" w:eastAsia="宋体" w:cs="宋体"/>
          <w:sz w:val="24"/>
        </w:rPr>
      </w:pPr>
      <w:r>
        <w:rPr>
          <w:rFonts w:hint="eastAsia" w:ascii="宋体" w:hAnsi="宋体" w:eastAsia="宋体" w:cs="宋体"/>
          <w:sz w:val="24"/>
        </w:rPr>
        <w:t>在施工过程中，如遇到突发的地质变动、事先未知的地下施工障碍等影响施工安全的紧急情况，承包人应及时报告监理人和发包人，发包人应当及时下令停工并报</w:t>
      </w:r>
      <w:r>
        <w:rPr>
          <w:rFonts w:hint="eastAsia" w:ascii="宋体" w:hAnsi="宋体" w:eastAsia="宋体" w:cs="宋体"/>
          <w:kern w:val="0"/>
          <w:sz w:val="24"/>
        </w:rPr>
        <w:t>政府有关行政管理部门</w:t>
      </w:r>
      <w:r>
        <w:rPr>
          <w:rFonts w:hint="eastAsia" w:ascii="宋体" w:hAnsi="宋体" w:eastAsia="宋体" w:cs="宋体"/>
          <w:sz w:val="24"/>
        </w:rPr>
        <w:t>采取应急措施。</w:t>
      </w:r>
    </w:p>
    <w:p w14:paraId="3D043589">
      <w:pPr>
        <w:pageBreakBefore w:val="0"/>
        <w:widowControl w:val="0"/>
        <w:kinsoku/>
        <w:wordWrap/>
        <w:overflowPunct/>
        <w:topLinePunct w:val="0"/>
        <w:bidi w:val="0"/>
        <w:snapToGrid/>
        <w:spacing w:line="480" w:lineRule="exact"/>
        <w:ind w:firstLine="480" w:firstLineChars="200"/>
        <w:textAlignment w:val="auto"/>
        <w:outlineLvl w:val="9"/>
        <w:rPr>
          <w:rFonts w:hint="eastAsia" w:ascii="宋体" w:hAnsi="宋体" w:eastAsia="宋体" w:cs="宋体"/>
          <w:sz w:val="24"/>
        </w:rPr>
      </w:pPr>
      <w:r>
        <w:rPr>
          <w:rFonts w:hint="eastAsia" w:ascii="宋体" w:hAnsi="宋体" w:eastAsia="宋体" w:cs="宋体"/>
          <w:sz w:val="24"/>
        </w:rPr>
        <w:t>因安全生产需要暂停施工的，按照第7.8款〔暂停施工〕的约定执行。</w:t>
      </w:r>
    </w:p>
    <w:p w14:paraId="34E0820B">
      <w:pPr>
        <w:pageBreakBefore w:val="0"/>
        <w:widowControl w:val="0"/>
        <w:kinsoku/>
        <w:wordWrap/>
        <w:overflowPunct/>
        <w:topLinePunct w:val="0"/>
        <w:bidi w:val="0"/>
        <w:snapToGrid/>
        <w:spacing w:line="480" w:lineRule="exact"/>
        <w:ind w:firstLine="480" w:firstLineChars="200"/>
        <w:textAlignment w:val="auto"/>
        <w:outlineLvl w:val="9"/>
        <w:rPr>
          <w:rFonts w:hint="eastAsia" w:ascii="宋体" w:hAnsi="宋体" w:eastAsia="宋体" w:cs="宋体"/>
          <w:sz w:val="24"/>
        </w:rPr>
      </w:pPr>
      <w:r>
        <w:rPr>
          <w:rFonts w:hint="eastAsia" w:ascii="宋体" w:hAnsi="宋体" w:eastAsia="宋体" w:cs="宋体"/>
          <w:sz w:val="24"/>
        </w:rPr>
        <w:t>6.1.2 安全生产保证措施</w:t>
      </w:r>
    </w:p>
    <w:p w14:paraId="155AD1D2">
      <w:pPr>
        <w:pageBreakBefore w:val="0"/>
        <w:widowControl w:val="0"/>
        <w:kinsoku/>
        <w:wordWrap/>
        <w:overflowPunct/>
        <w:topLinePunct w:val="0"/>
        <w:autoSpaceDE w:val="0"/>
        <w:autoSpaceDN w:val="0"/>
        <w:bidi w:val="0"/>
        <w:adjustRightInd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sz w:val="24"/>
        </w:rPr>
        <w:t>承包人应当按照有关</w:t>
      </w:r>
      <w:r>
        <w:rPr>
          <w:rFonts w:hint="eastAsia" w:ascii="宋体" w:hAnsi="宋体" w:eastAsia="宋体" w:cs="宋体"/>
          <w:kern w:val="0"/>
          <w:sz w:val="24"/>
        </w:rPr>
        <w:t>规定编制安全技术措施或者专项施工方案，</w:t>
      </w:r>
      <w:r>
        <w:rPr>
          <w:rFonts w:hint="eastAsia" w:ascii="宋体" w:hAnsi="宋体" w:eastAsia="宋体" w:cs="宋体"/>
          <w:sz w:val="24"/>
        </w:rPr>
        <w:t>建立安全生产责任制度、治安保卫制度及安全生产教育培训制度，并</w:t>
      </w:r>
      <w:r>
        <w:rPr>
          <w:rFonts w:hint="eastAsia" w:ascii="宋体" w:hAnsi="宋体" w:eastAsia="宋体" w:cs="宋体"/>
          <w:kern w:val="0"/>
          <w:sz w:val="24"/>
        </w:rPr>
        <w:t>按安全生产法律规定及合同约定履行安全职责，如实</w:t>
      </w:r>
      <w:r>
        <w:rPr>
          <w:rFonts w:hint="eastAsia" w:ascii="宋体" w:hAnsi="宋体" w:eastAsia="宋体" w:cs="宋体"/>
          <w:sz w:val="24"/>
        </w:rPr>
        <w:t>编制工程安全生产的有关记录，</w:t>
      </w:r>
      <w:r>
        <w:rPr>
          <w:rFonts w:hint="eastAsia" w:ascii="宋体" w:hAnsi="宋体" w:eastAsia="宋体" w:cs="宋体"/>
          <w:kern w:val="0"/>
          <w:sz w:val="24"/>
        </w:rPr>
        <w:t>接受发包人、监理人及政府安全监督部门的检查与监督。</w:t>
      </w:r>
    </w:p>
    <w:p w14:paraId="48E5DB38">
      <w:pPr>
        <w:pageBreakBefore w:val="0"/>
        <w:widowControl w:val="0"/>
        <w:kinsoku/>
        <w:wordWrap/>
        <w:overflowPunct/>
        <w:topLinePunct w:val="0"/>
        <w:bidi w:val="0"/>
        <w:snapToGrid/>
        <w:spacing w:line="480" w:lineRule="exact"/>
        <w:ind w:firstLine="480" w:firstLineChars="200"/>
        <w:textAlignment w:val="auto"/>
        <w:outlineLvl w:val="9"/>
        <w:rPr>
          <w:rFonts w:hint="eastAsia" w:ascii="宋体" w:hAnsi="宋体" w:eastAsia="宋体" w:cs="宋体"/>
          <w:sz w:val="24"/>
        </w:rPr>
      </w:pPr>
      <w:r>
        <w:rPr>
          <w:rFonts w:hint="eastAsia" w:ascii="宋体" w:hAnsi="宋体" w:eastAsia="宋体" w:cs="宋体"/>
          <w:sz w:val="24"/>
        </w:rPr>
        <w:t>6.1.3特别安全生产事项</w:t>
      </w:r>
    </w:p>
    <w:p w14:paraId="4FEA46B0">
      <w:pPr>
        <w:pageBreakBefore w:val="0"/>
        <w:widowControl w:val="0"/>
        <w:kinsoku/>
        <w:wordWrap/>
        <w:overflowPunct/>
        <w:topLinePunct w:val="0"/>
        <w:bidi w:val="0"/>
        <w:snapToGrid/>
        <w:spacing w:line="480" w:lineRule="exact"/>
        <w:ind w:firstLine="480" w:firstLineChars="200"/>
        <w:textAlignment w:val="auto"/>
        <w:outlineLvl w:val="9"/>
        <w:rPr>
          <w:rFonts w:hint="eastAsia" w:ascii="宋体" w:hAnsi="宋体" w:eastAsia="宋体" w:cs="宋体"/>
          <w:sz w:val="24"/>
        </w:rPr>
      </w:pPr>
      <w:r>
        <w:rPr>
          <w:rFonts w:hint="eastAsia" w:ascii="宋体" w:hAnsi="宋体" w:eastAsia="宋体" w:cs="宋体"/>
          <w:sz w:val="24"/>
        </w:rPr>
        <w:t>承包人应按照法律规定进行施工，开工前做好安全技术交底工作，施工过程中做好各项安全防护措施。承包人为实施合同而雇用的特殊工种的人员应受过专门的培训并已取得政府有关管理机构颁发的上岗证书。</w:t>
      </w:r>
    </w:p>
    <w:p w14:paraId="0E2A778B">
      <w:pPr>
        <w:pageBreakBefore w:val="0"/>
        <w:widowControl w:val="0"/>
        <w:kinsoku/>
        <w:wordWrap/>
        <w:overflowPunct/>
        <w:topLinePunct w:val="0"/>
        <w:bidi w:val="0"/>
        <w:snapToGrid/>
        <w:spacing w:line="480" w:lineRule="exact"/>
        <w:ind w:firstLine="480" w:firstLineChars="200"/>
        <w:textAlignment w:val="auto"/>
        <w:outlineLvl w:val="9"/>
        <w:rPr>
          <w:rFonts w:hint="eastAsia" w:ascii="宋体" w:hAnsi="宋体" w:eastAsia="宋体" w:cs="宋体"/>
          <w:sz w:val="24"/>
        </w:rPr>
      </w:pPr>
      <w:r>
        <w:rPr>
          <w:rFonts w:hint="eastAsia" w:ascii="宋体" w:hAnsi="宋体" w:eastAsia="宋体" w:cs="宋体"/>
          <w:sz w:val="24"/>
        </w:rPr>
        <w:t xml:space="preserve">承包人在动力设备、输电线路、地下管道、密封防震车间、易燃易爆地段以及临街交通要道附近施工时，施工开始前应向发包人和监理人提出安全防护措施，经发包人认可后实施。 </w:t>
      </w:r>
    </w:p>
    <w:p w14:paraId="3FD67441">
      <w:pPr>
        <w:pageBreakBefore w:val="0"/>
        <w:widowControl w:val="0"/>
        <w:kinsoku/>
        <w:wordWrap/>
        <w:overflowPunct/>
        <w:topLinePunct w:val="0"/>
        <w:bidi w:val="0"/>
        <w:snapToGrid/>
        <w:spacing w:line="480" w:lineRule="exact"/>
        <w:ind w:firstLine="480" w:firstLineChars="200"/>
        <w:textAlignment w:val="auto"/>
        <w:outlineLvl w:val="9"/>
        <w:rPr>
          <w:rFonts w:hint="eastAsia" w:ascii="宋体" w:hAnsi="宋体" w:eastAsia="宋体" w:cs="宋体"/>
          <w:sz w:val="24"/>
        </w:rPr>
      </w:pPr>
      <w:r>
        <w:rPr>
          <w:rFonts w:hint="eastAsia" w:ascii="宋体" w:hAnsi="宋体" w:eastAsia="宋体" w:cs="宋体"/>
          <w:sz w:val="24"/>
        </w:rPr>
        <w:t>实施爆破作业，在放射、毒害性环境中施工（含储存、运输、使用）及使用毒害性、腐蚀性物品施工时，承包人应在施工前7天以书面通知发包人和监理人，并报送相应的安全防护措施，经发包人认可后实施。</w:t>
      </w:r>
    </w:p>
    <w:p w14:paraId="6791374F">
      <w:pPr>
        <w:pageBreakBefore w:val="0"/>
        <w:widowControl w:val="0"/>
        <w:kinsoku/>
        <w:wordWrap/>
        <w:overflowPunct/>
        <w:topLinePunct w:val="0"/>
        <w:bidi w:val="0"/>
        <w:snapToGrid/>
        <w:spacing w:line="480" w:lineRule="exact"/>
        <w:ind w:firstLine="480" w:firstLineChars="200"/>
        <w:textAlignment w:val="auto"/>
        <w:outlineLvl w:val="9"/>
        <w:rPr>
          <w:rFonts w:hint="eastAsia" w:ascii="宋体" w:hAnsi="宋体" w:eastAsia="宋体" w:cs="宋体"/>
          <w:sz w:val="24"/>
        </w:rPr>
      </w:pPr>
      <w:r>
        <w:rPr>
          <w:rFonts w:hint="eastAsia" w:ascii="宋体" w:hAnsi="宋体" w:eastAsia="宋体" w:cs="宋体"/>
          <w:sz w:val="24"/>
        </w:rPr>
        <w:t>需单独编制危险性较大分部分项专项工程施工方案的，及要求进行专家论证的超过一定规模的危险性较大的分部分项工程，承包人应及时编制和组织论证。</w:t>
      </w:r>
    </w:p>
    <w:p w14:paraId="465B4254">
      <w:pPr>
        <w:pageBreakBefore w:val="0"/>
        <w:widowControl w:val="0"/>
        <w:kinsoku/>
        <w:wordWrap/>
        <w:overflowPunct/>
        <w:topLinePunct w:val="0"/>
        <w:bidi w:val="0"/>
        <w:snapToGrid/>
        <w:spacing w:line="480" w:lineRule="exact"/>
        <w:ind w:firstLine="480" w:firstLineChars="200"/>
        <w:textAlignment w:val="auto"/>
        <w:outlineLvl w:val="9"/>
        <w:rPr>
          <w:rFonts w:hint="eastAsia" w:ascii="宋体" w:hAnsi="宋体" w:eastAsia="宋体" w:cs="宋体"/>
          <w:sz w:val="24"/>
        </w:rPr>
      </w:pPr>
      <w:r>
        <w:rPr>
          <w:rFonts w:hint="eastAsia" w:ascii="宋体" w:hAnsi="宋体" w:eastAsia="宋体" w:cs="宋体"/>
          <w:sz w:val="24"/>
        </w:rPr>
        <w:t>6.1.4 治安保卫</w:t>
      </w:r>
    </w:p>
    <w:p w14:paraId="5F8478DF">
      <w:pPr>
        <w:pageBreakBefore w:val="0"/>
        <w:widowControl w:val="0"/>
        <w:kinsoku/>
        <w:wordWrap/>
        <w:overflowPunct/>
        <w:topLinePunct w:val="0"/>
        <w:bidi w:val="0"/>
        <w:snapToGrid/>
        <w:spacing w:line="480" w:lineRule="exact"/>
        <w:ind w:firstLine="480" w:firstLineChars="200"/>
        <w:textAlignment w:val="auto"/>
        <w:outlineLvl w:val="9"/>
        <w:rPr>
          <w:rFonts w:hint="eastAsia" w:ascii="宋体" w:hAnsi="宋体" w:eastAsia="宋体" w:cs="宋体"/>
          <w:sz w:val="24"/>
        </w:rPr>
      </w:pPr>
      <w:r>
        <w:rPr>
          <w:rFonts w:hint="eastAsia" w:ascii="宋体" w:hAnsi="宋体" w:eastAsia="宋体" w:cs="宋体"/>
          <w:sz w:val="24"/>
        </w:rPr>
        <w:t>除专用合同条款另有约定外，发包人应与当地公安部门协商，在现场建立治安管理机构或联防组织，统一管理施工场地的治安保卫事项，履行合同工程的治安保卫职责。</w:t>
      </w:r>
    </w:p>
    <w:p w14:paraId="77556A24">
      <w:pPr>
        <w:pageBreakBefore w:val="0"/>
        <w:widowControl w:val="0"/>
        <w:kinsoku/>
        <w:wordWrap/>
        <w:overflowPunct/>
        <w:topLinePunct w:val="0"/>
        <w:bidi w:val="0"/>
        <w:snapToGrid/>
        <w:spacing w:line="480" w:lineRule="exact"/>
        <w:ind w:firstLine="480" w:firstLineChars="200"/>
        <w:textAlignment w:val="auto"/>
        <w:outlineLvl w:val="9"/>
        <w:rPr>
          <w:rFonts w:hint="eastAsia" w:ascii="宋体" w:hAnsi="宋体" w:eastAsia="宋体" w:cs="宋体"/>
          <w:sz w:val="24"/>
        </w:rPr>
      </w:pPr>
      <w:r>
        <w:rPr>
          <w:rFonts w:hint="eastAsia" w:ascii="宋体" w:hAnsi="宋体" w:eastAsia="宋体" w:cs="宋体"/>
          <w:sz w:val="24"/>
        </w:rPr>
        <w:t>发包人和承包人除应协助现场治安管理机构或联防组织维护施工场地的社会治安外，还应做好包括生活区在内的各自管辖区的治安保卫工作。</w:t>
      </w:r>
    </w:p>
    <w:p w14:paraId="37E5EE8F">
      <w:pPr>
        <w:pageBreakBefore w:val="0"/>
        <w:widowControl w:val="0"/>
        <w:kinsoku/>
        <w:wordWrap/>
        <w:overflowPunct/>
        <w:topLinePunct w:val="0"/>
        <w:bidi w:val="0"/>
        <w:snapToGrid/>
        <w:spacing w:line="480" w:lineRule="exact"/>
        <w:ind w:firstLine="480" w:firstLineChars="200"/>
        <w:textAlignment w:val="auto"/>
        <w:outlineLvl w:val="9"/>
        <w:rPr>
          <w:rFonts w:hint="eastAsia" w:ascii="宋体" w:hAnsi="宋体" w:eastAsia="宋体" w:cs="宋体"/>
          <w:sz w:val="24"/>
        </w:rPr>
      </w:pPr>
      <w:r>
        <w:rPr>
          <w:rFonts w:hint="eastAsia" w:ascii="宋体" w:hAnsi="宋体" w:eastAsia="宋体" w:cs="宋体"/>
          <w:sz w:val="24"/>
        </w:rPr>
        <w:t>除专用合同条款另有约定外，发包人和承包人应在工程开工后7天内共同编制施工场地治安管理计划，并制定应对突发治安事件的紧急预案。在工程施工过程中，发生暴乱、爆炸等恐怖事件，以及群殴、械斗等群体性突发治安事件的，发包人和承包人应立即向当地政府报告。发包人和承包人应积极协助当地有关部门采取措施平息事态，防止事态扩大，尽量避免人员伤亡和财产损失。</w:t>
      </w:r>
    </w:p>
    <w:p w14:paraId="41451E07">
      <w:pPr>
        <w:pageBreakBefore w:val="0"/>
        <w:widowControl w:val="0"/>
        <w:kinsoku/>
        <w:wordWrap/>
        <w:overflowPunct/>
        <w:topLinePunct w:val="0"/>
        <w:bidi w:val="0"/>
        <w:snapToGrid/>
        <w:spacing w:line="480" w:lineRule="exact"/>
        <w:ind w:firstLine="480" w:firstLineChars="200"/>
        <w:textAlignment w:val="auto"/>
        <w:outlineLvl w:val="9"/>
        <w:rPr>
          <w:rFonts w:hint="eastAsia" w:ascii="宋体" w:hAnsi="宋体" w:eastAsia="宋体" w:cs="宋体"/>
          <w:kern w:val="0"/>
          <w:sz w:val="24"/>
        </w:rPr>
      </w:pPr>
      <w:r>
        <w:rPr>
          <w:rFonts w:hint="eastAsia" w:ascii="宋体" w:hAnsi="宋体" w:eastAsia="宋体" w:cs="宋体"/>
          <w:sz w:val="24"/>
        </w:rPr>
        <w:t>6.1.5 文明施工</w:t>
      </w:r>
    </w:p>
    <w:p w14:paraId="198E635D">
      <w:pPr>
        <w:pageBreakBefore w:val="0"/>
        <w:widowControl w:val="0"/>
        <w:kinsoku/>
        <w:wordWrap/>
        <w:overflowPunct/>
        <w:topLinePunct w:val="0"/>
        <w:autoSpaceDE w:val="0"/>
        <w:autoSpaceDN w:val="0"/>
        <w:bidi w:val="0"/>
        <w:adjustRightInd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承包人在工程施工期间，应当采取措施保持施工现场平整，物料堆放整齐。工程所在地有关政府行政管理部门有特殊要求的，按照其要求执行。合同当事人对文明施工有其他要求的，可以在专用合同条款中明确。</w:t>
      </w:r>
    </w:p>
    <w:p w14:paraId="4ABCF7C1">
      <w:pPr>
        <w:pageBreakBefore w:val="0"/>
        <w:widowControl w:val="0"/>
        <w:kinsoku/>
        <w:wordWrap/>
        <w:overflowPunct/>
        <w:topLinePunct w:val="0"/>
        <w:autoSpaceDE w:val="0"/>
        <w:autoSpaceDN w:val="0"/>
        <w:bidi w:val="0"/>
        <w:adjustRightInd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在工程移交之前，承包人应当从施工现场清除承包人的全部工程设备、多余材料、垃圾和各种临时工程，并保持施工现场清洁整齐。经发包人书面同意，承包人可在发包人指定的地点保留承包人履行保修期内的各项义务所需要的材料、施工设备和临时工程。</w:t>
      </w:r>
    </w:p>
    <w:p w14:paraId="23FC3E7B">
      <w:pPr>
        <w:pageBreakBefore w:val="0"/>
        <w:widowControl w:val="0"/>
        <w:kinsoku/>
        <w:wordWrap/>
        <w:overflowPunct/>
        <w:topLinePunct w:val="0"/>
        <w:bidi w:val="0"/>
        <w:snapToGrid/>
        <w:spacing w:line="480" w:lineRule="exact"/>
        <w:ind w:firstLine="480" w:firstLineChars="200"/>
        <w:textAlignment w:val="auto"/>
        <w:outlineLvl w:val="9"/>
        <w:rPr>
          <w:rFonts w:hint="eastAsia" w:ascii="宋体" w:hAnsi="宋体" w:eastAsia="宋体" w:cs="宋体"/>
          <w:sz w:val="24"/>
        </w:rPr>
      </w:pPr>
      <w:r>
        <w:rPr>
          <w:rFonts w:hint="eastAsia" w:ascii="宋体" w:hAnsi="宋体" w:eastAsia="宋体" w:cs="宋体"/>
          <w:sz w:val="24"/>
        </w:rPr>
        <w:t>6.1.6 安全文明施工费</w:t>
      </w:r>
    </w:p>
    <w:p w14:paraId="4010E086">
      <w:pPr>
        <w:pageBreakBefore w:val="0"/>
        <w:widowControl w:val="0"/>
        <w:kinsoku/>
        <w:wordWrap/>
        <w:overflowPunct/>
        <w:topLinePunct w:val="0"/>
        <w:autoSpaceDE w:val="0"/>
        <w:autoSpaceDN w:val="0"/>
        <w:bidi w:val="0"/>
        <w:adjustRightInd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安全文明施工费由发包人承担，发包人不得以任何形式扣减该部分费用。因基准日期后合同所适用的法律或政府有关规定发生变化，增加的安全文明施工费由发包人承担。</w:t>
      </w:r>
    </w:p>
    <w:p w14:paraId="6353843A">
      <w:pPr>
        <w:pageBreakBefore w:val="0"/>
        <w:widowControl w:val="0"/>
        <w:kinsoku/>
        <w:wordWrap/>
        <w:overflowPunct/>
        <w:topLinePunct w:val="0"/>
        <w:autoSpaceDE w:val="0"/>
        <w:autoSpaceDN w:val="0"/>
        <w:bidi w:val="0"/>
        <w:adjustRightInd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承包人经发包人同意采取合同约定以外的安全措施所产生的费用，由发包人承担。未经发包人同意的，如果该措施避免了发包人的损失，则发包人在避免损失的额度内承担该措施费。如果该措施避免了承包人的损失，由承包人承担该措施费。</w:t>
      </w:r>
    </w:p>
    <w:p w14:paraId="7DB6CD0B">
      <w:pPr>
        <w:pageBreakBefore w:val="0"/>
        <w:widowControl w:val="0"/>
        <w:kinsoku/>
        <w:wordWrap/>
        <w:overflowPunct/>
        <w:topLinePunct w:val="0"/>
        <w:autoSpaceDE w:val="0"/>
        <w:autoSpaceDN w:val="0"/>
        <w:bidi w:val="0"/>
        <w:adjustRightInd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除专用合同条款另有约定外，发包人应在开工后28天内预付安全文明施工费总额的50%，其余部分与进度款同期支付。发包人逾期支付安全文明施工费超过7天的，承包人有权向发包人发出要求预付的催告通知，发包人收到通知后7天内仍未支付的，承包人有权暂停施工，并按第16.1.1项〔发包人违约的情形〕执行。</w:t>
      </w:r>
    </w:p>
    <w:p w14:paraId="5F4D3975">
      <w:pPr>
        <w:pageBreakBefore w:val="0"/>
        <w:widowControl w:val="0"/>
        <w:kinsoku/>
        <w:wordWrap/>
        <w:overflowPunct/>
        <w:topLinePunct w:val="0"/>
        <w:autoSpaceDE w:val="0"/>
        <w:autoSpaceDN w:val="0"/>
        <w:bidi w:val="0"/>
        <w:adjustRightInd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承包人对安全文明施工费应专款专用，承包人应在财务账目中单独列项备查，不得挪作他用，否则发包人有权责令其限期改正；逾期未改正的，可以责令其暂停施工，由此增加的费用和（或）延误的工期由承包人承担。</w:t>
      </w:r>
    </w:p>
    <w:p w14:paraId="1C6BC18A">
      <w:pPr>
        <w:pageBreakBefore w:val="0"/>
        <w:widowControl w:val="0"/>
        <w:kinsoku/>
        <w:wordWrap/>
        <w:overflowPunct/>
        <w:topLinePunct w:val="0"/>
        <w:bidi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6.1.7 紧急情况处理</w:t>
      </w:r>
    </w:p>
    <w:p w14:paraId="47929CFE">
      <w:pPr>
        <w:pageBreakBefore w:val="0"/>
        <w:widowControl w:val="0"/>
        <w:kinsoku/>
        <w:wordWrap/>
        <w:overflowPunct/>
        <w:topLinePunct w:val="0"/>
        <w:bidi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在工程实施期间或缺陷责任期内发生危及工程安全的事件，监理人通知承包人进行抢救，承包人声明无能力或不愿立即执行的，发包人有权雇佣其他人员进行抢救。此类抢救按合同约定属于承包人义务的，由此增加的费用和（或）延误的工期由承包人承担。</w:t>
      </w:r>
    </w:p>
    <w:p w14:paraId="4DFE8919">
      <w:pPr>
        <w:pageBreakBefore w:val="0"/>
        <w:widowControl w:val="0"/>
        <w:kinsoku/>
        <w:wordWrap/>
        <w:overflowPunct/>
        <w:topLinePunct w:val="0"/>
        <w:autoSpaceDE w:val="0"/>
        <w:autoSpaceDN w:val="0"/>
        <w:bidi w:val="0"/>
        <w:adjustRightInd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6.1.8 事故处理</w:t>
      </w:r>
    </w:p>
    <w:p w14:paraId="0E347639">
      <w:pPr>
        <w:pageBreakBefore w:val="0"/>
        <w:widowControl w:val="0"/>
        <w:kinsoku/>
        <w:wordWrap/>
        <w:overflowPunct/>
        <w:topLinePunct w:val="0"/>
        <w:autoSpaceDE w:val="0"/>
        <w:autoSpaceDN w:val="0"/>
        <w:bidi w:val="0"/>
        <w:adjustRightInd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工程施工过程中发生事故的，承包人应立即通知监理人，监理人应立即通知发包人。发包人和承包人应立即组织人员和设备进行紧急抢救和抢修，减少人员伤亡和财产损失，防止事故扩大，并保护事故现场。需要移动现场物品时，应作出标记和书面记录，妥善保管有关证据。发包人和承包人应按国家有关规定，及时如实地向有关部门报告事故发生的情况，以及正在采取的紧急措施等。</w:t>
      </w:r>
    </w:p>
    <w:p w14:paraId="6CE982A7">
      <w:pPr>
        <w:pageBreakBefore w:val="0"/>
        <w:widowControl w:val="0"/>
        <w:kinsoku/>
        <w:wordWrap/>
        <w:overflowPunct/>
        <w:topLinePunct w:val="0"/>
        <w:autoSpaceDE w:val="0"/>
        <w:autoSpaceDN w:val="0"/>
        <w:bidi w:val="0"/>
        <w:adjustRightInd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6.1.9 安全生产责任</w:t>
      </w:r>
    </w:p>
    <w:p w14:paraId="36C21716">
      <w:pPr>
        <w:pageBreakBefore w:val="0"/>
        <w:widowControl w:val="0"/>
        <w:kinsoku/>
        <w:wordWrap/>
        <w:overflowPunct/>
        <w:topLinePunct w:val="0"/>
        <w:autoSpaceDE w:val="0"/>
        <w:autoSpaceDN w:val="0"/>
        <w:bidi w:val="0"/>
        <w:adjustRightInd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6.1.9.1 发包人的安全责任</w:t>
      </w:r>
    </w:p>
    <w:p w14:paraId="44DDF6B0">
      <w:pPr>
        <w:pageBreakBefore w:val="0"/>
        <w:widowControl w:val="0"/>
        <w:kinsoku/>
        <w:wordWrap/>
        <w:overflowPunct/>
        <w:topLinePunct w:val="0"/>
        <w:bidi w:val="0"/>
        <w:snapToGrid/>
        <w:spacing w:line="480" w:lineRule="exact"/>
        <w:ind w:firstLine="480" w:firstLineChars="200"/>
        <w:textAlignment w:val="auto"/>
        <w:outlineLvl w:val="9"/>
        <w:rPr>
          <w:rFonts w:hint="eastAsia" w:ascii="宋体" w:hAnsi="宋体" w:eastAsia="宋体" w:cs="宋体"/>
          <w:sz w:val="24"/>
        </w:rPr>
      </w:pPr>
      <w:r>
        <w:rPr>
          <w:rFonts w:hint="eastAsia" w:ascii="宋体" w:hAnsi="宋体" w:eastAsia="宋体" w:cs="宋体"/>
          <w:sz w:val="24"/>
        </w:rPr>
        <w:t>发包人应负责赔偿以下各种情况造成的损失：</w:t>
      </w:r>
    </w:p>
    <w:p w14:paraId="731B3CD2">
      <w:pPr>
        <w:pageBreakBefore w:val="0"/>
        <w:widowControl w:val="0"/>
        <w:kinsoku/>
        <w:wordWrap/>
        <w:overflowPunct/>
        <w:topLinePunct w:val="0"/>
        <w:bidi w:val="0"/>
        <w:snapToGrid/>
        <w:spacing w:line="480" w:lineRule="exact"/>
        <w:ind w:firstLine="480" w:firstLineChars="200"/>
        <w:textAlignment w:val="auto"/>
        <w:outlineLvl w:val="9"/>
        <w:rPr>
          <w:rFonts w:hint="eastAsia" w:ascii="宋体" w:hAnsi="宋体" w:eastAsia="宋体" w:cs="宋体"/>
          <w:sz w:val="24"/>
        </w:rPr>
      </w:pPr>
      <w:r>
        <w:rPr>
          <w:rFonts w:hint="eastAsia" w:ascii="宋体" w:hAnsi="宋体" w:eastAsia="宋体" w:cs="宋体"/>
          <w:sz w:val="24"/>
        </w:rPr>
        <w:t>（1）工程或工程的任何部分对土地的占用所造成的第三者财产损失；</w:t>
      </w:r>
    </w:p>
    <w:p w14:paraId="02FBB753">
      <w:pPr>
        <w:pageBreakBefore w:val="0"/>
        <w:widowControl w:val="0"/>
        <w:kinsoku/>
        <w:wordWrap/>
        <w:overflowPunct/>
        <w:topLinePunct w:val="0"/>
        <w:bidi w:val="0"/>
        <w:snapToGrid/>
        <w:spacing w:line="480" w:lineRule="exact"/>
        <w:ind w:firstLine="480" w:firstLineChars="200"/>
        <w:textAlignment w:val="auto"/>
        <w:outlineLvl w:val="9"/>
        <w:rPr>
          <w:rFonts w:hint="eastAsia" w:ascii="宋体" w:hAnsi="宋体" w:eastAsia="宋体" w:cs="宋体"/>
          <w:sz w:val="24"/>
        </w:rPr>
      </w:pPr>
      <w:r>
        <w:rPr>
          <w:rFonts w:hint="eastAsia" w:ascii="宋体" w:hAnsi="宋体" w:eastAsia="宋体" w:cs="宋体"/>
          <w:sz w:val="24"/>
        </w:rPr>
        <w:t>（2）由于发包人原因在施工场地及其毗邻地带造成的第三者人身伤亡和财产损失；</w:t>
      </w:r>
    </w:p>
    <w:p w14:paraId="0DCC427F">
      <w:pPr>
        <w:pageBreakBefore w:val="0"/>
        <w:widowControl w:val="0"/>
        <w:kinsoku/>
        <w:wordWrap/>
        <w:overflowPunct/>
        <w:topLinePunct w:val="0"/>
        <w:bidi w:val="0"/>
        <w:snapToGrid/>
        <w:spacing w:line="480" w:lineRule="exact"/>
        <w:ind w:firstLine="480" w:firstLineChars="200"/>
        <w:textAlignment w:val="auto"/>
        <w:outlineLvl w:val="9"/>
        <w:rPr>
          <w:rFonts w:hint="eastAsia" w:ascii="宋体" w:hAnsi="宋体" w:eastAsia="宋体" w:cs="宋体"/>
          <w:sz w:val="24"/>
        </w:rPr>
      </w:pPr>
      <w:r>
        <w:rPr>
          <w:rFonts w:hint="eastAsia" w:ascii="宋体" w:hAnsi="宋体" w:eastAsia="宋体" w:cs="宋体"/>
          <w:sz w:val="24"/>
        </w:rPr>
        <w:t>（3）由于发包人原因对承包人、监理人造成的人员人身伤亡和财产损失；</w:t>
      </w:r>
    </w:p>
    <w:p w14:paraId="249E1DD1">
      <w:pPr>
        <w:pageBreakBefore w:val="0"/>
        <w:widowControl w:val="0"/>
        <w:kinsoku/>
        <w:wordWrap/>
        <w:overflowPunct/>
        <w:topLinePunct w:val="0"/>
        <w:bidi w:val="0"/>
        <w:snapToGrid/>
        <w:spacing w:line="480" w:lineRule="exact"/>
        <w:ind w:firstLine="480" w:firstLineChars="200"/>
        <w:textAlignment w:val="auto"/>
        <w:outlineLvl w:val="9"/>
        <w:rPr>
          <w:rFonts w:hint="eastAsia" w:ascii="宋体" w:hAnsi="宋体" w:eastAsia="宋体" w:cs="宋体"/>
          <w:sz w:val="24"/>
        </w:rPr>
      </w:pPr>
      <w:r>
        <w:rPr>
          <w:rFonts w:hint="eastAsia" w:ascii="宋体" w:hAnsi="宋体" w:eastAsia="宋体" w:cs="宋体"/>
          <w:sz w:val="24"/>
        </w:rPr>
        <w:t>（4）由于发包人原因造成的发包人自身人员的人身伤害以及财产损失。</w:t>
      </w:r>
    </w:p>
    <w:p w14:paraId="5AAC0050">
      <w:pPr>
        <w:pageBreakBefore w:val="0"/>
        <w:widowControl w:val="0"/>
        <w:kinsoku/>
        <w:wordWrap/>
        <w:overflowPunct/>
        <w:topLinePunct w:val="0"/>
        <w:autoSpaceDE w:val="0"/>
        <w:autoSpaceDN w:val="0"/>
        <w:bidi w:val="0"/>
        <w:adjustRightInd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6.1.9.2 承包人的安全责任</w:t>
      </w:r>
    </w:p>
    <w:p w14:paraId="74D1356E">
      <w:pPr>
        <w:pageBreakBefore w:val="0"/>
        <w:widowControl w:val="0"/>
        <w:kinsoku/>
        <w:wordWrap/>
        <w:overflowPunct/>
        <w:topLinePunct w:val="0"/>
        <w:bidi w:val="0"/>
        <w:snapToGrid/>
        <w:spacing w:line="480" w:lineRule="exact"/>
        <w:ind w:firstLine="480" w:firstLineChars="200"/>
        <w:textAlignment w:val="auto"/>
        <w:outlineLvl w:val="9"/>
        <w:rPr>
          <w:rFonts w:hint="eastAsia" w:ascii="宋体" w:hAnsi="宋体" w:eastAsia="宋体" w:cs="宋体"/>
          <w:kern w:val="0"/>
          <w:sz w:val="24"/>
        </w:rPr>
      </w:pPr>
      <w:r>
        <w:rPr>
          <w:rFonts w:hint="eastAsia" w:ascii="宋体" w:hAnsi="宋体" w:eastAsia="宋体" w:cs="宋体"/>
          <w:sz w:val="24"/>
        </w:rPr>
        <w:t>由于承包人原因在施工场地内及其毗邻地带造成的发包人、监理人以及第三者人员伤亡和财产损失，由承包人负责赔偿。</w:t>
      </w:r>
    </w:p>
    <w:p w14:paraId="3D3BCAE9">
      <w:pPr>
        <w:pageBreakBefore w:val="0"/>
        <w:widowControl w:val="0"/>
        <w:kinsoku/>
        <w:wordWrap/>
        <w:overflowPunct/>
        <w:topLinePunct w:val="0"/>
        <w:bidi w:val="0"/>
        <w:snapToGrid/>
        <w:spacing w:before="120" w:after="120" w:line="480" w:lineRule="exact"/>
        <w:ind w:firstLine="480" w:firstLineChars="200"/>
        <w:textAlignment w:val="auto"/>
        <w:outlineLvl w:val="9"/>
        <w:rPr>
          <w:rFonts w:hint="eastAsia" w:ascii="宋体" w:hAnsi="宋体" w:eastAsia="宋体" w:cs="宋体"/>
          <w:b w:val="0"/>
          <w:sz w:val="24"/>
          <w:szCs w:val="24"/>
        </w:rPr>
      </w:pPr>
      <w:bookmarkStart w:id="733" w:name="_Toc351203540"/>
      <w:r>
        <w:rPr>
          <w:rFonts w:hint="eastAsia" w:ascii="宋体" w:hAnsi="宋体" w:eastAsia="宋体" w:cs="宋体"/>
          <w:b w:val="0"/>
          <w:sz w:val="24"/>
          <w:szCs w:val="24"/>
        </w:rPr>
        <w:t>6</w:t>
      </w:r>
      <w:bookmarkStart w:id="734" w:name="_Toc337558765"/>
      <w:r>
        <w:rPr>
          <w:rFonts w:hint="eastAsia" w:ascii="宋体" w:hAnsi="宋体" w:eastAsia="宋体" w:cs="宋体"/>
          <w:b w:val="0"/>
          <w:sz w:val="24"/>
          <w:szCs w:val="24"/>
        </w:rPr>
        <w:t>.2 职业健康</w:t>
      </w:r>
      <w:bookmarkEnd w:id="733"/>
    </w:p>
    <w:bookmarkEnd w:id="734"/>
    <w:p w14:paraId="051B2F53">
      <w:pPr>
        <w:pageBreakBefore w:val="0"/>
        <w:widowControl w:val="0"/>
        <w:kinsoku/>
        <w:wordWrap/>
        <w:overflowPunct/>
        <w:topLinePunct w:val="0"/>
        <w:autoSpaceDE w:val="0"/>
        <w:autoSpaceDN w:val="0"/>
        <w:bidi w:val="0"/>
        <w:adjustRightInd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6.2.1 劳动保护</w:t>
      </w:r>
    </w:p>
    <w:p w14:paraId="0DD1C0AE">
      <w:pPr>
        <w:pageBreakBefore w:val="0"/>
        <w:widowControl w:val="0"/>
        <w:kinsoku/>
        <w:wordWrap/>
        <w:overflowPunct/>
        <w:topLinePunct w:val="0"/>
        <w:autoSpaceDE w:val="0"/>
        <w:autoSpaceDN w:val="0"/>
        <w:bidi w:val="0"/>
        <w:adjustRightInd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承包人应按照法律规定安排现场施工人员的劳动和休息时间，保障劳动者的休息时间，并支付合理的报酬和费用。承包人应依法为其履行合同所雇用的人员办理必要的证件、许可、保险和注册等，承包人应督促其分包人为分包人所雇用的人员办理必要的证件、许可、保险和注册等。</w:t>
      </w:r>
    </w:p>
    <w:p w14:paraId="6E56FF4A">
      <w:pPr>
        <w:pageBreakBefore w:val="0"/>
        <w:widowControl w:val="0"/>
        <w:kinsoku/>
        <w:wordWrap/>
        <w:overflowPunct/>
        <w:topLinePunct w:val="0"/>
        <w:autoSpaceDE w:val="0"/>
        <w:autoSpaceDN w:val="0"/>
        <w:bidi w:val="0"/>
        <w:adjustRightInd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承包人应按照法律规定保障现场施工人员的劳动安全，并提供劳动保护,并应按国家有关劳动保护的规定，采取有效的防止粉尘、降低噪声、控制有害气体和保障高温、高寒、高空作业安全等劳动保护措施。承包人雇佣人员在施工中受到伤害的，承包人应立即采取有效措施进行抢救和治疗。</w:t>
      </w:r>
    </w:p>
    <w:p w14:paraId="5A643A06">
      <w:pPr>
        <w:pageBreakBefore w:val="0"/>
        <w:widowControl w:val="0"/>
        <w:kinsoku/>
        <w:wordWrap/>
        <w:overflowPunct/>
        <w:topLinePunct w:val="0"/>
        <w:autoSpaceDE w:val="0"/>
        <w:autoSpaceDN w:val="0"/>
        <w:bidi w:val="0"/>
        <w:adjustRightInd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承包人应按法律规定安排工作时间，保证其雇佣人员享有休息和休假的权利。因工程施工的特殊需要占用休假日或延长工作时间的，应不超过法律规定的限度，并按法律规定给予补休或付酬。</w:t>
      </w:r>
    </w:p>
    <w:p w14:paraId="103E69AD">
      <w:pPr>
        <w:pageBreakBefore w:val="0"/>
        <w:widowControl w:val="0"/>
        <w:kinsoku/>
        <w:wordWrap/>
        <w:overflowPunct/>
        <w:topLinePunct w:val="0"/>
        <w:autoSpaceDE w:val="0"/>
        <w:autoSpaceDN w:val="0"/>
        <w:bidi w:val="0"/>
        <w:adjustRightInd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6.2.2 生活条件</w:t>
      </w:r>
    </w:p>
    <w:p w14:paraId="251BA3BD">
      <w:pPr>
        <w:pageBreakBefore w:val="0"/>
        <w:widowControl w:val="0"/>
        <w:kinsoku/>
        <w:wordWrap/>
        <w:overflowPunct/>
        <w:topLinePunct w:val="0"/>
        <w:autoSpaceDE w:val="0"/>
        <w:autoSpaceDN w:val="0"/>
        <w:bidi w:val="0"/>
        <w:adjustRightInd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承包人应为其履行合同所雇用的人员提供必要的膳宿条件和生活环境；承包人应采取有效措施预防传染病，保证施工人员的健康，并定期对施工现场、施工人员生活基地和工程进行防疫和卫生的专业检查和处理, 在远离城镇的施工场地，还应配备必要的伤病防治和急救的医务人员与医疗设施。</w:t>
      </w:r>
    </w:p>
    <w:p w14:paraId="60A077E3">
      <w:pPr>
        <w:pageBreakBefore w:val="0"/>
        <w:widowControl w:val="0"/>
        <w:kinsoku/>
        <w:wordWrap/>
        <w:overflowPunct/>
        <w:topLinePunct w:val="0"/>
        <w:bidi w:val="0"/>
        <w:snapToGrid/>
        <w:spacing w:before="120" w:after="120" w:line="480" w:lineRule="exact"/>
        <w:ind w:firstLine="480" w:firstLineChars="200"/>
        <w:textAlignment w:val="auto"/>
        <w:outlineLvl w:val="9"/>
        <w:rPr>
          <w:rFonts w:hint="eastAsia" w:ascii="宋体" w:hAnsi="宋体" w:eastAsia="宋体" w:cs="宋体"/>
          <w:b w:val="0"/>
          <w:sz w:val="24"/>
          <w:szCs w:val="24"/>
        </w:rPr>
      </w:pPr>
      <w:bookmarkStart w:id="735" w:name="_Toc351203541"/>
      <w:r>
        <w:rPr>
          <w:rFonts w:hint="eastAsia" w:ascii="宋体" w:hAnsi="宋体" w:eastAsia="宋体" w:cs="宋体"/>
          <w:b w:val="0"/>
          <w:sz w:val="24"/>
          <w:szCs w:val="24"/>
        </w:rPr>
        <w:t>6</w:t>
      </w:r>
      <w:bookmarkStart w:id="736" w:name="_Toc337558766"/>
      <w:r>
        <w:rPr>
          <w:rFonts w:hint="eastAsia" w:ascii="宋体" w:hAnsi="宋体" w:eastAsia="宋体" w:cs="宋体"/>
          <w:b w:val="0"/>
          <w:sz w:val="24"/>
          <w:szCs w:val="24"/>
        </w:rPr>
        <w:t>.3 环境保护</w:t>
      </w:r>
      <w:bookmarkEnd w:id="735"/>
    </w:p>
    <w:bookmarkEnd w:id="736"/>
    <w:p w14:paraId="732C2E8D">
      <w:pPr>
        <w:pageBreakBefore w:val="0"/>
        <w:widowControl w:val="0"/>
        <w:kinsoku/>
        <w:wordWrap/>
        <w:overflowPunct/>
        <w:topLinePunct w:val="0"/>
        <w:autoSpaceDE w:val="0"/>
        <w:autoSpaceDN w:val="0"/>
        <w:bidi w:val="0"/>
        <w:adjustRightInd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承包人应在施工组织设计中列明环境保护的具体措施。在合同履行期间，承包人应采取合理措施保护施工现场环境。对施工作业过程中可能引起的大气、水、噪音以及固体废物污染采取具体可行的防范措施。</w:t>
      </w:r>
    </w:p>
    <w:p w14:paraId="7F097382">
      <w:pPr>
        <w:pageBreakBefore w:val="0"/>
        <w:widowControl w:val="0"/>
        <w:kinsoku/>
        <w:wordWrap/>
        <w:overflowPunct/>
        <w:topLinePunct w:val="0"/>
        <w:autoSpaceDE w:val="0"/>
        <w:autoSpaceDN w:val="0"/>
        <w:bidi w:val="0"/>
        <w:adjustRightInd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承包人应当承担因其原因引起的环境污染侵权损害赔偿责任，因上述环境污染引起纠纷而导致暂停施工的，由此增加的费用和（或）延误的工期由承包人承担。</w:t>
      </w:r>
    </w:p>
    <w:p w14:paraId="473465D3">
      <w:pPr>
        <w:pageBreakBefore w:val="0"/>
        <w:widowControl w:val="0"/>
        <w:kinsoku/>
        <w:wordWrap/>
        <w:overflowPunct/>
        <w:topLinePunct w:val="0"/>
        <w:bidi w:val="0"/>
        <w:snapToGrid/>
        <w:spacing w:before="120" w:after="120" w:line="480" w:lineRule="exact"/>
        <w:textAlignment w:val="auto"/>
        <w:outlineLvl w:val="9"/>
        <w:rPr>
          <w:rFonts w:hint="eastAsia" w:ascii="宋体" w:hAnsi="宋体" w:eastAsia="宋体" w:cs="宋体"/>
          <w:bCs w:val="0"/>
          <w:sz w:val="24"/>
          <w:szCs w:val="24"/>
        </w:rPr>
      </w:pPr>
      <w:bookmarkStart w:id="737" w:name="_Toc351203542"/>
      <w:r>
        <w:rPr>
          <w:rFonts w:hint="eastAsia" w:ascii="宋体" w:hAnsi="宋体" w:eastAsia="宋体" w:cs="宋体"/>
          <w:bCs w:val="0"/>
          <w:sz w:val="24"/>
          <w:szCs w:val="24"/>
        </w:rPr>
        <w:t>7</w:t>
      </w:r>
      <w:bookmarkStart w:id="738" w:name="_Toc337558767"/>
      <w:r>
        <w:rPr>
          <w:rFonts w:hint="eastAsia" w:ascii="宋体" w:hAnsi="宋体" w:eastAsia="宋体" w:cs="宋体"/>
          <w:bCs w:val="0"/>
          <w:sz w:val="24"/>
          <w:szCs w:val="24"/>
        </w:rPr>
        <w:t>. 工期和进度</w:t>
      </w:r>
      <w:bookmarkEnd w:id="737"/>
    </w:p>
    <w:bookmarkEnd w:id="738"/>
    <w:p w14:paraId="03D0DBE0">
      <w:pPr>
        <w:pageBreakBefore w:val="0"/>
        <w:widowControl w:val="0"/>
        <w:kinsoku/>
        <w:wordWrap/>
        <w:overflowPunct/>
        <w:topLinePunct w:val="0"/>
        <w:bidi w:val="0"/>
        <w:snapToGrid/>
        <w:spacing w:before="120" w:after="120" w:line="480" w:lineRule="exact"/>
        <w:ind w:firstLine="480" w:firstLineChars="200"/>
        <w:textAlignment w:val="auto"/>
        <w:outlineLvl w:val="9"/>
        <w:rPr>
          <w:rFonts w:hint="eastAsia" w:ascii="宋体" w:hAnsi="宋体" w:eastAsia="宋体" w:cs="宋体"/>
          <w:b w:val="0"/>
          <w:sz w:val="24"/>
          <w:szCs w:val="24"/>
        </w:rPr>
      </w:pPr>
      <w:bookmarkStart w:id="739" w:name="_Toc351203543"/>
      <w:r>
        <w:rPr>
          <w:rFonts w:hint="eastAsia" w:ascii="宋体" w:hAnsi="宋体" w:eastAsia="宋体" w:cs="宋体"/>
          <w:b w:val="0"/>
          <w:sz w:val="24"/>
          <w:szCs w:val="24"/>
        </w:rPr>
        <w:t>7</w:t>
      </w:r>
      <w:bookmarkStart w:id="740" w:name="_Toc337558768"/>
      <w:bookmarkStart w:id="741" w:name="_Toc296346567"/>
      <w:bookmarkStart w:id="742" w:name="_Toc296503066"/>
      <w:r>
        <w:rPr>
          <w:rFonts w:hint="eastAsia" w:ascii="宋体" w:hAnsi="宋体" w:eastAsia="宋体" w:cs="宋体"/>
          <w:b w:val="0"/>
          <w:sz w:val="24"/>
          <w:szCs w:val="24"/>
        </w:rPr>
        <w:t>.1施工组织设计</w:t>
      </w:r>
      <w:bookmarkEnd w:id="739"/>
    </w:p>
    <w:bookmarkEnd w:id="740"/>
    <w:p w14:paraId="31F436D9">
      <w:pPr>
        <w:pageBreakBefore w:val="0"/>
        <w:widowControl w:val="0"/>
        <w:kinsoku/>
        <w:wordWrap/>
        <w:overflowPunct/>
        <w:topLinePunct w:val="0"/>
        <w:autoSpaceDE w:val="0"/>
        <w:autoSpaceDN w:val="0"/>
        <w:bidi w:val="0"/>
        <w:adjustRightInd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sz w:val="24"/>
        </w:rPr>
        <w:t xml:space="preserve">7.1.1 </w:t>
      </w:r>
      <w:r>
        <w:rPr>
          <w:rFonts w:hint="eastAsia" w:ascii="宋体" w:hAnsi="宋体" w:eastAsia="宋体" w:cs="宋体"/>
          <w:kern w:val="0"/>
          <w:sz w:val="24"/>
        </w:rPr>
        <w:t>施工组织设计的内容</w:t>
      </w:r>
    </w:p>
    <w:p w14:paraId="7BB24FDE">
      <w:pPr>
        <w:pageBreakBefore w:val="0"/>
        <w:widowControl w:val="0"/>
        <w:kinsoku/>
        <w:wordWrap/>
        <w:overflowPunct/>
        <w:topLinePunct w:val="0"/>
        <w:autoSpaceDE w:val="0"/>
        <w:autoSpaceDN w:val="0"/>
        <w:bidi w:val="0"/>
        <w:adjustRightInd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施工组织设计应包含以下内容：</w:t>
      </w:r>
    </w:p>
    <w:p w14:paraId="4C08B77B">
      <w:pPr>
        <w:pageBreakBefore w:val="0"/>
        <w:widowControl w:val="0"/>
        <w:kinsoku/>
        <w:wordWrap/>
        <w:overflowPunct/>
        <w:topLinePunct w:val="0"/>
        <w:autoSpaceDE w:val="0"/>
        <w:autoSpaceDN w:val="0"/>
        <w:bidi w:val="0"/>
        <w:adjustRightInd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 xml:space="preserve">（1）施工方案； </w:t>
      </w:r>
    </w:p>
    <w:p w14:paraId="5BB1EA8B">
      <w:pPr>
        <w:pageBreakBefore w:val="0"/>
        <w:widowControl w:val="0"/>
        <w:kinsoku/>
        <w:wordWrap/>
        <w:overflowPunct/>
        <w:topLinePunct w:val="0"/>
        <w:autoSpaceDE w:val="0"/>
        <w:autoSpaceDN w:val="0"/>
        <w:bidi w:val="0"/>
        <w:adjustRightInd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（2）施工现场平面布置图；</w:t>
      </w:r>
    </w:p>
    <w:p w14:paraId="1FDA2E68">
      <w:pPr>
        <w:pageBreakBefore w:val="0"/>
        <w:widowControl w:val="0"/>
        <w:kinsoku/>
        <w:wordWrap/>
        <w:overflowPunct/>
        <w:topLinePunct w:val="0"/>
        <w:autoSpaceDE w:val="0"/>
        <w:autoSpaceDN w:val="0"/>
        <w:bidi w:val="0"/>
        <w:adjustRightInd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 xml:space="preserve">（3）施工进度计划和保证措施； </w:t>
      </w:r>
    </w:p>
    <w:p w14:paraId="742AD668">
      <w:pPr>
        <w:pageBreakBefore w:val="0"/>
        <w:widowControl w:val="0"/>
        <w:kinsoku/>
        <w:wordWrap/>
        <w:overflowPunct/>
        <w:topLinePunct w:val="0"/>
        <w:autoSpaceDE w:val="0"/>
        <w:autoSpaceDN w:val="0"/>
        <w:bidi w:val="0"/>
        <w:adjustRightInd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（4）劳动力及材料供应计划；</w:t>
      </w:r>
    </w:p>
    <w:p w14:paraId="1F42D208">
      <w:pPr>
        <w:pageBreakBefore w:val="0"/>
        <w:widowControl w:val="0"/>
        <w:kinsoku/>
        <w:wordWrap/>
        <w:overflowPunct/>
        <w:topLinePunct w:val="0"/>
        <w:autoSpaceDE w:val="0"/>
        <w:autoSpaceDN w:val="0"/>
        <w:bidi w:val="0"/>
        <w:adjustRightInd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（5）施工机械设备的选用；</w:t>
      </w:r>
    </w:p>
    <w:p w14:paraId="6CA0CCB6">
      <w:pPr>
        <w:pageBreakBefore w:val="0"/>
        <w:widowControl w:val="0"/>
        <w:kinsoku/>
        <w:wordWrap/>
        <w:overflowPunct/>
        <w:topLinePunct w:val="0"/>
        <w:autoSpaceDE w:val="0"/>
        <w:autoSpaceDN w:val="0"/>
        <w:bidi w:val="0"/>
        <w:adjustRightInd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（6）质量保证体系及措施；</w:t>
      </w:r>
    </w:p>
    <w:p w14:paraId="09CBC196">
      <w:pPr>
        <w:pageBreakBefore w:val="0"/>
        <w:widowControl w:val="0"/>
        <w:kinsoku/>
        <w:wordWrap/>
        <w:overflowPunct/>
        <w:topLinePunct w:val="0"/>
        <w:autoSpaceDE w:val="0"/>
        <w:autoSpaceDN w:val="0"/>
        <w:bidi w:val="0"/>
        <w:adjustRightInd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（7）安全生产、文明施工措施；</w:t>
      </w:r>
    </w:p>
    <w:p w14:paraId="508C4732">
      <w:pPr>
        <w:pageBreakBefore w:val="0"/>
        <w:widowControl w:val="0"/>
        <w:kinsoku/>
        <w:wordWrap/>
        <w:overflowPunct/>
        <w:topLinePunct w:val="0"/>
        <w:autoSpaceDE w:val="0"/>
        <w:autoSpaceDN w:val="0"/>
        <w:bidi w:val="0"/>
        <w:adjustRightInd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（8）环境保护、成本控制措施；</w:t>
      </w:r>
    </w:p>
    <w:p w14:paraId="7A7E60B2">
      <w:pPr>
        <w:pageBreakBefore w:val="0"/>
        <w:widowControl w:val="0"/>
        <w:kinsoku/>
        <w:wordWrap/>
        <w:overflowPunct/>
        <w:topLinePunct w:val="0"/>
        <w:autoSpaceDE w:val="0"/>
        <w:autoSpaceDN w:val="0"/>
        <w:bidi w:val="0"/>
        <w:adjustRightInd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（9）合同当事人约定的其他内容。</w:t>
      </w:r>
    </w:p>
    <w:p w14:paraId="407E7B17">
      <w:pPr>
        <w:pageBreakBefore w:val="0"/>
        <w:widowControl w:val="0"/>
        <w:kinsoku/>
        <w:wordWrap/>
        <w:overflowPunct/>
        <w:topLinePunct w:val="0"/>
        <w:autoSpaceDE w:val="0"/>
        <w:autoSpaceDN w:val="0"/>
        <w:bidi w:val="0"/>
        <w:adjustRightInd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sz w:val="24"/>
        </w:rPr>
        <w:t xml:space="preserve">7.1.2 </w:t>
      </w:r>
      <w:r>
        <w:rPr>
          <w:rFonts w:hint="eastAsia" w:ascii="宋体" w:hAnsi="宋体" w:eastAsia="宋体" w:cs="宋体"/>
          <w:kern w:val="0"/>
          <w:sz w:val="24"/>
        </w:rPr>
        <w:t>施工组织设计的提交和修改</w:t>
      </w:r>
    </w:p>
    <w:p w14:paraId="1F4867FE">
      <w:pPr>
        <w:pageBreakBefore w:val="0"/>
        <w:widowControl w:val="0"/>
        <w:kinsoku/>
        <w:wordWrap/>
        <w:overflowPunct/>
        <w:topLinePunct w:val="0"/>
        <w:autoSpaceDE w:val="0"/>
        <w:autoSpaceDN w:val="0"/>
        <w:bidi w:val="0"/>
        <w:adjustRightInd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除专用合同条款另有约定外，承包人应在合同签订后14天内，但至迟不得晚于第7.3.2项〔开工通知〕载明的开工日期前7天，向监理人提交详细的施工组织设计，并由监理人报送发包人。除专用合同条款另有约定外，发包人和监理人应在监理人收到施工组织设计后7天内确认或提出修改意见。对发包人和监理人提出的合理意见和要求，承包人应自费修改完善。根据工程实际情况需要修改施工组织设计的，承包人应向发包人和监理人提交修改后的施工组织设计。</w:t>
      </w:r>
    </w:p>
    <w:p w14:paraId="05ABF350">
      <w:pPr>
        <w:pageBreakBefore w:val="0"/>
        <w:widowControl w:val="0"/>
        <w:kinsoku/>
        <w:wordWrap/>
        <w:overflowPunct/>
        <w:topLinePunct w:val="0"/>
        <w:autoSpaceDE w:val="0"/>
        <w:autoSpaceDN w:val="0"/>
        <w:bidi w:val="0"/>
        <w:adjustRightInd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施工进度计划的编制和修改按照第7.2款〔施工进度计划〕执行。</w:t>
      </w:r>
    </w:p>
    <w:p w14:paraId="55B45FC1">
      <w:pPr>
        <w:pageBreakBefore w:val="0"/>
        <w:widowControl w:val="0"/>
        <w:kinsoku/>
        <w:wordWrap/>
        <w:overflowPunct/>
        <w:topLinePunct w:val="0"/>
        <w:bidi w:val="0"/>
        <w:snapToGrid/>
        <w:spacing w:before="120" w:after="120" w:line="480" w:lineRule="exact"/>
        <w:ind w:firstLine="480" w:firstLineChars="200"/>
        <w:textAlignment w:val="auto"/>
        <w:outlineLvl w:val="9"/>
        <w:rPr>
          <w:rFonts w:hint="eastAsia" w:ascii="宋体" w:hAnsi="宋体" w:eastAsia="宋体" w:cs="宋体"/>
          <w:b w:val="0"/>
          <w:sz w:val="24"/>
          <w:szCs w:val="24"/>
        </w:rPr>
      </w:pPr>
      <w:bookmarkStart w:id="743" w:name="_Toc351203544"/>
      <w:r>
        <w:rPr>
          <w:rFonts w:hint="eastAsia" w:ascii="宋体" w:hAnsi="宋体" w:eastAsia="宋体" w:cs="宋体"/>
          <w:b w:val="0"/>
          <w:sz w:val="24"/>
          <w:szCs w:val="24"/>
        </w:rPr>
        <w:t>7</w:t>
      </w:r>
      <w:bookmarkStart w:id="744" w:name="_Toc337558769"/>
      <w:r>
        <w:rPr>
          <w:rFonts w:hint="eastAsia" w:ascii="宋体" w:hAnsi="宋体" w:eastAsia="宋体" w:cs="宋体"/>
          <w:b w:val="0"/>
          <w:sz w:val="24"/>
          <w:szCs w:val="24"/>
        </w:rPr>
        <w:t>.2 施工进度计划</w:t>
      </w:r>
      <w:bookmarkEnd w:id="743"/>
    </w:p>
    <w:bookmarkEnd w:id="744"/>
    <w:p w14:paraId="63386F9E">
      <w:pPr>
        <w:pageBreakBefore w:val="0"/>
        <w:widowControl w:val="0"/>
        <w:kinsoku/>
        <w:wordWrap/>
        <w:overflowPunct/>
        <w:topLinePunct w:val="0"/>
        <w:autoSpaceDE w:val="0"/>
        <w:autoSpaceDN w:val="0"/>
        <w:bidi w:val="0"/>
        <w:adjustRightInd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7.2.1 施工进度计划的编制</w:t>
      </w:r>
    </w:p>
    <w:p w14:paraId="285DB3FB">
      <w:pPr>
        <w:pageBreakBefore w:val="0"/>
        <w:widowControl w:val="0"/>
        <w:kinsoku/>
        <w:wordWrap/>
        <w:overflowPunct/>
        <w:topLinePunct w:val="0"/>
        <w:autoSpaceDE w:val="0"/>
        <w:autoSpaceDN w:val="0"/>
        <w:bidi w:val="0"/>
        <w:adjustRightInd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承包人应按照第7.1款〔施工组织设计〕约定提交详细的施工进度计划，施工进度计划的编制应当符合国家法律规定和一般工程实践惯例，施工进度计划经发包人批准后实施。施工进度计划是控制工程进度的依据，发包人和监理人有权按照施工进度计划检查工程进度情况。</w:t>
      </w:r>
    </w:p>
    <w:p w14:paraId="33B8D871">
      <w:pPr>
        <w:pageBreakBefore w:val="0"/>
        <w:widowControl w:val="0"/>
        <w:kinsoku/>
        <w:wordWrap/>
        <w:overflowPunct/>
        <w:topLinePunct w:val="0"/>
        <w:autoSpaceDE w:val="0"/>
        <w:autoSpaceDN w:val="0"/>
        <w:bidi w:val="0"/>
        <w:adjustRightInd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sz w:val="24"/>
        </w:rPr>
        <w:t>7.2.2 施工进度计划的修订</w:t>
      </w:r>
    </w:p>
    <w:p w14:paraId="2FEA289E">
      <w:pPr>
        <w:pageBreakBefore w:val="0"/>
        <w:widowControl w:val="0"/>
        <w:kinsoku/>
        <w:wordWrap/>
        <w:overflowPunct/>
        <w:topLinePunct w:val="0"/>
        <w:autoSpaceDE w:val="0"/>
        <w:autoSpaceDN w:val="0"/>
        <w:bidi w:val="0"/>
        <w:adjustRightInd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施工进度计划不符合合同要求或与工程的实际进度不一致的，承包人应向监理人提交修订的施工进度计划，并附具有关措施和相关资料，由监理人报送发包人。除专用合同条款另有约定外，发包人和监理人应在收到修订的施工进度计划后7天内完成审核和批准或提出修改意见。发包人和监理人对承包人提交的施工进度计划的确认，不能减轻或免除承包人根据法律规定和合同约定应承担的任何责任或义务。</w:t>
      </w:r>
    </w:p>
    <w:p w14:paraId="61B26C6F">
      <w:pPr>
        <w:pageBreakBefore w:val="0"/>
        <w:widowControl w:val="0"/>
        <w:kinsoku/>
        <w:wordWrap/>
        <w:overflowPunct/>
        <w:topLinePunct w:val="0"/>
        <w:bidi w:val="0"/>
        <w:snapToGrid/>
        <w:spacing w:before="120" w:after="120" w:line="480" w:lineRule="exact"/>
        <w:ind w:firstLine="480" w:firstLineChars="200"/>
        <w:textAlignment w:val="auto"/>
        <w:outlineLvl w:val="9"/>
        <w:rPr>
          <w:rFonts w:hint="eastAsia" w:ascii="宋体" w:hAnsi="宋体" w:eastAsia="宋体" w:cs="宋体"/>
          <w:b w:val="0"/>
          <w:sz w:val="24"/>
          <w:szCs w:val="24"/>
        </w:rPr>
      </w:pPr>
      <w:bookmarkStart w:id="745" w:name="_Toc351203545"/>
      <w:r>
        <w:rPr>
          <w:rFonts w:hint="eastAsia" w:ascii="宋体" w:hAnsi="宋体" w:eastAsia="宋体" w:cs="宋体"/>
          <w:b w:val="0"/>
          <w:sz w:val="24"/>
          <w:szCs w:val="24"/>
        </w:rPr>
        <w:t>7</w:t>
      </w:r>
      <w:bookmarkStart w:id="746" w:name="_Toc337558770"/>
      <w:r>
        <w:rPr>
          <w:rFonts w:hint="eastAsia" w:ascii="宋体" w:hAnsi="宋体" w:eastAsia="宋体" w:cs="宋体"/>
          <w:b w:val="0"/>
          <w:sz w:val="24"/>
          <w:szCs w:val="24"/>
        </w:rPr>
        <w:t>.3 开工</w:t>
      </w:r>
      <w:bookmarkEnd w:id="745"/>
    </w:p>
    <w:p w14:paraId="6A0D5B6A">
      <w:pPr>
        <w:pageBreakBefore w:val="0"/>
        <w:widowControl w:val="0"/>
        <w:kinsoku/>
        <w:wordWrap/>
        <w:overflowPunct/>
        <w:topLinePunct w:val="0"/>
        <w:bidi w:val="0"/>
        <w:snapToGrid/>
        <w:spacing w:line="480" w:lineRule="exact"/>
        <w:ind w:firstLine="480" w:firstLineChars="200"/>
        <w:textAlignment w:val="auto"/>
        <w:outlineLvl w:val="9"/>
        <w:rPr>
          <w:rFonts w:hint="eastAsia" w:ascii="宋体" w:hAnsi="宋体" w:eastAsia="宋体" w:cs="宋体"/>
          <w:sz w:val="24"/>
        </w:rPr>
      </w:pPr>
      <w:r>
        <w:rPr>
          <w:rFonts w:hint="eastAsia" w:ascii="宋体" w:hAnsi="宋体" w:eastAsia="宋体" w:cs="宋体"/>
          <w:kern w:val="0"/>
          <w:sz w:val="24"/>
        </w:rPr>
        <w:t>7.3.1 开工准备</w:t>
      </w:r>
    </w:p>
    <w:p w14:paraId="241E7D7E">
      <w:pPr>
        <w:pageBreakBefore w:val="0"/>
        <w:widowControl w:val="0"/>
        <w:kinsoku/>
        <w:wordWrap/>
        <w:overflowPunct/>
        <w:topLinePunct w:val="0"/>
        <w:bidi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除专用合同条款另有约定外，承包人应按照第7.1款〔施工组织设计〕约定的期限，向监理人提交工程开工报审表，经监理人报发包人批准后执行。开工报审表应详细说明按施工进度计划正常施工所需的施工道路、临时设施、材料、工程设备、施工设备、施工人员等落实情况以及工程的进度安排。</w:t>
      </w:r>
    </w:p>
    <w:p w14:paraId="51931D2C">
      <w:pPr>
        <w:pageBreakBefore w:val="0"/>
        <w:widowControl w:val="0"/>
        <w:kinsoku/>
        <w:wordWrap/>
        <w:overflowPunct/>
        <w:topLinePunct w:val="0"/>
        <w:bidi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除专用合同条款另有约定外，合同当事人应按约定完成开工准备工作。</w:t>
      </w:r>
    </w:p>
    <w:p w14:paraId="60D4B0BA">
      <w:pPr>
        <w:pageBreakBefore w:val="0"/>
        <w:widowControl w:val="0"/>
        <w:kinsoku/>
        <w:wordWrap/>
        <w:overflowPunct/>
        <w:topLinePunct w:val="0"/>
        <w:autoSpaceDE w:val="0"/>
        <w:autoSpaceDN w:val="0"/>
        <w:bidi w:val="0"/>
        <w:adjustRightInd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7.3.2 开工通知</w:t>
      </w:r>
    </w:p>
    <w:bookmarkEnd w:id="746"/>
    <w:p w14:paraId="0FCAF3CE">
      <w:pPr>
        <w:pageBreakBefore w:val="0"/>
        <w:widowControl w:val="0"/>
        <w:kinsoku/>
        <w:wordWrap/>
        <w:overflowPunct/>
        <w:topLinePunct w:val="0"/>
        <w:autoSpaceDE w:val="0"/>
        <w:autoSpaceDN w:val="0"/>
        <w:bidi w:val="0"/>
        <w:adjustRightInd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发包人应按照法律规定获得工程施工所需的许可。经发包人同意后，监理人发出的开工通知应符合法律规定。监理人应在计划开工日期7天前向承包人发出开工通知，工期自开工通知中载明的开工日期起算。</w:t>
      </w:r>
    </w:p>
    <w:p w14:paraId="0366CA26">
      <w:pPr>
        <w:pageBreakBefore w:val="0"/>
        <w:widowControl w:val="0"/>
        <w:kinsoku/>
        <w:wordWrap/>
        <w:overflowPunct/>
        <w:topLinePunct w:val="0"/>
        <w:bidi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除专用合同条款另有约定外，因发包人原因造成监理人未能在计划开工日期之日起90天内发出开工通知的，承包人有权提出价格调整要求，或者解除合同。发包人应当承担由此增加的费用和（或）延误的工期，并向承包人支付合理利润。</w:t>
      </w:r>
    </w:p>
    <w:p w14:paraId="0C49485E">
      <w:pPr>
        <w:pageBreakBefore w:val="0"/>
        <w:widowControl w:val="0"/>
        <w:kinsoku/>
        <w:wordWrap/>
        <w:overflowPunct/>
        <w:topLinePunct w:val="0"/>
        <w:bidi w:val="0"/>
        <w:snapToGrid/>
        <w:spacing w:before="120" w:after="120" w:line="480" w:lineRule="exact"/>
        <w:ind w:firstLine="480" w:firstLineChars="200"/>
        <w:textAlignment w:val="auto"/>
        <w:outlineLvl w:val="9"/>
        <w:rPr>
          <w:rFonts w:hint="eastAsia" w:ascii="宋体" w:hAnsi="宋体" w:eastAsia="宋体" w:cs="宋体"/>
          <w:b w:val="0"/>
          <w:sz w:val="24"/>
          <w:szCs w:val="24"/>
        </w:rPr>
      </w:pPr>
      <w:bookmarkStart w:id="747" w:name="_Toc351203546"/>
      <w:r>
        <w:rPr>
          <w:rFonts w:hint="eastAsia" w:ascii="宋体" w:hAnsi="宋体" w:eastAsia="宋体" w:cs="宋体"/>
          <w:b w:val="0"/>
          <w:sz w:val="24"/>
          <w:szCs w:val="24"/>
        </w:rPr>
        <w:t>7.4测量放线</w:t>
      </w:r>
      <w:bookmarkEnd w:id="747"/>
    </w:p>
    <w:p w14:paraId="4112AF09">
      <w:pPr>
        <w:pageBreakBefore w:val="0"/>
        <w:widowControl w:val="0"/>
        <w:kinsoku/>
        <w:wordWrap/>
        <w:overflowPunct/>
        <w:topLinePunct w:val="0"/>
        <w:autoSpaceDE w:val="0"/>
        <w:autoSpaceDN w:val="0"/>
        <w:bidi w:val="0"/>
        <w:adjustRightInd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7.4.1 除专用合同条款另有约定外，发包人应在至迟不得晚于第7.3.2项〔开工通知〕载明的开工日期前7天通过监理人向承包人提供测量基准点、基准线和水准点及其书面资料。发包人应对其提供的测量基准点、基准线和水准点及其书面资料的真实性、准确性和完整性负责。</w:t>
      </w:r>
    </w:p>
    <w:p w14:paraId="71DD6074">
      <w:pPr>
        <w:pageBreakBefore w:val="0"/>
        <w:widowControl w:val="0"/>
        <w:kinsoku/>
        <w:wordWrap/>
        <w:overflowPunct/>
        <w:topLinePunct w:val="0"/>
        <w:autoSpaceDE w:val="0"/>
        <w:autoSpaceDN w:val="0"/>
        <w:bidi w:val="0"/>
        <w:adjustRightInd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承包人发现发包人提供的测量基准点、基准线和水准点及其书面资料存在错误或疏漏的，应及时通知监理人。监理人应及时报告发包人，并会同发包人和承包人予以核实。发包人应就如何处理和是否继续施工作出决定，并通知监理人和承包人。</w:t>
      </w:r>
    </w:p>
    <w:p w14:paraId="367E121A">
      <w:pPr>
        <w:pageBreakBefore w:val="0"/>
        <w:widowControl w:val="0"/>
        <w:kinsoku/>
        <w:wordWrap/>
        <w:overflowPunct/>
        <w:topLinePunct w:val="0"/>
        <w:autoSpaceDE w:val="0"/>
        <w:autoSpaceDN w:val="0"/>
        <w:bidi w:val="0"/>
        <w:adjustRightInd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7.4.2 承包人负责施工过程中的全部施工测量放线工作，并配置具有相应资质的人员、合格的仪器、设备和其他物品。承包人应矫正工程的位置、标高、尺寸或准线中出现的任何差错，并对工程各部分的定位负责。</w:t>
      </w:r>
    </w:p>
    <w:p w14:paraId="35C06187">
      <w:pPr>
        <w:pageBreakBefore w:val="0"/>
        <w:widowControl w:val="0"/>
        <w:kinsoku/>
        <w:wordWrap/>
        <w:overflowPunct/>
        <w:topLinePunct w:val="0"/>
        <w:autoSpaceDE w:val="0"/>
        <w:autoSpaceDN w:val="0"/>
        <w:bidi w:val="0"/>
        <w:adjustRightInd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施工过程中对施工现场内水准点等测量标志物的保护工作由承包人负责。</w:t>
      </w:r>
      <w:bookmarkStart w:id="748" w:name="_Toc351203547"/>
    </w:p>
    <w:p w14:paraId="4EE47ADD">
      <w:pPr>
        <w:pageBreakBefore w:val="0"/>
        <w:widowControl w:val="0"/>
        <w:kinsoku/>
        <w:wordWrap/>
        <w:overflowPunct/>
        <w:topLinePunct w:val="0"/>
        <w:bidi w:val="0"/>
        <w:snapToGrid/>
        <w:spacing w:before="120" w:after="120" w:line="480" w:lineRule="exact"/>
        <w:ind w:firstLine="480" w:firstLineChars="200"/>
        <w:textAlignment w:val="auto"/>
        <w:outlineLvl w:val="9"/>
        <w:rPr>
          <w:rFonts w:hint="eastAsia" w:ascii="宋体" w:hAnsi="宋体" w:eastAsia="宋体" w:cs="宋体"/>
          <w:b w:val="0"/>
          <w:sz w:val="24"/>
          <w:szCs w:val="24"/>
        </w:rPr>
      </w:pPr>
      <w:r>
        <w:rPr>
          <w:rFonts w:hint="eastAsia" w:ascii="宋体" w:hAnsi="宋体" w:eastAsia="宋体" w:cs="宋体"/>
          <w:b w:val="0"/>
          <w:sz w:val="24"/>
          <w:szCs w:val="24"/>
        </w:rPr>
        <w:t>7</w:t>
      </w:r>
      <w:bookmarkEnd w:id="741"/>
      <w:bookmarkEnd w:id="742"/>
      <w:bookmarkStart w:id="749" w:name="_Toc296346574"/>
      <w:bookmarkStart w:id="750" w:name="_Toc337558772"/>
      <w:bookmarkStart w:id="751" w:name="_Toc296503073"/>
      <w:r>
        <w:rPr>
          <w:rFonts w:hint="eastAsia" w:ascii="宋体" w:hAnsi="宋体" w:eastAsia="宋体" w:cs="宋体"/>
          <w:b w:val="0"/>
          <w:sz w:val="24"/>
          <w:szCs w:val="24"/>
        </w:rPr>
        <w:t>.5 工期延误</w:t>
      </w:r>
      <w:bookmarkEnd w:id="748"/>
    </w:p>
    <w:bookmarkEnd w:id="749"/>
    <w:bookmarkEnd w:id="750"/>
    <w:bookmarkEnd w:id="751"/>
    <w:p w14:paraId="47A65CA0">
      <w:pPr>
        <w:pageBreakBefore w:val="0"/>
        <w:widowControl w:val="0"/>
        <w:kinsoku/>
        <w:wordWrap/>
        <w:overflowPunct/>
        <w:topLinePunct w:val="0"/>
        <w:bidi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7.5.1 因发包人原因导致工期延误</w:t>
      </w:r>
    </w:p>
    <w:p w14:paraId="592010EE">
      <w:pPr>
        <w:pageBreakBefore w:val="0"/>
        <w:widowControl w:val="0"/>
        <w:kinsoku/>
        <w:wordWrap/>
        <w:overflowPunct/>
        <w:topLinePunct w:val="0"/>
        <w:bidi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 xml:space="preserve">在合同履行过程中，因下列情况导致工期延误和（或）费用增加的，由发包人承担由此延误的工期和（或）增加的费用，且发包人应支付承包人合理的利润： </w:t>
      </w:r>
    </w:p>
    <w:p w14:paraId="0AA41647">
      <w:pPr>
        <w:pageBreakBefore w:val="0"/>
        <w:widowControl w:val="0"/>
        <w:kinsoku/>
        <w:wordWrap/>
        <w:overflowPunct/>
        <w:topLinePunct w:val="0"/>
        <w:bidi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（1）发包人未能按合同约定提供图纸或所提供图纸不符合合同约定的；</w:t>
      </w:r>
    </w:p>
    <w:p w14:paraId="3D90BEEC">
      <w:pPr>
        <w:pageBreakBefore w:val="0"/>
        <w:widowControl w:val="0"/>
        <w:kinsoku/>
        <w:wordWrap/>
        <w:overflowPunct/>
        <w:topLinePunct w:val="0"/>
        <w:bidi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（2）发包人未能按合同约定提供施工现场、施工条件、基础资料、许可、批准等开工条件的；</w:t>
      </w:r>
    </w:p>
    <w:p w14:paraId="1193EC1D">
      <w:pPr>
        <w:pageBreakBefore w:val="0"/>
        <w:widowControl w:val="0"/>
        <w:kinsoku/>
        <w:wordWrap/>
        <w:overflowPunct/>
        <w:topLinePunct w:val="0"/>
        <w:bidi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（3）发包人提供的测量基准点、基准线和水准点及其书面资料存在错误或疏漏的；</w:t>
      </w:r>
    </w:p>
    <w:p w14:paraId="4F22577C">
      <w:pPr>
        <w:pageBreakBefore w:val="0"/>
        <w:widowControl w:val="0"/>
        <w:kinsoku/>
        <w:wordWrap/>
        <w:overflowPunct/>
        <w:topLinePunct w:val="0"/>
        <w:bidi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（4）发包人未能在计划开工日期之日起7天内同意下达开工通知的；</w:t>
      </w:r>
    </w:p>
    <w:p w14:paraId="3F2CB14D">
      <w:pPr>
        <w:pageBreakBefore w:val="0"/>
        <w:widowControl w:val="0"/>
        <w:kinsoku/>
        <w:wordWrap/>
        <w:overflowPunct/>
        <w:topLinePunct w:val="0"/>
        <w:bidi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（5）发包人未能按合同约定日期支付工程预付款、进度款或竣工结算款的；</w:t>
      </w:r>
    </w:p>
    <w:p w14:paraId="68DFB0E7">
      <w:pPr>
        <w:pageBreakBefore w:val="0"/>
        <w:widowControl w:val="0"/>
        <w:kinsoku/>
        <w:wordWrap/>
        <w:overflowPunct/>
        <w:topLinePunct w:val="0"/>
        <w:bidi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（6）监理人未按合同约定发出指示、批准等文件的；</w:t>
      </w:r>
    </w:p>
    <w:p w14:paraId="6296A10A">
      <w:pPr>
        <w:pageBreakBefore w:val="0"/>
        <w:widowControl w:val="0"/>
        <w:kinsoku/>
        <w:wordWrap/>
        <w:overflowPunct/>
        <w:topLinePunct w:val="0"/>
        <w:bidi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（7）专用合同条款中约定的其他情形。</w:t>
      </w:r>
    </w:p>
    <w:p w14:paraId="2946A2C6">
      <w:pPr>
        <w:pageBreakBefore w:val="0"/>
        <w:widowControl w:val="0"/>
        <w:kinsoku/>
        <w:wordWrap/>
        <w:overflowPunct/>
        <w:topLinePunct w:val="0"/>
        <w:bidi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因发包人原因未按计划开工日期开工的，发包人应按实际开工日期顺延竣工日期，确保实际工期不低于合同约定的工期总日历天数。因发包人原因导致工期延误需要修订施工进度计划的，按照第7.2.2项〔施工进度计划的修订〕执行。</w:t>
      </w:r>
    </w:p>
    <w:p w14:paraId="621DE90D">
      <w:pPr>
        <w:pageBreakBefore w:val="0"/>
        <w:widowControl w:val="0"/>
        <w:kinsoku/>
        <w:wordWrap/>
        <w:overflowPunct/>
        <w:topLinePunct w:val="0"/>
        <w:autoSpaceDE w:val="0"/>
        <w:autoSpaceDN w:val="0"/>
        <w:bidi w:val="0"/>
        <w:adjustRightInd w:val="0"/>
        <w:snapToGrid/>
        <w:spacing w:line="480" w:lineRule="exact"/>
        <w:ind w:firstLine="480" w:firstLineChars="200"/>
        <w:jc w:val="left"/>
        <w:textAlignment w:val="auto"/>
        <w:outlineLvl w:val="9"/>
        <w:rPr>
          <w:rFonts w:hint="eastAsia" w:ascii="宋体" w:hAnsi="宋体" w:eastAsia="宋体" w:cs="宋体"/>
          <w:sz w:val="24"/>
        </w:rPr>
      </w:pPr>
      <w:r>
        <w:rPr>
          <w:rFonts w:hint="eastAsia" w:ascii="宋体" w:hAnsi="宋体" w:eastAsia="宋体" w:cs="宋体"/>
          <w:kern w:val="0"/>
          <w:sz w:val="24"/>
        </w:rPr>
        <w:t>7.5.2 因承包人原因导致工期延误</w:t>
      </w:r>
    </w:p>
    <w:p w14:paraId="2963291C">
      <w:pPr>
        <w:pageBreakBefore w:val="0"/>
        <w:widowControl w:val="0"/>
        <w:kinsoku/>
        <w:wordWrap/>
        <w:overflowPunct/>
        <w:topLinePunct w:val="0"/>
        <w:autoSpaceDE w:val="0"/>
        <w:autoSpaceDN w:val="0"/>
        <w:bidi w:val="0"/>
        <w:adjustRightInd w:val="0"/>
        <w:snapToGrid/>
        <w:spacing w:line="480" w:lineRule="exact"/>
        <w:ind w:firstLine="480" w:firstLineChars="200"/>
        <w:jc w:val="left"/>
        <w:textAlignment w:val="auto"/>
        <w:outlineLvl w:val="9"/>
        <w:rPr>
          <w:rFonts w:hint="eastAsia" w:ascii="宋体" w:hAnsi="宋体" w:eastAsia="宋体" w:cs="宋体"/>
          <w:kern w:val="0"/>
          <w:sz w:val="24"/>
        </w:rPr>
      </w:pPr>
      <w:bookmarkStart w:id="752" w:name="_Toc296346577"/>
      <w:bookmarkStart w:id="753" w:name="_Toc296503076"/>
      <w:r>
        <w:rPr>
          <w:rFonts w:hint="eastAsia" w:ascii="宋体" w:hAnsi="宋体" w:eastAsia="宋体" w:cs="宋体"/>
          <w:kern w:val="0"/>
          <w:sz w:val="24"/>
        </w:rPr>
        <w:t>因</w:t>
      </w:r>
      <w:bookmarkEnd w:id="752"/>
      <w:bookmarkEnd w:id="753"/>
      <w:r>
        <w:rPr>
          <w:rFonts w:hint="eastAsia" w:ascii="宋体" w:hAnsi="宋体" w:eastAsia="宋体" w:cs="宋体"/>
          <w:kern w:val="0"/>
          <w:sz w:val="24"/>
        </w:rPr>
        <w:t>承包人原因造成工期延误的，可以在专用合同条款中约定逾期竣工违约金的计算方法和逾期竣工违约金的上限。承包人支付逾期竣工违约金后，不免除承包人继续完成工程及修补缺陷的义务。</w:t>
      </w:r>
    </w:p>
    <w:p w14:paraId="628534A6">
      <w:pPr>
        <w:pageBreakBefore w:val="0"/>
        <w:widowControl w:val="0"/>
        <w:kinsoku/>
        <w:wordWrap/>
        <w:overflowPunct/>
        <w:topLinePunct w:val="0"/>
        <w:bidi w:val="0"/>
        <w:snapToGrid/>
        <w:spacing w:before="120" w:after="120" w:line="480" w:lineRule="exact"/>
        <w:ind w:firstLine="480" w:firstLineChars="200"/>
        <w:textAlignment w:val="auto"/>
        <w:outlineLvl w:val="9"/>
        <w:rPr>
          <w:rFonts w:hint="eastAsia" w:ascii="宋体" w:hAnsi="宋体" w:eastAsia="宋体" w:cs="宋体"/>
          <w:b w:val="0"/>
          <w:sz w:val="24"/>
          <w:szCs w:val="24"/>
        </w:rPr>
      </w:pPr>
      <w:bookmarkStart w:id="754" w:name="_Toc351203548"/>
      <w:r>
        <w:rPr>
          <w:rFonts w:hint="eastAsia" w:ascii="宋体" w:hAnsi="宋体" w:eastAsia="宋体" w:cs="宋体"/>
          <w:b w:val="0"/>
          <w:sz w:val="24"/>
          <w:szCs w:val="24"/>
        </w:rPr>
        <w:t>7</w:t>
      </w:r>
      <w:bookmarkStart w:id="755" w:name="_Toc296503074"/>
      <w:bookmarkStart w:id="756" w:name="_Toc296346575"/>
      <w:bookmarkStart w:id="757" w:name="_Toc337558773"/>
      <w:bookmarkStart w:id="758" w:name="_Toc296346578"/>
      <w:bookmarkStart w:id="759" w:name="_Toc296503077"/>
      <w:r>
        <w:rPr>
          <w:rFonts w:hint="eastAsia" w:ascii="宋体" w:hAnsi="宋体" w:eastAsia="宋体" w:cs="宋体"/>
          <w:b w:val="0"/>
          <w:sz w:val="24"/>
          <w:szCs w:val="24"/>
        </w:rPr>
        <w:t>.6 不利物质条件</w:t>
      </w:r>
      <w:bookmarkEnd w:id="754"/>
    </w:p>
    <w:bookmarkEnd w:id="755"/>
    <w:bookmarkEnd w:id="756"/>
    <w:bookmarkEnd w:id="757"/>
    <w:p w14:paraId="603A9539">
      <w:pPr>
        <w:pageBreakBefore w:val="0"/>
        <w:widowControl w:val="0"/>
        <w:kinsoku/>
        <w:wordWrap/>
        <w:overflowPunct/>
        <w:topLinePunct w:val="0"/>
        <w:autoSpaceDE w:val="0"/>
        <w:autoSpaceDN w:val="0"/>
        <w:bidi w:val="0"/>
        <w:adjustRightInd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不利物质条件是指有经验的承包人在施工现场遇到的不可预见的自然物质条件、非自然的物质障碍和污染物，包括地表以下物质条件和水文条件以及专用合同条款约定的其他情形，但不包括气候条件。</w:t>
      </w:r>
    </w:p>
    <w:p w14:paraId="32A77AD3">
      <w:pPr>
        <w:pageBreakBefore w:val="0"/>
        <w:widowControl w:val="0"/>
        <w:kinsoku/>
        <w:wordWrap/>
        <w:overflowPunct/>
        <w:topLinePunct w:val="0"/>
        <w:autoSpaceDE w:val="0"/>
        <w:autoSpaceDN w:val="0"/>
        <w:bidi w:val="0"/>
        <w:adjustRightInd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承包人遇到不利物质条件时，应采取克服不利物质条件的合理措施继续施工，并及时通知发包人和监理人。通知应载明不利物质条件的内容以及承包人认为不可预见的理由。监理人经发包人同意后应当及时发出指示，指示构成变更的，按第10条〔变更〕约定执行。承包人因采取合理措施而增加的费用和（或）延误的工期由发包人承担。</w:t>
      </w:r>
    </w:p>
    <w:p w14:paraId="6EB21787">
      <w:pPr>
        <w:pageBreakBefore w:val="0"/>
        <w:widowControl w:val="0"/>
        <w:kinsoku/>
        <w:wordWrap/>
        <w:overflowPunct/>
        <w:topLinePunct w:val="0"/>
        <w:bidi w:val="0"/>
        <w:snapToGrid/>
        <w:spacing w:before="120" w:after="120" w:line="480" w:lineRule="exact"/>
        <w:ind w:firstLine="480" w:firstLineChars="200"/>
        <w:textAlignment w:val="auto"/>
        <w:outlineLvl w:val="9"/>
        <w:rPr>
          <w:rFonts w:hint="eastAsia" w:ascii="宋体" w:hAnsi="宋体" w:eastAsia="宋体" w:cs="宋体"/>
          <w:b w:val="0"/>
          <w:sz w:val="24"/>
          <w:szCs w:val="24"/>
        </w:rPr>
      </w:pPr>
      <w:bookmarkStart w:id="760" w:name="_Toc351203549"/>
      <w:r>
        <w:rPr>
          <w:rFonts w:hint="eastAsia" w:ascii="宋体" w:hAnsi="宋体" w:eastAsia="宋体" w:cs="宋体"/>
          <w:b w:val="0"/>
          <w:sz w:val="24"/>
          <w:szCs w:val="24"/>
        </w:rPr>
        <w:t>7</w:t>
      </w:r>
      <w:bookmarkStart w:id="761" w:name="_Toc296346576"/>
      <w:bookmarkStart w:id="762" w:name="_Toc337558774"/>
      <w:bookmarkStart w:id="763" w:name="_Toc296503075"/>
      <w:r>
        <w:rPr>
          <w:rFonts w:hint="eastAsia" w:ascii="宋体" w:hAnsi="宋体" w:eastAsia="宋体" w:cs="宋体"/>
          <w:b w:val="0"/>
          <w:sz w:val="24"/>
          <w:szCs w:val="24"/>
        </w:rPr>
        <w:t>.7 异常恶劣的气候条件</w:t>
      </w:r>
      <w:bookmarkEnd w:id="760"/>
    </w:p>
    <w:bookmarkEnd w:id="761"/>
    <w:bookmarkEnd w:id="762"/>
    <w:bookmarkEnd w:id="763"/>
    <w:p w14:paraId="577C961D">
      <w:pPr>
        <w:pageBreakBefore w:val="0"/>
        <w:widowControl w:val="0"/>
        <w:kinsoku/>
        <w:wordWrap/>
        <w:overflowPunct/>
        <w:topLinePunct w:val="0"/>
        <w:autoSpaceDE w:val="0"/>
        <w:autoSpaceDN w:val="0"/>
        <w:bidi w:val="0"/>
        <w:adjustRightInd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异常恶劣的气候条件是指在施工过程中遇到的，有经验的承包人在签订合同时不可预见的，对合同履行造成实质性影响的，但尚未构成不可抗力事件的恶劣气候条件。合同当事人可以在专用合同条款中约定异常恶劣的气候条件的具体情形。</w:t>
      </w:r>
    </w:p>
    <w:p w14:paraId="65E55CF5">
      <w:pPr>
        <w:pageBreakBefore w:val="0"/>
        <w:widowControl w:val="0"/>
        <w:kinsoku/>
        <w:wordWrap/>
        <w:overflowPunct/>
        <w:topLinePunct w:val="0"/>
        <w:autoSpaceDE w:val="0"/>
        <w:autoSpaceDN w:val="0"/>
        <w:bidi w:val="0"/>
        <w:adjustRightInd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承包人应采取克服异常恶劣的气候条件的合理措施继续施工，并及时通知发包人和监理人。监理人经发包人同意后应当及时发出指示，指示构成变更的，按第10条〔变更〕约定办理。承包人因采取合理措施而增加的费用和（或）延误的工期由发包人承担。</w:t>
      </w:r>
      <w:bookmarkStart w:id="764" w:name="_Toc351203550"/>
    </w:p>
    <w:p w14:paraId="61A7A8DF">
      <w:pPr>
        <w:pageBreakBefore w:val="0"/>
        <w:widowControl w:val="0"/>
        <w:kinsoku/>
        <w:wordWrap/>
        <w:overflowPunct/>
        <w:topLinePunct w:val="0"/>
        <w:autoSpaceDE w:val="0"/>
        <w:autoSpaceDN w:val="0"/>
        <w:bidi w:val="0"/>
        <w:adjustRightInd w:val="0"/>
        <w:snapToGrid/>
        <w:spacing w:line="480" w:lineRule="exact"/>
        <w:ind w:firstLine="480" w:firstLineChars="200"/>
        <w:jc w:val="left"/>
        <w:textAlignment w:val="auto"/>
        <w:outlineLvl w:val="9"/>
        <w:rPr>
          <w:rFonts w:hint="eastAsia" w:ascii="宋体" w:hAnsi="宋体" w:eastAsia="宋体" w:cs="宋体"/>
          <w:bCs/>
          <w:sz w:val="24"/>
        </w:rPr>
      </w:pPr>
      <w:r>
        <w:rPr>
          <w:rFonts w:hint="eastAsia" w:ascii="宋体" w:hAnsi="宋体" w:eastAsia="宋体" w:cs="宋体"/>
          <w:bCs/>
          <w:sz w:val="24"/>
        </w:rPr>
        <w:t>7</w:t>
      </w:r>
      <w:bookmarkStart w:id="765" w:name="_Toc337558775"/>
      <w:r>
        <w:rPr>
          <w:rFonts w:hint="eastAsia" w:ascii="宋体" w:hAnsi="宋体" w:eastAsia="宋体" w:cs="宋体"/>
          <w:bCs/>
          <w:sz w:val="24"/>
        </w:rPr>
        <w:t>.8 暂停施工</w:t>
      </w:r>
      <w:bookmarkEnd w:id="764"/>
    </w:p>
    <w:bookmarkEnd w:id="758"/>
    <w:bookmarkEnd w:id="759"/>
    <w:bookmarkEnd w:id="765"/>
    <w:p w14:paraId="630B1EB0">
      <w:pPr>
        <w:pageBreakBefore w:val="0"/>
        <w:widowControl w:val="0"/>
        <w:kinsoku/>
        <w:wordWrap/>
        <w:overflowPunct/>
        <w:topLinePunct w:val="0"/>
        <w:bidi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7.8.1发包人原因引起的暂停施工</w:t>
      </w:r>
    </w:p>
    <w:p w14:paraId="761D9CDC">
      <w:pPr>
        <w:pageBreakBefore w:val="0"/>
        <w:widowControl w:val="0"/>
        <w:kinsoku/>
        <w:wordWrap/>
        <w:overflowPunct/>
        <w:topLinePunct w:val="0"/>
        <w:bidi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因发包人原因引起暂停施工的，监理人经发包人同意后，应及时下达暂停施工指示。情况紧急且监理人未及时下达暂停施工指示的，按照第7.8.4项〔紧急情况下的暂停施工〕执行。</w:t>
      </w:r>
    </w:p>
    <w:p w14:paraId="6ACB0BED">
      <w:pPr>
        <w:pageBreakBefore w:val="0"/>
        <w:widowControl w:val="0"/>
        <w:kinsoku/>
        <w:wordWrap/>
        <w:overflowPunct/>
        <w:topLinePunct w:val="0"/>
        <w:bidi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因发包人原因引起的暂停施工，发包人应承担由此增加的费用和（或）延误的工期，并支付承包人合理的利润。</w:t>
      </w:r>
    </w:p>
    <w:p w14:paraId="743AD91E">
      <w:pPr>
        <w:pageBreakBefore w:val="0"/>
        <w:widowControl w:val="0"/>
        <w:kinsoku/>
        <w:wordWrap/>
        <w:overflowPunct/>
        <w:topLinePunct w:val="0"/>
        <w:bidi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7.8.2 承包人原因引起的暂停施工</w:t>
      </w:r>
    </w:p>
    <w:p w14:paraId="2A09511E">
      <w:pPr>
        <w:pageBreakBefore w:val="0"/>
        <w:widowControl w:val="0"/>
        <w:kinsoku/>
        <w:wordWrap/>
        <w:overflowPunct/>
        <w:topLinePunct w:val="0"/>
        <w:bidi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因承包人原因引起的暂停施工，承包人应承担由此增加的费用和（或）延误的工期，且承包人在收到监理人复工指示后84天内仍未复工的，视为第16.2.1项〔承包人违约的情形〕第（7）目约定的承包人无法继续履行合同的情形。</w:t>
      </w:r>
    </w:p>
    <w:p w14:paraId="7FFAEEAB">
      <w:pPr>
        <w:pageBreakBefore w:val="0"/>
        <w:widowControl w:val="0"/>
        <w:kinsoku/>
        <w:wordWrap/>
        <w:overflowPunct/>
        <w:topLinePunct w:val="0"/>
        <w:bidi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7.8.3 指示暂停施工</w:t>
      </w:r>
    </w:p>
    <w:p w14:paraId="32CD76DB">
      <w:pPr>
        <w:pageBreakBefore w:val="0"/>
        <w:widowControl w:val="0"/>
        <w:kinsoku/>
        <w:wordWrap/>
        <w:overflowPunct/>
        <w:topLinePunct w:val="0"/>
        <w:bidi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监理人认为有必要时，并经发包人批准后，可向承包人作出暂停施工的指示，承包人应按监理人指示暂停施工。</w:t>
      </w:r>
    </w:p>
    <w:p w14:paraId="74B53936">
      <w:pPr>
        <w:pageBreakBefore w:val="0"/>
        <w:widowControl w:val="0"/>
        <w:kinsoku/>
        <w:wordWrap/>
        <w:overflowPunct/>
        <w:topLinePunct w:val="0"/>
        <w:bidi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7.8.4 紧急情况下的暂停施工</w:t>
      </w:r>
    </w:p>
    <w:p w14:paraId="3573EE4E">
      <w:pPr>
        <w:pageBreakBefore w:val="0"/>
        <w:widowControl w:val="0"/>
        <w:kinsoku/>
        <w:wordWrap/>
        <w:overflowPunct/>
        <w:topLinePunct w:val="0"/>
        <w:bidi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因紧急情况需暂停施工，且监理人未及时下达暂停施工指示的，承包人可先暂停施工，并及时通知监理人。监理人应在接到通知后24小时内发出指示，逾期未发出指示，视为同意承包人暂停施工。监理人不同意承包人暂停施工的，应说明理由，承包人对监理人的答复有异议，按照第20条〔争议解决〕约定处理。</w:t>
      </w:r>
    </w:p>
    <w:p w14:paraId="7A795A80">
      <w:pPr>
        <w:pageBreakBefore w:val="0"/>
        <w:widowControl w:val="0"/>
        <w:kinsoku/>
        <w:wordWrap/>
        <w:overflowPunct/>
        <w:topLinePunct w:val="0"/>
        <w:bidi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7.8.5 暂停施工后的复工</w:t>
      </w:r>
    </w:p>
    <w:p w14:paraId="7B0C5863">
      <w:pPr>
        <w:pageBreakBefore w:val="0"/>
        <w:widowControl w:val="0"/>
        <w:kinsoku/>
        <w:wordWrap/>
        <w:overflowPunct/>
        <w:topLinePunct w:val="0"/>
        <w:bidi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暂停施工后，发包人和承包人应采取有效措施积极消除暂停施工的影响。在工程复工前，监理人会同发包人和承包人确定因暂停施工造成的损失，并确定工程复工条件。当工程具备复工条件时，监理人应经发包人批准后向承包人发出复工通知，承包人应按照复工通知要求复工。</w:t>
      </w:r>
    </w:p>
    <w:p w14:paraId="540462BD">
      <w:pPr>
        <w:pageBreakBefore w:val="0"/>
        <w:widowControl w:val="0"/>
        <w:kinsoku/>
        <w:wordWrap/>
        <w:overflowPunct/>
        <w:topLinePunct w:val="0"/>
        <w:bidi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承包人无故拖延和拒绝复工的，承包人承担由此增加的费用和（或）延误的工期；因发包人原因无法按时复工的，按照第7.5.1项〔因发包人原因导致工期延误〕约定办理。</w:t>
      </w:r>
    </w:p>
    <w:p w14:paraId="694107FE">
      <w:pPr>
        <w:pageBreakBefore w:val="0"/>
        <w:widowControl w:val="0"/>
        <w:kinsoku/>
        <w:wordWrap/>
        <w:overflowPunct/>
        <w:topLinePunct w:val="0"/>
        <w:bidi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7.8.6 暂停施工持续56天以上</w:t>
      </w:r>
    </w:p>
    <w:p w14:paraId="61E82668">
      <w:pPr>
        <w:pageBreakBefore w:val="0"/>
        <w:widowControl w:val="0"/>
        <w:kinsoku/>
        <w:wordWrap/>
        <w:overflowPunct/>
        <w:topLinePunct w:val="0"/>
        <w:bidi w:val="0"/>
        <w:snapToGrid/>
        <w:spacing w:line="480" w:lineRule="exact"/>
        <w:ind w:firstLine="468" w:firstLineChars="195"/>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监理人发出暂停施工指示后56天内未向承包人发出复工通知，除该项停工属于第7.8.2项〔承包人原因引起的暂停施工〕及第17条〔不可抗力〕约定的情形外，承包人可向发包人提交书面通知，要求发包人在收到书面通知后28天内准许已暂停施工的部分或全部工程继续施工。发包人逾期不予批准的，则承包人可以通知发包人，将工程受影响的部分视为按第10.1款〔变更的范围〕第（2）项的可取消工作。</w:t>
      </w:r>
    </w:p>
    <w:p w14:paraId="4EFD91D9">
      <w:pPr>
        <w:pageBreakBefore w:val="0"/>
        <w:widowControl w:val="0"/>
        <w:kinsoku/>
        <w:wordWrap/>
        <w:overflowPunct/>
        <w:topLinePunct w:val="0"/>
        <w:bidi w:val="0"/>
        <w:snapToGrid/>
        <w:spacing w:line="480" w:lineRule="exact"/>
        <w:ind w:firstLine="468" w:firstLineChars="195"/>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暂停施工持续84天以上不复工的，且不属于第7.8.2项〔承包人原因引起的暂停施工〕及第17条〔不可抗力〕约定的情形，并影响到整个工程以及合同目的实现的，承包人有权提出价格调整要求，或者解除合同。解除合同的，按照第16.1.3项〔因发包人违约解除合同〕执行。</w:t>
      </w:r>
    </w:p>
    <w:p w14:paraId="4AA01E3E">
      <w:pPr>
        <w:pageBreakBefore w:val="0"/>
        <w:widowControl w:val="0"/>
        <w:kinsoku/>
        <w:wordWrap/>
        <w:overflowPunct/>
        <w:topLinePunct w:val="0"/>
        <w:bidi w:val="0"/>
        <w:snapToGrid/>
        <w:spacing w:line="480" w:lineRule="exact"/>
        <w:ind w:left="16" w:firstLine="468" w:firstLineChars="195"/>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7.8.7 暂停施工期间的工程照管</w:t>
      </w:r>
    </w:p>
    <w:p w14:paraId="70451DD6">
      <w:pPr>
        <w:pageBreakBefore w:val="0"/>
        <w:widowControl w:val="0"/>
        <w:kinsoku/>
        <w:wordWrap/>
        <w:overflowPunct/>
        <w:topLinePunct w:val="0"/>
        <w:bidi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暂停施工期间，承包人应负责妥善照管工程并提供安全保障，由此增加的费用由责任方承担。</w:t>
      </w:r>
    </w:p>
    <w:p w14:paraId="58AE1B68">
      <w:pPr>
        <w:pageBreakBefore w:val="0"/>
        <w:widowControl w:val="0"/>
        <w:kinsoku/>
        <w:wordWrap/>
        <w:overflowPunct/>
        <w:topLinePunct w:val="0"/>
        <w:bidi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7.8.8 暂停施工的措施</w:t>
      </w:r>
    </w:p>
    <w:p w14:paraId="449043F1">
      <w:pPr>
        <w:pageBreakBefore w:val="0"/>
        <w:widowControl w:val="0"/>
        <w:kinsoku/>
        <w:wordWrap/>
        <w:overflowPunct/>
        <w:topLinePunct w:val="0"/>
        <w:bidi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暂停施工期间，发包人和承包人均应采取必要的措施确保工程质量及安全，防止因暂停施工扩大损失。</w:t>
      </w:r>
    </w:p>
    <w:p w14:paraId="2C99992B">
      <w:pPr>
        <w:pageBreakBefore w:val="0"/>
        <w:widowControl w:val="0"/>
        <w:kinsoku/>
        <w:wordWrap/>
        <w:overflowPunct/>
        <w:topLinePunct w:val="0"/>
        <w:bidi w:val="0"/>
        <w:snapToGrid/>
        <w:spacing w:before="120" w:after="120" w:line="480" w:lineRule="exact"/>
        <w:ind w:firstLine="480" w:firstLineChars="200"/>
        <w:textAlignment w:val="auto"/>
        <w:outlineLvl w:val="9"/>
        <w:rPr>
          <w:rFonts w:hint="eastAsia" w:ascii="宋体" w:hAnsi="宋体" w:eastAsia="宋体" w:cs="宋体"/>
          <w:b w:val="0"/>
          <w:sz w:val="24"/>
          <w:szCs w:val="24"/>
        </w:rPr>
      </w:pPr>
      <w:bookmarkStart w:id="766" w:name="_Toc351203551"/>
      <w:r>
        <w:rPr>
          <w:rFonts w:hint="eastAsia" w:ascii="宋体" w:hAnsi="宋体" w:eastAsia="宋体" w:cs="宋体"/>
          <w:b w:val="0"/>
          <w:sz w:val="24"/>
          <w:szCs w:val="24"/>
        </w:rPr>
        <w:t>7.9提前竣工</w:t>
      </w:r>
      <w:bookmarkEnd w:id="766"/>
    </w:p>
    <w:p w14:paraId="79287E1B">
      <w:pPr>
        <w:pageBreakBefore w:val="0"/>
        <w:widowControl w:val="0"/>
        <w:kinsoku/>
        <w:wordWrap/>
        <w:overflowPunct/>
        <w:topLinePunct w:val="0"/>
        <w:bidi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7.9.1 发包人要求承包人提前竣工的，发包人应通过监理人向承包人下达提前竣工指示，承包人应向发包人和监理人提交提前竣工建议书，提前竣工建议书应包括实施的方案、缩短的时间、增加的合同价格等内容。发包人接受该提前竣工建议书的，监理人应与发包人和承包人协商采取加快工程进度的措施，并修订施工进度计划，由此增加的费用由发包人承担。承包人认为提前竣工指示无法执行的，应向监理人和发包人提出书面异议，发包人和监理人应在收到异议后7天内予以答复。任何情况下，发包人不得压缩合理工期。</w:t>
      </w:r>
    </w:p>
    <w:p w14:paraId="4BDD8144">
      <w:pPr>
        <w:pageBreakBefore w:val="0"/>
        <w:widowControl w:val="0"/>
        <w:kinsoku/>
        <w:wordWrap/>
        <w:overflowPunct/>
        <w:topLinePunct w:val="0"/>
        <w:bidi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7.9.2 发包人要求承包人提前竣工，或承包人提出提前竣工的建议能够给发包人带来效益的，合同当事人可以在专用合同条款中约定提前竣工的奖励。</w:t>
      </w:r>
    </w:p>
    <w:p w14:paraId="7E6EC233">
      <w:pPr>
        <w:pageBreakBefore w:val="0"/>
        <w:widowControl w:val="0"/>
        <w:kinsoku/>
        <w:wordWrap/>
        <w:overflowPunct/>
        <w:topLinePunct w:val="0"/>
        <w:bidi w:val="0"/>
        <w:snapToGrid/>
        <w:spacing w:before="120" w:after="120" w:line="480" w:lineRule="exact"/>
        <w:textAlignment w:val="auto"/>
        <w:outlineLvl w:val="9"/>
        <w:rPr>
          <w:rFonts w:hint="eastAsia" w:ascii="宋体" w:hAnsi="宋体" w:eastAsia="宋体" w:cs="宋体"/>
          <w:bCs w:val="0"/>
          <w:sz w:val="24"/>
          <w:szCs w:val="24"/>
        </w:rPr>
      </w:pPr>
      <w:bookmarkStart w:id="767" w:name="_Toc351203552"/>
      <w:r>
        <w:rPr>
          <w:rFonts w:hint="eastAsia" w:ascii="宋体" w:hAnsi="宋体" w:eastAsia="宋体" w:cs="宋体"/>
          <w:bCs w:val="0"/>
          <w:sz w:val="24"/>
          <w:szCs w:val="24"/>
        </w:rPr>
        <w:t>8</w:t>
      </w:r>
      <w:bookmarkStart w:id="768" w:name="_Toc296346559"/>
      <w:bookmarkStart w:id="769" w:name="_Toc337558776"/>
      <w:bookmarkStart w:id="770" w:name="_Toc296503058"/>
      <w:r>
        <w:rPr>
          <w:rFonts w:hint="eastAsia" w:ascii="宋体" w:hAnsi="宋体" w:eastAsia="宋体" w:cs="宋体"/>
          <w:bCs w:val="0"/>
          <w:sz w:val="24"/>
          <w:szCs w:val="24"/>
        </w:rPr>
        <w:t>. 材料与设备</w:t>
      </w:r>
      <w:bookmarkEnd w:id="767"/>
    </w:p>
    <w:bookmarkEnd w:id="768"/>
    <w:bookmarkEnd w:id="769"/>
    <w:bookmarkEnd w:id="770"/>
    <w:p w14:paraId="3B915E4D">
      <w:pPr>
        <w:pageBreakBefore w:val="0"/>
        <w:widowControl w:val="0"/>
        <w:kinsoku/>
        <w:wordWrap/>
        <w:overflowPunct/>
        <w:topLinePunct w:val="0"/>
        <w:bidi w:val="0"/>
        <w:snapToGrid/>
        <w:spacing w:before="120" w:after="120" w:line="480" w:lineRule="exact"/>
        <w:ind w:firstLine="480" w:firstLineChars="200"/>
        <w:textAlignment w:val="auto"/>
        <w:outlineLvl w:val="9"/>
        <w:rPr>
          <w:rFonts w:hint="eastAsia" w:ascii="宋体" w:hAnsi="宋体" w:eastAsia="宋体" w:cs="宋体"/>
          <w:b w:val="0"/>
          <w:sz w:val="24"/>
          <w:szCs w:val="24"/>
        </w:rPr>
      </w:pPr>
      <w:bookmarkStart w:id="771" w:name="_Toc351203553"/>
      <w:r>
        <w:rPr>
          <w:rFonts w:hint="eastAsia" w:ascii="宋体" w:hAnsi="宋体" w:eastAsia="宋体" w:cs="宋体"/>
          <w:b w:val="0"/>
          <w:sz w:val="24"/>
          <w:szCs w:val="24"/>
        </w:rPr>
        <w:t>8</w:t>
      </w:r>
      <w:bookmarkStart w:id="772" w:name="_Toc296503059"/>
      <w:bookmarkStart w:id="773" w:name="_Toc296346560"/>
      <w:bookmarkStart w:id="774" w:name="_Toc337558777"/>
      <w:bookmarkStart w:id="775" w:name="_Toc468936960"/>
      <w:r>
        <w:rPr>
          <w:rFonts w:hint="eastAsia" w:ascii="宋体" w:hAnsi="宋体" w:eastAsia="宋体" w:cs="宋体"/>
          <w:b w:val="0"/>
          <w:sz w:val="24"/>
          <w:szCs w:val="24"/>
        </w:rPr>
        <w:t>.1发包人供应材料与工程设备</w:t>
      </w:r>
      <w:bookmarkEnd w:id="771"/>
    </w:p>
    <w:bookmarkEnd w:id="772"/>
    <w:bookmarkEnd w:id="773"/>
    <w:bookmarkEnd w:id="774"/>
    <w:p w14:paraId="53A71C64">
      <w:pPr>
        <w:pageBreakBefore w:val="0"/>
        <w:widowControl w:val="0"/>
        <w:kinsoku/>
        <w:wordWrap/>
        <w:overflowPunct/>
        <w:topLinePunct w:val="0"/>
        <w:autoSpaceDE w:val="0"/>
        <w:autoSpaceDN w:val="0"/>
        <w:bidi w:val="0"/>
        <w:adjustRightInd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发包人自行供应材料、工程设备的，应在签订合同时在专用合同条款的附件《发包人供应材料设备一览表》中明确材料、工程设备的品种、规格、型号、数量、单价、质量等级和送达地点。</w:t>
      </w:r>
    </w:p>
    <w:p w14:paraId="04078A2B">
      <w:pPr>
        <w:pageBreakBefore w:val="0"/>
        <w:widowControl w:val="0"/>
        <w:kinsoku/>
        <w:wordWrap/>
        <w:overflowPunct/>
        <w:topLinePunct w:val="0"/>
        <w:autoSpaceDE w:val="0"/>
        <w:autoSpaceDN w:val="0"/>
        <w:bidi w:val="0"/>
        <w:adjustRightInd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承包人应提前30天通过监理人以书面形式通知发包人供应材料与工程设备进场。承包人按照第7.2.2项〔施工进度计划的修订〕约定修订施工进度计划时，需同时提交经修订后的发包人供应材料与工程设备的进场计划。</w:t>
      </w:r>
    </w:p>
    <w:p w14:paraId="3D3CE6B6">
      <w:pPr>
        <w:pageBreakBefore w:val="0"/>
        <w:widowControl w:val="0"/>
        <w:kinsoku/>
        <w:wordWrap/>
        <w:overflowPunct/>
        <w:topLinePunct w:val="0"/>
        <w:bidi w:val="0"/>
        <w:snapToGrid/>
        <w:spacing w:before="120" w:after="120" w:line="480" w:lineRule="exact"/>
        <w:ind w:firstLine="480" w:firstLineChars="200"/>
        <w:textAlignment w:val="auto"/>
        <w:outlineLvl w:val="9"/>
        <w:rPr>
          <w:rFonts w:hint="eastAsia" w:ascii="宋体" w:hAnsi="宋体" w:eastAsia="宋体" w:cs="宋体"/>
          <w:sz w:val="24"/>
          <w:szCs w:val="24"/>
        </w:rPr>
      </w:pPr>
      <w:bookmarkStart w:id="776" w:name="_Toc351203554"/>
      <w:r>
        <w:rPr>
          <w:rFonts w:hint="eastAsia" w:ascii="宋体" w:hAnsi="宋体" w:eastAsia="宋体" w:cs="宋体"/>
          <w:b w:val="0"/>
          <w:sz w:val="24"/>
          <w:szCs w:val="24"/>
        </w:rPr>
        <w:t>8</w:t>
      </w:r>
      <w:bookmarkStart w:id="777" w:name="_Toc337558778"/>
      <w:bookmarkStart w:id="778" w:name="_Toc296346561"/>
      <w:bookmarkStart w:id="779" w:name="_Toc296503060"/>
      <w:r>
        <w:rPr>
          <w:rFonts w:hint="eastAsia" w:ascii="宋体" w:hAnsi="宋体" w:eastAsia="宋体" w:cs="宋体"/>
          <w:b w:val="0"/>
          <w:sz w:val="24"/>
          <w:szCs w:val="24"/>
        </w:rPr>
        <w:t>.2承包人采购材料与工程设备</w:t>
      </w:r>
      <w:bookmarkEnd w:id="776"/>
    </w:p>
    <w:bookmarkEnd w:id="777"/>
    <w:bookmarkEnd w:id="778"/>
    <w:bookmarkEnd w:id="779"/>
    <w:p w14:paraId="382C5F0D">
      <w:pPr>
        <w:pageBreakBefore w:val="0"/>
        <w:widowControl w:val="0"/>
        <w:kinsoku/>
        <w:wordWrap/>
        <w:overflowPunct/>
        <w:topLinePunct w:val="0"/>
        <w:autoSpaceDE w:val="0"/>
        <w:autoSpaceDN w:val="0"/>
        <w:bidi w:val="0"/>
        <w:adjustRightInd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承包人负责采购材料、工程设备的，应按照设计和有关标准要求采购，并提供产品合格证明及出厂证明，对材料、工程设备质量负责。合同约定由承包人采购的材料、工程设备，发包人不得指定生产厂家或供应商，发包人违反本款约定指定生产厂家或供应商的，承包人有权拒绝，并由发包人承担相应责任。</w:t>
      </w:r>
    </w:p>
    <w:p w14:paraId="492FCD52">
      <w:pPr>
        <w:pageBreakBefore w:val="0"/>
        <w:widowControl w:val="0"/>
        <w:kinsoku/>
        <w:wordWrap/>
        <w:overflowPunct/>
        <w:topLinePunct w:val="0"/>
        <w:bidi w:val="0"/>
        <w:snapToGrid/>
        <w:spacing w:before="120" w:after="120" w:line="480" w:lineRule="exact"/>
        <w:ind w:firstLine="480" w:firstLineChars="200"/>
        <w:textAlignment w:val="auto"/>
        <w:outlineLvl w:val="9"/>
        <w:rPr>
          <w:rFonts w:hint="eastAsia" w:ascii="宋体" w:hAnsi="宋体" w:eastAsia="宋体" w:cs="宋体"/>
          <w:b w:val="0"/>
          <w:sz w:val="24"/>
          <w:szCs w:val="24"/>
        </w:rPr>
      </w:pPr>
      <w:bookmarkStart w:id="780" w:name="_Toc351203555"/>
      <w:r>
        <w:rPr>
          <w:rFonts w:hint="eastAsia" w:ascii="宋体" w:hAnsi="宋体" w:eastAsia="宋体" w:cs="宋体"/>
          <w:b w:val="0"/>
          <w:sz w:val="24"/>
          <w:szCs w:val="24"/>
        </w:rPr>
        <w:t>8</w:t>
      </w:r>
      <w:bookmarkStart w:id="781" w:name="_Toc296503061"/>
      <w:bookmarkStart w:id="782" w:name="_Toc296346562"/>
      <w:bookmarkStart w:id="783" w:name="_Toc337558779"/>
      <w:r>
        <w:rPr>
          <w:rFonts w:hint="eastAsia" w:ascii="宋体" w:hAnsi="宋体" w:eastAsia="宋体" w:cs="宋体"/>
          <w:b w:val="0"/>
          <w:sz w:val="24"/>
          <w:szCs w:val="24"/>
        </w:rPr>
        <w:t>.3材料与工程设备的接收与拒收</w:t>
      </w:r>
      <w:bookmarkEnd w:id="780"/>
    </w:p>
    <w:bookmarkEnd w:id="781"/>
    <w:bookmarkEnd w:id="782"/>
    <w:bookmarkEnd w:id="783"/>
    <w:p w14:paraId="49120319">
      <w:pPr>
        <w:pageBreakBefore w:val="0"/>
        <w:widowControl w:val="0"/>
        <w:kinsoku/>
        <w:wordWrap/>
        <w:overflowPunct/>
        <w:topLinePunct w:val="0"/>
        <w:autoSpaceDE w:val="0"/>
        <w:autoSpaceDN w:val="0"/>
        <w:bidi w:val="0"/>
        <w:adjustRightInd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8.3.1 发包人应按《发包人供应材料设备一览表》约定的内容提供材料和工程设备，并向承包人提供产品合格证明及出厂证明，对其质量负责。发包人应提前24小时以书面形式通知承包人、监理人材料和工程设备到货时间，承包人负责材料和工程设备的清点、检验和接收。</w:t>
      </w:r>
    </w:p>
    <w:p w14:paraId="646C02CB">
      <w:pPr>
        <w:pageBreakBefore w:val="0"/>
        <w:widowControl w:val="0"/>
        <w:kinsoku/>
        <w:wordWrap/>
        <w:overflowPunct/>
        <w:topLinePunct w:val="0"/>
        <w:autoSpaceDE w:val="0"/>
        <w:autoSpaceDN w:val="0"/>
        <w:bidi w:val="0"/>
        <w:adjustRightInd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发包人提供的材料和工程设备的规格、数量或质量不符合合同约定的，或因发包人原因导致交货日期延误或交货地点变更等情况的，按照第16.1款〔发包人违约〕约定办理。</w:t>
      </w:r>
    </w:p>
    <w:p w14:paraId="3E151825">
      <w:pPr>
        <w:pageBreakBefore w:val="0"/>
        <w:widowControl w:val="0"/>
        <w:kinsoku/>
        <w:wordWrap/>
        <w:overflowPunct/>
        <w:topLinePunct w:val="0"/>
        <w:autoSpaceDE w:val="0"/>
        <w:autoSpaceDN w:val="0"/>
        <w:bidi w:val="0"/>
        <w:adjustRightInd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8.3.2 承包人采购的材料和工程设备，应保证产品质量合格，承包人应在材料和工程设备到货前24小时通知监理人检验。承</w:t>
      </w:r>
      <w:bookmarkStart w:id="784" w:name="_Toc250655469"/>
      <w:r>
        <w:rPr>
          <w:rFonts w:hint="eastAsia" w:ascii="宋体" w:hAnsi="宋体" w:eastAsia="宋体" w:cs="宋体"/>
          <w:kern w:val="0"/>
          <w:sz w:val="24"/>
        </w:rPr>
        <w:t>包人进行永久设备、材料的制造和生产的，应符合相关质量标准，并向监理人提交材料的样本以及有关资料，并应在使用该材料或工程设备之前获得监理人同意。</w:t>
      </w:r>
    </w:p>
    <w:bookmarkEnd w:id="784"/>
    <w:p w14:paraId="5A1FF3F6">
      <w:pPr>
        <w:pageBreakBefore w:val="0"/>
        <w:widowControl w:val="0"/>
        <w:kinsoku/>
        <w:wordWrap/>
        <w:overflowPunct/>
        <w:topLinePunct w:val="0"/>
        <w:autoSpaceDE w:val="0"/>
        <w:autoSpaceDN w:val="0"/>
        <w:bidi w:val="0"/>
        <w:adjustRightInd w:val="0"/>
        <w:snapToGrid/>
        <w:spacing w:line="480" w:lineRule="exact"/>
        <w:ind w:firstLine="360" w:firstLineChars="15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 xml:space="preserve"> 承包人采购的材料和工程设备不符合设计或有关标准要求时，承包人应在监理人要求的合理期限内将不符合设计或有关标准要求的材料、工程设备运出施工现场，并重新采购符合要求的材料、工程设备，由此增加的费用和（或）延误的工期，由承包人承担。</w:t>
      </w:r>
    </w:p>
    <w:p w14:paraId="367A3CCD">
      <w:pPr>
        <w:pageBreakBefore w:val="0"/>
        <w:widowControl w:val="0"/>
        <w:kinsoku/>
        <w:wordWrap/>
        <w:overflowPunct/>
        <w:topLinePunct w:val="0"/>
        <w:bidi w:val="0"/>
        <w:snapToGrid/>
        <w:spacing w:before="120" w:after="120" w:line="480" w:lineRule="exact"/>
        <w:ind w:firstLine="480" w:firstLineChars="200"/>
        <w:textAlignment w:val="auto"/>
        <w:outlineLvl w:val="9"/>
        <w:rPr>
          <w:rFonts w:hint="eastAsia" w:ascii="宋体" w:hAnsi="宋体" w:eastAsia="宋体" w:cs="宋体"/>
          <w:b w:val="0"/>
          <w:sz w:val="24"/>
          <w:szCs w:val="24"/>
        </w:rPr>
      </w:pPr>
      <w:bookmarkStart w:id="785" w:name="_Toc351203556"/>
      <w:r>
        <w:rPr>
          <w:rFonts w:hint="eastAsia" w:ascii="宋体" w:hAnsi="宋体" w:eastAsia="宋体" w:cs="宋体"/>
          <w:b w:val="0"/>
          <w:sz w:val="24"/>
          <w:szCs w:val="24"/>
        </w:rPr>
        <w:t>8</w:t>
      </w:r>
      <w:bookmarkStart w:id="786" w:name="_Toc296346563"/>
      <w:bookmarkStart w:id="787" w:name="_Toc337558780"/>
      <w:bookmarkStart w:id="788" w:name="_Toc296503062"/>
      <w:r>
        <w:rPr>
          <w:rFonts w:hint="eastAsia" w:ascii="宋体" w:hAnsi="宋体" w:eastAsia="宋体" w:cs="宋体"/>
          <w:b w:val="0"/>
          <w:sz w:val="24"/>
          <w:szCs w:val="24"/>
        </w:rPr>
        <w:t>.4材料与工程设备的保管与使用</w:t>
      </w:r>
      <w:bookmarkEnd w:id="785"/>
    </w:p>
    <w:bookmarkEnd w:id="786"/>
    <w:bookmarkEnd w:id="787"/>
    <w:bookmarkEnd w:id="788"/>
    <w:p w14:paraId="075F6E30">
      <w:pPr>
        <w:pageBreakBefore w:val="0"/>
        <w:widowControl w:val="0"/>
        <w:kinsoku/>
        <w:wordWrap/>
        <w:overflowPunct/>
        <w:topLinePunct w:val="0"/>
        <w:autoSpaceDE w:val="0"/>
        <w:autoSpaceDN w:val="0"/>
        <w:bidi w:val="0"/>
        <w:adjustRightInd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8.4.1 发包人供应</w:t>
      </w:r>
      <w:r>
        <w:rPr>
          <w:rFonts w:hint="eastAsia" w:ascii="宋体" w:hAnsi="宋体" w:eastAsia="宋体" w:cs="宋体"/>
          <w:sz w:val="24"/>
        </w:rPr>
        <w:t>材料与</w:t>
      </w:r>
      <w:r>
        <w:rPr>
          <w:rFonts w:hint="eastAsia" w:ascii="宋体" w:hAnsi="宋体" w:eastAsia="宋体" w:cs="宋体"/>
          <w:kern w:val="0"/>
          <w:sz w:val="24"/>
        </w:rPr>
        <w:t>工程</w:t>
      </w:r>
      <w:r>
        <w:rPr>
          <w:rFonts w:hint="eastAsia" w:ascii="宋体" w:hAnsi="宋体" w:eastAsia="宋体" w:cs="宋体"/>
          <w:sz w:val="24"/>
        </w:rPr>
        <w:t>设备的保管与使用</w:t>
      </w:r>
    </w:p>
    <w:p w14:paraId="05E886A3">
      <w:pPr>
        <w:pageBreakBefore w:val="0"/>
        <w:widowControl w:val="0"/>
        <w:kinsoku/>
        <w:wordWrap/>
        <w:overflowPunct/>
        <w:topLinePunct w:val="0"/>
        <w:autoSpaceDE w:val="0"/>
        <w:autoSpaceDN w:val="0"/>
        <w:bidi w:val="0"/>
        <w:adjustRightInd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发包人供应的材料和工程设备，承包人清点后由承包人妥善保管，保管费用由发包人承担，但已标价工程量清单或预算书已经列支或专用合同条款另有约定除外。因承包人原因发生丢失毁损的，由承包人负责赔偿；监理人未通知承包人清点的，承包人不负责材料和工程设备的保管，由此导致丢失毁损的由发包人负责。</w:t>
      </w:r>
    </w:p>
    <w:p w14:paraId="05833750">
      <w:pPr>
        <w:pageBreakBefore w:val="0"/>
        <w:widowControl w:val="0"/>
        <w:kinsoku/>
        <w:wordWrap/>
        <w:overflowPunct/>
        <w:topLinePunct w:val="0"/>
        <w:autoSpaceDE w:val="0"/>
        <w:autoSpaceDN w:val="0"/>
        <w:bidi w:val="0"/>
        <w:adjustRightInd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发包人供应的材料和工程设备使用前，由承包人负责检验，检验费用由发包人承担，不合格的不得使用。</w:t>
      </w:r>
    </w:p>
    <w:p w14:paraId="0F88D269">
      <w:pPr>
        <w:pageBreakBefore w:val="0"/>
        <w:widowControl w:val="0"/>
        <w:kinsoku/>
        <w:wordWrap/>
        <w:overflowPunct/>
        <w:topLinePunct w:val="0"/>
        <w:autoSpaceDE w:val="0"/>
        <w:autoSpaceDN w:val="0"/>
        <w:bidi w:val="0"/>
        <w:adjustRightInd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8.4.2 承包人采购</w:t>
      </w:r>
      <w:r>
        <w:rPr>
          <w:rFonts w:hint="eastAsia" w:ascii="宋体" w:hAnsi="宋体" w:eastAsia="宋体" w:cs="宋体"/>
          <w:sz w:val="24"/>
        </w:rPr>
        <w:t>材料与</w:t>
      </w:r>
      <w:r>
        <w:rPr>
          <w:rFonts w:hint="eastAsia" w:ascii="宋体" w:hAnsi="宋体" w:eastAsia="宋体" w:cs="宋体"/>
          <w:kern w:val="0"/>
          <w:sz w:val="24"/>
        </w:rPr>
        <w:t>工程</w:t>
      </w:r>
      <w:r>
        <w:rPr>
          <w:rFonts w:hint="eastAsia" w:ascii="宋体" w:hAnsi="宋体" w:eastAsia="宋体" w:cs="宋体"/>
          <w:sz w:val="24"/>
        </w:rPr>
        <w:t>设备的保管与使用</w:t>
      </w:r>
    </w:p>
    <w:p w14:paraId="163A1A7E">
      <w:pPr>
        <w:pageBreakBefore w:val="0"/>
        <w:widowControl w:val="0"/>
        <w:kinsoku/>
        <w:wordWrap/>
        <w:overflowPunct/>
        <w:topLinePunct w:val="0"/>
        <w:autoSpaceDE w:val="0"/>
        <w:autoSpaceDN w:val="0"/>
        <w:bidi w:val="0"/>
        <w:adjustRightInd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承包人采购的材料和工程设备由承包人妥善保管，保管费用由承包人承担。法律规定材料和工程设备使用前必须进行检验或试验的，承包人应按监理人的要求进行检验或试验，检验或试验费用由承包人承担，不合格的不得使用。</w:t>
      </w:r>
    </w:p>
    <w:p w14:paraId="0896C542">
      <w:pPr>
        <w:pageBreakBefore w:val="0"/>
        <w:widowControl w:val="0"/>
        <w:kinsoku/>
        <w:wordWrap/>
        <w:overflowPunct/>
        <w:topLinePunct w:val="0"/>
        <w:autoSpaceDE w:val="0"/>
        <w:autoSpaceDN w:val="0"/>
        <w:bidi w:val="0"/>
        <w:adjustRightInd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发包人或监理人发现承包人使用不符合设计或有关标准要求的材料和工程设备时，有权要求承包人进行修复、拆除或重新采购，由此增加的费用和（或）延误的工期，由承包人承担。</w:t>
      </w:r>
    </w:p>
    <w:p w14:paraId="65FB0E77">
      <w:pPr>
        <w:pageBreakBefore w:val="0"/>
        <w:widowControl w:val="0"/>
        <w:kinsoku/>
        <w:wordWrap/>
        <w:overflowPunct/>
        <w:topLinePunct w:val="0"/>
        <w:bidi w:val="0"/>
        <w:snapToGrid/>
        <w:spacing w:before="120" w:after="120" w:line="480" w:lineRule="exact"/>
        <w:ind w:firstLine="480" w:firstLineChars="200"/>
        <w:textAlignment w:val="auto"/>
        <w:outlineLvl w:val="9"/>
        <w:rPr>
          <w:rFonts w:hint="eastAsia" w:ascii="宋体" w:hAnsi="宋体" w:eastAsia="宋体" w:cs="宋体"/>
          <w:b w:val="0"/>
          <w:sz w:val="24"/>
          <w:szCs w:val="24"/>
        </w:rPr>
      </w:pPr>
      <w:bookmarkStart w:id="789" w:name="_Toc351203557"/>
      <w:r>
        <w:rPr>
          <w:rFonts w:hint="eastAsia" w:ascii="宋体" w:hAnsi="宋体" w:eastAsia="宋体" w:cs="宋体"/>
          <w:b w:val="0"/>
          <w:sz w:val="24"/>
          <w:szCs w:val="24"/>
        </w:rPr>
        <w:t>8.5禁止使用不合格的材料和工程设备</w:t>
      </w:r>
      <w:bookmarkEnd w:id="789"/>
    </w:p>
    <w:p w14:paraId="11284D69">
      <w:pPr>
        <w:pageBreakBefore w:val="0"/>
        <w:widowControl w:val="0"/>
        <w:kinsoku/>
        <w:wordWrap/>
        <w:overflowPunct/>
        <w:topLinePunct w:val="0"/>
        <w:autoSpaceDE w:val="0"/>
        <w:autoSpaceDN w:val="0"/>
        <w:bidi w:val="0"/>
        <w:adjustRightInd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8.5.1 监理人有权拒绝承包人提供的不合格材料或工程设备，并要求承包人立即进行更换。监理人应在更换后再次进行检查和检验，由此增加的费用和（或）延误的工期由承包人承担。</w:t>
      </w:r>
    </w:p>
    <w:p w14:paraId="4E3EEB1D">
      <w:pPr>
        <w:pageBreakBefore w:val="0"/>
        <w:widowControl w:val="0"/>
        <w:kinsoku/>
        <w:wordWrap/>
        <w:overflowPunct/>
        <w:topLinePunct w:val="0"/>
        <w:autoSpaceDE w:val="0"/>
        <w:autoSpaceDN w:val="0"/>
        <w:bidi w:val="0"/>
        <w:adjustRightInd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8.5.2 监理人发现承包人使用了不合格的材料和工程设备，承包人应按照监理人的指示立即改正，并禁止在工程中继续使用不合格的材料和工程设备。</w:t>
      </w:r>
    </w:p>
    <w:p w14:paraId="2ABA7C81">
      <w:pPr>
        <w:pageBreakBefore w:val="0"/>
        <w:widowControl w:val="0"/>
        <w:kinsoku/>
        <w:wordWrap/>
        <w:overflowPunct/>
        <w:topLinePunct w:val="0"/>
        <w:autoSpaceDE w:val="0"/>
        <w:autoSpaceDN w:val="0"/>
        <w:bidi w:val="0"/>
        <w:adjustRightInd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8.5.3 发包人提供的材料或工程设备不符合合同要求的，承包人有权拒绝，并可要求发包人更换，由此增加的费用和（或）延误的工期由发包人承担，并支付承包人合理的利润。</w:t>
      </w:r>
    </w:p>
    <w:p w14:paraId="4CB1DFA9">
      <w:pPr>
        <w:pageBreakBefore w:val="0"/>
        <w:widowControl w:val="0"/>
        <w:kinsoku/>
        <w:wordWrap/>
        <w:overflowPunct/>
        <w:topLinePunct w:val="0"/>
        <w:bidi w:val="0"/>
        <w:snapToGrid/>
        <w:spacing w:before="120" w:after="120" w:line="480" w:lineRule="exact"/>
        <w:ind w:firstLine="480" w:firstLineChars="200"/>
        <w:textAlignment w:val="auto"/>
        <w:outlineLvl w:val="9"/>
        <w:rPr>
          <w:rFonts w:hint="eastAsia" w:ascii="宋体" w:hAnsi="宋体" w:eastAsia="宋体" w:cs="宋体"/>
          <w:b w:val="0"/>
          <w:sz w:val="24"/>
          <w:szCs w:val="24"/>
        </w:rPr>
      </w:pPr>
      <w:bookmarkStart w:id="790" w:name="_Toc351203558"/>
      <w:r>
        <w:rPr>
          <w:rFonts w:hint="eastAsia" w:ascii="宋体" w:hAnsi="宋体" w:eastAsia="宋体" w:cs="宋体"/>
          <w:b w:val="0"/>
          <w:sz w:val="24"/>
          <w:szCs w:val="24"/>
        </w:rPr>
        <w:t>8.6 样品</w:t>
      </w:r>
      <w:bookmarkEnd w:id="790"/>
    </w:p>
    <w:p w14:paraId="5FEFB3B9">
      <w:pPr>
        <w:pageBreakBefore w:val="0"/>
        <w:widowControl w:val="0"/>
        <w:kinsoku/>
        <w:wordWrap/>
        <w:overflowPunct/>
        <w:topLinePunct w:val="0"/>
        <w:autoSpaceDE w:val="0"/>
        <w:autoSpaceDN w:val="0"/>
        <w:bidi w:val="0"/>
        <w:adjustRightInd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8.6.1</w:t>
      </w:r>
      <w:r>
        <w:rPr>
          <w:rFonts w:hint="eastAsia" w:ascii="宋体" w:hAnsi="宋体" w:eastAsia="宋体" w:cs="宋体"/>
          <w:kern w:val="0"/>
          <w:sz w:val="24"/>
        </w:rPr>
        <w:tab/>
      </w:r>
      <w:r>
        <w:rPr>
          <w:rFonts w:hint="eastAsia" w:ascii="宋体" w:hAnsi="宋体" w:eastAsia="宋体" w:cs="宋体"/>
          <w:kern w:val="0"/>
          <w:sz w:val="24"/>
        </w:rPr>
        <w:t>样品的报送与封存</w:t>
      </w:r>
    </w:p>
    <w:p w14:paraId="13F8917E">
      <w:pPr>
        <w:pageBreakBefore w:val="0"/>
        <w:widowControl w:val="0"/>
        <w:kinsoku/>
        <w:wordWrap/>
        <w:overflowPunct/>
        <w:topLinePunct w:val="0"/>
        <w:autoSpaceDE w:val="0"/>
        <w:autoSpaceDN w:val="0"/>
        <w:bidi w:val="0"/>
        <w:adjustRightInd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需要承包人报送样品的材料或工程设备，样品的种类、名称、规格、数量等要求均应在专用合同条款中约定。样品的报送程序如下：</w:t>
      </w:r>
    </w:p>
    <w:p w14:paraId="1525232A">
      <w:pPr>
        <w:pageBreakBefore w:val="0"/>
        <w:widowControl w:val="0"/>
        <w:kinsoku/>
        <w:wordWrap/>
        <w:overflowPunct/>
        <w:topLinePunct w:val="0"/>
        <w:autoSpaceDE w:val="0"/>
        <w:autoSpaceDN w:val="0"/>
        <w:bidi w:val="0"/>
        <w:adjustRightInd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1）承包人应在计划采购前28天向监理人报送样品。承包人报送的样品均应来自供应材料的实际生产地，且提供的样品的规格、数量足以表明材料或工程设备的质量、型号、颜色、表面处理、质地、误差和其他要求的特征。</w:t>
      </w:r>
    </w:p>
    <w:p w14:paraId="183F49D7">
      <w:pPr>
        <w:pageBreakBefore w:val="0"/>
        <w:widowControl w:val="0"/>
        <w:kinsoku/>
        <w:wordWrap/>
        <w:overflowPunct/>
        <w:topLinePunct w:val="0"/>
        <w:autoSpaceDE w:val="0"/>
        <w:autoSpaceDN w:val="0"/>
        <w:bidi w:val="0"/>
        <w:adjustRightInd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2）承包人每次报送样品时应随附申报单，申报单应载明报送样品的相关数据和资料，并标明每件样品对应的图纸号，预留监理人批复意见栏。监理人应在收到承包人报送的样品后7天向承包人回复经发包人签认的样品审批意见。</w:t>
      </w:r>
    </w:p>
    <w:p w14:paraId="6E8CA4EE">
      <w:pPr>
        <w:pageBreakBefore w:val="0"/>
        <w:widowControl w:val="0"/>
        <w:kinsoku/>
        <w:wordWrap/>
        <w:overflowPunct/>
        <w:topLinePunct w:val="0"/>
        <w:autoSpaceDE w:val="0"/>
        <w:autoSpaceDN w:val="0"/>
        <w:bidi w:val="0"/>
        <w:adjustRightInd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（3）经发包人和监理人审批确认的样品应按约定的方法封样，封存的样品作为检验工程相关部分的标准之一。承包人在施工过程中不得使用与样品不符的材料或工程设备。</w:t>
      </w:r>
    </w:p>
    <w:p w14:paraId="2617645C">
      <w:pPr>
        <w:pageBreakBefore w:val="0"/>
        <w:widowControl w:val="0"/>
        <w:kinsoku/>
        <w:wordWrap/>
        <w:overflowPunct/>
        <w:topLinePunct w:val="0"/>
        <w:autoSpaceDE w:val="0"/>
        <w:autoSpaceDN w:val="0"/>
        <w:bidi w:val="0"/>
        <w:adjustRightInd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4）发包人和监理人对样品的审批确认仅为确认相关材料或工程设备的特征或用途，不得被理解为对合同的修改或改变，也并不减轻或免除承包人任何的责任和义务。如果封存的样品修改或改变了合同约定，合同当事人应当以书面协议予以确认。</w:t>
      </w:r>
    </w:p>
    <w:p w14:paraId="3C5210B5">
      <w:pPr>
        <w:pageBreakBefore w:val="0"/>
        <w:widowControl w:val="0"/>
        <w:kinsoku/>
        <w:wordWrap/>
        <w:overflowPunct/>
        <w:topLinePunct w:val="0"/>
        <w:autoSpaceDE w:val="0"/>
        <w:autoSpaceDN w:val="0"/>
        <w:bidi w:val="0"/>
        <w:adjustRightInd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8.6.2 样品的保管</w:t>
      </w:r>
    </w:p>
    <w:p w14:paraId="0BE0924D">
      <w:pPr>
        <w:pageBreakBefore w:val="0"/>
        <w:widowControl w:val="0"/>
        <w:kinsoku/>
        <w:wordWrap/>
        <w:overflowPunct/>
        <w:topLinePunct w:val="0"/>
        <w:autoSpaceDE w:val="0"/>
        <w:autoSpaceDN w:val="0"/>
        <w:bidi w:val="0"/>
        <w:adjustRightInd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经批准的样品应由监理人负责封存于现场，承包人应在现场为保存样品提供适当和固定的场所并保持适当和良好的存储环境条件。</w:t>
      </w:r>
    </w:p>
    <w:p w14:paraId="63541050">
      <w:pPr>
        <w:pageBreakBefore w:val="0"/>
        <w:widowControl w:val="0"/>
        <w:kinsoku/>
        <w:wordWrap/>
        <w:overflowPunct/>
        <w:topLinePunct w:val="0"/>
        <w:bidi w:val="0"/>
        <w:snapToGrid/>
        <w:spacing w:before="120" w:after="120" w:line="480" w:lineRule="exact"/>
        <w:ind w:firstLine="480" w:firstLineChars="200"/>
        <w:textAlignment w:val="auto"/>
        <w:outlineLvl w:val="9"/>
        <w:rPr>
          <w:rFonts w:hint="eastAsia" w:ascii="宋体" w:hAnsi="宋体" w:eastAsia="宋体" w:cs="宋体"/>
          <w:b w:val="0"/>
          <w:sz w:val="24"/>
          <w:szCs w:val="24"/>
        </w:rPr>
      </w:pPr>
      <w:bookmarkStart w:id="791" w:name="_Toc351203559"/>
      <w:r>
        <w:rPr>
          <w:rFonts w:hint="eastAsia" w:ascii="宋体" w:hAnsi="宋体" w:eastAsia="宋体" w:cs="宋体"/>
          <w:b w:val="0"/>
          <w:sz w:val="24"/>
          <w:szCs w:val="24"/>
        </w:rPr>
        <w:t>8.7材料与工程设备的替代</w:t>
      </w:r>
      <w:bookmarkEnd w:id="791"/>
    </w:p>
    <w:p w14:paraId="09F9DDFE">
      <w:pPr>
        <w:pageBreakBefore w:val="0"/>
        <w:widowControl w:val="0"/>
        <w:kinsoku/>
        <w:wordWrap/>
        <w:overflowPunct/>
        <w:topLinePunct w:val="0"/>
        <w:autoSpaceDE w:val="0"/>
        <w:autoSpaceDN w:val="0"/>
        <w:bidi w:val="0"/>
        <w:adjustRightInd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8.7.1 出现下列情况需要使用替代材料和工程设备的，承包人应按照第8.7.2项约定的程序执行：</w:t>
      </w:r>
    </w:p>
    <w:p w14:paraId="5F401AEC">
      <w:pPr>
        <w:pageBreakBefore w:val="0"/>
        <w:widowControl w:val="0"/>
        <w:kinsoku/>
        <w:wordWrap/>
        <w:overflowPunct/>
        <w:topLinePunct w:val="0"/>
        <w:autoSpaceDE w:val="0"/>
        <w:autoSpaceDN w:val="0"/>
        <w:bidi w:val="0"/>
        <w:adjustRightInd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（1）基准日期后生效的法律规定禁止使用的；</w:t>
      </w:r>
    </w:p>
    <w:p w14:paraId="5CC9B782">
      <w:pPr>
        <w:pageBreakBefore w:val="0"/>
        <w:widowControl w:val="0"/>
        <w:kinsoku/>
        <w:wordWrap/>
        <w:overflowPunct/>
        <w:topLinePunct w:val="0"/>
        <w:autoSpaceDE w:val="0"/>
        <w:autoSpaceDN w:val="0"/>
        <w:bidi w:val="0"/>
        <w:adjustRightInd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（2）发包人要求使用替代品的；</w:t>
      </w:r>
    </w:p>
    <w:p w14:paraId="5D710E83">
      <w:pPr>
        <w:pageBreakBefore w:val="0"/>
        <w:widowControl w:val="0"/>
        <w:kinsoku/>
        <w:wordWrap/>
        <w:overflowPunct/>
        <w:topLinePunct w:val="0"/>
        <w:autoSpaceDE w:val="0"/>
        <w:autoSpaceDN w:val="0"/>
        <w:bidi w:val="0"/>
        <w:adjustRightInd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（3）因其他原因必须使用替代品的。</w:t>
      </w:r>
    </w:p>
    <w:p w14:paraId="6462312D">
      <w:pPr>
        <w:pageBreakBefore w:val="0"/>
        <w:widowControl w:val="0"/>
        <w:kinsoku/>
        <w:wordWrap/>
        <w:overflowPunct/>
        <w:topLinePunct w:val="0"/>
        <w:autoSpaceDE w:val="0"/>
        <w:autoSpaceDN w:val="0"/>
        <w:bidi w:val="0"/>
        <w:adjustRightInd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8.7.2 承包人应在使用替代材料和工程设备28天前书面通知监理人，并附下列文件：</w:t>
      </w:r>
    </w:p>
    <w:p w14:paraId="0BC01C5D">
      <w:pPr>
        <w:pageBreakBefore w:val="0"/>
        <w:widowControl w:val="0"/>
        <w:kinsoku/>
        <w:wordWrap/>
        <w:overflowPunct/>
        <w:topLinePunct w:val="0"/>
        <w:autoSpaceDE w:val="0"/>
        <w:autoSpaceDN w:val="0"/>
        <w:bidi w:val="0"/>
        <w:adjustRightInd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（1）被替代的材料和工程设备的名称、数量、规格、型号、品牌、性能、价格及其他相关资料；</w:t>
      </w:r>
    </w:p>
    <w:p w14:paraId="15FCB6ED">
      <w:pPr>
        <w:pageBreakBefore w:val="0"/>
        <w:widowControl w:val="0"/>
        <w:kinsoku/>
        <w:wordWrap/>
        <w:overflowPunct/>
        <w:topLinePunct w:val="0"/>
        <w:autoSpaceDE w:val="0"/>
        <w:autoSpaceDN w:val="0"/>
        <w:bidi w:val="0"/>
        <w:adjustRightInd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（2）替代品的名称、数量、规格、型号、品牌、性能、价格及其他相关资料；</w:t>
      </w:r>
    </w:p>
    <w:p w14:paraId="18370EF4">
      <w:pPr>
        <w:pageBreakBefore w:val="0"/>
        <w:widowControl w:val="0"/>
        <w:kinsoku/>
        <w:wordWrap/>
        <w:overflowPunct/>
        <w:topLinePunct w:val="0"/>
        <w:autoSpaceDE w:val="0"/>
        <w:autoSpaceDN w:val="0"/>
        <w:bidi w:val="0"/>
        <w:adjustRightInd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（3）替代品与被替代产品之间的差异以及使用替代品可能对工程产生的影响；</w:t>
      </w:r>
    </w:p>
    <w:p w14:paraId="51531C4B">
      <w:pPr>
        <w:pageBreakBefore w:val="0"/>
        <w:widowControl w:val="0"/>
        <w:kinsoku/>
        <w:wordWrap/>
        <w:overflowPunct/>
        <w:topLinePunct w:val="0"/>
        <w:autoSpaceDE w:val="0"/>
        <w:autoSpaceDN w:val="0"/>
        <w:bidi w:val="0"/>
        <w:adjustRightInd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（4）替代品与被替代产品的价格差异；</w:t>
      </w:r>
    </w:p>
    <w:p w14:paraId="0CF96BCB">
      <w:pPr>
        <w:pageBreakBefore w:val="0"/>
        <w:widowControl w:val="0"/>
        <w:kinsoku/>
        <w:wordWrap/>
        <w:overflowPunct/>
        <w:topLinePunct w:val="0"/>
        <w:autoSpaceDE w:val="0"/>
        <w:autoSpaceDN w:val="0"/>
        <w:bidi w:val="0"/>
        <w:adjustRightInd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（5）使用替代品的理由和原因说明；</w:t>
      </w:r>
    </w:p>
    <w:p w14:paraId="2A8E5282">
      <w:pPr>
        <w:pageBreakBefore w:val="0"/>
        <w:widowControl w:val="0"/>
        <w:kinsoku/>
        <w:wordWrap/>
        <w:overflowPunct/>
        <w:topLinePunct w:val="0"/>
        <w:autoSpaceDE w:val="0"/>
        <w:autoSpaceDN w:val="0"/>
        <w:bidi w:val="0"/>
        <w:adjustRightInd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（6）监理人要求的其他文件。</w:t>
      </w:r>
    </w:p>
    <w:p w14:paraId="1284C131">
      <w:pPr>
        <w:pageBreakBefore w:val="0"/>
        <w:widowControl w:val="0"/>
        <w:kinsoku/>
        <w:wordWrap/>
        <w:overflowPunct/>
        <w:topLinePunct w:val="0"/>
        <w:autoSpaceDE w:val="0"/>
        <w:autoSpaceDN w:val="0"/>
        <w:bidi w:val="0"/>
        <w:adjustRightInd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监理人应在收到通知后14天内向承包人发出经发包人签认的书面指示；监理人逾期发出书面指示的，视为发包人和监理人同意使用替代品。</w:t>
      </w:r>
    </w:p>
    <w:p w14:paraId="1F80ACD8">
      <w:pPr>
        <w:pageBreakBefore w:val="0"/>
        <w:widowControl w:val="0"/>
        <w:kinsoku/>
        <w:wordWrap/>
        <w:overflowPunct/>
        <w:topLinePunct w:val="0"/>
        <w:autoSpaceDE w:val="0"/>
        <w:autoSpaceDN w:val="0"/>
        <w:bidi w:val="0"/>
        <w:adjustRightInd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8.7.3 发包人认可使用替代材料和工程设备的，替代材料和工程设备的价格，按照已标价工程量清单或预算书相同项目的价格认定；无相同项目的，参考相似项目价格认定；既无相同项目也无相似项目的，按照合理的成本与利润构成的原则，由合同当事人按照第4.4款〔商定或确定〕确定价格。</w:t>
      </w:r>
    </w:p>
    <w:p w14:paraId="06C842DA">
      <w:pPr>
        <w:pageBreakBefore w:val="0"/>
        <w:widowControl w:val="0"/>
        <w:kinsoku/>
        <w:wordWrap/>
        <w:overflowPunct/>
        <w:topLinePunct w:val="0"/>
        <w:bidi w:val="0"/>
        <w:snapToGrid/>
        <w:spacing w:before="120" w:after="120" w:line="480" w:lineRule="exact"/>
        <w:ind w:firstLine="480" w:firstLineChars="200"/>
        <w:textAlignment w:val="auto"/>
        <w:outlineLvl w:val="9"/>
        <w:rPr>
          <w:rFonts w:hint="eastAsia" w:ascii="宋体" w:hAnsi="宋体" w:eastAsia="宋体" w:cs="宋体"/>
          <w:b w:val="0"/>
          <w:sz w:val="24"/>
          <w:szCs w:val="24"/>
        </w:rPr>
      </w:pPr>
      <w:bookmarkStart w:id="792" w:name="_Toc351203560"/>
      <w:r>
        <w:rPr>
          <w:rFonts w:hint="eastAsia" w:ascii="宋体" w:hAnsi="宋体" w:eastAsia="宋体" w:cs="宋体"/>
          <w:b w:val="0"/>
          <w:sz w:val="24"/>
          <w:szCs w:val="24"/>
        </w:rPr>
        <w:t>8.8施工设备和临时设施</w:t>
      </w:r>
      <w:bookmarkEnd w:id="792"/>
    </w:p>
    <w:p w14:paraId="4F84F230">
      <w:pPr>
        <w:pageBreakBefore w:val="0"/>
        <w:widowControl w:val="0"/>
        <w:kinsoku/>
        <w:wordWrap/>
        <w:overflowPunct/>
        <w:topLinePunct w:val="0"/>
        <w:autoSpaceDE w:val="0"/>
        <w:autoSpaceDN w:val="0"/>
        <w:bidi w:val="0"/>
        <w:adjustRightInd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8.8.1 承包人提供的施工设备和临时设施</w:t>
      </w:r>
    </w:p>
    <w:p w14:paraId="3A88702F">
      <w:pPr>
        <w:pageBreakBefore w:val="0"/>
        <w:widowControl w:val="0"/>
        <w:kinsoku/>
        <w:wordWrap/>
        <w:overflowPunct/>
        <w:topLinePunct w:val="0"/>
        <w:autoSpaceDE w:val="0"/>
        <w:autoSpaceDN w:val="0"/>
        <w:bidi w:val="0"/>
        <w:adjustRightInd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承包人应按合同进度计划的要求，及时配置施工设备和修建临时设施。进入施工场地的承包人设备需经监理人核查后才能投入使用。承包人更换合同约定的承包人设备的，应报监理人批准。</w:t>
      </w:r>
    </w:p>
    <w:p w14:paraId="18758C1B">
      <w:pPr>
        <w:pageBreakBefore w:val="0"/>
        <w:widowControl w:val="0"/>
        <w:kinsoku/>
        <w:wordWrap/>
        <w:overflowPunct/>
        <w:topLinePunct w:val="0"/>
        <w:autoSpaceDE w:val="0"/>
        <w:autoSpaceDN w:val="0"/>
        <w:bidi w:val="0"/>
        <w:adjustRightInd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除专用合同条款另有约定外，承包人应自行承担修建临时设施的费用，需要临时占地的，应由发包人办理申请手续并承担相应费用。</w:t>
      </w:r>
    </w:p>
    <w:p w14:paraId="611102EE">
      <w:pPr>
        <w:pageBreakBefore w:val="0"/>
        <w:widowControl w:val="0"/>
        <w:kinsoku/>
        <w:wordWrap/>
        <w:overflowPunct/>
        <w:topLinePunct w:val="0"/>
        <w:autoSpaceDE w:val="0"/>
        <w:autoSpaceDN w:val="0"/>
        <w:bidi w:val="0"/>
        <w:adjustRightInd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8.8.2发包人提供的施工设备和临时设施</w:t>
      </w:r>
    </w:p>
    <w:p w14:paraId="37A26C3C">
      <w:pPr>
        <w:pageBreakBefore w:val="0"/>
        <w:widowControl w:val="0"/>
        <w:kinsoku/>
        <w:wordWrap/>
        <w:overflowPunct/>
        <w:topLinePunct w:val="0"/>
        <w:autoSpaceDE w:val="0"/>
        <w:autoSpaceDN w:val="0"/>
        <w:bidi w:val="0"/>
        <w:adjustRightInd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发包人提供的施工设备或临时设施在专用合同条款中约定。</w:t>
      </w:r>
    </w:p>
    <w:p w14:paraId="3DFFAC8A">
      <w:pPr>
        <w:pageBreakBefore w:val="0"/>
        <w:widowControl w:val="0"/>
        <w:kinsoku/>
        <w:wordWrap/>
        <w:overflowPunct/>
        <w:topLinePunct w:val="0"/>
        <w:autoSpaceDE w:val="0"/>
        <w:autoSpaceDN w:val="0"/>
        <w:bidi w:val="0"/>
        <w:adjustRightInd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8.8.3要求承包人增加或更换施工设备</w:t>
      </w:r>
    </w:p>
    <w:p w14:paraId="5F631B7F">
      <w:pPr>
        <w:pageBreakBefore w:val="0"/>
        <w:widowControl w:val="0"/>
        <w:kinsoku/>
        <w:wordWrap/>
        <w:overflowPunct/>
        <w:topLinePunct w:val="0"/>
        <w:autoSpaceDE w:val="0"/>
        <w:autoSpaceDN w:val="0"/>
        <w:bidi w:val="0"/>
        <w:adjustRightInd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承包人使用的施工设备不能满足合同进度计划和（或）质量要求时，监理人有权要求承包人增加或更换施工设备，承包人应及时增加或更换，由此增加的费用和（或）延误的工期由承包人承担。</w:t>
      </w:r>
    </w:p>
    <w:p w14:paraId="72B52EDE">
      <w:pPr>
        <w:pageBreakBefore w:val="0"/>
        <w:widowControl w:val="0"/>
        <w:kinsoku/>
        <w:wordWrap/>
        <w:overflowPunct/>
        <w:topLinePunct w:val="0"/>
        <w:bidi w:val="0"/>
        <w:snapToGrid/>
        <w:spacing w:before="120" w:after="120" w:line="480" w:lineRule="exact"/>
        <w:ind w:firstLine="480" w:firstLineChars="200"/>
        <w:textAlignment w:val="auto"/>
        <w:outlineLvl w:val="9"/>
        <w:rPr>
          <w:rFonts w:hint="eastAsia" w:ascii="宋体" w:hAnsi="宋体" w:eastAsia="宋体" w:cs="宋体"/>
          <w:b w:val="0"/>
          <w:sz w:val="24"/>
          <w:szCs w:val="24"/>
        </w:rPr>
      </w:pPr>
      <w:bookmarkStart w:id="793" w:name="_Toc351203561"/>
      <w:r>
        <w:rPr>
          <w:rFonts w:hint="eastAsia" w:ascii="宋体" w:hAnsi="宋体" w:eastAsia="宋体" w:cs="宋体"/>
          <w:b w:val="0"/>
          <w:sz w:val="24"/>
          <w:szCs w:val="24"/>
        </w:rPr>
        <w:t>8</w:t>
      </w:r>
      <w:bookmarkStart w:id="794" w:name="_Toc337558781"/>
      <w:bookmarkStart w:id="795" w:name="_Toc296503063"/>
      <w:bookmarkStart w:id="796" w:name="_Toc296346564"/>
      <w:r>
        <w:rPr>
          <w:rFonts w:hint="eastAsia" w:ascii="宋体" w:hAnsi="宋体" w:eastAsia="宋体" w:cs="宋体"/>
          <w:b w:val="0"/>
          <w:sz w:val="24"/>
          <w:szCs w:val="24"/>
        </w:rPr>
        <w:t>.9材料与设备专用</w:t>
      </w:r>
      <w:bookmarkEnd w:id="793"/>
      <w:r>
        <w:rPr>
          <w:rFonts w:hint="eastAsia" w:ascii="宋体" w:hAnsi="宋体" w:eastAsia="宋体" w:cs="宋体"/>
          <w:b w:val="0"/>
          <w:sz w:val="24"/>
          <w:szCs w:val="24"/>
        </w:rPr>
        <w:t>要求</w:t>
      </w:r>
    </w:p>
    <w:bookmarkEnd w:id="794"/>
    <w:bookmarkEnd w:id="795"/>
    <w:bookmarkEnd w:id="796"/>
    <w:p w14:paraId="16BC9DF7">
      <w:pPr>
        <w:pageBreakBefore w:val="0"/>
        <w:widowControl w:val="0"/>
        <w:kinsoku/>
        <w:wordWrap/>
        <w:overflowPunct/>
        <w:topLinePunct w:val="0"/>
        <w:bidi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承包人运入施工现场的材料、工程设备、施工设备以及在施工场地建设的临时设施，包括备品备件、安装工具与资料，必须专用于工程。未经发包人批准，承包人不得运出施工现场或挪作他用；</w:t>
      </w:r>
      <w:bookmarkEnd w:id="775"/>
      <w:r>
        <w:rPr>
          <w:rFonts w:hint="eastAsia" w:ascii="宋体" w:hAnsi="宋体" w:eastAsia="宋体" w:cs="宋体"/>
          <w:kern w:val="0"/>
          <w:sz w:val="24"/>
        </w:rPr>
        <w:t>经发包人批准，承包人可以根据施工进度计划撤走闲置的施工设备和其他物品。</w:t>
      </w:r>
    </w:p>
    <w:p w14:paraId="718D16FE">
      <w:pPr>
        <w:pageBreakBefore w:val="0"/>
        <w:widowControl w:val="0"/>
        <w:kinsoku/>
        <w:wordWrap/>
        <w:overflowPunct/>
        <w:topLinePunct w:val="0"/>
        <w:bidi w:val="0"/>
        <w:snapToGrid/>
        <w:spacing w:before="120" w:after="120" w:line="480" w:lineRule="exact"/>
        <w:textAlignment w:val="auto"/>
        <w:outlineLvl w:val="9"/>
        <w:rPr>
          <w:rFonts w:hint="eastAsia" w:ascii="宋体" w:hAnsi="宋体" w:eastAsia="宋体" w:cs="宋体"/>
          <w:bCs w:val="0"/>
          <w:sz w:val="24"/>
          <w:szCs w:val="24"/>
        </w:rPr>
      </w:pPr>
      <w:bookmarkStart w:id="797" w:name="_Toc351203562"/>
      <w:r>
        <w:rPr>
          <w:rFonts w:hint="eastAsia" w:ascii="宋体" w:hAnsi="宋体" w:eastAsia="宋体" w:cs="宋体"/>
          <w:bCs w:val="0"/>
          <w:sz w:val="24"/>
          <w:szCs w:val="24"/>
        </w:rPr>
        <w:t>9</w:t>
      </w:r>
      <w:bookmarkStart w:id="798" w:name="_Toc337558782"/>
      <w:bookmarkStart w:id="799" w:name="_Toc296503083"/>
      <w:bookmarkStart w:id="800" w:name="_Toc296346584"/>
      <w:r>
        <w:rPr>
          <w:rFonts w:hint="eastAsia" w:ascii="宋体" w:hAnsi="宋体" w:eastAsia="宋体" w:cs="宋体"/>
          <w:bCs w:val="0"/>
          <w:sz w:val="24"/>
          <w:szCs w:val="24"/>
        </w:rPr>
        <w:t>. 试验与检验</w:t>
      </w:r>
      <w:bookmarkEnd w:id="797"/>
    </w:p>
    <w:bookmarkEnd w:id="798"/>
    <w:p w14:paraId="4A1E9BC8">
      <w:pPr>
        <w:pageBreakBefore w:val="0"/>
        <w:widowControl w:val="0"/>
        <w:kinsoku/>
        <w:wordWrap/>
        <w:overflowPunct/>
        <w:topLinePunct w:val="0"/>
        <w:bidi w:val="0"/>
        <w:snapToGrid/>
        <w:spacing w:before="120" w:after="120" w:line="480" w:lineRule="exact"/>
        <w:ind w:firstLine="480" w:firstLineChars="200"/>
        <w:textAlignment w:val="auto"/>
        <w:outlineLvl w:val="9"/>
        <w:rPr>
          <w:rFonts w:hint="eastAsia" w:ascii="宋体" w:hAnsi="宋体" w:eastAsia="宋体" w:cs="宋体"/>
          <w:b w:val="0"/>
          <w:sz w:val="24"/>
          <w:szCs w:val="24"/>
        </w:rPr>
      </w:pPr>
      <w:bookmarkStart w:id="801" w:name="_Toc351203563"/>
      <w:r>
        <w:rPr>
          <w:rFonts w:hint="eastAsia" w:ascii="宋体" w:hAnsi="宋体" w:eastAsia="宋体" w:cs="宋体"/>
          <w:b w:val="0"/>
          <w:sz w:val="24"/>
          <w:szCs w:val="24"/>
        </w:rPr>
        <w:t>9</w:t>
      </w:r>
      <w:bookmarkStart w:id="802" w:name="_Toc337558783"/>
      <w:r>
        <w:rPr>
          <w:rFonts w:hint="eastAsia" w:ascii="宋体" w:hAnsi="宋体" w:eastAsia="宋体" w:cs="宋体"/>
          <w:b w:val="0"/>
          <w:sz w:val="24"/>
          <w:szCs w:val="24"/>
        </w:rPr>
        <w:t>.1试验设备与试验人员</w:t>
      </w:r>
      <w:bookmarkEnd w:id="801"/>
    </w:p>
    <w:bookmarkEnd w:id="802"/>
    <w:p w14:paraId="696DFF6B">
      <w:pPr>
        <w:pageBreakBefore w:val="0"/>
        <w:widowControl w:val="0"/>
        <w:kinsoku/>
        <w:wordWrap/>
        <w:overflowPunct/>
        <w:topLinePunct w:val="0"/>
        <w:bidi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9.1.1 承包人根据合同约定或监理人指示进行的现场材料试验，应由承包人提供试验场所、试验人员、试验设备以及其他必要的试验条件。监理人在必要时可以使用承包人提供的试验场所、试验设备以及其他试验条件，进行以工程质量检查为目的的材料复核试验，承包人应予以协助。</w:t>
      </w:r>
    </w:p>
    <w:p w14:paraId="7388E859">
      <w:pPr>
        <w:pageBreakBefore w:val="0"/>
        <w:widowControl w:val="0"/>
        <w:kinsoku/>
        <w:wordWrap/>
        <w:overflowPunct/>
        <w:topLinePunct w:val="0"/>
        <w:bidi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9.1.2 承包人应按专用合同条款的约定提供试验设备、取样装置、试验场所和试验条件，并向监理人提交相应进场计划表。</w:t>
      </w:r>
    </w:p>
    <w:p w14:paraId="5EC7A145">
      <w:pPr>
        <w:pageBreakBefore w:val="0"/>
        <w:widowControl w:val="0"/>
        <w:kinsoku/>
        <w:wordWrap/>
        <w:overflowPunct/>
        <w:topLinePunct w:val="0"/>
        <w:bidi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承包人配置的试验设备要符合相应试验规程的要求并经过具有资质的检测单位检测，且在正式使用该试验设备前，需要经过监理人与承包人共同校定。</w:t>
      </w:r>
    </w:p>
    <w:p w14:paraId="04574029">
      <w:pPr>
        <w:pageBreakBefore w:val="0"/>
        <w:widowControl w:val="0"/>
        <w:kinsoku/>
        <w:wordWrap/>
        <w:overflowPunct/>
        <w:topLinePunct w:val="0"/>
        <w:bidi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9.1.3 承包人应向监理人提交试验人员的名单及其岗位、资格等证明资料，试验人员必须能够熟练进行相应的检测试验，承包人对试验人员的试验程序和试验结果的正确性负责。</w:t>
      </w:r>
    </w:p>
    <w:p w14:paraId="437E7995">
      <w:pPr>
        <w:pageBreakBefore w:val="0"/>
        <w:widowControl w:val="0"/>
        <w:kinsoku/>
        <w:wordWrap/>
        <w:overflowPunct/>
        <w:topLinePunct w:val="0"/>
        <w:bidi w:val="0"/>
        <w:snapToGrid/>
        <w:spacing w:before="120" w:after="120" w:line="480" w:lineRule="exact"/>
        <w:ind w:firstLine="480" w:firstLineChars="200"/>
        <w:textAlignment w:val="auto"/>
        <w:outlineLvl w:val="9"/>
        <w:rPr>
          <w:rFonts w:hint="eastAsia" w:ascii="宋体" w:hAnsi="宋体" w:eastAsia="宋体" w:cs="宋体"/>
          <w:b w:val="0"/>
          <w:sz w:val="24"/>
          <w:szCs w:val="24"/>
        </w:rPr>
      </w:pPr>
      <w:bookmarkStart w:id="803" w:name="_Toc351203564"/>
      <w:r>
        <w:rPr>
          <w:rFonts w:hint="eastAsia" w:ascii="宋体" w:hAnsi="宋体" w:eastAsia="宋体" w:cs="宋体"/>
          <w:b w:val="0"/>
          <w:sz w:val="24"/>
          <w:szCs w:val="24"/>
        </w:rPr>
        <w:t>9</w:t>
      </w:r>
      <w:bookmarkStart w:id="804" w:name="_Toc337558784"/>
      <w:r>
        <w:rPr>
          <w:rFonts w:hint="eastAsia" w:ascii="宋体" w:hAnsi="宋体" w:eastAsia="宋体" w:cs="宋体"/>
          <w:b w:val="0"/>
          <w:sz w:val="24"/>
          <w:szCs w:val="24"/>
        </w:rPr>
        <w:t>.2取样</w:t>
      </w:r>
      <w:bookmarkEnd w:id="803"/>
    </w:p>
    <w:bookmarkEnd w:id="804"/>
    <w:p w14:paraId="6F45A9E9">
      <w:pPr>
        <w:pageBreakBefore w:val="0"/>
        <w:widowControl w:val="0"/>
        <w:kinsoku/>
        <w:wordWrap/>
        <w:overflowPunct/>
        <w:topLinePunct w:val="0"/>
        <w:bidi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试验属于自检性质的，承包人可以单独取样。试验属于监理人抽检性质的，可由监理人取样，也可由承包人的试验人员在监理人的监督下取样。</w:t>
      </w:r>
    </w:p>
    <w:p w14:paraId="14BA21F5">
      <w:pPr>
        <w:pageBreakBefore w:val="0"/>
        <w:widowControl w:val="0"/>
        <w:kinsoku/>
        <w:wordWrap/>
        <w:overflowPunct/>
        <w:topLinePunct w:val="0"/>
        <w:bidi w:val="0"/>
        <w:snapToGrid/>
        <w:spacing w:before="120" w:after="120" w:line="480" w:lineRule="exact"/>
        <w:ind w:firstLine="480" w:firstLineChars="200"/>
        <w:textAlignment w:val="auto"/>
        <w:outlineLvl w:val="9"/>
        <w:rPr>
          <w:rFonts w:hint="eastAsia" w:ascii="宋体" w:hAnsi="宋体" w:eastAsia="宋体" w:cs="宋体"/>
          <w:b w:val="0"/>
          <w:sz w:val="24"/>
          <w:szCs w:val="24"/>
        </w:rPr>
      </w:pPr>
      <w:bookmarkStart w:id="805" w:name="_Toc351203565"/>
      <w:r>
        <w:rPr>
          <w:rFonts w:hint="eastAsia" w:ascii="宋体" w:hAnsi="宋体" w:eastAsia="宋体" w:cs="宋体"/>
          <w:b w:val="0"/>
          <w:sz w:val="24"/>
          <w:szCs w:val="24"/>
        </w:rPr>
        <w:t>9</w:t>
      </w:r>
      <w:bookmarkStart w:id="806" w:name="_Toc337558785"/>
      <w:r>
        <w:rPr>
          <w:rFonts w:hint="eastAsia" w:ascii="宋体" w:hAnsi="宋体" w:eastAsia="宋体" w:cs="宋体"/>
          <w:b w:val="0"/>
          <w:sz w:val="24"/>
          <w:szCs w:val="24"/>
        </w:rPr>
        <w:t>.3材料、工程设备和工程的试验和检验</w:t>
      </w:r>
      <w:bookmarkEnd w:id="805"/>
    </w:p>
    <w:bookmarkEnd w:id="806"/>
    <w:p w14:paraId="29CB0D05">
      <w:pPr>
        <w:pageBreakBefore w:val="0"/>
        <w:widowControl w:val="0"/>
        <w:kinsoku/>
        <w:wordWrap/>
        <w:overflowPunct/>
        <w:topLinePunct w:val="0"/>
        <w:bidi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9.3.1承包人应按合同约定进行材料、工程设备和工程的试验和检验，并为监理人对上述材料、工程设备和工程的质量检查提供必要的试验资料和原始记录。按合同约定应由监理人与承包人共同进行试验和检验的，由承包人负责提供必要的试验资料和原始记录。</w:t>
      </w:r>
    </w:p>
    <w:p w14:paraId="3023869C">
      <w:pPr>
        <w:pageBreakBefore w:val="0"/>
        <w:widowControl w:val="0"/>
        <w:kinsoku/>
        <w:wordWrap/>
        <w:overflowPunct/>
        <w:topLinePunct w:val="0"/>
        <w:bidi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9.3.2试验属于自检性质的，承包人可以单独进行试验。试验属于监理人抽检性质的，监理人可以单独进行试验，也可由承包人与监理人共同进行。承包人对由监理人单独进行的试验结果有异议的，可以申请重新共同进行试验。约定共同进行试验的，监理人未按照约定参加试验的，承包人可自行试验，并将试验结果报送监理人，监理人应承认该试验结果。</w:t>
      </w:r>
    </w:p>
    <w:p w14:paraId="2D35EE62">
      <w:pPr>
        <w:pageBreakBefore w:val="0"/>
        <w:widowControl w:val="0"/>
        <w:kinsoku/>
        <w:wordWrap/>
        <w:overflowPunct/>
        <w:topLinePunct w:val="0"/>
        <w:bidi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9.3.3监理人对承包人的试验和检验结果有异议的，或为查清承包人试验和检验成果的可靠性要求承包人重新试验和检验的，可由监理人与承包人共同进行。重新试验和检验的结果证明该项材料、工程设备或工程的质量不符合合同要求的，由此增加的费用和（或）延误的工期由承包人承担；重新试验和检验结果证明该项材料、工程设备和工程符合合同要求的，由此增加的费用和（或）延误的工期由发包人承担。</w:t>
      </w:r>
    </w:p>
    <w:p w14:paraId="348A5546">
      <w:pPr>
        <w:pageBreakBefore w:val="0"/>
        <w:widowControl w:val="0"/>
        <w:kinsoku/>
        <w:wordWrap/>
        <w:overflowPunct/>
        <w:topLinePunct w:val="0"/>
        <w:bidi w:val="0"/>
        <w:snapToGrid/>
        <w:spacing w:before="120" w:after="120" w:line="480" w:lineRule="exact"/>
        <w:ind w:firstLine="480" w:firstLineChars="200"/>
        <w:textAlignment w:val="auto"/>
        <w:outlineLvl w:val="9"/>
        <w:rPr>
          <w:rFonts w:hint="eastAsia" w:ascii="宋体" w:hAnsi="宋体" w:eastAsia="宋体" w:cs="宋体"/>
          <w:b w:val="0"/>
          <w:sz w:val="24"/>
          <w:szCs w:val="24"/>
        </w:rPr>
      </w:pPr>
      <w:bookmarkStart w:id="807" w:name="_Toc351203566"/>
      <w:r>
        <w:rPr>
          <w:rFonts w:hint="eastAsia" w:ascii="宋体" w:hAnsi="宋体" w:eastAsia="宋体" w:cs="宋体"/>
          <w:b w:val="0"/>
          <w:sz w:val="24"/>
          <w:szCs w:val="24"/>
        </w:rPr>
        <w:t>9</w:t>
      </w:r>
      <w:bookmarkStart w:id="808" w:name="_Toc337558786"/>
      <w:r>
        <w:rPr>
          <w:rFonts w:hint="eastAsia" w:ascii="宋体" w:hAnsi="宋体" w:eastAsia="宋体" w:cs="宋体"/>
          <w:b w:val="0"/>
          <w:sz w:val="24"/>
          <w:szCs w:val="24"/>
        </w:rPr>
        <w:t>.4现场工艺试验</w:t>
      </w:r>
      <w:bookmarkEnd w:id="807"/>
    </w:p>
    <w:bookmarkEnd w:id="808"/>
    <w:p w14:paraId="5B3B49BD">
      <w:pPr>
        <w:pageBreakBefore w:val="0"/>
        <w:widowControl w:val="0"/>
        <w:kinsoku/>
        <w:wordWrap/>
        <w:overflowPunct/>
        <w:topLinePunct w:val="0"/>
        <w:bidi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承包人应按合同约定或监理人指示进行现场工艺试验。对大型的现场工艺试验，监理人认为必要时，承包人应根据监理人提出的工艺试验要求，编制工艺试验措施计划，报送监理人审查。</w:t>
      </w:r>
    </w:p>
    <w:p w14:paraId="5C47F3A4">
      <w:pPr>
        <w:pageBreakBefore w:val="0"/>
        <w:widowControl w:val="0"/>
        <w:kinsoku/>
        <w:wordWrap/>
        <w:overflowPunct/>
        <w:topLinePunct w:val="0"/>
        <w:bidi w:val="0"/>
        <w:snapToGrid/>
        <w:spacing w:before="120" w:after="120" w:line="480" w:lineRule="exact"/>
        <w:textAlignment w:val="auto"/>
        <w:outlineLvl w:val="9"/>
        <w:rPr>
          <w:rFonts w:hint="eastAsia" w:ascii="宋体" w:hAnsi="宋体" w:eastAsia="宋体" w:cs="宋体"/>
          <w:bCs w:val="0"/>
          <w:sz w:val="24"/>
          <w:szCs w:val="24"/>
        </w:rPr>
      </w:pPr>
      <w:bookmarkStart w:id="809" w:name="_Toc351203567"/>
      <w:r>
        <w:rPr>
          <w:rFonts w:hint="eastAsia" w:ascii="宋体" w:hAnsi="宋体" w:eastAsia="宋体" w:cs="宋体"/>
          <w:bCs w:val="0"/>
          <w:sz w:val="24"/>
          <w:szCs w:val="24"/>
        </w:rPr>
        <w:t>1</w:t>
      </w:r>
      <w:bookmarkStart w:id="810" w:name="_Toc337558787"/>
      <w:r>
        <w:rPr>
          <w:rFonts w:hint="eastAsia" w:ascii="宋体" w:hAnsi="宋体" w:eastAsia="宋体" w:cs="宋体"/>
          <w:bCs w:val="0"/>
          <w:sz w:val="24"/>
          <w:szCs w:val="24"/>
        </w:rPr>
        <w:t>0. 变更</w:t>
      </w:r>
      <w:bookmarkEnd w:id="799"/>
      <w:bookmarkEnd w:id="800"/>
      <w:bookmarkEnd w:id="809"/>
    </w:p>
    <w:bookmarkEnd w:id="810"/>
    <w:p w14:paraId="6CD7313F">
      <w:pPr>
        <w:pageBreakBefore w:val="0"/>
        <w:widowControl w:val="0"/>
        <w:kinsoku/>
        <w:wordWrap/>
        <w:overflowPunct/>
        <w:topLinePunct w:val="0"/>
        <w:bidi w:val="0"/>
        <w:snapToGrid/>
        <w:spacing w:before="120" w:after="120" w:line="480" w:lineRule="exact"/>
        <w:ind w:firstLine="480" w:firstLineChars="200"/>
        <w:textAlignment w:val="auto"/>
        <w:outlineLvl w:val="9"/>
        <w:rPr>
          <w:rFonts w:hint="eastAsia" w:ascii="宋体" w:hAnsi="宋体" w:eastAsia="宋体" w:cs="宋体"/>
          <w:b w:val="0"/>
          <w:sz w:val="24"/>
          <w:szCs w:val="24"/>
        </w:rPr>
      </w:pPr>
      <w:bookmarkStart w:id="811" w:name="_Toc351203568"/>
      <w:r>
        <w:rPr>
          <w:rFonts w:hint="eastAsia" w:ascii="宋体" w:hAnsi="宋体" w:eastAsia="宋体" w:cs="宋体"/>
          <w:b w:val="0"/>
          <w:sz w:val="24"/>
          <w:szCs w:val="24"/>
        </w:rPr>
        <w:t>1</w:t>
      </w:r>
      <w:bookmarkStart w:id="812" w:name="_Toc296346585"/>
      <w:bookmarkStart w:id="813" w:name="_Toc337558788"/>
      <w:bookmarkStart w:id="814" w:name="_Toc296503084"/>
      <w:r>
        <w:rPr>
          <w:rFonts w:hint="eastAsia" w:ascii="宋体" w:hAnsi="宋体" w:eastAsia="宋体" w:cs="宋体"/>
          <w:b w:val="0"/>
          <w:sz w:val="24"/>
          <w:szCs w:val="24"/>
        </w:rPr>
        <w:t>0.1变更的范围</w:t>
      </w:r>
      <w:bookmarkEnd w:id="811"/>
    </w:p>
    <w:bookmarkEnd w:id="812"/>
    <w:bookmarkEnd w:id="813"/>
    <w:bookmarkEnd w:id="814"/>
    <w:p w14:paraId="3026C4E4">
      <w:pPr>
        <w:pageBreakBefore w:val="0"/>
        <w:widowControl w:val="0"/>
        <w:kinsoku/>
        <w:wordWrap/>
        <w:overflowPunct/>
        <w:topLinePunct w:val="0"/>
        <w:autoSpaceDE w:val="0"/>
        <w:autoSpaceDN w:val="0"/>
        <w:bidi w:val="0"/>
        <w:adjustRightInd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除专用合同条款另有约定外，合同履行过程中发生以下情形的，应按照本条约定进行变更：</w:t>
      </w:r>
    </w:p>
    <w:p w14:paraId="28275B85">
      <w:pPr>
        <w:pageBreakBefore w:val="0"/>
        <w:widowControl w:val="0"/>
        <w:kinsoku/>
        <w:wordWrap/>
        <w:overflowPunct/>
        <w:topLinePunct w:val="0"/>
        <w:autoSpaceDE w:val="0"/>
        <w:autoSpaceDN w:val="0"/>
        <w:bidi w:val="0"/>
        <w:adjustRightInd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（1）增加或减少合同中任何工作，或追加额外的工作；</w:t>
      </w:r>
    </w:p>
    <w:p w14:paraId="3DCF0287">
      <w:pPr>
        <w:pageBreakBefore w:val="0"/>
        <w:widowControl w:val="0"/>
        <w:kinsoku/>
        <w:wordWrap/>
        <w:overflowPunct/>
        <w:topLinePunct w:val="0"/>
        <w:autoSpaceDE w:val="0"/>
        <w:autoSpaceDN w:val="0"/>
        <w:bidi w:val="0"/>
        <w:adjustRightInd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（2）取消合同中任何工作，但转由他人实施的工作除外；</w:t>
      </w:r>
    </w:p>
    <w:p w14:paraId="2C905A68">
      <w:pPr>
        <w:pageBreakBefore w:val="0"/>
        <w:widowControl w:val="0"/>
        <w:kinsoku/>
        <w:wordWrap/>
        <w:overflowPunct/>
        <w:topLinePunct w:val="0"/>
        <w:autoSpaceDE w:val="0"/>
        <w:autoSpaceDN w:val="0"/>
        <w:bidi w:val="0"/>
        <w:adjustRightInd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（3）改变合同中任何工作的质量标准或其他特性；</w:t>
      </w:r>
    </w:p>
    <w:p w14:paraId="6ADB3BEC">
      <w:pPr>
        <w:pageBreakBefore w:val="0"/>
        <w:widowControl w:val="0"/>
        <w:kinsoku/>
        <w:wordWrap/>
        <w:overflowPunct/>
        <w:topLinePunct w:val="0"/>
        <w:autoSpaceDE w:val="0"/>
        <w:autoSpaceDN w:val="0"/>
        <w:bidi w:val="0"/>
        <w:adjustRightInd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（4）改变工程的基线、标高、位置和尺寸；</w:t>
      </w:r>
    </w:p>
    <w:p w14:paraId="625C4D34">
      <w:pPr>
        <w:pageBreakBefore w:val="0"/>
        <w:widowControl w:val="0"/>
        <w:kinsoku/>
        <w:wordWrap/>
        <w:overflowPunct/>
        <w:topLinePunct w:val="0"/>
        <w:autoSpaceDE w:val="0"/>
        <w:autoSpaceDN w:val="0"/>
        <w:bidi w:val="0"/>
        <w:adjustRightInd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（5）改变工程的时间安排或实施顺序。</w:t>
      </w:r>
    </w:p>
    <w:p w14:paraId="2109FDB2">
      <w:pPr>
        <w:pageBreakBefore w:val="0"/>
        <w:widowControl w:val="0"/>
        <w:kinsoku/>
        <w:wordWrap/>
        <w:overflowPunct/>
        <w:topLinePunct w:val="0"/>
        <w:bidi w:val="0"/>
        <w:snapToGrid/>
        <w:spacing w:before="120" w:after="120" w:line="480" w:lineRule="exact"/>
        <w:ind w:firstLine="480" w:firstLineChars="200"/>
        <w:textAlignment w:val="auto"/>
        <w:outlineLvl w:val="9"/>
        <w:rPr>
          <w:rFonts w:hint="eastAsia" w:ascii="宋体" w:hAnsi="宋体" w:eastAsia="宋体" w:cs="宋体"/>
          <w:b w:val="0"/>
          <w:sz w:val="24"/>
          <w:szCs w:val="24"/>
        </w:rPr>
      </w:pPr>
      <w:bookmarkStart w:id="815" w:name="_Toc351203569"/>
      <w:r>
        <w:rPr>
          <w:rFonts w:hint="eastAsia" w:ascii="宋体" w:hAnsi="宋体" w:eastAsia="宋体" w:cs="宋体"/>
          <w:b w:val="0"/>
          <w:sz w:val="24"/>
          <w:szCs w:val="24"/>
        </w:rPr>
        <w:t>1</w:t>
      </w:r>
      <w:bookmarkStart w:id="816" w:name="_Toc296346586"/>
      <w:bookmarkStart w:id="817" w:name="_Toc296503085"/>
      <w:bookmarkStart w:id="818" w:name="_Toc337558789"/>
      <w:r>
        <w:rPr>
          <w:rFonts w:hint="eastAsia" w:ascii="宋体" w:hAnsi="宋体" w:eastAsia="宋体" w:cs="宋体"/>
          <w:b w:val="0"/>
          <w:sz w:val="24"/>
          <w:szCs w:val="24"/>
        </w:rPr>
        <w:t>0.2变更权</w:t>
      </w:r>
      <w:bookmarkEnd w:id="815"/>
    </w:p>
    <w:bookmarkEnd w:id="816"/>
    <w:bookmarkEnd w:id="817"/>
    <w:bookmarkEnd w:id="818"/>
    <w:p w14:paraId="52FA4E45">
      <w:pPr>
        <w:pageBreakBefore w:val="0"/>
        <w:widowControl w:val="0"/>
        <w:kinsoku/>
        <w:wordWrap/>
        <w:overflowPunct/>
        <w:topLinePunct w:val="0"/>
        <w:autoSpaceDE w:val="0"/>
        <w:autoSpaceDN w:val="0"/>
        <w:bidi w:val="0"/>
        <w:adjustRightInd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发包人和监理人均可以提出变更。变更指示均通过监理人发出，监理人发出变更指示前应征得发包人同意；承包人收到经发包人签认的变更指示后，方可实施变更。未经许可，承包人不得擅自对工程的任何部分进行变更。</w:t>
      </w:r>
    </w:p>
    <w:p w14:paraId="75FE1479">
      <w:pPr>
        <w:pageBreakBefore w:val="0"/>
        <w:widowControl w:val="0"/>
        <w:kinsoku/>
        <w:wordWrap/>
        <w:overflowPunct/>
        <w:topLinePunct w:val="0"/>
        <w:autoSpaceDE w:val="0"/>
        <w:autoSpaceDN w:val="0"/>
        <w:bidi w:val="0"/>
        <w:adjustRightInd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涉及设计变更的，应由设计人提供变更后的图纸和说明。如变更超过原设计标准或批准的建设规模时，发包人应及时办理规划、设计变更等审批手续。</w:t>
      </w:r>
    </w:p>
    <w:p w14:paraId="1F476686">
      <w:pPr>
        <w:pageBreakBefore w:val="0"/>
        <w:widowControl w:val="0"/>
        <w:kinsoku/>
        <w:wordWrap/>
        <w:overflowPunct/>
        <w:topLinePunct w:val="0"/>
        <w:bidi w:val="0"/>
        <w:snapToGrid/>
        <w:spacing w:before="120" w:after="120" w:line="480" w:lineRule="exact"/>
        <w:ind w:firstLine="480" w:firstLineChars="200"/>
        <w:textAlignment w:val="auto"/>
        <w:outlineLvl w:val="9"/>
        <w:rPr>
          <w:rFonts w:hint="eastAsia" w:ascii="宋体" w:hAnsi="宋体" w:eastAsia="宋体" w:cs="宋体"/>
          <w:b w:val="0"/>
          <w:sz w:val="24"/>
          <w:szCs w:val="24"/>
        </w:rPr>
      </w:pPr>
      <w:bookmarkStart w:id="819" w:name="_Toc351203570"/>
      <w:r>
        <w:rPr>
          <w:rFonts w:hint="eastAsia" w:ascii="宋体" w:hAnsi="宋体" w:eastAsia="宋体" w:cs="宋体"/>
          <w:b w:val="0"/>
          <w:sz w:val="24"/>
          <w:szCs w:val="24"/>
        </w:rPr>
        <w:t>1</w:t>
      </w:r>
      <w:bookmarkStart w:id="820" w:name="_Toc337558790"/>
      <w:bookmarkStart w:id="821" w:name="_Toc296503086"/>
      <w:bookmarkStart w:id="822" w:name="_Toc296346587"/>
      <w:r>
        <w:rPr>
          <w:rFonts w:hint="eastAsia" w:ascii="宋体" w:hAnsi="宋体" w:eastAsia="宋体" w:cs="宋体"/>
          <w:b w:val="0"/>
          <w:sz w:val="24"/>
          <w:szCs w:val="24"/>
        </w:rPr>
        <w:t>0.3变更程序</w:t>
      </w:r>
      <w:bookmarkEnd w:id="819"/>
    </w:p>
    <w:bookmarkEnd w:id="820"/>
    <w:bookmarkEnd w:id="821"/>
    <w:bookmarkEnd w:id="822"/>
    <w:p w14:paraId="2FC2D137">
      <w:pPr>
        <w:pageBreakBefore w:val="0"/>
        <w:widowControl w:val="0"/>
        <w:kinsoku/>
        <w:wordWrap/>
        <w:overflowPunct/>
        <w:topLinePunct w:val="0"/>
        <w:autoSpaceDE w:val="0"/>
        <w:autoSpaceDN w:val="0"/>
        <w:bidi w:val="0"/>
        <w:adjustRightInd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sz w:val="24"/>
        </w:rPr>
        <w:t>10</w:t>
      </w:r>
      <w:r>
        <w:rPr>
          <w:rFonts w:hint="eastAsia" w:ascii="宋体" w:hAnsi="宋体" w:eastAsia="宋体" w:cs="宋体"/>
          <w:kern w:val="0"/>
          <w:sz w:val="24"/>
        </w:rPr>
        <w:t>.3.1 发包人提出变更</w:t>
      </w:r>
    </w:p>
    <w:p w14:paraId="1EAD5EE0">
      <w:pPr>
        <w:pageBreakBefore w:val="0"/>
        <w:widowControl w:val="0"/>
        <w:kinsoku/>
        <w:wordWrap/>
        <w:overflowPunct/>
        <w:topLinePunct w:val="0"/>
        <w:autoSpaceDE w:val="0"/>
        <w:autoSpaceDN w:val="0"/>
        <w:bidi w:val="0"/>
        <w:adjustRightInd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发包人提出变更的，应通过监理人向承包人发出变更指示，变更指示应说明计划变更的工程范围和变更的内容，并以技术核定单的形式由监理、甲方进行确认。</w:t>
      </w:r>
    </w:p>
    <w:p w14:paraId="3C2C8CDF">
      <w:pPr>
        <w:pageBreakBefore w:val="0"/>
        <w:widowControl w:val="0"/>
        <w:kinsoku/>
        <w:wordWrap/>
        <w:overflowPunct/>
        <w:topLinePunct w:val="0"/>
        <w:autoSpaceDE w:val="0"/>
        <w:autoSpaceDN w:val="0"/>
        <w:bidi w:val="0"/>
        <w:adjustRightInd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sz w:val="24"/>
        </w:rPr>
        <w:t>10</w:t>
      </w:r>
      <w:r>
        <w:rPr>
          <w:rFonts w:hint="eastAsia" w:ascii="宋体" w:hAnsi="宋体" w:eastAsia="宋体" w:cs="宋体"/>
          <w:kern w:val="0"/>
          <w:sz w:val="24"/>
        </w:rPr>
        <w:t>.3.2 监理人提出变更建议</w:t>
      </w:r>
    </w:p>
    <w:p w14:paraId="285AD6CF">
      <w:pPr>
        <w:pageBreakBefore w:val="0"/>
        <w:widowControl w:val="0"/>
        <w:kinsoku/>
        <w:wordWrap/>
        <w:overflowPunct/>
        <w:topLinePunct w:val="0"/>
        <w:autoSpaceDE w:val="0"/>
        <w:autoSpaceDN w:val="0"/>
        <w:bidi w:val="0"/>
        <w:adjustRightInd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监理人提出变更建议的，需要向发包人以书面形式提出变更计划，说明计划变更工程范围和变更的内容、理由，以及实施该变更对合同价格和工期的影响。发包人同意变更的，由监理人向承包人发出变更指示。发包人不同意变更的，监理人无权擅自发出变更指示。</w:t>
      </w:r>
    </w:p>
    <w:p w14:paraId="436E14DB">
      <w:pPr>
        <w:pageBreakBefore w:val="0"/>
        <w:widowControl w:val="0"/>
        <w:kinsoku/>
        <w:wordWrap/>
        <w:overflowPunct/>
        <w:topLinePunct w:val="0"/>
        <w:autoSpaceDE w:val="0"/>
        <w:autoSpaceDN w:val="0"/>
        <w:bidi w:val="0"/>
        <w:adjustRightInd w:val="0"/>
        <w:snapToGrid/>
        <w:spacing w:line="480" w:lineRule="exact"/>
        <w:ind w:firstLine="480" w:firstLineChars="200"/>
        <w:jc w:val="left"/>
        <w:textAlignment w:val="auto"/>
        <w:outlineLvl w:val="9"/>
        <w:rPr>
          <w:rFonts w:hint="eastAsia" w:ascii="宋体" w:hAnsi="宋体" w:eastAsia="宋体" w:cs="宋体"/>
          <w:sz w:val="24"/>
        </w:rPr>
      </w:pPr>
      <w:r>
        <w:rPr>
          <w:rFonts w:hint="eastAsia" w:ascii="宋体" w:hAnsi="宋体" w:eastAsia="宋体" w:cs="宋体"/>
          <w:sz w:val="24"/>
        </w:rPr>
        <w:t>10.3.3 变更执行</w:t>
      </w:r>
    </w:p>
    <w:p w14:paraId="61A93531">
      <w:pPr>
        <w:pageBreakBefore w:val="0"/>
        <w:widowControl w:val="0"/>
        <w:kinsoku/>
        <w:wordWrap/>
        <w:overflowPunct/>
        <w:topLinePunct w:val="0"/>
        <w:autoSpaceDE w:val="0"/>
        <w:autoSpaceDN w:val="0"/>
        <w:bidi w:val="0"/>
        <w:adjustRightInd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承包人收到监理人下达的变更指示后，认为不能执行，应立即提出不能执行该变更指示的理由。承包人认为可以执行变更的，应当书面说明实施该变更指示对合同价格和工期的影响，且合同当事人应当按照第10.4款〔变更估价〕约定确定变更估价。</w:t>
      </w:r>
    </w:p>
    <w:p w14:paraId="4F96AD08">
      <w:pPr>
        <w:pageBreakBefore w:val="0"/>
        <w:widowControl w:val="0"/>
        <w:kinsoku/>
        <w:wordWrap/>
        <w:overflowPunct/>
        <w:topLinePunct w:val="0"/>
        <w:bidi w:val="0"/>
        <w:snapToGrid/>
        <w:spacing w:before="120" w:after="120" w:line="480" w:lineRule="exact"/>
        <w:ind w:firstLine="480" w:firstLineChars="200"/>
        <w:textAlignment w:val="auto"/>
        <w:outlineLvl w:val="9"/>
        <w:rPr>
          <w:rFonts w:hint="eastAsia" w:ascii="宋体" w:hAnsi="宋体" w:eastAsia="宋体" w:cs="宋体"/>
          <w:b w:val="0"/>
          <w:sz w:val="24"/>
          <w:szCs w:val="24"/>
        </w:rPr>
      </w:pPr>
      <w:bookmarkStart w:id="823" w:name="_Toc351203571"/>
      <w:r>
        <w:rPr>
          <w:rFonts w:hint="eastAsia" w:ascii="宋体" w:hAnsi="宋体" w:eastAsia="宋体" w:cs="宋体"/>
          <w:b w:val="0"/>
          <w:sz w:val="24"/>
          <w:szCs w:val="24"/>
        </w:rPr>
        <w:t>1</w:t>
      </w:r>
      <w:bookmarkStart w:id="824" w:name="_Toc337558791"/>
      <w:bookmarkStart w:id="825" w:name="_Toc296346588"/>
      <w:bookmarkStart w:id="826" w:name="_Toc296503087"/>
      <w:r>
        <w:rPr>
          <w:rFonts w:hint="eastAsia" w:ascii="宋体" w:hAnsi="宋体" w:eastAsia="宋体" w:cs="宋体"/>
          <w:b w:val="0"/>
          <w:sz w:val="24"/>
          <w:szCs w:val="24"/>
        </w:rPr>
        <w:t>0.4变更估价</w:t>
      </w:r>
      <w:bookmarkEnd w:id="823"/>
    </w:p>
    <w:bookmarkEnd w:id="824"/>
    <w:bookmarkEnd w:id="825"/>
    <w:bookmarkEnd w:id="826"/>
    <w:p w14:paraId="21BBA98C">
      <w:pPr>
        <w:pageBreakBefore w:val="0"/>
        <w:widowControl w:val="0"/>
        <w:kinsoku/>
        <w:wordWrap/>
        <w:overflowPunct/>
        <w:topLinePunct w:val="0"/>
        <w:autoSpaceDE w:val="0"/>
        <w:autoSpaceDN w:val="0"/>
        <w:bidi w:val="0"/>
        <w:adjustRightInd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10.4.1 变更估价原则</w:t>
      </w:r>
    </w:p>
    <w:p w14:paraId="4EBA6B43">
      <w:pPr>
        <w:pageBreakBefore w:val="0"/>
        <w:widowControl w:val="0"/>
        <w:kinsoku/>
        <w:wordWrap/>
        <w:overflowPunct/>
        <w:topLinePunct w:val="0"/>
        <w:autoSpaceDE w:val="0"/>
        <w:autoSpaceDN w:val="0"/>
        <w:bidi w:val="0"/>
        <w:adjustRightInd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除专用合同条款另有约定外，变更估价按照本款约定处理：</w:t>
      </w:r>
    </w:p>
    <w:p w14:paraId="58BA62E6">
      <w:pPr>
        <w:pageBreakBefore w:val="0"/>
        <w:widowControl w:val="0"/>
        <w:kinsoku/>
        <w:wordWrap/>
        <w:overflowPunct/>
        <w:topLinePunct w:val="0"/>
        <w:autoSpaceDE w:val="0"/>
        <w:autoSpaceDN w:val="0"/>
        <w:bidi w:val="0"/>
        <w:adjustRightInd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（1）已标价工程量清单或预算书有相同项目的，按照相同项目单价认定；</w:t>
      </w:r>
    </w:p>
    <w:p w14:paraId="04BCCCCA">
      <w:pPr>
        <w:pageBreakBefore w:val="0"/>
        <w:widowControl w:val="0"/>
        <w:kinsoku/>
        <w:wordWrap/>
        <w:overflowPunct/>
        <w:topLinePunct w:val="0"/>
        <w:autoSpaceDE w:val="0"/>
        <w:autoSpaceDN w:val="0"/>
        <w:bidi w:val="0"/>
        <w:adjustRightInd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（2）已标价工程量清单或预算书中无相同项目，但有类似项目的，参照类似项目的单价认定；</w:t>
      </w:r>
    </w:p>
    <w:p w14:paraId="392057E3">
      <w:pPr>
        <w:pageBreakBefore w:val="0"/>
        <w:widowControl w:val="0"/>
        <w:kinsoku/>
        <w:wordWrap/>
        <w:overflowPunct/>
        <w:topLinePunct w:val="0"/>
        <w:autoSpaceDE w:val="0"/>
        <w:autoSpaceDN w:val="0"/>
        <w:bidi w:val="0"/>
        <w:adjustRightInd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3）变更导致实际完成的变更工程量与已标价工程量清单或预算书中列明的该项目工程量的变化幅度超过15%的，或已标价工程量清单或预算书中无相同项目及类似项目单价的，按照合理的成本与利润构成的原则，由合同当事人按照第4.4款〔商定或确定〕确定变更工作的单价。</w:t>
      </w:r>
    </w:p>
    <w:p w14:paraId="28FFEBBD">
      <w:pPr>
        <w:pageBreakBefore w:val="0"/>
        <w:widowControl w:val="0"/>
        <w:kinsoku/>
        <w:wordWrap/>
        <w:overflowPunct/>
        <w:topLinePunct w:val="0"/>
        <w:autoSpaceDE w:val="0"/>
        <w:autoSpaceDN w:val="0"/>
        <w:bidi w:val="0"/>
        <w:adjustRightInd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10.4.2 变更估价程序</w:t>
      </w:r>
    </w:p>
    <w:p w14:paraId="7732D972">
      <w:pPr>
        <w:pageBreakBefore w:val="0"/>
        <w:widowControl w:val="0"/>
        <w:kinsoku/>
        <w:wordWrap/>
        <w:overflowPunct/>
        <w:topLinePunct w:val="0"/>
        <w:autoSpaceDE w:val="0"/>
        <w:autoSpaceDN w:val="0"/>
        <w:bidi w:val="0"/>
        <w:adjustRightInd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承包人应在收到变更指示后14天内，向监理人提交变更估价申请。监理人应在收到承包人提交的变更估价申请后7天内审查完毕并报送发包人，监理人对变更估价申请有异议，通知承包人修改后重新提交。发包人应在承包人提交变更估价申请后14天内审批完毕。发包人逾期未完成审批或未提出异议的，视为认可承包人提交的变更估价申请。</w:t>
      </w:r>
    </w:p>
    <w:p w14:paraId="77ED2D99">
      <w:pPr>
        <w:pageBreakBefore w:val="0"/>
        <w:widowControl w:val="0"/>
        <w:kinsoku/>
        <w:wordWrap/>
        <w:overflowPunct/>
        <w:topLinePunct w:val="0"/>
        <w:autoSpaceDE w:val="0"/>
        <w:autoSpaceDN w:val="0"/>
        <w:bidi w:val="0"/>
        <w:adjustRightInd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因变更引起的价格调整应计入最近一期的进度款中支付。</w:t>
      </w:r>
    </w:p>
    <w:p w14:paraId="4CD2F8F5">
      <w:pPr>
        <w:pageBreakBefore w:val="0"/>
        <w:widowControl w:val="0"/>
        <w:kinsoku/>
        <w:wordWrap/>
        <w:overflowPunct/>
        <w:topLinePunct w:val="0"/>
        <w:bidi w:val="0"/>
        <w:snapToGrid/>
        <w:spacing w:before="120" w:after="120" w:line="480" w:lineRule="exact"/>
        <w:ind w:firstLine="480" w:firstLineChars="200"/>
        <w:textAlignment w:val="auto"/>
        <w:outlineLvl w:val="9"/>
        <w:rPr>
          <w:rFonts w:hint="eastAsia" w:ascii="宋体" w:hAnsi="宋体" w:eastAsia="宋体" w:cs="宋体"/>
          <w:b w:val="0"/>
          <w:sz w:val="24"/>
          <w:szCs w:val="24"/>
        </w:rPr>
      </w:pPr>
      <w:bookmarkStart w:id="827" w:name="_Toc351203572"/>
      <w:r>
        <w:rPr>
          <w:rFonts w:hint="eastAsia" w:ascii="宋体" w:hAnsi="宋体" w:eastAsia="宋体" w:cs="宋体"/>
          <w:b w:val="0"/>
          <w:sz w:val="24"/>
          <w:szCs w:val="24"/>
        </w:rPr>
        <w:t>1</w:t>
      </w:r>
      <w:bookmarkStart w:id="828" w:name="_Toc337558792"/>
      <w:bookmarkStart w:id="829" w:name="_Toc296346595"/>
      <w:bookmarkStart w:id="830" w:name="_Toc296503094"/>
      <w:r>
        <w:rPr>
          <w:rFonts w:hint="eastAsia" w:ascii="宋体" w:hAnsi="宋体" w:eastAsia="宋体" w:cs="宋体"/>
          <w:b w:val="0"/>
          <w:sz w:val="24"/>
          <w:szCs w:val="24"/>
        </w:rPr>
        <w:t>0.5承包人的合理化建议</w:t>
      </w:r>
      <w:bookmarkEnd w:id="827"/>
    </w:p>
    <w:bookmarkEnd w:id="828"/>
    <w:bookmarkEnd w:id="829"/>
    <w:bookmarkEnd w:id="830"/>
    <w:p w14:paraId="1E43775C">
      <w:pPr>
        <w:pageBreakBefore w:val="0"/>
        <w:widowControl w:val="0"/>
        <w:kinsoku/>
        <w:wordWrap/>
        <w:overflowPunct/>
        <w:topLinePunct w:val="0"/>
        <w:autoSpaceDE w:val="0"/>
        <w:autoSpaceDN w:val="0"/>
        <w:bidi w:val="0"/>
        <w:adjustRightInd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承包人提出合理化建议的，应向监理人提交合理化建议说明，说明建议的内容和理由，以及实施该建议对合同价格和工期的影响。</w:t>
      </w:r>
    </w:p>
    <w:p w14:paraId="67024D77">
      <w:pPr>
        <w:pageBreakBefore w:val="0"/>
        <w:widowControl w:val="0"/>
        <w:kinsoku/>
        <w:wordWrap/>
        <w:overflowPunct/>
        <w:topLinePunct w:val="0"/>
        <w:autoSpaceDE w:val="0"/>
        <w:autoSpaceDN w:val="0"/>
        <w:bidi w:val="0"/>
        <w:adjustRightInd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除专用合同条款另有约定外，监理人应在收到承包人提交的合理化建议后7天内审查完毕并报送发包人，发现其中存在技术上的缺陷，应通知承包人修改。发包人应在收到监理人报送的合理化建议后7天内审批完毕。合理化建议经发包人批准的，监理人应及时发出变更指示，由此引起的合同价格调整按照第10.4款〔变更估价〕约定执行。发包人不同意变更的，监理人应书面通知承包人。</w:t>
      </w:r>
    </w:p>
    <w:p w14:paraId="64D6D9CB">
      <w:pPr>
        <w:pageBreakBefore w:val="0"/>
        <w:widowControl w:val="0"/>
        <w:kinsoku/>
        <w:wordWrap/>
        <w:overflowPunct/>
        <w:topLinePunct w:val="0"/>
        <w:autoSpaceDE w:val="0"/>
        <w:autoSpaceDN w:val="0"/>
        <w:bidi w:val="0"/>
        <w:adjustRightInd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合理化建议降低了合同价格或者提高了工程经济效益的，发包人可对承包人给予奖励，奖励的方法和金额在专用合同条款中约定。</w:t>
      </w:r>
    </w:p>
    <w:p w14:paraId="53F66BD3">
      <w:pPr>
        <w:pageBreakBefore w:val="0"/>
        <w:widowControl w:val="0"/>
        <w:kinsoku/>
        <w:wordWrap/>
        <w:overflowPunct/>
        <w:topLinePunct w:val="0"/>
        <w:bidi w:val="0"/>
        <w:snapToGrid/>
        <w:spacing w:before="120" w:after="120" w:line="480" w:lineRule="exact"/>
        <w:ind w:firstLine="480" w:firstLineChars="200"/>
        <w:textAlignment w:val="auto"/>
        <w:outlineLvl w:val="9"/>
        <w:rPr>
          <w:rFonts w:hint="eastAsia" w:ascii="宋体" w:hAnsi="宋体" w:eastAsia="宋体" w:cs="宋体"/>
          <w:sz w:val="24"/>
          <w:szCs w:val="24"/>
        </w:rPr>
      </w:pPr>
      <w:bookmarkStart w:id="831" w:name="_Toc351203573"/>
      <w:r>
        <w:rPr>
          <w:rFonts w:hint="eastAsia" w:ascii="宋体" w:hAnsi="宋体" w:eastAsia="宋体" w:cs="宋体"/>
          <w:b w:val="0"/>
          <w:sz w:val="24"/>
          <w:szCs w:val="24"/>
        </w:rPr>
        <w:t>1</w:t>
      </w:r>
      <w:bookmarkStart w:id="832" w:name="_Toc337558793"/>
      <w:r>
        <w:rPr>
          <w:rFonts w:hint="eastAsia" w:ascii="宋体" w:hAnsi="宋体" w:eastAsia="宋体" w:cs="宋体"/>
          <w:b w:val="0"/>
          <w:sz w:val="24"/>
          <w:szCs w:val="24"/>
        </w:rPr>
        <w:t>0.6变更引起的工期调整</w:t>
      </w:r>
      <w:bookmarkEnd w:id="831"/>
      <w:r>
        <w:rPr>
          <w:rFonts w:hint="eastAsia" w:ascii="宋体" w:hAnsi="宋体" w:eastAsia="宋体" w:cs="宋体"/>
          <w:b w:val="0"/>
          <w:sz w:val="24"/>
          <w:szCs w:val="24"/>
        </w:rPr>
        <w:t xml:space="preserve"> </w:t>
      </w:r>
      <w:bookmarkEnd w:id="832"/>
      <w:r>
        <w:rPr>
          <w:rFonts w:hint="eastAsia" w:ascii="宋体" w:hAnsi="宋体" w:eastAsia="宋体" w:cs="宋体"/>
          <w:b w:val="0"/>
          <w:sz w:val="24"/>
          <w:szCs w:val="24"/>
        </w:rPr>
        <w:t xml:space="preserve"> </w:t>
      </w:r>
      <w:r>
        <w:rPr>
          <w:rFonts w:hint="eastAsia" w:ascii="宋体" w:hAnsi="宋体" w:eastAsia="宋体" w:cs="宋体"/>
          <w:sz w:val="24"/>
          <w:szCs w:val="24"/>
        </w:rPr>
        <w:t xml:space="preserve"> </w:t>
      </w:r>
    </w:p>
    <w:p w14:paraId="07752A11">
      <w:pPr>
        <w:pageBreakBefore w:val="0"/>
        <w:widowControl w:val="0"/>
        <w:kinsoku/>
        <w:wordWrap/>
        <w:overflowPunct/>
        <w:topLinePunct w:val="0"/>
        <w:autoSpaceDE w:val="0"/>
        <w:autoSpaceDN w:val="0"/>
        <w:bidi w:val="0"/>
        <w:adjustRightInd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因变更引起工期变化的，合同当事人均可要求调整合同工期，由合同当事人按照第4.4款〔商定或确定〕并参考工程所在地的工期定额标准确定增减工期天数。</w:t>
      </w:r>
    </w:p>
    <w:p w14:paraId="4594F652">
      <w:pPr>
        <w:pageBreakBefore w:val="0"/>
        <w:widowControl w:val="0"/>
        <w:kinsoku/>
        <w:wordWrap/>
        <w:overflowPunct/>
        <w:topLinePunct w:val="0"/>
        <w:bidi w:val="0"/>
        <w:snapToGrid/>
        <w:spacing w:before="120" w:after="120" w:line="480" w:lineRule="exact"/>
        <w:ind w:firstLine="480" w:firstLineChars="200"/>
        <w:textAlignment w:val="auto"/>
        <w:outlineLvl w:val="9"/>
        <w:rPr>
          <w:rFonts w:hint="eastAsia" w:ascii="宋体" w:hAnsi="宋体" w:eastAsia="宋体" w:cs="宋体"/>
          <w:b w:val="0"/>
          <w:sz w:val="24"/>
          <w:szCs w:val="24"/>
        </w:rPr>
      </w:pPr>
      <w:bookmarkStart w:id="833" w:name="_Toc351203574"/>
      <w:r>
        <w:rPr>
          <w:rFonts w:hint="eastAsia" w:ascii="宋体" w:hAnsi="宋体" w:eastAsia="宋体" w:cs="宋体"/>
          <w:b w:val="0"/>
          <w:sz w:val="24"/>
          <w:szCs w:val="24"/>
        </w:rPr>
        <w:t>10.7暂估价</w:t>
      </w:r>
      <w:bookmarkEnd w:id="833"/>
    </w:p>
    <w:p w14:paraId="7CC5FAB8">
      <w:pPr>
        <w:pageBreakBefore w:val="0"/>
        <w:widowControl w:val="0"/>
        <w:kinsoku/>
        <w:wordWrap/>
        <w:overflowPunct/>
        <w:topLinePunct w:val="0"/>
        <w:autoSpaceDE w:val="0"/>
        <w:autoSpaceDN w:val="0"/>
        <w:bidi w:val="0"/>
        <w:adjustRightInd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暂估价专业分包工程、服务、材料和工程设备的明细由合同当事人在专用合同条款中约定。</w:t>
      </w:r>
    </w:p>
    <w:p w14:paraId="721F1E70">
      <w:pPr>
        <w:pageBreakBefore w:val="0"/>
        <w:widowControl w:val="0"/>
        <w:kinsoku/>
        <w:wordWrap/>
        <w:overflowPunct/>
        <w:topLinePunct w:val="0"/>
        <w:bidi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sz w:val="24"/>
        </w:rPr>
        <w:t>10.7.1</w:t>
      </w:r>
      <w:r>
        <w:rPr>
          <w:rFonts w:hint="eastAsia" w:ascii="宋体" w:hAnsi="宋体" w:eastAsia="宋体" w:cs="宋体"/>
          <w:kern w:val="0"/>
          <w:sz w:val="24"/>
        </w:rPr>
        <w:t xml:space="preserve"> 依法必须招标的暂估价项目</w:t>
      </w:r>
    </w:p>
    <w:p w14:paraId="539622E5">
      <w:pPr>
        <w:pageBreakBefore w:val="0"/>
        <w:widowControl w:val="0"/>
        <w:kinsoku/>
        <w:wordWrap/>
        <w:overflowPunct/>
        <w:topLinePunct w:val="0"/>
        <w:bidi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对于依法必须招标的暂估价项目，采取以下第1种方式确定。合同当事人也可以在专用合同条款中选择其他招标方式。</w:t>
      </w:r>
    </w:p>
    <w:p w14:paraId="32F327D0">
      <w:pPr>
        <w:pageBreakBefore w:val="0"/>
        <w:widowControl w:val="0"/>
        <w:kinsoku/>
        <w:wordWrap/>
        <w:overflowPunct/>
        <w:topLinePunct w:val="0"/>
        <w:bidi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第1种方式：对于依法必须招标的暂估价项目，由承包人招标，对该暂估价项目的确认和批准按照以下约定执行：</w:t>
      </w:r>
    </w:p>
    <w:p w14:paraId="28013000">
      <w:pPr>
        <w:pageBreakBefore w:val="0"/>
        <w:widowControl w:val="0"/>
        <w:kinsoku/>
        <w:wordWrap/>
        <w:overflowPunct/>
        <w:topLinePunct w:val="0"/>
        <w:bidi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1）承包人应当根据施工进度计划，在招标工作启动前14天将招标方案通过监理人报送发包人审查，发包人应当在收到承包人报送的招标方案后7天内批准或提出修改意见。承包人应当按照经过发包人批准的招标方案开展招标工作；</w:t>
      </w:r>
    </w:p>
    <w:p w14:paraId="74F03606">
      <w:pPr>
        <w:pageBreakBefore w:val="0"/>
        <w:widowControl w:val="0"/>
        <w:kinsoku/>
        <w:wordWrap/>
        <w:overflowPunct/>
        <w:topLinePunct w:val="0"/>
        <w:bidi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2）承包人应当根据施工进度计划，提前14天将招标文件通过监理人报送发包人审批，发包人应当在收到承包人报送的相关文件后7天内完成审批或提出修改意见；发包人有权确定招标控制价并按照法律规定参加评标；</w:t>
      </w:r>
    </w:p>
    <w:p w14:paraId="03EE5C84">
      <w:pPr>
        <w:pageBreakBefore w:val="0"/>
        <w:widowControl w:val="0"/>
        <w:kinsoku/>
        <w:wordWrap/>
        <w:overflowPunct/>
        <w:topLinePunct w:val="0"/>
        <w:bidi w:val="0"/>
        <w:snapToGrid/>
        <w:spacing w:line="480" w:lineRule="exact"/>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 xml:space="preserve">    （3）承包人与供应商、分包人在签订暂估价合同前，应当提前7天将确定的中标候选供应商或中标候选分包人的资料报送发包人，发包人应在收到资料后3天内与承包人共同确定中标人；承包人应当在签订合同后7天内，将暂估价合同副本报送发包人留存。</w:t>
      </w:r>
    </w:p>
    <w:p w14:paraId="04516E39">
      <w:pPr>
        <w:pageBreakBefore w:val="0"/>
        <w:widowControl w:val="0"/>
        <w:kinsoku/>
        <w:wordWrap/>
        <w:overflowPunct/>
        <w:topLinePunct w:val="0"/>
        <w:bidi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第2种方式：对于依法必须招标的暂估价项目，由发包人和承包人共同招标确定暂估价供应商或分包人的，承包人应按照施工进度计划，在招标工作启动前14天通知发包人，并提交暂估价招标方案和工作分工。发包人应在收到后7天内确认。确定中标人后，由发包人、承包人与中标人共同签订暂估价合同。</w:t>
      </w:r>
    </w:p>
    <w:p w14:paraId="4C9C781B">
      <w:pPr>
        <w:pageBreakBefore w:val="0"/>
        <w:widowControl w:val="0"/>
        <w:kinsoku/>
        <w:wordWrap/>
        <w:overflowPunct/>
        <w:topLinePunct w:val="0"/>
        <w:bidi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sz w:val="24"/>
        </w:rPr>
        <w:t>10.7.2</w:t>
      </w:r>
      <w:r>
        <w:rPr>
          <w:rFonts w:hint="eastAsia" w:ascii="宋体" w:hAnsi="宋体" w:eastAsia="宋体" w:cs="宋体"/>
          <w:kern w:val="0"/>
          <w:sz w:val="24"/>
        </w:rPr>
        <w:t>不属于依法必须招标的暂估价项目</w:t>
      </w:r>
    </w:p>
    <w:p w14:paraId="1672F9D1">
      <w:pPr>
        <w:pageBreakBefore w:val="0"/>
        <w:widowControl w:val="0"/>
        <w:kinsoku/>
        <w:wordWrap/>
        <w:overflowPunct/>
        <w:topLinePunct w:val="0"/>
        <w:bidi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 xml:space="preserve">除专用合同条款另有约定外，对于不属于依法必须招标的暂估价项目，采取以下第1种方式确定： </w:t>
      </w:r>
    </w:p>
    <w:p w14:paraId="6547DD11">
      <w:pPr>
        <w:pageBreakBefore w:val="0"/>
        <w:widowControl w:val="0"/>
        <w:kinsoku/>
        <w:wordWrap/>
        <w:overflowPunct/>
        <w:topLinePunct w:val="0"/>
        <w:bidi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第1种方式：对于不属于依法必须招标的暂估价项目，按本项约定确认和批准：</w:t>
      </w:r>
    </w:p>
    <w:p w14:paraId="762D6DF7">
      <w:pPr>
        <w:pageBreakBefore w:val="0"/>
        <w:widowControl w:val="0"/>
        <w:kinsoku/>
        <w:wordWrap/>
        <w:overflowPunct/>
        <w:topLinePunct w:val="0"/>
        <w:bidi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1）承包人应根据施工进度计划，在签订暂估价项目的采购合同、分包合同前28天向监理人提出书面申请。监理人应当在收到申请后3天内报送发包人，发包人应当在收到申请后14天内给予批准或提出修改意见，发包人逾期未予批准或提出修改意见的，视为该书面申请已获得同意；</w:t>
      </w:r>
    </w:p>
    <w:p w14:paraId="42040E2B">
      <w:pPr>
        <w:pageBreakBefore w:val="0"/>
        <w:widowControl w:val="0"/>
        <w:kinsoku/>
        <w:wordWrap/>
        <w:overflowPunct/>
        <w:topLinePunct w:val="0"/>
        <w:bidi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（2）发包人认为承包人确定的供应商、分包人无法满足工程质量或合同要求的，发包人可以要求承包人重新确定暂估价项目的供应商、分包人;</w:t>
      </w:r>
    </w:p>
    <w:p w14:paraId="2AF58345">
      <w:pPr>
        <w:pageBreakBefore w:val="0"/>
        <w:widowControl w:val="0"/>
        <w:kinsoku/>
        <w:wordWrap/>
        <w:overflowPunct/>
        <w:topLinePunct w:val="0"/>
        <w:bidi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（3）承包人应当在签订暂估价合同后7天内，将暂估价合同副本报送发包人留存。</w:t>
      </w:r>
    </w:p>
    <w:p w14:paraId="79796D2F">
      <w:pPr>
        <w:pageBreakBefore w:val="0"/>
        <w:widowControl w:val="0"/>
        <w:kinsoku/>
        <w:wordWrap/>
        <w:overflowPunct/>
        <w:topLinePunct w:val="0"/>
        <w:bidi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第2种方式：承包人按照第10.7.1项〔依法必须招标的暂估价项目〕约定的第1种方式确定暂估价项目。</w:t>
      </w:r>
    </w:p>
    <w:p w14:paraId="21DA58FA">
      <w:pPr>
        <w:pageBreakBefore w:val="0"/>
        <w:widowControl w:val="0"/>
        <w:kinsoku/>
        <w:wordWrap/>
        <w:overflowPunct/>
        <w:topLinePunct w:val="0"/>
        <w:bidi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sz w:val="24"/>
        </w:rPr>
        <w:t>第3种方式：</w:t>
      </w:r>
      <w:r>
        <w:rPr>
          <w:rFonts w:hint="eastAsia" w:ascii="宋体" w:hAnsi="宋体" w:eastAsia="宋体" w:cs="宋体"/>
          <w:kern w:val="0"/>
          <w:sz w:val="24"/>
        </w:rPr>
        <w:t>承包人直接实施的暂估价项目</w:t>
      </w:r>
    </w:p>
    <w:p w14:paraId="6627C714">
      <w:pPr>
        <w:pageBreakBefore w:val="0"/>
        <w:widowControl w:val="0"/>
        <w:kinsoku/>
        <w:wordWrap/>
        <w:overflowPunct/>
        <w:topLinePunct w:val="0"/>
        <w:bidi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承包人具备实施暂估价项目的资格和条件的，经发包人和承包人协商一致后，可由承包人自行实施暂估价项目，合同当事人可以在专用合同条款约定具体事项。</w:t>
      </w:r>
    </w:p>
    <w:p w14:paraId="5928B0AE">
      <w:pPr>
        <w:pageBreakBefore w:val="0"/>
        <w:widowControl w:val="0"/>
        <w:kinsoku/>
        <w:wordWrap/>
        <w:overflowPunct/>
        <w:topLinePunct w:val="0"/>
        <w:bidi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10.7.3 因发包人原因导致暂估价合同订立和履行迟延的，由此增加的费用和（或）延误的工期由发包人承担，并支付承包人合理的利润。因承包人原因导致暂估价合同订立和履行迟延的，由此增加的费用和（或）延误的工期由承包人承担。</w:t>
      </w:r>
    </w:p>
    <w:p w14:paraId="1A293DA5">
      <w:pPr>
        <w:pageBreakBefore w:val="0"/>
        <w:widowControl w:val="0"/>
        <w:kinsoku/>
        <w:wordWrap/>
        <w:overflowPunct/>
        <w:topLinePunct w:val="0"/>
        <w:bidi w:val="0"/>
        <w:snapToGrid/>
        <w:spacing w:before="120" w:after="120" w:line="480" w:lineRule="exact"/>
        <w:ind w:firstLine="480" w:firstLineChars="200"/>
        <w:textAlignment w:val="auto"/>
        <w:outlineLvl w:val="9"/>
        <w:rPr>
          <w:rFonts w:hint="eastAsia" w:ascii="宋体" w:hAnsi="宋体" w:eastAsia="宋体" w:cs="宋体"/>
          <w:b w:val="0"/>
          <w:sz w:val="24"/>
          <w:szCs w:val="24"/>
        </w:rPr>
      </w:pPr>
      <w:bookmarkStart w:id="834" w:name="_Toc351203575"/>
      <w:r>
        <w:rPr>
          <w:rFonts w:hint="eastAsia" w:ascii="宋体" w:hAnsi="宋体" w:eastAsia="宋体" w:cs="宋体"/>
          <w:b w:val="0"/>
          <w:sz w:val="24"/>
          <w:szCs w:val="24"/>
        </w:rPr>
        <w:t>1</w:t>
      </w:r>
      <w:bookmarkStart w:id="835" w:name="_Toc337558794"/>
      <w:bookmarkStart w:id="836" w:name="_Toc296346591"/>
      <w:bookmarkStart w:id="837" w:name="_Toc322522561"/>
      <w:bookmarkStart w:id="838" w:name="_Toc296503090"/>
      <w:r>
        <w:rPr>
          <w:rFonts w:hint="eastAsia" w:ascii="宋体" w:hAnsi="宋体" w:eastAsia="宋体" w:cs="宋体"/>
          <w:b w:val="0"/>
          <w:sz w:val="24"/>
          <w:szCs w:val="24"/>
        </w:rPr>
        <w:t>0.8暂列金额</w:t>
      </w:r>
      <w:bookmarkEnd w:id="834"/>
    </w:p>
    <w:bookmarkEnd w:id="835"/>
    <w:p w14:paraId="09214DFD">
      <w:pPr>
        <w:pageBreakBefore w:val="0"/>
        <w:widowControl w:val="0"/>
        <w:kinsoku/>
        <w:wordWrap/>
        <w:overflowPunct/>
        <w:topLinePunct w:val="0"/>
        <w:autoSpaceDE w:val="0"/>
        <w:autoSpaceDN w:val="0"/>
        <w:bidi w:val="0"/>
        <w:adjustRightInd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暂列金额应按照发包人的要求使用，发包人的要求应通过监理人发出。合同当事人可以在专用合同条款中协商确定有关事项。</w:t>
      </w:r>
    </w:p>
    <w:bookmarkEnd w:id="836"/>
    <w:bookmarkEnd w:id="837"/>
    <w:bookmarkEnd w:id="838"/>
    <w:p w14:paraId="7B28F283">
      <w:pPr>
        <w:pageBreakBefore w:val="0"/>
        <w:widowControl w:val="0"/>
        <w:kinsoku/>
        <w:wordWrap/>
        <w:overflowPunct/>
        <w:topLinePunct w:val="0"/>
        <w:bidi w:val="0"/>
        <w:snapToGrid/>
        <w:spacing w:before="120" w:after="120" w:line="480" w:lineRule="exact"/>
        <w:ind w:firstLine="480" w:firstLineChars="200"/>
        <w:textAlignment w:val="auto"/>
        <w:outlineLvl w:val="9"/>
        <w:rPr>
          <w:rFonts w:hint="eastAsia" w:ascii="宋体" w:hAnsi="宋体" w:eastAsia="宋体" w:cs="宋体"/>
          <w:b w:val="0"/>
          <w:sz w:val="24"/>
          <w:szCs w:val="24"/>
        </w:rPr>
      </w:pPr>
      <w:bookmarkStart w:id="839" w:name="_Toc351203576"/>
      <w:r>
        <w:rPr>
          <w:rFonts w:hint="eastAsia" w:ascii="宋体" w:hAnsi="宋体" w:eastAsia="宋体" w:cs="宋体"/>
          <w:b w:val="0"/>
          <w:sz w:val="24"/>
          <w:szCs w:val="24"/>
        </w:rPr>
        <w:t>1</w:t>
      </w:r>
      <w:bookmarkStart w:id="840" w:name="_Toc296503091"/>
      <w:bookmarkStart w:id="841" w:name="_Toc296346592"/>
      <w:bookmarkStart w:id="842" w:name="_Toc337558796"/>
      <w:r>
        <w:rPr>
          <w:rFonts w:hint="eastAsia" w:ascii="宋体" w:hAnsi="宋体" w:eastAsia="宋体" w:cs="宋体"/>
          <w:b w:val="0"/>
          <w:sz w:val="24"/>
          <w:szCs w:val="24"/>
        </w:rPr>
        <w:t>0.9计日工</w:t>
      </w:r>
      <w:bookmarkEnd w:id="839"/>
      <w:r>
        <w:rPr>
          <w:rFonts w:hint="eastAsia" w:ascii="宋体" w:hAnsi="宋体" w:eastAsia="宋体" w:cs="宋体"/>
          <w:b w:val="0"/>
          <w:sz w:val="24"/>
          <w:szCs w:val="24"/>
        </w:rPr>
        <w:t xml:space="preserve"> </w:t>
      </w:r>
      <w:bookmarkEnd w:id="840"/>
      <w:bookmarkEnd w:id="841"/>
      <w:bookmarkEnd w:id="842"/>
    </w:p>
    <w:p w14:paraId="4AFBC25C">
      <w:pPr>
        <w:pageBreakBefore w:val="0"/>
        <w:widowControl w:val="0"/>
        <w:kinsoku/>
        <w:wordWrap/>
        <w:overflowPunct/>
        <w:topLinePunct w:val="0"/>
        <w:autoSpaceDE w:val="0"/>
        <w:autoSpaceDN w:val="0"/>
        <w:bidi w:val="0"/>
        <w:adjustRightInd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需要采用计日工方式的，经发包人同意后，由监理人通知承包人以计日工计价方式实施相应的工作，其价款按列入已标价工程量清单或预算书中的计日工计价项目及其单价进行计算；已标价工程量清单或预算书中无相应的计日工单价的，按照合理的成本与利润构成的原则，由合同当事人按照第4.4款〔商定或确定〕确定计日工的单价。</w:t>
      </w:r>
    </w:p>
    <w:p w14:paraId="119EEC03">
      <w:pPr>
        <w:pageBreakBefore w:val="0"/>
        <w:widowControl w:val="0"/>
        <w:kinsoku/>
        <w:wordWrap/>
        <w:overflowPunct/>
        <w:topLinePunct w:val="0"/>
        <w:bidi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采用计日工计价的任何一项工作，承包人应在该项工作实施过程中，每天提交以下报表和有关凭证报送监理人审查：</w:t>
      </w:r>
    </w:p>
    <w:p w14:paraId="1636CFAE">
      <w:pPr>
        <w:pageBreakBefore w:val="0"/>
        <w:widowControl w:val="0"/>
        <w:kinsoku/>
        <w:wordWrap/>
        <w:overflowPunct/>
        <w:topLinePunct w:val="0"/>
        <w:bidi w:val="0"/>
        <w:snapToGrid/>
        <w:spacing w:line="480" w:lineRule="exact"/>
        <w:ind w:firstLine="360" w:firstLineChars="15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（1）工作名称、内容和数量；</w:t>
      </w:r>
    </w:p>
    <w:p w14:paraId="36A0FA90">
      <w:pPr>
        <w:pageBreakBefore w:val="0"/>
        <w:widowControl w:val="0"/>
        <w:kinsoku/>
        <w:wordWrap/>
        <w:overflowPunct/>
        <w:topLinePunct w:val="0"/>
        <w:bidi w:val="0"/>
        <w:snapToGrid/>
        <w:spacing w:line="480" w:lineRule="exact"/>
        <w:ind w:firstLine="360" w:firstLineChars="15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（2）投入该工作的所有人员的姓名、专业、工种、级别和耗用工时；</w:t>
      </w:r>
    </w:p>
    <w:p w14:paraId="30D31A4B">
      <w:pPr>
        <w:pageBreakBefore w:val="0"/>
        <w:widowControl w:val="0"/>
        <w:kinsoku/>
        <w:wordWrap/>
        <w:overflowPunct/>
        <w:topLinePunct w:val="0"/>
        <w:bidi w:val="0"/>
        <w:snapToGrid/>
        <w:spacing w:line="480" w:lineRule="exact"/>
        <w:ind w:firstLine="360" w:firstLineChars="15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（3）投入该工作的材料类别和数量；</w:t>
      </w:r>
    </w:p>
    <w:p w14:paraId="177755D1">
      <w:pPr>
        <w:pageBreakBefore w:val="0"/>
        <w:widowControl w:val="0"/>
        <w:kinsoku/>
        <w:wordWrap/>
        <w:overflowPunct/>
        <w:topLinePunct w:val="0"/>
        <w:bidi w:val="0"/>
        <w:snapToGrid/>
        <w:spacing w:line="480" w:lineRule="exact"/>
        <w:ind w:firstLine="360" w:firstLineChars="15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（4）投入该工作的施工设备型号、台数和耗用台时；</w:t>
      </w:r>
    </w:p>
    <w:p w14:paraId="6657EBC4">
      <w:pPr>
        <w:pageBreakBefore w:val="0"/>
        <w:widowControl w:val="0"/>
        <w:kinsoku/>
        <w:wordWrap/>
        <w:overflowPunct/>
        <w:topLinePunct w:val="0"/>
        <w:bidi w:val="0"/>
        <w:snapToGrid/>
        <w:spacing w:line="480" w:lineRule="exact"/>
        <w:ind w:firstLine="360" w:firstLineChars="15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（5）其他有关资料和凭证。</w:t>
      </w:r>
    </w:p>
    <w:p w14:paraId="007FF629">
      <w:pPr>
        <w:pageBreakBefore w:val="0"/>
        <w:widowControl w:val="0"/>
        <w:kinsoku/>
        <w:wordWrap/>
        <w:overflowPunct/>
        <w:topLinePunct w:val="0"/>
        <w:bidi w:val="0"/>
        <w:snapToGrid/>
        <w:spacing w:line="480" w:lineRule="exact"/>
        <w:ind w:firstLine="360" w:firstLineChars="15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 xml:space="preserve"> 计日工由承包人汇总后，列入最近一期进度付款申请单，由监理人审查并经发包人批准后列入进度付款。</w:t>
      </w:r>
    </w:p>
    <w:p w14:paraId="7D0424E3">
      <w:pPr>
        <w:pageBreakBefore w:val="0"/>
        <w:widowControl w:val="0"/>
        <w:kinsoku/>
        <w:wordWrap/>
        <w:overflowPunct/>
        <w:topLinePunct w:val="0"/>
        <w:bidi w:val="0"/>
        <w:snapToGrid/>
        <w:spacing w:before="120" w:after="120" w:line="480" w:lineRule="exact"/>
        <w:textAlignment w:val="auto"/>
        <w:outlineLvl w:val="9"/>
        <w:rPr>
          <w:rFonts w:hint="eastAsia" w:ascii="宋体" w:hAnsi="宋体" w:eastAsia="宋体" w:cs="宋体"/>
          <w:bCs w:val="0"/>
          <w:sz w:val="24"/>
          <w:szCs w:val="24"/>
        </w:rPr>
      </w:pPr>
      <w:bookmarkStart w:id="843" w:name="_Toc351203577"/>
      <w:r>
        <w:rPr>
          <w:rFonts w:hint="eastAsia" w:ascii="宋体" w:hAnsi="宋体" w:eastAsia="宋体" w:cs="宋体"/>
          <w:bCs w:val="0"/>
          <w:sz w:val="24"/>
          <w:szCs w:val="24"/>
        </w:rPr>
        <w:t>11. 价格调整</w:t>
      </w:r>
      <w:bookmarkEnd w:id="843"/>
    </w:p>
    <w:p w14:paraId="0378EE93">
      <w:pPr>
        <w:pageBreakBefore w:val="0"/>
        <w:widowControl w:val="0"/>
        <w:kinsoku/>
        <w:wordWrap/>
        <w:overflowPunct/>
        <w:topLinePunct w:val="0"/>
        <w:bidi w:val="0"/>
        <w:snapToGrid/>
        <w:spacing w:before="120" w:after="120" w:line="480" w:lineRule="exact"/>
        <w:ind w:firstLine="480" w:firstLineChars="200"/>
        <w:textAlignment w:val="auto"/>
        <w:outlineLvl w:val="9"/>
        <w:rPr>
          <w:rFonts w:hint="eastAsia" w:ascii="宋体" w:hAnsi="宋体" w:eastAsia="宋体" w:cs="宋体"/>
          <w:b w:val="0"/>
          <w:sz w:val="24"/>
          <w:szCs w:val="24"/>
        </w:rPr>
      </w:pPr>
      <w:bookmarkStart w:id="844" w:name="_Toc351203578"/>
      <w:bookmarkStart w:id="845" w:name="_Toc296503092"/>
      <w:bookmarkStart w:id="846" w:name="_Toc296346593"/>
      <w:bookmarkStart w:id="847" w:name="_Toc337558797"/>
      <w:r>
        <w:rPr>
          <w:rFonts w:hint="eastAsia" w:ascii="宋体" w:hAnsi="宋体" w:eastAsia="宋体" w:cs="宋体"/>
          <w:b w:val="0"/>
          <w:sz w:val="24"/>
          <w:szCs w:val="24"/>
        </w:rPr>
        <w:t>11.1市场价格波动引起的调整</w:t>
      </w:r>
      <w:bookmarkEnd w:id="844"/>
    </w:p>
    <w:bookmarkEnd w:id="845"/>
    <w:bookmarkEnd w:id="846"/>
    <w:bookmarkEnd w:id="847"/>
    <w:p w14:paraId="625C6F2D">
      <w:pPr>
        <w:pageBreakBefore w:val="0"/>
        <w:widowControl w:val="0"/>
        <w:kinsoku/>
        <w:wordWrap/>
        <w:overflowPunct/>
        <w:topLinePunct w:val="0"/>
        <w:bidi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除专用合同条款另有约定外，市场价格波动超过合同当事人约定的范围，合同价格应当调整。合同当事人可以在专用合同条款中约定选择以下一种方式对合同价格进行调整：</w:t>
      </w:r>
    </w:p>
    <w:p w14:paraId="549285F9">
      <w:pPr>
        <w:pageBreakBefore w:val="0"/>
        <w:widowControl w:val="0"/>
        <w:kinsoku/>
        <w:wordWrap/>
        <w:overflowPunct/>
        <w:topLinePunct w:val="0"/>
        <w:bidi w:val="0"/>
        <w:snapToGrid/>
        <w:spacing w:line="480" w:lineRule="exact"/>
        <w:ind w:firstLine="480" w:firstLineChars="200"/>
        <w:textAlignment w:val="auto"/>
        <w:outlineLvl w:val="9"/>
        <w:rPr>
          <w:rFonts w:hint="eastAsia" w:ascii="宋体" w:hAnsi="宋体" w:eastAsia="宋体" w:cs="宋体"/>
          <w:sz w:val="24"/>
        </w:rPr>
      </w:pPr>
      <w:r>
        <w:rPr>
          <w:rFonts w:hint="eastAsia" w:ascii="宋体" w:hAnsi="宋体" w:eastAsia="宋体" w:cs="宋体"/>
          <w:sz w:val="24"/>
        </w:rPr>
        <w:t>第1种方式：采用价格指数进行价格调整。</w:t>
      </w:r>
    </w:p>
    <w:p w14:paraId="30E56FA0">
      <w:pPr>
        <w:pageBreakBefore w:val="0"/>
        <w:widowControl w:val="0"/>
        <w:tabs>
          <w:tab w:val="left" w:pos="0"/>
          <w:tab w:val="left" w:pos="360"/>
          <w:tab w:val="left" w:pos="540"/>
        </w:tabs>
        <w:kinsoku/>
        <w:wordWrap/>
        <w:overflowPunct/>
        <w:topLinePunct w:val="0"/>
        <w:bidi w:val="0"/>
        <w:snapToGrid/>
        <w:spacing w:line="480" w:lineRule="exact"/>
        <w:ind w:firstLine="480" w:firstLineChars="200"/>
        <w:textAlignment w:val="auto"/>
        <w:outlineLvl w:val="9"/>
        <w:rPr>
          <w:rFonts w:hint="eastAsia" w:ascii="宋体" w:hAnsi="宋体" w:eastAsia="宋体" w:cs="宋体"/>
          <w:sz w:val="24"/>
        </w:rPr>
      </w:pPr>
      <w:r>
        <w:rPr>
          <w:rFonts w:hint="eastAsia" w:ascii="宋体" w:hAnsi="宋体" w:eastAsia="宋体" w:cs="宋体"/>
          <w:sz w:val="24"/>
        </w:rPr>
        <w:t>（1）价格调整公式</w:t>
      </w:r>
    </w:p>
    <w:p w14:paraId="3A87F01F">
      <w:pPr>
        <w:pageBreakBefore w:val="0"/>
        <w:widowControl w:val="0"/>
        <w:tabs>
          <w:tab w:val="left" w:pos="0"/>
          <w:tab w:val="left" w:pos="360"/>
          <w:tab w:val="left" w:pos="540"/>
        </w:tabs>
        <w:kinsoku/>
        <w:wordWrap/>
        <w:overflowPunct/>
        <w:topLinePunct w:val="0"/>
        <w:bidi w:val="0"/>
        <w:snapToGrid/>
        <w:spacing w:line="480" w:lineRule="exact"/>
        <w:ind w:firstLine="480" w:firstLineChars="200"/>
        <w:textAlignment w:val="auto"/>
        <w:outlineLvl w:val="9"/>
        <w:rPr>
          <w:rFonts w:hint="eastAsia" w:ascii="宋体" w:hAnsi="宋体" w:eastAsia="宋体" w:cs="宋体"/>
          <w:sz w:val="24"/>
        </w:rPr>
      </w:pPr>
      <w:r>
        <w:rPr>
          <w:rFonts w:hint="eastAsia" w:ascii="宋体" w:hAnsi="宋体" w:eastAsia="宋体" w:cs="宋体"/>
          <w:sz w:val="24"/>
        </w:rPr>
        <w:t>因人工、材料和设备等价格波动影响合同价格时，根据专用合同条款中约定的数据，按以下公式计算差额并调整合同价格：</w:t>
      </w:r>
    </w:p>
    <w:p w14:paraId="6B4995C1">
      <w:pPr>
        <w:pageBreakBefore w:val="0"/>
        <w:widowControl w:val="0"/>
        <w:tabs>
          <w:tab w:val="left" w:pos="0"/>
          <w:tab w:val="left" w:pos="360"/>
          <w:tab w:val="left" w:pos="540"/>
        </w:tabs>
        <w:kinsoku/>
        <w:wordWrap/>
        <w:overflowPunct/>
        <w:topLinePunct w:val="0"/>
        <w:bidi w:val="0"/>
        <w:snapToGrid/>
        <w:spacing w:line="480" w:lineRule="exact"/>
        <w:ind w:firstLine="480" w:firstLineChars="200"/>
        <w:textAlignment w:val="auto"/>
        <w:outlineLvl w:val="9"/>
        <w:rPr>
          <w:rFonts w:hint="eastAsia" w:ascii="宋体" w:hAnsi="宋体" w:eastAsia="宋体" w:cs="宋体"/>
          <w:sz w:val="24"/>
        </w:rPr>
      </w:pPr>
      <w:r>
        <w:rPr>
          <w:rFonts w:hint="eastAsia" w:ascii="宋体" w:hAnsi="宋体" w:eastAsia="宋体" w:cs="宋体"/>
          <w:position w:val="-30"/>
          <w:sz w:val="24"/>
        </w:rPr>
        <w:object>
          <v:shape id="_x0000_i1025" o:spt="75" type="#_x0000_t75" style="height:43.9pt;width:359.85pt;" o:ole="t" filled="f" o:preferrelative="t" stroked="f" coordsize="21600,21600">
            <v:path/>
            <v:fill on="f" focussize="0,0"/>
            <v:stroke on="f"/>
            <v:imagedata r:id="rId9" embosscolor="#FFFFFF" o:title=""/>
            <o:lock v:ext="edit" grouping="f" rotation="f" text="f" aspectratio="t"/>
            <w10:wrap type="none"/>
            <w10:anchorlock/>
          </v:shape>
          <o:OLEObject Type="Embed" ProgID="Equation.KSEE3" ShapeID="_x0000_i1025" DrawAspect="Content" ObjectID="_1468075725" r:id="rId8">
            <o:LockedField>false</o:LockedField>
          </o:OLEObject>
        </w:object>
      </w:r>
    </w:p>
    <w:p w14:paraId="0EA47C02">
      <w:pPr>
        <w:pageBreakBefore w:val="0"/>
        <w:widowControl w:val="0"/>
        <w:tabs>
          <w:tab w:val="left" w:pos="0"/>
          <w:tab w:val="left" w:pos="360"/>
          <w:tab w:val="left" w:pos="540"/>
        </w:tabs>
        <w:kinsoku/>
        <w:wordWrap/>
        <w:overflowPunct/>
        <w:topLinePunct w:val="0"/>
        <w:bidi w:val="0"/>
        <w:snapToGrid/>
        <w:spacing w:line="480" w:lineRule="exact"/>
        <w:ind w:firstLine="640"/>
        <w:textAlignment w:val="auto"/>
        <w:outlineLvl w:val="9"/>
        <w:rPr>
          <w:rFonts w:hint="eastAsia" w:ascii="宋体" w:hAnsi="宋体" w:eastAsia="宋体" w:cs="宋体"/>
          <w:sz w:val="24"/>
        </w:rPr>
      </w:pPr>
      <w:r>
        <w:rPr>
          <w:rFonts w:hint="eastAsia" w:ascii="宋体" w:hAnsi="宋体" w:eastAsia="宋体" w:cs="宋体"/>
          <w:sz w:val="24"/>
        </w:rPr>
        <w:t>公式中：ΔP——需调整的价格差额；</w:t>
      </w:r>
    </w:p>
    <w:p w14:paraId="5CFFF9F9">
      <w:pPr>
        <w:pageBreakBefore w:val="0"/>
        <w:widowControl w:val="0"/>
        <w:tabs>
          <w:tab w:val="left" w:pos="0"/>
          <w:tab w:val="left" w:pos="360"/>
          <w:tab w:val="left" w:pos="540"/>
        </w:tabs>
        <w:kinsoku/>
        <w:wordWrap/>
        <w:overflowPunct/>
        <w:topLinePunct w:val="0"/>
        <w:bidi w:val="0"/>
        <w:snapToGrid/>
        <w:spacing w:line="480" w:lineRule="exact"/>
        <w:ind w:firstLine="1440" w:firstLineChars="600"/>
        <w:textAlignment w:val="auto"/>
        <w:outlineLvl w:val="9"/>
        <w:rPr>
          <w:rFonts w:hint="eastAsia" w:ascii="宋体" w:hAnsi="宋体" w:eastAsia="宋体" w:cs="宋体"/>
          <w:sz w:val="24"/>
        </w:rPr>
      </w:pPr>
      <w:r>
        <w:rPr>
          <w:rFonts w:hint="eastAsia" w:ascii="宋体" w:hAnsi="宋体" w:eastAsia="宋体" w:cs="宋体"/>
          <w:position w:val="-6"/>
          <w:sz w:val="24"/>
        </w:rPr>
        <w:object>
          <v:shape id="_x0000_i1026" o:spt="75" type="#_x0000_t75" style="height:17.9pt;width:17.9pt;" o:ole="t" filled="f" o:preferrelative="t" stroked="f" coordsize="21600,21600">
            <v:path/>
            <v:fill on="f" focussize="0,0"/>
            <v:stroke on="f"/>
            <v:imagedata r:id="rId11" embosscolor="#FFFFFF" o:title=""/>
            <o:lock v:ext="edit" grouping="f" rotation="f" text="f" aspectratio="t"/>
            <w10:wrap type="none"/>
            <w10:anchorlock/>
          </v:shape>
          <o:OLEObject Type="Embed" ProgID="Equation.KSEE3" ShapeID="_x0000_i1026" DrawAspect="Content" ObjectID="_1468075726" r:id="rId10">
            <o:LockedField>false</o:LockedField>
          </o:OLEObject>
        </w:object>
      </w:r>
      <w:r>
        <w:rPr>
          <w:rFonts w:hint="eastAsia" w:ascii="宋体" w:hAnsi="宋体" w:eastAsia="宋体" w:cs="宋体"/>
          <w:sz w:val="24"/>
        </w:rPr>
        <w:t>——约定的付款证书中承包人应得到的已完成工程量的金额。此项金额应不包括价格调整、不计质量保证金的扣留和支付、预付款的支付和扣回。约定的变更及其他金额已按现行价格计价的，也不计在内；</w:t>
      </w:r>
    </w:p>
    <w:p w14:paraId="2C3B7293">
      <w:pPr>
        <w:pageBreakBefore w:val="0"/>
        <w:widowControl w:val="0"/>
        <w:tabs>
          <w:tab w:val="left" w:pos="0"/>
          <w:tab w:val="left" w:pos="360"/>
          <w:tab w:val="left" w:pos="540"/>
        </w:tabs>
        <w:kinsoku/>
        <w:wordWrap/>
        <w:overflowPunct/>
        <w:topLinePunct w:val="0"/>
        <w:bidi w:val="0"/>
        <w:snapToGrid/>
        <w:spacing w:line="480" w:lineRule="exact"/>
        <w:ind w:firstLine="480" w:firstLineChars="200"/>
        <w:textAlignment w:val="auto"/>
        <w:outlineLvl w:val="9"/>
        <w:rPr>
          <w:rFonts w:hint="eastAsia" w:ascii="宋体" w:hAnsi="宋体" w:eastAsia="宋体" w:cs="宋体"/>
          <w:sz w:val="24"/>
        </w:rPr>
      </w:pPr>
      <w:r>
        <w:rPr>
          <w:rFonts w:hint="eastAsia" w:ascii="宋体" w:hAnsi="宋体" w:eastAsia="宋体" w:cs="宋体"/>
          <w:sz w:val="24"/>
        </w:rPr>
        <w:t>A——定值权重（即不调部分的权重）；</w:t>
      </w:r>
    </w:p>
    <w:p w14:paraId="2561FA82">
      <w:pPr>
        <w:pageBreakBefore w:val="0"/>
        <w:widowControl w:val="0"/>
        <w:tabs>
          <w:tab w:val="left" w:pos="0"/>
          <w:tab w:val="left" w:pos="360"/>
          <w:tab w:val="left" w:pos="540"/>
        </w:tabs>
        <w:kinsoku/>
        <w:wordWrap/>
        <w:overflowPunct/>
        <w:topLinePunct w:val="0"/>
        <w:bidi w:val="0"/>
        <w:snapToGrid/>
        <w:spacing w:line="480" w:lineRule="exact"/>
        <w:ind w:firstLine="480" w:firstLineChars="200"/>
        <w:textAlignment w:val="auto"/>
        <w:outlineLvl w:val="9"/>
        <w:rPr>
          <w:rFonts w:hint="eastAsia" w:ascii="宋体" w:hAnsi="宋体" w:eastAsia="宋体" w:cs="宋体"/>
          <w:sz w:val="24"/>
        </w:rPr>
      </w:pPr>
      <w:r>
        <w:rPr>
          <w:rFonts w:hint="eastAsia" w:ascii="宋体" w:hAnsi="宋体" w:eastAsia="宋体" w:cs="宋体"/>
          <w:position w:val="-10"/>
          <w:sz w:val="24"/>
        </w:rPr>
        <w:object>
          <v:shape id="_x0000_i1027" o:spt="75" type="#_x0000_t75" style="height:21.15pt;width:101pt;" o:ole="t" filled="f" o:preferrelative="t" stroked="f" coordsize="21600,21600">
            <v:path/>
            <v:fill on="f" focussize="0,0"/>
            <v:stroke on="f"/>
            <v:imagedata r:id="rId13" embosscolor="#FFFFFF" o:title=""/>
            <o:lock v:ext="edit" grouping="f" rotation="f" text="f" aspectratio="t"/>
            <w10:wrap type="none"/>
            <w10:anchorlock/>
          </v:shape>
          <o:OLEObject Type="Embed" ProgID="Equation.KSEE3" ShapeID="_x0000_i1027" DrawAspect="Content" ObjectID="_1468075727" r:id="rId12">
            <o:LockedField>false</o:LockedField>
          </o:OLEObject>
        </w:object>
      </w:r>
      <w:r>
        <w:rPr>
          <w:rFonts w:hint="eastAsia" w:ascii="宋体" w:hAnsi="宋体" w:eastAsia="宋体" w:cs="宋体"/>
          <w:sz w:val="24"/>
        </w:rPr>
        <w:t>——各可调因子的变值权重（即可调部分的权重），为各可调因子在签约合同价中所占的比例；</w:t>
      </w:r>
    </w:p>
    <w:p w14:paraId="6BCB15F0">
      <w:pPr>
        <w:pageBreakBefore w:val="0"/>
        <w:widowControl w:val="0"/>
        <w:tabs>
          <w:tab w:val="left" w:pos="0"/>
          <w:tab w:val="left" w:pos="360"/>
          <w:tab w:val="left" w:pos="540"/>
        </w:tabs>
        <w:kinsoku/>
        <w:wordWrap/>
        <w:overflowPunct/>
        <w:topLinePunct w:val="0"/>
        <w:bidi w:val="0"/>
        <w:snapToGrid/>
        <w:spacing w:line="480" w:lineRule="exact"/>
        <w:ind w:firstLine="480" w:firstLineChars="200"/>
        <w:textAlignment w:val="auto"/>
        <w:outlineLvl w:val="9"/>
        <w:rPr>
          <w:rFonts w:hint="eastAsia" w:ascii="宋体" w:hAnsi="宋体" w:eastAsia="宋体" w:cs="宋体"/>
          <w:sz w:val="24"/>
        </w:rPr>
      </w:pPr>
      <w:r>
        <w:rPr>
          <w:rFonts w:hint="eastAsia" w:ascii="宋体" w:hAnsi="宋体" w:eastAsia="宋体" w:cs="宋体"/>
          <w:position w:val="-10"/>
          <w:sz w:val="24"/>
        </w:rPr>
        <w:object>
          <v:shape id="_x0000_i1028" o:spt="75" type="#_x0000_t75" style="height:20.55pt;width:102.1pt;" o:ole="t" filled="f" o:preferrelative="t" stroked="f" coordsize="21600,21600">
            <v:path/>
            <v:fill on="f" focussize="0,0"/>
            <v:stroke on="f"/>
            <v:imagedata r:id="rId15" embosscolor="#FFFFFF" o:title=""/>
            <o:lock v:ext="edit" grouping="f" rotation="f" text="f" aspectratio="t"/>
            <w10:wrap type="none"/>
            <w10:anchorlock/>
          </v:shape>
          <o:OLEObject Type="Embed" ProgID="Equation.KSEE3" ShapeID="_x0000_i1028" DrawAspect="Content" ObjectID="_1468075728" r:id="rId14">
            <o:LockedField>false</o:LockedField>
          </o:OLEObject>
        </w:object>
      </w:r>
      <w:r>
        <w:rPr>
          <w:rFonts w:hint="eastAsia" w:ascii="宋体" w:hAnsi="宋体" w:eastAsia="宋体" w:cs="宋体"/>
          <w:sz w:val="24"/>
        </w:rPr>
        <w:t>——各可调因子的现行价格指数，指约定的付款证书相关周期最后一天的前42天的各可调因子的价格指数；</w:t>
      </w:r>
    </w:p>
    <w:p w14:paraId="7B3506C6">
      <w:pPr>
        <w:pageBreakBefore w:val="0"/>
        <w:widowControl w:val="0"/>
        <w:tabs>
          <w:tab w:val="left" w:pos="0"/>
          <w:tab w:val="left" w:pos="360"/>
          <w:tab w:val="left" w:pos="540"/>
        </w:tabs>
        <w:kinsoku/>
        <w:wordWrap/>
        <w:overflowPunct/>
        <w:topLinePunct w:val="0"/>
        <w:bidi w:val="0"/>
        <w:snapToGrid/>
        <w:spacing w:line="480" w:lineRule="exact"/>
        <w:ind w:firstLine="480" w:firstLineChars="200"/>
        <w:textAlignment w:val="auto"/>
        <w:outlineLvl w:val="9"/>
        <w:rPr>
          <w:rFonts w:hint="eastAsia" w:ascii="宋体" w:hAnsi="宋体" w:eastAsia="宋体" w:cs="宋体"/>
          <w:sz w:val="24"/>
        </w:rPr>
      </w:pPr>
      <w:r>
        <w:rPr>
          <w:rFonts w:hint="eastAsia" w:ascii="宋体" w:hAnsi="宋体" w:eastAsia="宋体" w:cs="宋体"/>
          <w:position w:val="-10"/>
          <w:sz w:val="24"/>
        </w:rPr>
        <w:object>
          <v:shape id="_x0000_i1029" o:spt="75" type="#_x0000_t75" style="height:19.95pt;width:108.2pt;" o:ole="t" filled="f" o:preferrelative="t" stroked="f" coordsize="21600,21600">
            <v:path/>
            <v:fill on="f" focussize="0,0"/>
            <v:stroke on="f"/>
            <v:imagedata r:id="rId17" embosscolor="#FFFFFF" o:title=""/>
            <o:lock v:ext="edit" grouping="f" rotation="f" text="f" aspectratio="t"/>
            <w10:wrap type="none"/>
            <w10:anchorlock/>
          </v:shape>
          <o:OLEObject Type="Embed" ProgID="Equation.KSEE3" ShapeID="_x0000_i1029" DrawAspect="Content" ObjectID="_1468075729" r:id="rId16">
            <o:LockedField>false</o:LockedField>
          </o:OLEObject>
        </w:object>
      </w:r>
      <w:r>
        <w:rPr>
          <w:rFonts w:hint="eastAsia" w:ascii="宋体" w:hAnsi="宋体" w:eastAsia="宋体" w:cs="宋体"/>
          <w:sz w:val="24"/>
        </w:rPr>
        <w:t>——各可调因子的基本价格指数，指基准日期的各可调因子的价格指数。</w:t>
      </w:r>
    </w:p>
    <w:p w14:paraId="7CCDAA26">
      <w:pPr>
        <w:pageBreakBefore w:val="0"/>
        <w:widowControl w:val="0"/>
        <w:tabs>
          <w:tab w:val="left" w:pos="0"/>
          <w:tab w:val="left" w:pos="360"/>
          <w:tab w:val="left" w:pos="540"/>
        </w:tabs>
        <w:kinsoku/>
        <w:wordWrap/>
        <w:overflowPunct/>
        <w:topLinePunct w:val="0"/>
        <w:bidi w:val="0"/>
        <w:snapToGrid/>
        <w:spacing w:line="480" w:lineRule="exact"/>
        <w:ind w:firstLine="480" w:firstLineChars="200"/>
        <w:textAlignment w:val="auto"/>
        <w:outlineLvl w:val="9"/>
        <w:rPr>
          <w:rFonts w:hint="eastAsia" w:ascii="宋体" w:hAnsi="宋体" w:eastAsia="宋体" w:cs="宋体"/>
          <w:sz w:val="24"/>
        </w:rPr>
      </w:pPr>
      <w:r>
        <w:rPr>
          <w:rFonts w:hint="eastAsia" w:ascii="宋体" w:hAnsi="宋体" w:eastAsia="宋体" w:cs="宋体"/>
          <w:sz w:val="24"/>
        </w:rPr>
        <w:t>以上价格调整公式中的各可调因子、定值和变值权重，以及基本价格指数及其来源在投标函附录价格指数和权重表中约定，非招标订立的合同，由合同当事人在专用合同条款中约定。价格指数应首先采用工程造价管理机构发布的价格指数，无前述价格指数时，可采用工程造价管理机构发布的价格代替。</w:t>
      </w:r>
    </w:p>
    <w:p w14:paraId="6F64E488">
      <w:pPr>
        <w:pageBreakBefore w:val="0"/>
        <w:widowControl w:val="0"/>
        <w:tabs>
          <w:tab w:val="left" w:pos="0"/>
          <w:tab w:val="left" w:pos="360"/>
          <w:tab w:val="left" w:pos="540"/>
        </w:tabs>
        <w:kinsoku/>
        <w:wordWrap/>
        <w:overflowPunct/>
        <w:topLinePunct w:val="0"/>
        <w:bidi w:val="0"/>
        <w:snapToGrid/>
        <w:spacing w:line="480" w:lineRule="exact"/>
        <w:ind w:firstLine="480" w:firstLineChars="200"/>
        <w:textAlignment w:val="auto"/>
        <w:outlineLvl w:val="9"/>
        <w:rPr>
          <w:rFonts w:hint="eastAsia" w:ascii="宋体" w:hAnsi="宋体" w:eastAsia="宋体" w:cs="宋体"/>
          <w:sz w:val="24"/>
        </w:rPr>
      </w:pPr>
      <w:r>
        <w:rPr>
          <w:rFonts w:hint="eastAsia" w:ascii="宋体" w:hAnsi="宋体" w:eastAsia="宋体" w:cs="宋体"/>
          <w:sz w:val="24"/>
        </w:rPr>
        <w:t>（2）暂时确定调整差额</w:t>
      </w:r>
    </w:p>
    <w:p w14:paraId="06769FCF">
      <w:pPr>
        <w:pageBreakBefore w:val="0"/>
        <w:widowControl w:val="0"/>
        <w:tabs>
          <w:tab w:val="left" w:pos="0"/>
          <w:tab w:val="left" w:pos="360"/>
          <w:tab w:val="left" w:pos="540"/>
        </w:tabs>
        <w:kinsoku/>
        <w:wordWrap/>
        <w:overflowPunct/>
        <w:topLinePunct w:val="0"/>
        <w:bidi w:val="0"/>
        <w:snapToGrid/>
        <w:spacing w:line="480" w:lineRule="exact"/>
        <w:ind w:firstLine="480" w:firstLineChars="200"/>
        <w:textAlignment w:val="auto"/>
        <w:outlineLvl w:val="9"/>
        <w:rPr>
          <w:rFonts w:hint="eastAsia" w:ascii="宋体" w:hAnsi="宋体" w:eastAsia="宋体" w:cs="宋体"/>
          <w:sz w:val="24"/>
        </w:rPr>
      </w:pPr>
      <w:r>
        <w:rPr>
          <w:rFonts w:hint="eastAsia" w:ascii="宋体" w:hAnsi="宋体" w:eastAsia="宋体" w:cs="宋体"/>
          <w:sz w:val="24"/>
        </w:rPr>
        <w:t>在计算调整差额时无现行价格指数的，合同当事人同意暂用前次价格指数计算。实际价格指数有调整的，合同当事人进行相应调整。</w:t>
      </w:r>
    </w:p>
    <w:p w14:paraId="1F445399">
      <w:pPr>
        <w:pageBreakBefore w:val="0"/>
        <w:widowControl w:val="0"/>
        <w:tabs>
          <w:tab w:val="left" w:pos="0"/>
          <w:tab w:val="left" w:pos="360"/>
          <w:tab w:val="left" w:pos="540"/>
        </w:tabs>
        <w:kinsoku/>
        <w:wordWrap/>
        <w:overflowPunct/>
        <w:topLinePunct w:val="0"/>
        <w:bidi w:val="0"/>
        <w:snapToGrid/>
        <w:spacing w:line="480" w:lineRule="exact"/>
        <w:ind w:firstLine="480" w:firstLineChars="200"/>
        <w:textAlignment w:val="auto"/>
        <w:outlineLvl w:val="9"/>
        <w:rPr>
          <w:rFonts w:hint="eastAsia" w:ascii="宋体" w:hAnsi="宋体" w:eastAsia="宋体" w:cs="宋体"/>
          <w:sz w:val="24"/>
        </w:rPr>
      </w:pPr>
      <w:r>
        <w:rPr>
          <w:rFonts w:hint="eastAsia" w:ascii="宋体" w:hAnsi="宋体" w:eastAsia="宋体" w:cs="宋体"/>
          <w:sz w:val="24"/>
        </w:rPr>
        <w:t>（3）权重的调整</w:t>
      </w:r>
    </w:p>
    <w:p w14:paraId="13D0FA27">
      <w:pPr>
        <w:pageBreakBefore w:val="0"/>
        <w:widowControl w:val="0"/>
        <w:tabs>
          <w:tab w:val="left" w:pos="0"/>
          <w:tab w:val="left" w:pos="360"/>
          <w:tab w:val="left" w:pos="540"/>
        </w:tabs>
        <w:kinsoku/>
        <w:wordWrap/>
        <w:overflowPunct/>
        <w:topLinePunct w:val="0"/>
        <w:bidi w:val="0"/>
        <w:snapToGrid/>
        <w:spacing w:line="480" w:lineRule="exact"/>
        <w:ind w:firstLine="480" w:firstLineChars="200"/>
        <w:textAlignment w:val="auto"/>
        <w:outlineLvl w:val="9"/>
        <w:rPr>
          <w:rFonts w:hint="eastAsia" w:ascii="宋体" w:hAnsi="宋体" w:eastAsia="宋体" w:cs="宋体"/>
          <w:sz w:val="24"/>
        </w:rPr>
      </w:pPr>
      <w:r>
        <w:rPr>
          <w:rFonts w:hint="eastAsia" w:ascii="宋体" w:hAnsi="宋体" w:eastAsia="宋体" w:cs="宋体"/>
          <w:sz w:val="24"/>
        </w:rPr>
        <w:t>因变更导致合同约定的权重不合理时，按照第4.4款〔商定或确定〕执行。</w:t>
      </w:r>
    </w:p>
    <w:p w14:paraId="767523EB">
      <w:pPr>
        <w:pageBreakBefore w:val="0"/>
        <w:widowControl w:val="0"/>
        <w:tabs>
          <w:tab w:val="left" w:pos="0"/>
          <w:tab w:val="left" w:pos="360"/>
          <w:tab w:val="left" w:pos="540"/>
        </w:tabs>
        <w:kinsoku/>
        <w:wordWrap/>
        <w:overflowPunct/>
        <w:topLinePunct w:val="0"/>
        <w:bidi w:val="0"/>
        <w:snapToGrid/>
        <w:spacing w:line="480" w:lineRule="exact"/>
        <w:ind w:firstLine="480" w:firstLineChars="200"/>
        <w:textAlignment w:val="auto"/>
        <w:outlineLvl w:val="9"/>
        <w:rPr>
          <w:rFonts w:hint="eastAsia" w:ascii="宋体" w:hAnsi="宋体" w:eastAsia="宋体" w:cs="宋体"/>
          <w:sz w:val="24"/>
        </w:rPr>
      </w:pPr>
      <w:r>
        <w:rPr>
          <w:rFonts w:hint="eastAsia" w:ascii="宋体" w:hAnsi="宋体" w:eastAsia="宋体" w:cs="宋体"/>
          <w:sz w:val="24"/>
        </w:rPr>
        <w:t>（4）因承包人原因工期延误后的价格调整</w:t>
      </w:r>
    </w:p>
    <w:p w14:paraId="0219E74A">
      <w:pPr>
        <w:pageBreakBefore w:val="0"/>
        <w:widowControl w:val="0"/>
        <w:tabs>
          <w:tab w:val="left" w:pos="0"/>
          <w:tab w:val="left" w:pos="360"/>
          <w:tab w:val="left" w:pos="540"/>
        </w:tabs>
        <w:kinsoku/>
        <w:wordWrap/>
        <w:overflowPunct/>
        <w:topLinePunct w:val="0"/>
        <w:bidi w:val="0"/>
        <w:snapToGrid/>
        <w:spacing w:line="480" w:lineRule="exact"/>
        <w:ind w:firstLine="480" w:firstLineChars="200"/>
        <w:textAlignment w:val="auto"/>
        <w:outlineLvl w:val="9"/>
        <w:rPr>
          <w:rFonts w:hint="eastAsia" w:ascii="宋体" w:hAnsi="宋体" w:eastAsia="宋体" w:cs="宋体"/>
          <w:sz w:val="24"/>
        </w:rPr>
      </w:pPr>
      <w:r>
        <w:rPr>
          <w:rFonts w:hint="eastAsia" w:ascii="宋体" w:hAnsi="宋体" w:eastAsia="宋体" w:cs="宋体"/>
          <w:sz w:val="24"/>
        </w:rPr>
        <w:t>因承包人原因未按期竣工的，对合同约定的竣工日期后继续施工的工程，在使用价格调整公式时，应采用计划竣工日期与实际竣工日期的两个价格指数中较低的一个作为现行价格指数。</w:t>
      </w:r>
    </w:p>
    <w:p w14:paraId="4BC71E67">
      <w:pPr>
        <w:pageBreakBefore w:val="0"/>
        <w:widowControl w:val="0"/>
        <w:tabs>
          <w:tab w:val="left" w:pos="0"/>
          <w:tab w:val="left" w:pos="360"/>
          <w:tab w:val="left" w:pos="540"/>
        </w:tabs>
        <w:kinsoku/>
        <w:wordWrap/>
        <w:overflowPunct/>
        <w:topLinePunct w:val="0"/>
        <w:bidi w:val="0"/>
        <w:snapToGrid/>
        <w:spacing w:line="480" w:lineRule="exact"/>
        <w:ind w:firstLine="480" w:firstLineChars="200"/>
        <w:textAlignment w:val="auto"/>
        <w:outlineLvl w:val="9"/>
        <w:rPr>
          <w:rFonts w:hint="eastAsia" w:ascii="宋体" w:hAnsi="宋体" w:eastAsia="宋体" w:cs="宋体"/>
          <w:sz w:val="24"/>
        </w:rPr>
      </w:pPr>
      <w:r>
        <w:rPr>
          <w:rFonts w:hint="eastAsia" w:ascii="宋体" w:hAnsi="宋体" w:eastAsia="宋体" w:cs="宋体"/>
          <w:sz w:val="24"/>
        </w:rPr>
        <w:t>第2种方式：采用造价信息进行价格调整。</w:t>
      </w:r>
    </w:p>
    <w:p w14:paraId="676D825B">
      <w:pPr>
        <w:pageBreakBefore w:val="0"/>
        <w:widowControl w:val="0"/>
        <w:kinsoku/>
        <w:wordWrap/>
        <w:overflowPunct/>
        <w:topLinePunct w:val="0"/>
        <w:bidi w:val="0"/>
        <w:snapToGrid/>
        <w:spacing w:line="480" w:lineRule="exact"/>
        <w:ind w:firstLine="480" w:firstLineChars="200"/>
        <w:textAlignment w:val="auto"/>
        <w:outlineLvl w:val="9"/>
        <w:rPr>
          <w:rFonts w:hint="eastAsia" w:ascii="宋体" w:hAnsi="宋体" w:eastAsia="宋体" w:cs="宋体"/>
          <w:sz w:val="24"/>
        </w:rPr>
      </w:pPr>
      <w:r>
        <w:rPr>
          <w:rFonts w:hint="eastAsia" w:ascii="宋体" w:hAnsi="宋体" w:eastAsia="宋体" w:cs="宋体"/>
          <w:sz w:val="24"/>
        </w:rPr>
        <w:t>合同履行期间，因人工、材料、工程设备和机械台班价格波动影响合同价格时，人工、机械使用费按照国家或省、自治区、直辖市建设行政管理部门、行业建设管理部门或其授权的工程造价管理机构发布的人工、机械使用费系数进行调整；需要进行价格调整的材料，其单价和采购数量应由发包人审批，发包人确认需调整的材料单价及数量，作为调整合同价格的依据。</w:t>
      </w:r>
    </w:p>
    <w:p w14:paraId="51AF4EFB">
      <w:pPr>
        <w:pageBreakBefore w:val="0"/>
        <w:widowControl w:val="0"/>
        <w:kinsoku/>
        <w:wordWrap/>
        <w:overflowPunct/>
        <w:topLinePunct w:val="0"/>
        <w:bidi w:val="0"/>
        <w:snapToGrid/>
        <w:spacing w:line="480" w:lineRule="exact"/>
        <w:ind w:firstLine="480" w:firstLineChars="200"/>
        <w:textAlignment w:val="auto"/>
        <w:outlineLvl w:val="9"/>
        <w:rPr>
          <w:rFonts w:hint="eastAsia" w:ascii="宋体" w:hAnsi="宋体" w:eastAsia="宋体" w:cs="宋体"/>
          <w:sz w:val="24"/>
        </w:rPr>
      </w:pPr>
      <w:r>
        <w:rPr>
          <w:rFonts w:hint="eastAsia" w:ascii="宋体" w:hAnsi="宋体" w:eastAsia="宋体" w:cs="宋体"/>
          <w:sz w:val="24"/>
        </w:rPr>
        <w:t>（1）人工单价发生变化且符合省级或行业建设主管部门发布的人工费调整规定，合同当事人应按省级或行业建设主管部门或其授权的工程造价管理机构发布的人工费等文件调整合同价格，但承包人对人工费或人工单价的报价高于发布价格的除外。</w:t>
      </w:r>
    </w:p>
    <w:p w14:paraId="2CDB06B4">
      <w:pPr>
        <w:pageBreakBefore w:val="0"/>
        <w:widowControl w:val="0"/>
        <w:kinsoku/>
        <w:wordWrap/>
        <w:overflowPunct/>
        <w:topLinePunct w:val="0"/>
        <w:bidi w:val="0"/>
        <w:snapToGrid/>
        <w:spacing w:line="480" w:lineRule="exact"/>
        <w:ind w:firstLine="480" w:firstLineChars="200"/>
        <w:textAlignment w:val="auto"/>
        <w:outlineLvl w:val="9"/>
        <w:rPr>
          <w:rFonts w:hint="eastAsia" w:ascii="宋体" w:hAnsi="宋体" w:eastAsia="宋体" w:cs="宋体"/>
          <w:sz w:val="24"/>
        </w:rPr>
      </w:pPr>
      <w:r>
        <w:rPr>
          <w:rFonts w:hint="eastAsia" w:ascii="宋体" w:hAnsi="宋体" w:eastAsia="宋体" w:cs="宋体"/>
          <w:sz w:val="24"/>
        </w:rPr>
        <w:t>（2）材料、工程设备价格变化的价款调整按照发包人提供的基准价格，按以下风险范围规定执行:</w:t>
      </w:r>
    </w:p>
    <w:p w14:paraId="759EDCEF">
      <w:pPr>
        <w:pageBreakBefore w:val="0"/>
        <w:widowControl w:val="0"/>
        <w:kinsoku/>
        <w:wordWrap/>
        <w:overflowPunct/>
        <w:topLinePunct w:val="0"/>
        <w:bidi w:val="0"/>
        <w:snapToGrid/>
        <w:spacing w:line="480" w:lineRule="exact"/>
        <w:ind w:firstLine="480" w:firstLineChars="200"/>
        <w:textAlignment w:val="auto"/>
        <w:outlineLvl w:val="9"/>
        <w:rPr>
          <w:rFonts w:hint="eastAsia" w:ascii="宋体" w:hAnsi="宋体" w:eastAsia="宋体" w:cs="宋体"/>
          <w:sz w:val="24"/>
        </w:rPr>
      </w:pPr>
      <w:r>
        <w:rPr>
          <w:rFonts w:hint="eastAsia" w:ascii="宋体" w:hAnsi="宋体" w:eastAsia="宋体" w:cs="宋体"/>
          <w:sz w:val="24"/>
        </w:rPr>
        <w:t>①承包人在已标价工程量清单或预算书中载明材料单价低于基准价格的：除专用合同条款另有约定外，合同履行期间材料单价涨幅以基准价格为基础超过5%时，或材料单价跌幅以在已标价工程量清单或预算书中载明材料单价为基础超过5%时，其超过部分据实调整。</w:t>
      </w:r>
    </w:p>
    <w:p w14:paraId="4B4783CD">
      <w:pPr>
        <w:pageBreakBefore w:val="0"/>
        <w:widowControl w:val="0"/>
        <w:kinsoku/>
        <w:wordWrap/>
        <w:overflowPunct/>
        <w:topLinePunct w:val="0"/>
        <w:bidi w:val="0"/>
        <w:snapToGrid/>
        <w:spacing w:line="480" w:lineRule="exact"/>
        <w:ind w:firstLine="480" w:firstLineChars="200"/>
        <w:textAlignment w:val="auto"/>
        <w:outlineLvl w:val="9"/>
        <w:rPr>
          <w:rFonts w:hint="eastAsia" w:ascii="宋体" w:hAnsi="宋体" w:eastAsia="宋体" w:cs="宋体"/>
          <w:sz w:val="24"/>
        </w:rPr>
      </w:pPr>
      <w:r>
        <w:rPr>
          <w:rFonts w:hint="eastAsia" w:ascii="宋体" w:hAnsi="宋体" w:eastAsia="宋体" w:cs="宋体"/>
          <w:sz w:val="24"/>
        </w:rPr>
        <w:t>②承包人在已标价工程量清单或预算书中载明材料单价高于基准价格的：除专用合同条款另有约定外，合同履行期间材料单价跌幅以基准价格为基础超过5%时，材料单价涨幅以在已标价工程量清单或预算书中载明材料单价为基础超过5%时，其超过部分据实调 整。</w:t>
      </w:r>
    </w:p>
    <w:p w14:paraId="19E74396">
      <w:pPr>
        <w:pageBreakBefore w:val="0"/>
        <w:widowControl w:val="0"/>
        <w:kinsoku/>
        <w:wordWrap/>
        <w:overflowPunct/>
        <w:topLinePunct w:val="0"/>
        <w:bidi w:val="0"/>
        <w:snapToGrid/>
        <w:spacing w:line="480" w:lineRule="exact"/>
        <w:ind w:firstLine="480" w:firstLineChars="200"/>
        <w:textAlignment w:val="auto"/>
        <w:outlineLvl w:val="9"/>
        <w:rPr>
          <w:rFonts w:hint="eastAsia" w:ascii="宋体" w:hAnsi="宋体" w:eastAsia="宋体" w:cs="宋体"/>
          <w:sz w:val="24"/>
        </w:rPr>
      </w:pPr>
      <w:r>
        <w:rPr>
          <w:rFonts w:hint="eastAsia" w:ascii="宋体" w:hAnsi="宋体" w:eastAsia="宋体" w:cs="宋体"/>
          <w:sz w:val="24"/>
        </w:rPr>
        <w:t>③承包人在已标价工程量清单或预算书中载明材料单价等于基准价格的：除专用合同条款另有约定外，合同履行期间材料单价涨跌幅以基准价格为基础超过±5%时，其超过部分据实调整。</w:t>
      </w:r>
    </w:p>
    <w:p w14:paraId="5FCE7468">
      <w:pPr>
        <w:pageBreakBefore w:val="0"/>
        <w:widowControl w:val="0"/>
        <w:kinsoku/>
        <w:wordWrap/>
        <w:overflowPunct/>
        <w:topLinePunct w:val="0"/>
        <w:bidi w:val="0"/>
        <w:snapToGrid/>
        <w:spacing w:line="480" w:lineRule="exact"/>
        <w:ind w:firstLine="480" w:firstLineChars="200"/>
        <w:textAlignment w:val="auto"/>
        <w:outlineLvl w:val="9"/>
        <w:rPr>
          <w:rFonts w:hint="eastAsia" w:ascii="宋体" w:hAnsi="宋体" w:eastAsia="宋体" w:cs="宋体"/>
          <w:sz w:val="24"/>
        </w:rPr>
      </w:pPr>
      <w:r>
        <w:rPr>
          <w:rFonts w:hint="eastAsia" w:ascii="宋体" w:hAnsi="宋体" w:eastAsia="宋体" w:cs="宋体"/>
          <w:sz w:val="24"/>
        </w:rPr>
        <w:t>④承包人应在采购材料前将采购数量和新的材料单价报发包人核对，发包人确认用于工程时，发包人应确认采购材料的数量和单价。发包人在收到承包人报送的确认资料后5天内不予答复的视为认可，作为调整合同价格的依据。未经发包人事先核对，承包人自行采购材料的，发包人有权不予调整合同价格。发包人同意的，可以调整合同价格。</w:t>
      </w:r>
    </w:p>
    <w:p w14:paraId="4E78BC11">
      <w:pPr>
        <w:pageBreakBefore w:val="0"/>
        <w:widowControl w:val="0"/>
        <w:kinsoku/>
        <w:wordWrap/>
        <w:overflowPunct/>
        <w:topLinePunct w:val="0"/>
        <w:bidi w:val="0"/>
        <w:snapToGrid/>
        <w:spacing w:line="480" w:lineRule="exact"/>
        <w:ind w:firstLine="480" w:firstLineChars="200"/>
        <w:textAlignment w:val="auto"/>
        <w:outlineLvl w:val="9"/>
        <w:rPr>
          <w:rFonts w:hint="eastAsia" w:ascii="宋体" w:hAnsi="宋体" w:eastAsia="宋体" w:cs="宋体"/>
          <w:sz w:val="24"/>
        </w:rPr>
      </w:pPr>
      <w:r>
        <w:rPr>
          <w:rFonts w:hint="eastAsia" w:ascii="宋体" w:hAnsi="宋体" w:eastAsia="宋体" w:cs="宋体"/>
          <w:sz w:val="24"/>
        </w:rPr>
        <w:t>前述基准价格是指由发包人在招标文件或专用合同条款中给定的材料、工程设备的价格，该价格原则上应当按照省级或行业建设主管部门或其授权的工程造价管理机构发布的信息价编制。</w:t>
      </w:r>
    </w:p>
    <w:p w14:paraId="0A1088E0">
      <w:pPr>
        <w:pageBreakBefore w:val="0"/>
        <w:widowControl w:val="0"/>
        <w:kinsoku/>
        <w:wordWrap/>
        <w:overflowPunct/>
        <w:topLinePunct w:val="0"/>
        <w:bidi w:val="0"/>
        <w:snapToGrid/>
        <w:spacing w:line="480" w:lineRule="exact"/>
        <w:ind w:firstLine="480" w:firstLineChars="200"/>
        <w:textAlignment w:val="auto"/>
        <w:outlineLvl w:val="9"/>
        <w:rPr>
          <w:rFonts w:hint="eastAsia" w:ascii="宋体" w:hAnsi="宋体" w:eastAsia="宋体" w:cs="宋体"/>
          <w:sz w:val="24"/>
        </w:rPr>
      </w:pPr>
      <w:r>
        <w:rPr>
          <w:rFonts w:hint="eastAsia" w:ascii="宋体" w:hAnsi="宋体" w:eastAsia="宋体" w:cs="宋体"/>
          <w:sz w:val="24"/>
        </w:rPr>
        <w:t>（3）施工机械台班单价或施工机械使用费发生变化超过省级或行业建设主管部门或其授权的工程造价管理机构规定的范围时，按规定调整合同价格。</w:t>
      </w:r>
    </w:p>
    <w:p w14:paraId="5C61DA9E">
      <w:pPr>
        <w:pageBreakBefore w:val="0"/>
        <w:widowControl w:val="0"/>
        <w:kinsoku/>
        <w:wordWrap/>
        <w:overflowPunct/>
        <w:topLinePunct w:val="0"/>
        <w:bidi w:val="0"/>
        <w:snapToGrid/>
        <w:spacing w:line="480" w:lineRule="exact"/>
        <w:ind w:firstLine="480" w:firstLineChars="200"/>
        <w:textAlignment w:val="auto"/>
        <w:outlineLvl w:val="9"/>
        <w:rPr>
          <w:rFonts w:hint="eastAsia" w:ascii="宋体" w:hAnsi="宋体" w:eastAsia="宋体" w:cs="宋体"/>
          <w:sz w:val="24"/>
        </w:rPr>
      </w:pPr>
      <w:r>
        <w:rPr>
          <w:rFonts w:hint="eastAsia" w:ascii="宋体" w:hAnsi="宋体" w:eastAsia="宋体" w:cs="宋体"/>
          <w:sz w:val="24"/>
        </w:rPr>
        <w:t>第3种方式：专用合同条款约定的其他方式。</w:t>
      </w:r>
    </w:p>
    <w:p w14:paraId="461E8290">
      <w:pPr>
        <w:pageBreakBefore w:val="0"/>
        <w:widowControl w:val="0"/>
        <w:kinsoku/>
        <w:wordWrap/>
        <w:overflowPunct/>
        <w:topLinePunct w:val="0"/>
        <w:bidi w:val="0"/>
        <w:snapToGrid/>
        <w:spacing w:before="120" w:after="120" w:line="480" w:lineRule="exact"/>
        <w:ind w:firstLine="480" w:firstLineChars="200"/>
        <w:textAlignment w:val="auto"/>
        <w:outlineLvl w:val="9"/>
        <w:rPr>
          <w:rFonts w:hint="eastAsia" w:ascii="宋体" w:hAnsi="宋体" w:eastAsia="宋体" w:cs="宋体"/>
          <w:b w:val="0"/>
          <w:sz w:val="24"/>
          <w:szCs w:val="24"/>
        </w:rPr>
      </w:pPr>
      <w:bookmarkStart w:id="848" w:name="_Toc351203579"/>
      <w:bookmarkStart w:id="849" w:name="_Toc296346594"/>
      <w:bookmarkStart w:id="850" w:name="_Toc337558798"/>
      <w:bookmarkStart w:id="851" w:name="_Toc296503093"/>
      <w:r>
        <w:rPr>
          <w:rFonts w:hint="eastAsia" w:ascii="宋体" w:hAnsi="宋体" w:eastAsia="宋体" w:cs="宋体"/>
          <w:b w:val="0"/>
          <w:sz w:val="24"/>
          <w:szCs w:val="24"/>
        </w:rPr>
        <w:t>11.2法律变化引起的调整</w:t>
      </w:r>
      <w:bookmarkEnd w:id="848"/>
    </w:p>
    <w:bookmarkEnd w:id="849"/>
    <w:bookmarkEnd w:id="850"/>
    <w:bookmarkEnd w:id="851"/>
    <w:p w14:paraId="6EC3B32E">
      <w:pPr>
        <w:pageBreakBefore w:val="0"/>
        <w:widowControl w:val="0"/>
        <w:kinsoku/>
        <w:wordWrap/>
        <w:overflowPunct/>
        <w:topLinePunct w:val="0"/>
        <w:bidi w:val="0"/>
        <w:snapToGrid/>
        <w:spacing w:line="480" w:lineRule="exact"/>
        <w:ind w:firstLine="480" w:firstLineChars="200"/>
        <w:textAlignment w:val="auto"/>
        <w:outlineLvl w:val="9"/>
        <w:rPr>
          <w:rFonts w:hint="eastAsia" w:ascii="宋体" w:hAnsi="宋体" w:eastAsia="宋体" w:cs="宋体"/>
          <w:sz w:val="24"/>
        </w:rPr>
      </w:pPr>
      <w:r>
        <w:rPr>
          <w:rFonts w:hint="eastAsia" w:ascii="宋体" w:hAnsi="宋体" w:eastAsia="宋体" w:cs="宋体"/>
          <w:sz w:val="24"/>
        </w:rPr>
        <w:t>基准日期后，法律变化导致承包人在合同履行过程中所需要的费用发生除第11.1款〔市场价格波动引起的调整〕约定以外的增加时，由发包人承担由此增加的费用；减少时，应从合同价格中予以扣减。基准日期后，因法律变化造成工期延误时，工期应予以顺延。</w:t>
      </w:r>
    </w:p>
    <w:p w14:paraId="23929B12">
      <w:pPr>
        <w:pageBreakBefore w:val="0"/>
        <w:widowControl w:val="0"/>
        <w:kinsoku/>
        <w:wordWrap/>
        <w:overflowPunct/>
        <w:topLinePunct w:val="0"/>
        <w:bidi w:val="0"/>
        <w:snapToGrid/>
        <w:spacing w:line="480" w:lineRule="exact"/>
        <w:ind w:firstLine="480" w:firstLineChars="200"/>
        <w:textAlignment w:val="auto"/>
        <w:outlineLvl w:val="9"/>
        <w:rPr>
          <w:rFonts w:hint="eastAsia" w:ascii="宋体" w:hAnsi="宋体" w:eastAsia="宋体" w:cs="宋体"/>
          <w:sz w:val="24"/>
        </w:rPr>
      </w:pPr>
      <w:r>
        <w:rPr>
          <w:rFonts w:hint="eastAsia" w:ascii="宋体" w:hAnsi="宋体" w:eastAsia="宋体" w:cs="宋体"/>
          <w:sz w:val="24"/>
        </w:rPr>
        <w:t>因法律变化引起的合同价格和工期调整，合同当事人无法达成一致的，由总监理工程师按第4.4款〔商定或确定〕的约定处理。</w:t>
      </w:r>
    </w:p>
    <w:p w14:paraId="5CB13388">
      <w:pPr>
        <w:pageBreakBefore w:val="0"/>
        <w:widowControl w:val="0"/>
        <w:kinsoku/>
        <w:wordWrap/>
        <w:overflowPunct/>
        <w:topLinePunct w:val="0"/>
        <w:bidi w:val="0"/>
        <w:snapToGrid/>
        <w:spacing w:line="480" w:lineRule="exact"/>
        <w:ind w:firstLine="480" w:firstLineChars="200"/>
        <w:textAlignment w:val="auto"/>
        <w:outlineLvl w:val="9"/>
        <w:rPr>
          <w:rFonts w:hint="eastAsia" w:ascii="宋体" w:hAnsi="宋体" w:eastAsia="宋体" w:cs="宋体"/>
          <w:sz w:val="24"/>
        </w:rPr>
      </w:pPr>
      <w:r>
        <w:rPr>
          <w:rFonts w:hint="eastAsia" w:ascii="宋体" w:hAnsi="宋体" w:eastAsia="宋体" w:cs="宋体"/>
          <w:kern w:val="0"/>
          <w:sz w:val="24"/>
        </w:rPr>
        <w:t>因承包人原因造成工期延误，在工期延误期间出现法律变化的，由此增加的费用和（或）延误的工期由承包人承担。</w:t>
      </w:r>
    </w:p>
    <w:p w14:paraId="543CE2D8">
      <w:pPr>
        <w:pageBreakBefore w:val="0"/>
        <w:widowControl w:val="0"/>
        <w:kinsoku/>
        <w:wordWrap/>
        <w:overflowPunct/>
        <w:topLinePunct w:val="0"/>
        <w:bidi w:val="0"/>
        <w:snapToGrid/>
        <w:spacing w:before="120" w:after="120" w:line="480" w:lineRule="exact"/>
        <w:textAlignment w:val="auto"/>
        <w:outlineLvl w:val="9"/>
        <w:rPr>
          <w:rFonts w:hint="eastAsia" w:ascii="宋体" w:hAnsi="宋体" w:eastAsia="宋体" w:cs="宋体"/>
          <w:bCs w:val="0"/>
          <w:sz w:val="24"/>
          <w:szCs w:val="24"/>
        </w:rPr>
      </w:pPr>
      <w:bookmarkStart w:id="852" w:name="_Toc351203580"/>
      <w:bookmarkStart w:id="853" w:name="_Toc337558799"/>
      <w:bookmarkStart w:id="854" w:name="_Toc296346597"/>
      <w:bookmarkStart w:id="855" w:name="_Toc296503096"/>
      <w:r>
        <w:rPr>
          <w:rFonts w:hint="eastAsia" w:ascii="宋体" w:hAnsi="宋体" w:eastAsia="宋体" w:cs="宋体"/>
          <w:bCs w:val="0"/>
          <w:sz w:val="24"/>
          <w:szCs w:val="24"/>
        </w:rPr>
        <w:t>12. 合同价格、计量与支付</w:t>
      </w:r>
      <w:bookmarkEnd w:id="852"/>
    </w:p>
    <w:bookmarkEnd w:id="853"/>
    <w:p w14:paraId="704975FF">
      <w:pPr>
        <w:pageBreakBefore w:val="0"/>
        <w:widowControl w:val="0"/>
        <w:kinsoku/>
        <w:wordWrap/>
        <w:overflowPunct/>
        <w:topLinePunct w:val="0"/>
        <w:bidi w:val="0"/>
        <w:snapToGrid/>
        <w:spacing w:before="120" w:after="120" w:line="480" w:lineRule="exact"/>
        <w:ind w:firstLine="480" w:firstLineChars="200"/>
        <w:textAlignment w:val="auto"/>
        <w:outlineLvl w:val="9"/>
        <w:rPr>
          <w:rFonts w:hint="eastAsia" w:ascii="宋体" w:hAnsi="宋体" w:eastAsia="宋体" w:cs="宋体"/>
          <w:b w:val="0"/>
          <w:sz w:val="24"/>
          <w:szCs w:val="24"/>
        </w:rPr>
      </w:pPr>
      <w:bookmarkStart w:id="856" w:name="_Toc351203581"/>
      <w:bookmarkStart w:id="857" w:name="_Toc337558800"/>
      <w:r>
        <w:rPr>
          <w:rFonts w:hint="eastAsia" w:ascii="宋体" w:hAnsi="宋体" w:eastAsia="宋体" w:cs="宋体"/>
          <w:b w:val="0"/>
          <w:sz w:val="24"/>
          <w:szCs w:val="24"/>
        </w:rPr>
        <w:t>12.1 合同价</w:t>
      </w:r>
      <w:bookmarkEnd w:id="854"/>
      <w:bookmarkEnd w:id="855"/>
      <w:r>
        <w:rPr>
          <w:rFonts w:hint="eastAsia" w:ascii="宋体" w:hAnsi="宋体" w:eastAsia="宋体" w:cs="宋体"/>
          <w:b w:val="0"/>
          <w:sz w:val="24"/>
          <w:szCs w:val="24"/>
        </w:rPr>
        <w:t>格形式</w:t>
      </w:r>
      <w:bookmarkEnd w:id="856"/>
    </w:p>
    <w:bookmarkEnd w:id="857"/>
    <w:p w14:paraId="6848F7F9">
      <w:pPr>
        <w:pageBreakBefore w:val="0"/>
        <w:widowControl w:val="0"/>
        <w:kinsoku/>
        <w:wordWrap/>
        <w:overflowPunct/>
        <w:topLinePunct w:val="0"/>
        <w:autoSpaceDE w:val="0"/>
        <w:autoSpaceDN w:val="0"/>
        <w:bidi w:val="0"/>
        <w:adjustRightInd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 xml:space="preserve">发包人和承包人应在合同协议书中选择下列一种合同价格形式： </w:t>
      </w:r>
    </w:p>
    <w:p w14:paraId="78A62898">
      <w:pPr>
        <w:pageBreakBefore w:val="0"/>
        <w:widowControl w:val="0"/>
        <w:kinsoku/>
        <w:wordWrap/>
        <w:overflowPunct/>
        <w:topLinePunct w:val="0"/>
        <w:autoSpaceDE w:val="0"/>
        <w:autoSpaceDN w:val="0"/>
        <w:bidi w:val="0"/>
        <w:adjustRightInd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1、单价合同</w:t>
      </w:r>
    </w:p>
    <w:p w14:paraId="7F5BE27C">
      <w:pPr>
        <w:pageBreakBefore w:val="0"/>
        <w:widowControl w:val="0"/>
        <w:kinsoku/>
        <w:wordWrap/>
        <w:overflowPunct/>
        <w:topLinePunct w:val="0"/>
        <w:autoSpaceDE w:val="0"/>
        <w:autoSpaceDN w:val="0"/>
        <w:bidi w:val="0"/>
        <w:adjustRightInd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单价合同是指合同当事人约定以工程量清单及其综合单价进行合同价格计算、调整和确认的建设工程施工合同，</w:t>
      </w:r>
      <w:r>
        <w:rPr>
          <w:rFonts w:hint="eastAsia" w:ascii="宋体" w:hAnsi="宋体" w:eastAsia="宋体" w:cs="宋体"/>
          <w:sz w:val="24"/>
        </w:rPr>
        <w:t>在约定的范围内合同单价不作调整</w:t>
      </w:r>
      <w:r>
        <w:rPr>
          <w:rFonts w:hint="eastAsia" w:ascii="宋体" w:hAnsi="宋体" w:eastAsia="宋体" w:cs="宋体"/>
          <w:kern w:val="0"/>
          <w:sz w:val="24"/>
        </w:rPr>
        <w:t>。合同当事人应在专用合同条款中约定综合单价包含的风险范围和风险费用的计算方法</w:t>
      </w:r>
      <w:r>
        <w:rPr>
          <w:rFonts w:hint="eastAsia" w:ascii="宋体" w:hAnsi="宋体" w:eastAsia="宋体" w:cs="宋体"/>
          <w:sz w:val="24"/>
        </w:rPr>
        <w:t>，</w:t>
      </w:r>
      <w:r>
        <w:rPr>
          <w:rFonts w:hint="eastAsia" w:ascii="宋体" w:hAnsi="宋体" w:eastAsia="宋体" w:cs="宋体"/>
          <w:kern w:val="0"/>
          <w:sz w:val="24"/>
        </w:rPr>
        <w:t>并约定风险范围以外的合同价格的调整方法，其中因市场价格波动引起的调整按第11.1款〔市场价格波动引起的调整〕约定执行。</w:t>
      </w:r>
    </w:p>
    <w:p w14:paraId="384C6331">
      <w:pPr>
        <w:pageBreakBefore w:val="0"/>
        <w:widowControl w:val="0"/>
        <w:kinsoku/>
        <w:wordWrap/>
        <w:overflowPunct/>
        <w:topLinePunct w:val="0"/>
        <w:autoSpaceDE w:val="0"/>
        <w:autoSpaceDN w:val="0"/>
        <w:bidi w:val="0"/>
        <w:adjustRightInd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2、总价合同</w:t>
      </w:r>
    </w:p>
    <w:p w14:paraId="09050478">
      <w:pPr>
        <w:pageBreakBefore w:val="0"/>
        <w:widowControl w:val="0"/>
        <w:kinsoku/>
        <w:wordWrap/>
        <w:overflowPunct/>
        <w:topLinePunct w:val="0"/>
        <w:autoSpaceDE w:val="0"/>
        <w:autoSpaceDN w:val="0"/>
        <w:bidi w:val="0"/>
        <w:adjustRightInd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总价合同是指合同当事人约定以施工图、已标价工程量清单或预算书及有关条件进行合同价格计算、调整和确认的建设工程施工合同，</w:t>
      </w:r>
      <w:r>
        <w:rPr>
          <w:rFonts w:hint="eastAsia" w:ascii="宋体" w:hAnsi="宋体" w:eastAsia="宋体" w:cs="宋体"/>
          <w:sz w:val="24"/>
        </w:rPr>
        <w:t>在约定的范围内合同总价不作调整</w:t>
      </w:r>
      <w:r>
        <w:rPr>
          <w:rFonts w:hint="eastAsia" w:ascii="宋体" w:hAnsi="宋体" w:eastAsia="宋体" w:cs="宋体"/>
          <w:kern w:val="0"/>
          <w:sz w:val="24"/>
        </w:rPr>
        <w:t>。合同当事人应在专用合同条款中约定总价包含的风险范围和风险费用的计算方法，并约定风险范围以外的合同价格的调整方法，其中因市场价格波动引起的调整按第11.1款〔市场价格波动引起的调整〕、因法律变化引起的调整按第11.2款〔法律变化引起的调整〕约定执行。</w:t>
      </w:r>
    </w:p>
    <w:p w14:paraId="4A207BC8">
      <w:pPr>
        <w:pageBreakBefore w:val="0"/>
        <w:widowControl w:val="0"/>
        <w:kinsoku/>
        <w:wordWrap/>
        <w:overflowPunct/>
        <w:topLinePunct w:val="0"/>
        <w:autoSpaceDE w:val="0"/>
        <w:autoSpaceDN w:val="0"/>
        <w:bidi w:val="0"/>
        <w:adjustRightInd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3、其它价格形式</w:t>
      </w:r>
    </w:p>
    <w:p w14:paraId="35451DCD">
      <w:pPr>
        <w:pageBreakBefore w:val="0"/>
        <w:widowControl w:val="0"/>
        <w:kinsoku/>
        <w:wordWrap/>
        <w:overflowPunct/>
        <w:topLinePunct w:val="0"/>
        <w:autoSpaceDE w:val="0"/>
        <w:autoSpaceDN w:val="0"/>
        <w:bidi w:val="0"/>
        <w:adjustRightInd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合同当事人可在专用合同条款中约定其他合同价格形式。</w:t>
      </w:r>
    </w:p>
    <w:p w14:paraId="366B6E93">
      <w:pPr>
        <w:pageBreakBefore w:val="0"/>
        <w:widowControl w:val="0"/>
        <w:kinsoku/>
        <w:wordWrap/>
        <w:overflowPunct/>
        <w:topLinePunct w:val="0"/>
        <w:bidi w:val="0"/>
        <w:snapToGrid/>
        <w:spacing w:before="120" w:after="120" w:line="480" w:lineRule="exact"/>
        <w:ind w:firstLine="480" w:firstLineChars="200"/>
        <w:textAlignment w:val="auto"/>
        <w:outlineLvl w:val="9"/>
        <w:rPr>
          <w:rFonts w:hint="eastAsia" w:ascii="宋体" w:hAnsi="宋体" w:eastAsia="宋体" w:cs="宋体"/>
          <w:b w:val="0"/>
          <w:sz w:val="24"/>
          <w:szCs w:val="24"/>
        </w:rPr>
      </w:pPr>
      <w:bookmarkStart w:id="858" w:name="_Toc296346598"/>
      <w:bookmarkStart w:id="859" w:name="_Toc296503097"/>
      <w:bookmarkStart w:id="860" w:name="_Toc351203582"/>
      <w:bookmarkStart w:id="861" w:name="_Toc337558801"/>
      <w:r>
        <w:rPr>
          <w:rFonts w:hint="eastAsia" w:ascii="宋体" w:hAnsi="宋体" w:eastAsia="宋体" w:cs="宋体"/>
          <w:b w:val="0"/>
          <w:sz w:val="24"/>
          <w:szCs w:val="24"/>
        </w:rPr>
        <w:t>12.2预</w:t>
      </w:r>
      <w:bookmarkEnd w:id="858"/>
      <w:bookmarkEnd w:id="859"/>
      <w:bookmarkStart w:id="862" w:name="_Toc296503100"/>
      <w:bookmarkStart w:id="863" w:name="_Toc296346601"/>
      <w:r>
        <w:rPr>
          <w:rFonts w:hint="eastAsia" w:ascii="宋体" w:hAnsi="宋体" w:eastAsia="宋体" w:cs="宋体"/>
          <w:b w:val="0"/>
          <w:sz w:val="24"/>
          <w:szCs w:val="24"/>
        </w:rPr>
        <w:t>付款</w:t>
      </w:r>
      <w:bookmarkEnd w:id="860"/>
    </w:p>
    <w:bookmarkEnd w:id="861"/>
    <w:bookmarkEnd w:id="862"/>
    <w:bookmarkEnd w:id="863"/>
    <w:p w14:paraId="031D8F4C">
      <w:pPr>
        <w:pageBreakBefore w:val="0"/>
        <w:widowControl w:val="0"/>
        <w:kinsoku/>
        <w:wordWrap/>
        <w:overflowPunct/>
        <w:topLinePunct w:val="0"/>
        <w:bidi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sz w:val="24"/>
        </w:rPr>
        <w:t>12.2.</w:t>
      </w:r>
      <w:r>
        <w:rPr>
          <w:rFonts w:hint="eastAsia" w:ascii="宋体" w:hAnsi="宋体" w:eastAsia="宋体" w:cs="宋体"/>
          <w:kern w:val="0"/>
          <w:sz w:val="24"/>
        </w:rPr>
        <w:t>1预付款的支付</w:t>
      </w:r>
    </w:p>
    <w:p w14:paraId="0B6780E8">
      <w:pPr>
        <w:pageBreakBefore w:val="0"/>
        <w:widowControl w:val="0"/>
        <w:kinsoku/>
        <w:wordWrap/>
        <w:overflowPunct/>
        <w:topLinePunct w:val="0"/>
        <w:bidi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预付款的支付按照专用合同条款约定执行，但至迟应在开工通知载明的开工日期7天前支付。预付款应当用于材料、工程设备、施工设备的采购及修建临时工程、组织施工队伍进场等。</w:t>
      </w:r>
    </w:p>
    <w:p w14:paraId="096B89F4">
      <w:pPr>
        <w:pageBreakBefore w:val="0"/>
        <w:widowControl w:val="0"/>
        <w:kinsoku/>
        <w:wordWrap/>
        <w:overflowPunct/>
        <w:topLinePunct w:val="0"/>
        <w:bidi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除专用合同条款另有约定外，预付款在进度付款中同比例扣回。在颁发工程接收证书前，提前解除合同的，尚未扣完的预付款应与合同价款一并结算。</w:t>
      </w:r>
    </w:p>
    <w:p w14:paraId="3C5D8909">
      <w:pPr>
        <w:pageBreakBefore w:val="0"/>
        <w:widowControl w:val="0"/>
        <w:kinsoku/>
        <w:wordWrap/>
        <w:overflowPunct/>
        <w:topLinePunct w:val="0"/>
        <w:bidi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发包人逾期支付预付款超过7天的，承包人有权向发包人发出要求预付的催告通知，发包人收到通知后7天内仍未支付的，承包人有权暂停施工，并按第16.1.1项〔发包人违约的情形〕执行。</w:t>
      </w:r>
    </w:p>
    <w:p w14:paraId="487CB71F">
      <w:pPr>
        <w:pageBreakBefore w:val="0"/>
        <w:widowControl w:val="0"/>
        <w:kinsoku/>
        <w:wordWrap/>
        <w:overflowPunct/>
        <w:topLinePunct w:val="0"/>
        <w:bidi w:val="0"/>
        <w:snapToGrid/>
        <w:spacing w:line="480" w:lineRule="exact"/>
        <w:ind w:firstLine="480" w:firstLineChars="200"/>
        <w:jc w:val="left"/>
        <w:textAlignment w:val="auto"/>
        <w:outlineLvl w:val="9"/>
        <w:rPr>
          <w:rFonts w:hint="eastAsia" w:ascii="宋体" w:hAnsi="宋体" w:eastAsia="宋体" w:cs="宋体"/>
          <w:sz w:val="24"/>
        </w:rPr>
      </w:pPr>
      <w:r>
        <w:rPr>
          <w:rFonts w:hint="eastAsia" w:ascii="宋体" w:hAnsi="宋体" w:eastAsia="宋体" w:cs="宋体"/>
          <w:sz w:val="24"/>
        </w:rPr>
        <w:t>12.2.2 预付款担保</w:t>
      </w:r>
    </w:p>
    <w:p w14:paraId="5AA1E43C">
      <w:pPr>
        <w:pageBreakBefore w:val="0"/>
        <w:widowControl w:val="0"/>
        <w:kinsoku/>
        <w:wordWrap/>
        <w:overflowPunct/>
        <w:topLinePunct w:val="0"/>
        <w:bidi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发包人要求承包人提供预付款担保的，承包人应在发包人支付预付款7天前提供预付款担保，专用合同条款另有约定除外。预付款担保可采用银行保函、担保公司担保等形式，具体由合同当事人在专用合同条款中约定。在预付款完全扣回之前，承包人应保证预付款担保持续有效。</w:t>
      </w:r>
    </w:p>
    <w:p w14:paraId="1FD2C71C">
      <w:pPr>
        <w:pageBreakBefore w:val="0"/>
        <w:widowControl w:val="0"/>
        <w:kinsoku/>
        <w:wordWrap/>
        <w:overflowPunct/>
        <w:topLinePunct w:val="0"/>
        <w:bidi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发包人在工程款中逐期扣回预付款后，预付款担保额度应相应减少，但剩余的预付款担保金额不得低于未被扣回的预付款金额。</w:t>
      </w:r>
    </w:p>
    <w:p w14:paraId="20BAB118">
      <w:pPr>
        <w:pageBreakBefore w:val="0"/>
        <w:widowControl w:val="0"/>
        <w:kinsoku/>
        <w:wordWrap/>
        <w:overflowPunct/>
        <w:topLinePunct w:val="0"/>
        <w:bidi w:val="0"/>
        <w:snapToGrid/>
        <w:spacing w:before="120" w:after="120" w:line="480" w:lineRule="exact"/>
        <w:ind w:firstLine="480" w:firstLineChars="200"/>
        <w:textAlignment w:val="auto"/>
        <w:outlineLvl w:val="9"/>
        <w:rPr>
          <w:rFonts w:hint="eastAsia" w:ascii="宋体" w:hAnsi="宋体" w:eastAsia="宋体" w:cs="宋体"/>
          <w:b w:val="0"/>
          <w:sz w:val="24"/>
          <w:szCs w:val="24"/>
        </w:rPr>
      </w:pPr>
      <w:bookmarkStart w:id="864" w:name="_Toc351203583"/>
      <w:bookmarkStart w:id="865" w:name="_Toc337558802"/>
      <w:r>
        <w:rPr>
          <w:rFonts w:hint="eastAsia" w:ascii="宋体" w:hAnsi="宋体" w:eastAsia="宋体" w:cs="宋体"/>
          <w:b w:val="0"/>
          <w:sz w:val="24"/>
          <w:szCs w:val="24"/>
        </w:rPr>
        <w:t>12.3计量</w:t>
      </w:r>
      <w:bookmarkEnd w:id="864"/>
    </w:p>
    <w:bookmarkEnd w:id="865"/>
    <w:p w14:paraId="1CE6A86D">
      <w:pPr>
        <w:pageBreakBefore w:val="0"/>
        <w:widowControl w:val="0"/>
        <w:kinsoku/>
        <w:wordWrap/>
        <w:overflowPunct/>
        <w:topLinePunct w:val="0"/>
        <w:bidi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12.3.1 计量原则</w:t>
      </w:r>
    </w:p>
    <w:p w14:paraId="2AF6AE9C">
      <w:pPr>
        <w:pageBreakBefore w:val="0"/>
        <w:widowControl w:val="0"/>
        <w:kinsoku/>
        <w:wordWrap/>
        <w:overflowPunct/>
        <w:topLinePunct w:val="0"/>
        <w:bidi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工程量计量按照合同约定的工程量计算规则、图纸及变更指示等进行计量。工程量计算规则应以相关的国家标准、行业标准等为依据，由合同当事人在专用合同条款中约定。</w:t>
      </w:r>
    </w:p>
    <w:p w14:paraId="1FA2A588">
      <w:pPr>
        <w:pageBreakBefore w:val="0"/>
        <w:widowControl w:val="0"/>
        <w:kinsoku/>
        <w:wordWrap/>
        <w:overflowPunct/>
        <w:topLinePunct w:val="0"/>
        <w:bidi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12.3.2 计量周期</w:t>
      </w:r>
    </w:p>
    <w:p w14:paraId="1555CB7A">
      <w:pPr>
        <w:pageBreakBefore w:val="0"/>
        <w:widowControl w:val="0"/>
        <w:kinsoku/>
        <w:wordWrap/>
        <w:overflowPunct/>
        <w:topLinePunct w:val="0"/>
        <w:bidi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除专用合同条款另有约定外，工程量的计量按月进行。</w:t>
      </w:r>
    </w:p>
    <w:p w14:paraId="149778E3">
      <w:pPr>
        <w:pageBreakBefore w:val="0"/>
        <w:widowControl w:val="0"/>
        <w:kinsoku/>
        <w:wordWrap/>
        <w:overflowPunct/>
        <w:topLinePunct w:val="0"/>
        <w:bidi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12.3.3 单价合同的计量</w:t>
      </w:r>
    </w:p>
    <w:p w14:paraId="3EDADC19">
      <w:pPr>
        <w:pageBreakBefore w:val="0"/>
        <w:widowControl w:val="0"/>
        <w:kinsoku/>
        <w:wordWrap/>
        <w:overflowPunct/>
        <w:topLinePunct w:val="0"/>
        <w:bidi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除专用合同条款另有约定外，单价合同的计量按照本项约定执行：</w:t>
      </w:r>
    </w:p>
    <w:p w14:paraId="5841C928">
      <w:pPr>
        <w:pageBreakBefore w:val="0"/>
        <w:widowControl w:val="0"/>
        <w:kinsoku/>
        <w:wordWrap/>
        <w:overflowPunct/>
        <w:topLinePunct w:val="0"/>
        <w:bidi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（1）承包人应于每月25日向监理人报送上月20日至当月19日已完成的工程量报告，并附具进度付款申请单、已完成工程量报表和有关资料。</w:t>
      </w:r>
    </w:p>
    <w:p w14:paraId="36B910C1">
      <w:pPr>
        <w:pageBreakBefore w:val="0"/>
        <w:widowControl w:val="0"/>
        <w:kinsoku/>
        <w:wordWrap/>
        <w:overflowPunct/>
        <w:topLinePunct w:val="0"/>
        <w:bidi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2）监理人应在收到承包人提交的工程量报告后7天内完成对承包人提交的工程量报表的审核并报送发包人，以确定当月实际完成的工程量。监理人对工程量有异议的，有权要求承包人进行共同复核或抽样复测。承包人应协助监理人进行复核或抽样复测，并按监理人要求提供补充计量资料。承包人未按监理人要求参加复核或抽样复测的，监理人复核或修正的工程量视为承包人实际完成的工程量。</w:t>
      </w:r>
    </w:p>
    <w:p w14:paraId="7910E551">
      <w:pPr>
        <w:pageBreakBefore w:val="0"/>
        <w:widowControl w:val="0"/>
        <w:kinsoku/>
        <w:wordWrap/>
        <w:overflowPunct/>
        <w:topLinePunct w:val="0"/>
        <w:bidi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（3）监理人未在收到承包人提交的工程量报表后的7天内完成审核的，承包人报送的工程量报告中的工程量视为承包人实际完成的工程量，据此计算工程价款。</w:t>
      </w:r>
    </w:p>
    <w:p w14:paraId="2E33D269">
      <w:pPr>
        <w:pageBreakBefore w:val="0"/>
        <w:widowControl w:val="0"/>
        <w:kinsoku/>
        <w:wordWrap/>
        <w:overflowPunct/>
        <w:topLinePunct w:val="0"/>
        <w:bidi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12.3.4 总价合同的计量</w:t>
      </w:r>
    </w:p>
    <w:p w14:paraId="6D640974">
      <w:pPr>
        <w:pageBreakBefore w:val="0"/>
        <w:widowControl w:val="0"/>
        <w:kinsoku/>
        <w:wordWrap/>
        <w:overflowPunct/>
        <w:topLinePunct w:val="0"/>
        <w:bidi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除专用合同条款另有约定外，按月计量支付的总价合同，按照本项约定执行：</w:t>
      </w:r>
    </w:p>
    <w:p w14:paraId="1B976E1D">
      <w:pPr>
        <w:pageBreakBefore w:val="0"/>
        <w:widowControl w:val="0"/>
        <w:kinsoku/>
        <w:wordWrap/>
        <w:overflowPunct/>
        <w:topLinePunct w:val="0"/>
        <w:bidi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（1）承包人应于每月25日向监理人报送上月20日至当月19日已完成的工程量报告，并附具进度付款申请单、已完成工程量报表和有关资料。</w:t>
      </w:r>
    </w:p>
    <w:p w14:paraId="39FADEBF">
      <w:pPr>
        <w:pageBreakBefore w:val="0"/>
        <w:widowControl w:val="0"/>
        <w:kinsoku/>
        <w:wordWrap/>
        <w:overflowPunct/>
        <w:topLinePunct w:val="0"/>
        <w:bidi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2）监理人应在收到承包人提交的工程量报告后7天内完成对承包人提交的工程量报表的审核并报送发包人，以确定当月实际完成的工程量。监理人对工程量有异议的，有权要求承包人进行共同复核或抽样复测。承包人应协助监理人进行复核或抽样复测并按监理人要求提供补充计量资料。承包人未按监理人要求参加复核或抽样复测的，监理人审核或修正的工程量视为承包人实际完成的工程量。</w:t>
      </w:r>
    </w:p>
    <w:p w14:paraId="220D0BB3">
      <w:pPr>
        <w:pageBreakBefore w:val="0"/>
        <w:widowControl w:val="0"/>
        <w:kinsoku/>
        <w:wordWrap/>
        <w:overflowPunct/>
        <w:topLinePunct w:val="0"/>
        <w:bidi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（3）监理人未在收到承包人提交的工程量报表后的7天内完成复核的，承包人提交的工程量报告中的工程量视为承包人实际完成的工程量。</w:t>
      </w:r>
    </w:p>
    <w:p w14:paraId="34DD18AC">
      <w:pPr>
        <w:pageBreakBefore w:val="0"/>
        <w:widowControl w:val="0"/>
        <w:kinsoku/>
        <w:wordWrap/>
        <w:overflowPunct/>
        <w:topLinePunct w:val="0"/>
        <w:bidi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12.3.5 总价合同采用支付分解表计量支付的，可以按照第12.3.4项〔总价合同的计量〕约定进行计量，但合同价款按照支付分解表进行支付。</w:t>
      </w:r>
    </w:p>
    <w:p w14:paraId="02A9F752">
      <w:pPr>
        <w:pageBreakBefore w:val="0"/>
        <w:widowControl w:val="0"/>
        <w:kinsoku/>
        <w:wordWrap/>
        <w:overflowPunct/>
        <w:topLinePunct w:val="0"/>
        <w:bidi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12.3.6 其他价格形式合同的计量</w:t>
      </w:r>
    </w:p>
    <w:p w14:paraId="779CB1DA">
      <w:pPr>
        <w:pageBreakBefore w:val="0"/>
        <w:widowControl w:val="0"/>
        <w:kinsoku/>
        <w:wordWrap/>
        <w:overflowPunct/>
        <w:topLinePunct w:val="0"/>
        <w:bidi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合同当事人可在专用合同条款中约定其他价格形式合同的计量方式和程序。</w:t>
      </w:r>
    </w:p>
    <w:p w14:paraId="72A51BA1">
      <w:pPr>
        <w:pageBreakBefore w:val="0"/>
        <w:widowControl w:val="0"/>
        <w:kinsoku/>
        <w:wordWrap/>
        <w:overflowPunct/>
        <w:topLinePunct w:val="0"/>
        <w:bidi w:val="0"/>
        <w:snapToGrid/>
        <w:spacing w:before="120" w:after="120" w:line="480" w:lineRule="exact"/>
        <w:ind w:firstLine="480" w:firstLineChars="200"/>
        <w:textAlignment w:val="auto"/>
        <w:outlineLvl w:val="9"/>
        <w:rPr>
          <w:rFonts w:hint="eastAsia" w:ascii="宋体" w:hAnsi="宋体" w:eastAsia="宋体" w:cs="宋体"/>
          <w:b w:val="0"/>
          <w:sz w:val="24"/>
          <w:szCs w:val="24"/>
        </w:rPr>
      </w:pPr>
      <w:bookmarkStart w:id="866" w:name="_Toc296503101"/>
      <w:bookmarkStart w:id="867" w:name="_Toc296346602"/>
      <w:bookmarkStart w:id="868" w:name="_Toc351203584"/>
      <w:bookmarkStart w:id="869" w:name="_Toc337558803"/>
      <w:r>
        <w:rPr>
          <w:rFonts w:hint="eastAsia" w:ascii="宋体" w:hAnsi="宋体" w:eastAsia="宋体" w:cs="宋体"/>
          <w:b w:val="0"/>
          <w:sz w:val="24"/>
          <w:szCs w:val="24"/>
        </w:rPr>
        <w:t>12.4工程进度款支</w:t>
      </w:r>
      <w:bookmarkEnd w:id="866"/>
      <w:bookmarkEnd w:id="867"/>
      <w:r>
        <w:rPr>
          <w:rFonts w:hint="eastAsia" w:ascii="宋体" w:hAnsi="宋体" w:eastAsia="宋体" w:cs="宋体"/>
          <w:b w:val="0"/>
          <w:sz w:val="24"/>
          <w:szCs w:val="24"/>
        </w:rPr>
        <w:t>付</w:t>
      </w:r>
      <w:bookmarkEnd w:id="868"/>
    </w:p>
    <w:bookmarkEnd w:id="869"/>
    <w:p w14:paraId="26E0AC7B">
      <w:pPr>
        <w:pageBreakBefore w:val="0"/>
        <w:widowControl w:val="0"/>
        <w:kinsoku/>
        <w:wordWrap/>
        <w:overflowPunct/>
        <w:topLinePunct w:val="0"/>
        <w:autoSpaceDE w:val="0"/>
        <w:autoSpaceDN w:val="0"/>
        <w:bidi w:val="0"/>
        <w:adjustRightInd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sz w:val="24"/>
        </w:rPr>
        <w:t>12.4</w:t>
      </w:r>
      <w:r>
        <w:rPr>
          <w:rFonts w:hint="eastAsia" w:ascii="宋体" w:hAnsi="宋体" w:eastAsia="宋体" w:cs="宋体"/>
          <w:kern w:val="0"/>
          <w:sz w:val="24"/>
        </w:rPr>
        <w:t>.1 付款周期</w:t>
      </w:r>
    </w:p>
    <w:p w14:paraId="583D3B72">
      <w:pPr>
        <w:pageBreakBefore w:val="0"/>
        <w:widowControl w:val="0"/>
        <w:kinsoku/>
        <w:wordWrap/>
        <w:overflowPunct/>
        <w:topLinePunct w:val="0"/>
        <w:bidi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除专用合同条款另有约定外，付款周期应按照第12.3.2项〔计量周期〕的约定与计量周期保持一致。</w:t>
      </w:r>
    </w:p>
    <w:p w14:paraId="31C5D131">
      <w:pPr>
        <w:pageBreakBefore w:val="0"/>
        <w:widowControl w:val="0"/>
        <w:kinsoku/>
        <w:wordWrap/>
        <w:overflowPunct/>
        <w:topLinePunct w:val="0"/>
        <w:autoSpaceDE w:val="0"/>
        <w:autoSpaceDN w:val="0"/>
        <w:bidi w:val="0"/>
        <w:adjustRightInd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sz w:val="24"/>
        </w:rPr>
        <w:t>12.4</w:t>
      </w:r>
      <w:r>
        <w:rPr>
          <w:rFonts w:hint="eastAsia" w:ascii="宋体" w:hAnsi="宋体" w:eastAsia="宋体" w:cs="宋体"/>
          <w:kern w:val="0"/>
          <w:sz w:val="24"/>
        </w:rPr>
        <w:t>.2 进度付款申请单的编制</w:t>
      </w:r>
    </w:p>
    <w:p w14:paraId="23E21351">
      <w:pPr>
        <w:pageBreakBefore w:val="0"/>
        <w:widowControl w:val="0"/>
        <w:kinsoku/>
        <w:wordWrap/>
        <w:overflowPunct/>
        <w:topLinePunct w:val="0"/>
        <w:autoSpaceDE w:val="0"/>
        <w:autoSpaceDN w:val="0"/>
        <w:bidi w:val="0"/>
        <w:adjustRightInd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除专用合同条款另有约定外，进度付款申请单应包括下列内容：</w:t>
      </w:r>
    </w:p>
    <w:p w14:paraId="63D56520">
      <w:pPr>
        <w:pageBreakBefore w:val="0"/>
        <w:widowControl w:val="0"/>
        <w:kinsoku/>
        <w:wordWrap/>
        <w:overflowPunct/>
        <w:topLinePunct w:val="0"/>
        <w:autoSpaceDE w:val="0"/>
        <w:autoSpaceDN w:val="0"/>
        <w:bidi w:val="0"/>
        <w:adjustRightInd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（1）截至本次付款周期已完成工作对应的金额；</w:t>
      </w:r>
    </w:p>
    <w:p w14:paraId="7A9588EF">
      <w:pPr>
        <w:pageBreakBefore w:val="0"/>
        <w:widowControl w:val="0"/>
        <w:kinsoku/>
        <w:wordWrap/>
        <w:overflowPunct/>
        <w:topLinePunct w:val="0"/>
        <w:autoSpaceDE w:val="0"/>
        <w:autoSpaceDN w:val="0"/>
        <w:bidi w:val="0"/>
        <w:adjustRightInd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（2）根据第10条〔变更〕应增加和扣减的变更金额；</w:t>
      </w:r>
    </w:p>
    <w:p w14:paraId="795322D8">
      <w:pPr>
        <w:pageBreakBefore w:val="0"/>
        <w:widowControl w:val="0"/>
        <w:kinsoku/>
        <w:wordWrap/>
        <w:overflowPunct/>
        <w:topLinePunct w:val="0"/>
        <w:autoSpaceDE w:val="0"/>
        <w:autoSpaceDN w:val="0"/>
        <w:bidi w:val="0"/>
        <w:adjustRightInd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（3）根据第12.2款〔预付款〕约定应支付的预付款和扣减的返还预付款；</w:t>
      </w:r>
    </w:p>
    <w:p w14:paraId="6BB9EF0E">
      <w:pPr>
        <w:pageBreakBefore w:val="0"/>
        <w:widowControl w:val="0"/>
        <w:kinsoku/>
        <w:wordWrap/>
        <w:overflowPunct/>
        <w:topLinePunct w:val="0"/>
        <w:autoSpaceDE w:val="0"/>
        <w:autoSpaceDN w:val="0"/>
        <w:bidi w:val="0"/>
        <w:adjustRightInd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（4）根据第15.3款〔质量保证金〕约定应扣减的质量保证金；</w:t>
      </w:r>
    </w:p>
    <w:p w14:paraId="6A649315">
      <w:pPr>
        <w:pageBreakBefore w:val="0"/>
        <w:widowControl w:val="0"/>
        <w:kinsoku/>
        <w:wordWrap/>
        <w:overflowPunct/>
        <w:topLinePunct w:val="0"/>
        <w:autoSpaceDE w:val="0"/>
        <w:autoSpaceDN w:val="0"/>
        <w:bidi w:val="0"/>
        <w:adjustRightInd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（5）根据第19条〔索赔〕应增加和扣减的索赔金额；</w:t>
      </w:r>
    </w:p>
    <w:p w14:paraId="287F3CB8">
      <w:pPr>
        <w:pageBreakBefore w:val="0"/>
        <w:widowControl w:val="0"/>
        <w:kinsoku/>
        <w:wordWrap/>
        <w:overflowPunct/>
        <w:topLinePunct w:val="0"/>
        <w:autoSpaceDE w:val="0"/>
        <w:autoSpaceDN w:val="0"/>
        <w:bidi w:val="0"/>
        <w:adjustRightInd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（6）对已签发的进度款支付证书中出现错误的修正，应在本次进度付款中支付或扣除的金额；</w:t>
      </w:r>
    </w:p>
    <w:p w14:paraId="0F6AC69B">
      <w:pPr>
        <w:pageBreakBefore w:val="0"/>
        <w:widowControl w:val="0"/>
        <w:kinsoku/>
        <w:wordWrap/>
        <w:overflowPunct/>
        <w:topLinePunct w:val="0"/>
        <w:autoSpaceDE w:val="0"/>
        <w:autoSpaceDN w:val="0"/>
        <w:bidi w:val="0"/>
        <w:adjustRightInd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（7）根据合同约定应增加和扣减的其他金额。</w:t>
      </w:r>
    </w:p>
    <w:p w14:paraId="3B3DABEC">
      <w:pPr>
        <w:pageBreakBefore w:val="0"/>
        <w:widowControl w:val="0"/>
        <w:kinsoku/>
        <w:wordWrap/>
        <w:overflowPunct/>
        <w:topLinePunct w:val="0"/>
        <w:autoSpaceDE w:val="0"/>
        <w:autoSpaceDN w:val="0"/>
        <w:bidi w:val="0"/>
        <w:adjustRightInd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12.4.3 进度付款申请单的提交</w:t>
      </w:r>
    </w:p>
    <w:p w14:paraId="02C43D76">
      <w:pPr>
        <w:pageBreakBefore w:val="0"/>
        <w:widowControl w:val="0"/>
        <w:kinsoku/>
        <w:wordWrap/>
        <w:overflowPunct/>
        <w:topLinePunct w:val="0"/>
        <w:autoSpaceDE w:val="0"/>
        <w:autoSpaceDN w:val="0"/>
        <w:bidi w:val="0"/>
        <w:adjustRightInd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（1）单价合同进度付款申请单的提交</w:t>
      </w:r>
    </w:p>
    <w:p w14:paraId="2615F05D">
      <w:pPr>
        <w:pageBreakBefore w:val="0"/>
        <w:widowControl w:val="0"/>
        <w:kinsoku/>
        <w:wordWrap/>
        <w:overflowPunct/>
        <w:topLinePunct w:val="0"/>
        <w:autoSpaceDE w:val="0"/>
        <w:autoSpaceDN w:val="0"/>
        <w:bidi w:val="0"/>
        <w:adjustRightInd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单价合同的进度付款申请单，按照第12.3.3项〔单价合同的计量〕约定的时间按月向监理人提交，并附上已完成工程量报表和有关资料。单价合同中的总价项目按月进行支付分解，并汇总列入当期进度付款申请单。</w:t>
      </w:r>
    </w:p>
    <w:p w14:paraId="5CBB5EB2">
      <w:pPr>
        <w:pageBreakBefore w:val="0"/>
        <w:widowControl w:val="0"/>
        <w:kinsoku/>
        <w:wordWrap/>
        <w:overflowPunct/>
        <w:topLinePunct w:val="0"/>
        <w:autoSpaceDE w:val="0"/>
        <w:autoSpaceDN w:val="0"/>
        <w:bidi w:val="0"/>
        <w:adjustRightInd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（2）总价合同进度付款申请单的提交</w:t>
      </w:r>
    </w:p>
    <w:p w14:paraId="0451B063">
      <w:pPr>
        <w:pageBreakBefore w:val="0"/>
        <w:widowControl w:val="0"/>
        <w:kinsoku/>
        <w:wordWrap/>
        <w:overflowPunct/>
        <w:topLinePunct w:val="0"/>
        <w:autoSpaceDE w:val="0"/>
        <w:autoSpaceDN w:val="0"/>
        <w:bidi w:val="0"/>
        <w:adjustRightInd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总价合同按月计量支付的，承包人按照第12.3.4项〔总价合同的计量〕约定的时间按月向监理人提交进度付款申请单，并附上已完成工程量报表和有关资料。</w:t>
      </w:r>
    </w:p>
    <w:p w14:paraId="1184373F">
      <w:pPr>
        <w:pageBreakBefore w:val="0"/>
        <w:widowControl w:val="0"/>
        <w:kinsoku/>
        <w:wordWrap/>
        <w:overflowPunct/>
        <w:topLinePunct w:val="0"/>
        <w:autoSpaceDE w:val="0"/>
        <w:autoSpaceDN w:val="0"/>
        <w:bidi w:val="0"/>
        <w:adjustRightInd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总价合同按支付分解表支付的，承包人应按照第12.4.6项〔支付分解表〕及第12.4.2项〔进度付款申请单的编制〕的约定向监理人提交进度付款申请单。</w:t>
      </w:r>
    </w:p>
    <w:p w14:paraId="5272E6AE">
      <w:pPr>
        <w:pageBreakBefore w:val="0"/>
        <w:widowControl w:val="0"/>
        <w:kinsoku/>
        <w:wordWrap/>
        <w:overflowPunct/>
        <w:topLinePunct w:val="0"/>
        <w:autoSpaceDE w:val="0"/>
        <w:autoSpaceDN w:val="0"/>
        <w:bidi w:val="0"/>
        <w:adjustRightInd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（3）其他价格形式合同的进度付款申请单的提交</w:t>
      </w:r>
    </w:p>
    <w:p w14:paraId="332548EB">
      <w:pPr>
        <w:pageBreakBefore w:val="0"/>
        <w:widowControl w:val="0"/>
        <w:kinsoku/>
        <w:wordWrap/>
        <w:overflowPunct/>
        <w:topLinePunct w:val="0"/>
        <w:autoSpaceDE w:val="0"/>
        <w:autoSpaceDN w:val="0"/>
        <w:bidi w:val="0"/>
        <w:adjustRightInd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合同当事人可在专用合同条款中约定其他价格形式合同的进度付款申请单的编制和提交程序。</w:t>
      </w:r>
    </w:p>
    <w:p w14:paraId="45268193">
      <w:pPr>
        <w:pageBreakBefore w:val="0"/>
        <w:widowControl w:val="0"/>
        <w:kinsoku/>
        <w:wordWrap/>
        <w:overflowPunct/>
        <w:topLinePunct w:val="0"/>
        <w:autoSpaceDE w:val="0"/>
        <w:autoSpaceDN w:val="0"/>
        <w:bidi w:val="0"/>
        <w:adjustRightInd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sz w:val="24"/>
        </w:rPr>
        <w:t>12.4</w:t>
      </w:r>
      <w:r>
        <w:rPr>
          <w:rFonts w:hint="eastAsia" w:ascii="宋体" w:hAnsi="宋体" w:eastAsia="宋体" w:cs="宋体"/>
          <w:kern w:val="0"/>
          <w:sz w:val="24"/>
        </w:rPr>
        <w:t>.4 进度款审核和支付</w:t>
      </w:r>
    </w:p>
    <w:p w14:paraId="593BD066">
      <w:pPr>
        <w:pageBreakBefore w:val="0"/>
        <w:widowControl w:val="0"/>
        <w:kinsoku/>
        <w:wordWrap/>
        <w:overflowPunct/>
        <w:topLinePunct w:val="0"/>
        <w:autoSpaceDE w:val="0"/>
        <w:autoSpaceDN w:val="0"/>
        <w:bidi w:val="0"/>
        <w:adjustRightInd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1）除专用合同条款另有约定外，监理人应在收到承包人进度付款申请单以及相关资料后7天内完成审查并报送发包人，发包人应在收到后7天内完成审批并签发进度款支付证书。发包人逾期未完成审批且未提出异议的，视为已签发进度款支付证书。</w:t>
      </w:r>
    </w:p>
    <w:p w14:paraId="5FA6F7DD">
      <w:pPr>
        <w:pageBreakBefore w:val="0"/>
        <w:widowControl w:val="0"/>
        <w:kinsoku/>
        <w:wordWrap/>
        <w:overflowPunct/>
        <w:topLinePunct w:val="0"/>
        <w:autoSpaceDE w:val="0"/>
        <w:autoSpaceDN w:val="0"/>
        <w:bidi w:val="0"/>
        <w:adjustRightInd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发包人和监理人对承包人的进度付款申请单有异议的，有权要求承包人修正和提供补充资料，承包人应提交修正后的进度付款申请单。监理人应在收到承包人修正后的进度付款申请单及相关资料后7天内完成审查并报送发包人，发包人应在收到监理人报送的进度付款申请单及相关资料后7天内，向承包人签发无异议部分的临时进度款支付证书。存在争议的部分，按照第20条〔争议解决〕的约定处理。</w:t>
      </w:r>
    </w:p>
    <w:p w14:paraId="09C87E93">
      <w:pPr>
        <w:pageBreakBefore w:val="0"/>
        <w:widowControl w:val="0"/>
        <w:kinsoku/>
        <w:wordWrap/>
        <w:overflowPunct/>
        <w:topLinePunct w:val="0"/>
        <w:autoSpaceDE w:val="0"/>
        <w:autoSpaceDN w:val="0"/>
        <w:bidi w:val="0"/>
        <w:adjustRightInd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（2）除专用合同条款另有约定外，发包人应在进度款支付证书或临时进度款支付证书签发后14天内完成支付，发包人逾期支付进度款的，应按照中国人民银行发布的同期同类贷款基准利率支付违约金。</w:t>
      </w:r>
    </w:p>
    <w:p w14:paraId="7FA5A06A">
      <w:pPr>
        <w:pageBreakBefore w:val="0"/>
        <w:widowControl w:val="0"/>
        <w:kinsoku/>
        <w:wordWrap/>
        <w:overflowPunct/>
        <w:topLinePunct w:val="0"/>
        <w:autoSpaceDE w:val="0"/>
        <w:autoSpaceDN w:val="0"/>
        <w:bidi w:val="0"/>
        <w:adjustRightInd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（3）发包人签发进度款支付证书或临时进度款支付证书，不表明发包人已同意、批准或接受了承包人完成的相应部分的工作。</w:t>
      </w:r>
    </w:p>
    <w:p w14:paraId="4CDA3D19">
      <w:pPr>
        <w:pageBreakBefore w:val="0"/>
        <w:widowControl w:val="0"/>
        <w:kinsoku/>
        <w:wordWrap/>
        <w:overflowPunct/>
        <w:topLinePunct w:val="0"/>
        <w:autoSpaceDE w:val="0"/>
        <w:autoSpaceDN w:val="0"/>
        <w:bidi w:val="0"/>
        <w:adjustRightInd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12.4.5 进度付款的修正</w:t>
      </w:r>
    </w:p>
    <w:p w14:paraId="17FF294B">
      <w:pPr>
        <w:pageBreakBefore w:val="0"/>
        <w:widowControl w:val="0"/>
        <w:kinsoku/>
        <w:wordWrap/>
        <w:overflowPunct/>
        <w:topLinePunct w:val="0"/>
        <w:autoSpaceDE w:val="0"/>
        <w:autoSpaceDN w:val="0"/>
        <w:bidi w:val="0"/>
        <w:adjustRightInd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在对已签发的进度款支付证书进行阶段汇总和复核中发现错误、遗漏或重复的，发包人和承包人均有权提出修正申请。经发包人和承包人同意的修正，应在下期进度付款中支付或扣除。</w:t>
      </w:r>
    </w:p>
    <w:p w14:paraId="0AE6A159">
      <w:pPr>
        <w:pageBreakBefore w:val="0"/>
        <w:widowControl w:val="0"/>
        <w:kinsoku/>
        <w:wordWrap/>
        <w:overflowPunct/>
        <w:topLinePunct w:val="0"/>
        <w:autoSpaceDE w:val="0"/>
        <w:autoSpaceDN w:val="0"/>
        <w:bidi w:val="0"/>
        <w:adjustRightInd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12.4.6 支付分解表</w:t>
      </w:r>
    </w:p>
    <w:p w14:paraId="03996C15">
      <w:pPr>
        <w:pageBreakBefore w:val="0"/>
        <w:widowControl w:val="0"/>
        <w:kinsoku/>
        <w:wordWrap/>
        <w:overflowPunct/>
        <w:topLinePunct w:val="0"/>
        <w:bidi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1、支付分解表的编制要求</w:t>
      </w:r>
    </w:p>
    <w:p w14:paraId="3AD1A6AB">
      <w:pPr>
        <w:pageBreakBefore w:val="0"/>
        <w:widowControl w:val="0"/>
        <w:kinsoku/>
        <w:wordWrap/>
        <w:overflowPunct/>
        <w:topLinePunct w:val="0"/>
        <w:bidi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（1）支付分解表中所列的每期付款金额，应为第12.4.2项〔进度付款申请单的编制〕第（1）目的估算金额；</w:t>
      </w:r>
    </w:p>
    <w:p w14:paraId="40AFB514">
      <w:pPr>
        <w:pageBreakBefore w:val="0"/>
        <w:widowControl w:val="0"/>
        <w:kinsoku/>
        <w:wordWrap/>
        <w:overflowPunct/>
        <w:topLinePunct w:val="0"/>
        <w:bidi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（2）实际进度与施工进度计划不一致的，合同当事人可按照第4.4款〔商定或确定〕修改支付分解表；</w:t>
      </w:r>
    </w:p>
    <w:p w14:paraId="26FA4A32">
      <w:pPr>
        <w:pageBreakBefore w:val="0"/>
        <w:widowControl w:val="0"/>
        <w:kinsoku/>
        <w:wordWrap/>
        <w:overflowPunct/>
        <w:topLinePunct w:val="0"/>
        <w:bidi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（3）不采用支付分解表的，承包人应向发包人和监理人提交按季度编制的支付估算分解表，用于支付参考。</w:t>
      </w:r>
    </w:p>
    <w:p w14:paraId="1C8F2EB0">
      <w:pPr>
        <w:pageBreakBefore w:val="0"/>
        <w:widowControl w:val="0"/>
        <w:kinsoku/>
        <w:wordWrap/>
        <w:overflowPunct/>
        <w:topLinePunct w:val="0"/>
        <w:bidi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2、总价合同支付分解表的编制与审批</w:t>
      </w:r>
    </w:p>
    <w:p w14:paraId="489A24A3">
      <w:pPr>
        <w:pageBreakBefore w:val="0"/>
        <w:widowControl w:val="0"/>
        <w:kinsoku/>
        <w:wordWrap/>
        <w:overflowPunct/>
        <w:topLinePunct w:val="0"/>
        <w:bidi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1）除专用合同条款另有约定外，承包人应根据第7.2款〔施工进度计划〕约定的施工进度计划、签约合同价和工程量等因素对总价合同按月进行分解，编制支付分解表。承包人应当在收到监理人和发包人批准的施工进度计划后7天内，将支付分解表及编制支付分解表的支持性资料报送监理人。</w:t>
      </w:r>
    </w:p>
    <w:p w14:paraId="6AE6EB3C">
      <w:pPr>
        <w:pageBreakBefore w:val="0"/>
        <w:widowControl w:val="0"/>
        <w:kinsoku/>
        <w:wordWrap/>
        <w:overflowPunct/>
        <w:topLinePunct w:val="0"/>
        <w:bidi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（2）监理人应在收到支付分解表后7天内完成审核并报送发包人。发包人应在收到经监理人审核的支付分解表后7天内完成审批，经发包人批准的支付分解表为有约束力的支付分解表。</w:t>
      </w:r>
    </w:p>
    <w:p w14:paraId="219C2014">
      <w:pPr>
        <w:pageBreakBefore w:val="0"/>
        <w:widowControl w:val="0"/>
        <w:kinsoku/>
        <w:wordWrap/>
        <w:overflowPunct/>
        <w:topLinePunct w:val="0"/>
        <w:bidi w:val="0"/>
        <w:snapToGrid/>
        <w:spacing w:line="480" w:lineRule="exact"/>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 xml:space="preserve">    （3）发包人逾期未完成支付分解表审批的，也未及时要求承包人进行修正和提供补充资料的，则承包人提交的支付分解表视为已经获得发包人批准。</w:t>
      </w:r>
    </w:p>
    <w:p w14:paraId="2AC2948A">
      <w:pPr>
        <w:pageBreakBefore w:val="0"/>
        <w:widowControl w:val="0"/>
        <w:kinsoku/>
        <w:wordWrap/>
        <w:overflowPunct/>
        <w:topLinePunct w:val="0"/>
        <w:bidi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3、单价合同的总价项目支付分解表的编制与审批</w:t>
      </w:r>
    </w:p>
    <w:p w14:paraId="5CB10C09">
      <w:pPr>
        <w:pageBreakBefore w:val="0"/>
        <w:widowControl w:val="0"/>
        <w:kinsoku/>
        <w:wordWrap/>
        <w:overflowPunct/>
        <w:topLinePunct w:val="0"/>
        <w:bidi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除专用合同条款另有约定外，单价合同的总价项目，由承包人根据施工进度计划和总价项目的总价构成、费用性质、计划发生时间和相应工程量等因素按月进行分解，形成支付分解表，其编制与审批参照总价合同支付分解表的编制与审批执行。</w:t>
      </w:r>
    </w:p>
    <w:p w14:paraId="41EFF4DA">
      <w:pPr>
        <w:pageBreakBefore w:val="0"/>
        <w:widowControl w:val="0"/>
        <w:kinsoku/>
        <w:wordWrap/>
        <w:overflowPunct/>
        <w:topLinePunct w:val="0"/>
        <w:bidi w:val="0"/>
        <w:snapToGrid/>
        <w:spacing w:before="120" w:after="120" w:line="480" w:lineRule="exact"/>
        <w:ind w:firstLine="480" w:firstLineChars="200"/>
        <w:textAlignment w:val="auto"/>
        <w:outlineLvl w:val="9"/>
        <w:rPr>
          <w:rFonts w:hint="eastAsia" w:ascii="宋体" w:hAnsi="宋体" w:eastAsia="宋体" w:cs="宋体"/>
          <w:b w:val="0"/>
          <w:sz w:val="24"/>
          <w:szCs w:val="24"/>
        </w:rPr>
      </w:pPr>
      <w:bookmarkStart w:id="870" w:name="_Toc351203585"/>
      <w:r>
        <w:rPr>
          <w:rFonts w:hint="eastAsia" w:ascii="宋体" w:hAnsi="宋体" w:eastAsia="宋体" w:cs="宋体"/>
          <w:b w:val="0"/>
          <w:sz w:val="24"/>
          <w:szCs w:val="24"/>
        </w:rPr>
        <w:t>12.5支付账户</w:t>
      </w:r>
      <w:bookmarkEnd w:id="870"/>
    </w:p>
    <w:p w14:paraId="4505F484">
      <w:pPr>
        <w:pageBreakBefore w:val="0"/>
        <w:widowControl w:val="0"/>
        <w:kinsoku/>
        <w:wordWrap/>
        <w:overflowPunct/>
        <w:topLinePunct w:val="0"/>
        <w:bidi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发包人应将合同价款支付至合同协议书中约定的承包人账户。</w:t>
      </w:r>
    </w:p>
    <w:p w14:paraId="2A6BCFA7">
      <w:pPr>
        <w:pageBreakBefore w:val="0"/>
        <w:widowControl w:val="0"/>
        <w:kinsoku/>
        <w:wordWrap/>
        <w:overflowPunct/>
        <w:topLinePunct w:val="0"/>
        <w:bidi w:val="0"/>
        <w:snapToGrid/>
        <w:spacing w:before="120" w:after="120" w:line="480" w:lineRule="exact"/>
        <w:textAlignment w:val="auto"/>
        <w:outlineLvl w:val="9"/>
        <w:rPr>
          <w:rFonts w:hint="eastAsia" w:ascii="宋体" w:hAnsi="宋体" w:eastAsia="宋体" w:cs="宋体"/>
          <w:bCs w:val="0"/>
          <w:sz w:val="24"/>
          <w:szCs w:val="24"/>
        </w:rPr>
      </w:pPr>
      <w:bookmarkStart w:id="871" w:name="_Toc351203586"/>
      <w:bookmarkStart w:id="872" w:name="_Toc322522574"/>
      <w:bookmarkStart w:id="873" w:name="_Toc296346607"/>
      <w:bookmarkStart w:id="874" w:name="_Toc337558804"/>
      <w:bookmarkStart w:id="875" w:name="_Toc296503106"/>
      <w:r>
        <w:rPr>
          <w:rFonts w:hint="eastAsia" w:ascii="宋体" w:hAnsi="宋体" w:eastAsia="宋体" w:cs="宋体"/>
          <w:bCs w:val="0"/>
          <w:sz w:val="24"/>
          <w:szCs w:val="24"/>
        </w:rPr>
        <w:t>13. 验收和工程试车</w:t>
      </w:r>
      <w:bookmarkEnd w:id="871"/>
    </w:p>
    <w:bookmarkEnd w:id="872"/>
    <w:bookmarkEnd w:id="873"/>
    <w:bookmarkEnd w:id="874"/>
    <w:bookmarkEnd w:id="875"/>
    <w:p w14:paraId="290E917B">
      <w:pPr>
        <w:pageBreakBefore w:val="0"/>
        <w:widowControl w:val="0"/>
        <w:kinsoku/>
        <w:wordWrap/>
        <w:overflowPunct/>
        <w:topLinePunct w:val="0"/>
        <w:bidi w:val="0"/>
        <w:snapToGrid/>
        <w:spacing w:before="120" w:after="120" w:line="480" w:lineRule="exact"/>
        <w:ind w:firstLine="480" w:firstLineChars="200"/>
        <w:textAlignment w:val="auto"/>
        <w:outlineLvl w:val="9"/>
        <w:rPr>
          <w:rFonts w:hint="eastAsia" w:ascii="宋体" w:hAnsi="宋体" w:eastAsia="宋体" w:cs="宋体"/>
          <w:b w:val="0"/>
          <w:sz w:val="24"/>
          <w:szCs w:val="24"/>
        </w:rPr>
      </w:pPr>
      <w:bookmarkStart w:id="876" w:name="_Toc351203587"/>
      <w:bookmarkStart w:id="877" w:name="_Toc337558805"/>
      <w:bookmarkStart w:id="878" w:name="_Toc296346611"/>
      <w:bookmarkStart w:id="879" w:name="_Toc296503110"/>
      <w:r>
        <w:rPr>
          <w:rFonts w:hint="eastAsia" w:ascii="宋体" w:hAnsi="宋体" w:eastAsia="宋体" w:cs="宋体"/>
          <w:b w:val="0"/>
          <w:sz w:val="24"/>
          <w:szCs w:val="24"/>
        </w:rPr>
        <w:t>13.1分部分项工程验收</w:t>
      </w:r>
      <w:bookmarkEnd w:id="876"/>
    </w:p>
    <w:bookmarkEnd w:id="877"/>
    <w:p w14:paraId="13D6AAFE">
      <w:pPr>
        <w:pageBreakBefore w:val="0"/>
        <w:widowControl w:val="0"/>
        <w:kinsoku/>
        <w:wordWrap/>
        <w:overflowPunct/>
        <w:topLinePunct w:val="0"/>
        <w:bidi w:val="0"/>
        <w:snapToGrid/>
        <w:spacing w:line="480" w:lineRule="exact"/>
        <w:ind w:firstLine="480" w:firstLineChars="200"/>
        <w:textAlignment w:val="auto"/>
        <w:outlineLvl w:val="9"/>
        <w:rPr>
          <w:rFonts w:hint="eastAsia" w:ascii="宋体" w:hAnsi="宋体" w:eastAsia="宋体" w:cs="宋体"/>
          <w:sz w:val="24"/>
        </w:rPr>
      </w:pPr>
      <w:r>
        <w:rPr>
          <w:rFonts w:hint="eastAsia" w:ascii="宋体" w:hAnsi="宋体" w:eastAsia="宋体" w:cs="宋体"/>
          <w:sz w:val="24"/>
        </w:rPr>
        <w:t>13.1.1 分部分项工程质量应符合国家有关工程施工验收规范、标准及合同约定，承包人应按照施工组织设计的要求完成分部分项工程施工。</w:t>
      </w:r>
    </w:p>
    <w:p w14:paraId="35307CA9">
      <w:pPr>
        <w:pageBreakBefore w:val="0"/>
        <w:widowControl w:val="0"/>
        <w:kinsoku/>
        <w:wordWrap/>
        <w:overflowPunct/>
        <w:topLinePunct w:val="0"/>
        <w:bidi w:val="0"/>
        <w:snapToGrid/>
        <w:spacing w:line="480" w:lineRule="exact"/>
        <w:ind w:firstLine="480" w:firstLineChars="200"/>
        <w:textAlignment w:val="auto"/>
        <w:outlineLvl w:val="9"/>
        <w:rPr>
          <w:rFonts w:hint="eastAsia" w:ascii="宋体" w:hAnsi="宋体" w:eastAsia="宋体" w:cs="宋体"/>
          <w:sz w:val="24"/>
        </w:rPr>
      </w:pPr>
      <w:r>
        <w:rPr>
          <w:rFonts w:hint="eastAsia" w:ascii="宋体" w:hAnsi="宋体" w:eastAsia="宋体" w:cs="宋体"/>
          <w:sz w:val="24"/>
        </w:rPr>
        <w:t>13.1.2 除专用合同条款另有约定外，分部分项工程经承包人自检合格并具备验收条件的，承包人应提前48小时通知监理人进行验收。</w:t>
      </w:r>
      <w:r>
        <w:rPr>
          <w:rFonts w:hint="eastAsia" w:ascii="宋体" w:hAnsi="宋体" w:eastAsia="宋体" w:cs="宋体"/>
          <w:kern w:val="0"/>
          <w:sz w:val="24"/>
        </w:rPr>
        <w:t>监理人不能按时进行验收的，应在验收前24小时向承包人提交书面延期要求，但延期不能超过48小时。监理人未按时进行验收，也未提出延期要求的，承包人有权自行验收，监理人应认可验收结果。</w:t>
      </w:r>
      <w:r>
        <w:rPr>
          <w:rFonts w:hint="eastAsia" w:ascii="宋体" w:hAnsi="宋体" w:eastAsia="宋体" w:cs="宋体"/>
          <w:sz w:val="24"/>
        </w:rPr>
        <w:t>分部分项工程未经验收的，不得进入下一道工序施工。</w:t>
      </w:r>
    </w:p>
    <w:p w14:paraId="720C5044">
      <w:pPr>
        <w:pageBreakBefore w:val="0"/>
        <w:widowControl w:val="0"/>
        <w:kinsoku/>
        <w:wordWrap/>
        <w:overflowPunct/>
        <w:topLinePunct w:val="0"/>
        <w:bidi w:val="0"/>
        <w:snapToGrid/>
        <w:spacing w:line="480" w:lineRule="exact"/>
        <w:ind w:firstLine="480" w:firstLineChars="200"/>
        <w:textAlignment w:val="auto"/>
        <w:outlineLvl w:val="9"/>
        <w:rPr>
          <w:rFonts w:hint="eastAsia" w:ascii="宋体" w:hAnsi="宋体" w:eastAsia="宋体" w:cs="宋体"/>
          <w:sz w:val="24"/>
        </w:rPr>
      </w:pPr>
      <w:r>
        <w:rPr>
          <w:rFonts w:hint="eastAsia" w:ascii="宋体" w:hAnsi="宋体" w:eastAsia="宋体" w:cs="宋体"/>
          <w:sz w:val="24"/>
        </w:rPr>
        <w:t>分部分项工程的验收资料应当作为竣工资料的组成部分。</w:t>
      </w:r>
    </w:p>
    <w:p w14:paraId="255F3379">
      <w:pPr>
        <w:pageBreakBefore w:val="0"/>
        <w:widowControl w:val="0"/>
        <w:kinsoku/>
        <w:wordWrap/>
        <w:overflowPunct/>
        <w:topLinePunct w:val="0"/>
        <w:bidi w:val="0"/>
        <w:snapToGrid/>
        <w:spacing w:before="120" w:after="120" w:line="480" w:lineRule="exact"/>
        <w:ind w:firstLine="480" w:firstLineChars="200"/>
        <w:textAlignment w:val="auto"/>
        <w:outlineLvl w:val="9"/>
        <w:rPr>
          <w:rFonts w:hint="eastAsia" w:ascii="宋体" w:hAnsi="宋体" w:eastAsia="宋体" w:cs="宋体"/>
          <w:b w:val="0"/>
          <w:sz w:val="24"/>
          <w:szCs w:val="24"/>
        </w:rPr>
      </w:pPr>
      <w:bookmarkStart w:id="880" w:name="_Toc351203588"/>
      <w:bookmarkStart w:id="881" w:name="_Toc337558806"/>
      <w:r>
        <w:rPr>
          <w:rFonts w:hint="eastAsia" w:ascii="宋体" w:hAnsi="宋体" w:eastAsia="宋体" w:cs="宋体"/>
          <w:b w:val="0"/>
          <w:sz w:val="24"/>
          <w:szCs w:val="24"/>
        </w:rPr>
        <w:t>13.2竣工验收</w:t>
      </w:r>
      <w:bookmarkEnd w:id="880"/>
    </w:p>
    <w:bookmarkEnd w:id="878"/>
    <w:bookmarkEnd w:id="879"/>
    <w:bookmarkEnd w:id="881"/>
    <w:p w14:paraId="3131383F">
      <w:pPr>
        <w:pageBreakBefore w:val="0"/>
        <w:widowControl w:val="0"/>
        <w:kinsoku/>
        <w:wordWrap/>
        <w:overflowPunct/>
        <w:topLinePunct w:val="0"/>
        <w:bidi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13.2.1竣工验收条件</w:t>
      </w:r>
    </w:p>
    <w:p w14:paraId="13710BC3">
      <w:pPr>
        <w:pageBreakBefore w:val="0"/>
        <w:widowControl w:val="0"/>
        <w:kinsoku/>
        <w:wordWrap/>
        <w:overflowPunct/>
        <w:topLinePunct w:val="0"/>
        <w:bidi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工程具备以下条件的，承包人可以申请竣工验收：</w:t>
      </w:r>
    </w:p>
    <w:p w14:paraId="169175A3">
      <w:pPr>
        <w:pageBreakBefore w:val="0"/>
        <w:widowControl w:val="0"/>
        <w:kinsoku/>
        <w:wordWrap/>
        <w:overflowPunct/>
        <w:topLinePunct w:val="0"/>
        <w:bidi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（1）除发包人同意的甩项工作和缺陷修补工作外，合同范围内的全部工程以及有关工作，包括合同要求的试验、试运行以及检验均已完成，并符合合同要求；</w:t>
      </w:r>
    </w:p>
    <w:p w14:paraId="21573F86">
      <w:pPr>
        <w:pageBreakBefore w:val="0"/>
        <w:widowControl w:val="0"/>
        <w:kinsoku/>
        <w:wordWrap/>
        <w:overflowPunct/>
        <w:topLinePunct w:val="0"/>
        <w:bidi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（2）已按合同约定编制了甩项工作和缺陷修补工作清单以及相应的施工计划；</w:t>
      </w:r>
    </w:p>
    <w:p w14:paraId="365BDEED">
      <w:pPr>
        <w:pageBreakBefore w:val="0"/>
        <w:widowControl w:val="0"/>
        <w:kinsoku/>
        <w:wordWrap/>
        <w:overflowPunct/>
        <w:topLinePunct w:val="0"/>
        <w:bidi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（3）已按合同约定的内容和份数备齐竣工资料。</w:t>
      </w:r>
    </w:p>
    <w:p w14:paraId="0F1B591E">
      <w:pPr>
        <w:pageBreakBefore w:val="0"/>
        <w:widowControl w:val="0"/>
        <w:kinsoku/>
        <w:wordWrap/>
        <w:overflowPunct/>
        <w:topLinePunct w:val="0"/>
        <w:bidi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13.2.2竣工验收程序</w:t>
      </w:r>
    </w:p>
    <w:p w14:paraId="391C65C6">
      <w:pPr>
        <w:pageBreakBefore w:val="0"/>
        <w:widowControl w:val="0"/>
        <w:kinsoku/>
        <w:wordWrap/>
        <w:overflowPunct/>
        <w:topLinePunct w:val="0"/>
        <w:bidi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除专用合同条款另有约定外，承包人申请竣工验收的，应当按照以下程序进行：</w:t>
      </w:r>
    </w:p>
    <w:p w14:paraId="5E533661">
      <w:pPr>
        <w:pageBreakBefore w:val="0"/>
        <w:widowControl w:val="0"/>
        <w:kinsoku/>
        <w:wordWrap/>
        <w:overflowPunct/>
        <w:topLinePunct w:val="0"/>
        <w:bidi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1）承包人向监理人报送竣工验收申请报告，监理人应在收到竣工验收申请报告后14天内完成审查并报送发包人。监理人审查后认为尚不具备验收条件的，应通知承包人在竣工验收前承包人还需完成的工作内容，承包人应在完成监理人通知的全部工作内容后，再次提交竣工验收申请报告。</w:t>
      </w:r>
    </w:p>
    <w:p w14:paraId="4A59BA3C">
      <w:pPr>
        <w:pageBreakBefore w:val="0"/>
        <w:widowControl w:val="0"/>
        <w:kinsoku/>
        <w:wordWrap/>
        <w:overflowPunct/>
        <w:topLinePunct w:val="0"/>
        <w:bidi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（2）监理人审查后认为已具备竣工验收条件的，应将竣工验收申请报告提交发包人，发包人应在收到经监理人审核的竣工验收申请报告后28天内审批完毕并组织监理人、承包人、设计人等相关单位完成竣工验收。</w:t>
      </w:r>
    </w:p>
    <w:p w14:paraId="7FFE9160">
      <w:pPr>
        <w:pageBreakBefore w:val="0"/>
        <w:widowControl w:val="0"/>
        <w:kinsoku/>
        <w:wordWrap/>
        <w:overflowPunct/>
        <w:topLinePunct w:val="0"/>
        <w:bidi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（3）竣工验收合格的，发包人应在验收合格后14天内向承包人签发工程接收证书。发包人无正当理由逾期不颁发工程接收证书的，自验收合格后第15天起视为已颁发工程接收证书。</w:t>
      </w:r>
    </w:p>
    <w:p w14:paraId="4613E75C">
      <w:pPr>
        <w:pageBreakBefore w:val="0"/>
        <w:widowControl w:val="0"/>
        <w:kinsoku/>
        <w:wordWrap/>
        <w:overflowPunct/>
        <w:topLinePunct w:val="0"/>
        <w:bidi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4）竣工验收不合格的，监理人应按照验收意见发出指示，要求承包人对不合格工程返工、修复或采取其他补救措施，由此增加的费用和（或）延误的工期由承包人承担。承包人在完成不合格工程的返工、修复或采取其他补救措施后，应重新提交竣工验收申请报告，并按本项约定的程序重新进行验收。</w:t>
      </w:r>
    </w:p>
    <w:p w14:paraId="7426006B">
      <w:pPr>
        <w:pageBreakBefore w:val="0"/>
        <w:widowControl w:val="0"/>
        <w:kinsoku/>
        <w:wordWrap/>
        <w:overflowPunct/>
        <w:topLinePunct w:val="0"/>
        <w:bidi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（5）工程未经验收或验收不合格，发包人擅自使用的，应在转移占有工程后7天内向承包人颁发工程接收证书；发包人无正当理由逾期不颁发工程接收证书的，自转移占有后第15天起视为已颁发工程接收证书。</w:t>
      </w:r>
    </w:p>
    <w:p w14:paraId="6999FD0C">
      <w:pPr>
        <w:pageBreakBefore w:val="0"/>
        <w:widowControl w:val="0"/>
        <w:kinsoku/>
        <w:wordWrap/>
        <w:overflowPunct/>
        <w:topLinePunct w:val="0"/>
        <w:bidi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除专用合同条款另有约定外，发包人不按照本项约定组织竣工验收、颁发工程接收证书的，每逾期一天，应以签约合同价为基数，按照中国人民银行发布的同期同类贷款基准利率支付违约金。</w:t>
      </w:r>
    </w:p>
    <w:p w14:paraId="6C6BE36A">
      <w:pPr>
        <w:pageBreakBefore w:val="0"/>
        <w:widowControl w:val="0"/>
        <w:kinsoku/>
        <w:wordWrap/>
        <w:overflowPunct/>
        <w:topLinePunct w:val="0"/>
        <w:bidi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13.2.3竣工日期</w:t>
      </w:r>
    </w:p>
    <w:p w14:paraId="7D9EF43C">
      <w:pPr>
        <w:pageBreakBefore w:val="0"/>
        <w:widowControl w:val="0"/>
        <w:kinsoku/>
        <w:wordWrap/>
        <w:overflowPunct/>
        <w:topLinePunct w:val="0"/>
        <w:autoSpaceDE w:val="0"/>
        <w:autoSpaceDN w:val="0"/>
        <w:bidi w:val="0"/>
        <w:adjustRightInd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工程经竣工验收合格的，以承包人提交竣工验收申请报告之日为实际竣工日期，并在工程接收证书中载明；因发包人原因，未在监理人收到承包人提交的竣工验收申请报告42天内完成竣工验收，或完成竣工验收不予签发工程接收证书的，以提交竣工验</w:t>
      </w:r>
      <w:bookmarkStart w:id="882" w:name="#go14"/>
      <w:bookmarkEnd w:id="882"/>
      <w:r>
        <w:rPr>
          <w:rFonts w:hint="eastAsia" w:ascii="宋体" w:hAnsi="宋体" w:eastAsia="宋体" w:cs="宋体"/>
          <w:kern w:val="0"/>
          <w:sz w:val="24"/>
        </w:rPr>
        <w:t>收申请报告的日期为实际竣工日期；工程未经竣工验收，发包人擅自使用的，以转移占有工程之日为实际竣工日期。</w:t>
      </w:r>
    </w:p>
    <w:p w14:paraId="2B30F926">
      <w:pPr>
        <w:pageBreakBefore w:val="0"/>
        <w:widowControl w:val="0"/>
        <w:kinsoku/>
        <w:wordWrap/>
        <w:overflowPunct/>
        <w:topLinePunct w:val="0"/>
        <w:bidi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13.2.4 拒绝接收全部或部分工程</w:t>
      </w:r>
    </w:p>
    <w:p w14:paraId="66704178">
      <w:pPr>
        <w:pageBreakBefore w:val="0"/>
        <w:widowControl w:val="0"/>
        <w:kinsoku/>
        <w:wordWrap/>
        <w:overflowPunct/>
        <w:topLinePunct w:val="0"/>
        <w:autoSpaceDE w:val="0"/>
        <w:autoSpaceDN w:val="0"/>
        <w:bidi w:val="0"/>
        <w:adjustRightInd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对于竣工验收不合格的工程，承包人完成整改后，应当重新进行竣工验收，经重新组织验收仍不合格的且无法采取措施补救的，则发包人可以拒绝接收不合格工程，因不合格工程导致其他工程不能正常使用的，承包人应采取措施确保相关工程的正常使用，由此增加的费用和（或）延误的工期由承包人承担。</w:t>
      </w:r>
    </w:p>
    <w:p w14:paraId="7BABC3D3">
      <w:pPr>
        <w:pageBreakBefore w:val="0"/>
        <w:widowControl w:val="0"/>
        <w:kinsoku/>
        <w:wordWrap/>
        <w:overflowPunct/>
        <w:topLinePunct w:val="0"/>
        <w:autoSpaceDE w:val="0"/>
        <w:autoSpaceDN w:val="0"/>
        <w:bidi w:val="0"/>
        <w:adjustRightInd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13.2.5 移交、接收全部与部分工程</w:t>
      </w:r>
    </w:p>
    <w:p w14:paraId="2BFC25FB">
      <w:pPr>
        <w:pageBreakBefore w:val="0"/>
        <w:widowControl w:val="0"/>
        <w:kinsoku/>
        <w:wordWrap/>
        <w:overflowPunct/>
        <w:topLinePunct w:val="0"/>
        <w:autoSpaceDE w:val="0"/>
        <w:autoSpaceDN w:val="0"/>
        <w:bidi w:val="0"/>
        <w:adjustRightInd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除专用合同条款另有约定外，合同当事人应当在颁发工程接收证书后7天内完成工程的移交。</w:t>
      </w:r>
    </w:p>
    <w:p w14:paraId="277516B1">
      <w:pPr>
        <w:pageBreakBefore w:val="0"/>
        <w:widowControl w:val="0"/>
        <w:kinsoku/>
        <w:wordWrap/>
        <w:overflowPunct/>
        <w:topLinePunct w:val="0"/>
        <w:autoSpaceDE w:val="0"/>
        <w:autoSpaceDN w:val="0"/>
        <w:bidi w:val="0"/>
        <w:adjustRightInd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发包人无正当理由不接收工程的，发包人自应当接收工程之日起，承担工程照管、成品保护、保管等与工程有关的各项费用，合同当事人可以在专用合同条款中另行约定发包人逾期接收工程的违约责任。</w:t>
      </w:r>
    </w:p>
    <w:p w14:paraId="14D643B5">
      <w:pPr>
        <w:pageBreakBefore w:val="0"/>
        <w:widowControl w:val="0"/>
        <w:kinsoku/>
        <w:wordWrap/>
        <w:overflowPunct/>
        <w:topLinePunct w:val="0"/>
        <w:autoSpaceDE w:val="0"/>
        <w:autoSpaceDN w:val="0"/>
        <w:bidi w:val="0"/>
        <w:adjustRightInd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承包人无正当理由不移交工程的，承包人应承担工程照管、成品保护、保管等与工程有关的各项费用，合同当事人可以在专用合同条款中另行约定承包人无正当理由不移交工程的违约责任。</w:t>
      </w:r>
    </w:p>
    <w:p w14:paraId="2829F2B0">
      <w:pPr>
        <w:pageBreakBefore w:val="0"/>
        <w:widowControl w:val="0"/>
        <w:kinsoku/>
        <w:wordWrap/>
        <w:overflowPunct/>
        <w:topLinePunct w:val="0"/>
        <w:bidi w:val="0"/>
        <w:snapToGrid/>
        <w:spacing w:before="120" w:after="120" w:line="480" w:lineRule="exact"/>
        <w:ind w:firstLine="480" w:firstLineChars="200"/>
        <w:textAlignment w:val="auto"/>
        <w:outlineLvl w:val="9"/>
        <w:rPr>
          <w:rFonts w:hint="eastAsia" w:ascii="宋体" w:hAnsi="宋体" w:eastAsia="宋体" w:cs="宋体"/>
          <w:b w:val="0"/>
          <w:sz w:val="24"/>
          <w:szCs w:val="24"/>
        </w:rPr>
      </w:pPr>
      <w:bookmarkStart w:id="883" w:name="_Toc351203589"/>
      <w:bookmarkStart w:id="884" w:name="_Toc337558807"/>
      <w:bookmarkStart w:id="885" w:name="_Toc296503111"/>
      <w:bookmarkStart w:id="886" w:name="_Toc296346612"/>
      <w:r>
        <w:rPr>
          <w:rFonts w:hint="eastAsia" w:ascii="宋体" w:hAnsi="宋体" w:eastAsia="宋体" w:cs="宋体"/>
          <w:b w:val="0"/>
          <w:sz w:val="24"/>
          <w:szCs w:val="24"/>
        </w:rPr>
        <w:t>13.3工程试车</w:t>
      </w:r>
      <w:bookmarkEnd w:id="883"/>
    </w:p>
    <w:bookmarkEnd w:id="884"/>
    <w:bookmarkEnd w:id="885"/>
    <w:bookmarkEnd w:id="886"/>
    <w:p w14:paraId="52EBA34E">
      <w:pPr>
        <w:pageBreakBefore w:val="0"/>
        <w:widowControl w:val="0"/>
        <w:kinsoku/>
        <w:wordWrap/>
        <w:overflowPunct/>
        <w:topLinePunct w:val="0"/>
        <w:bidi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13.3.1试车程序</w:t>
      </w:r>
    </w:p>
    <w:p w14:paraId="02590F7C">
      <w:pPr>
        <w:pageBreakBefore w:val="0"/>
        <w:widowControl w:val="0"/>
        <w:kinsoku/>
        <w:wordWrap/>
        <w:overflowPunct/>
        <w:topLinePunct w:val="0"/>
        <w:bidi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工程需要试车的，除专用合同条款另有约定外，试车内容应与承包人承包范围相一致，试车费用由承包人承担。工程试车应按如下程序进行：</w:t>
      </w:r>
    </w:p>
    <w:p w14:paraId="46E53138">
      <w:pPr>
        <w:pageBreakBefore w:val="0"/>
        <w:widowControl w:val="0"/>
        <w:kinsoku/>
        <w:wordWrap/>
        <w:overflowPunct/>
        <w:topLinePunct w:val="0"/>
        <w:bidi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1）具备单机无负荷试车条件，承包人组织试车，并在试车前48小时书面通知监理人，通知中应载明试车内容、时间、地点。承包人准备试车记录，发包人根据承包人要求为试车提供必要条件。试车合格的，监理人在试车记录上签字。监理人在试车合格后不在试车记录上签字，自试车结束满24小时后视为监理人已经认可试车记录，承包人可继续施工或办理竣工验收手续。</w:t>
      </w:r>
    </w:p>
    <w:p w14:paraId="4B000849">
      <w:pPr>
        <w:pageBreakBefore w:val="0"/>
        <w:widowControl w:val="0"/>
        <w:kinsoku/>
        <w:wordWrap/>
        <w:overflowPunct/>
        <w:topLinePunct w:val="0"/>
        <w:bidi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监理人不能按时参加试车，应在试车前24小时以书面形式向承包人提出延期要求，但延期不能超过48小时，由此导致工期延误的，工期应予以顺延。监理人未能在前述期限内提出延期要求，又不参加试车的，视为认可试车记录。</w:t>
      </w:r>
    </w:p>
    <w:p w14:paraId="3AEF2EFC">
      <w:pPr>
        <w:pageBreakBefore w:val="0"/>
        <w:widowControl w:val="0"/>
        <w:kinsoku/>
        <w:wordWrap/>
        <w:overflowPunct/>
        <w:topLinePunct w:val="0"/>
        <w:bidi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2）具备无负荷联动试车条件，发包人组织试车，并在试车前48小时以书面形式通知承包人。通知中应载明试车内容、时间、地点和对承包人的要求，承包人按要求做好准备工作。试车合格，合同当事人在试车记录上签字。承包人无正当理由不参加试车的，视为认可试车记录。</w:t>
      </w:r>
    </w:p>
    <w:p w14:paraId="3897C451">
      <w:pPr>
        <w:pageBreakBefore w:val="0"/>
        <w:widowControl w:val="0"/>
        <w:kinsoku/>
        <w:wordWrap/>
        <w:overflowPunct/>
        <w:topLinePunct w:val="0"/>
        <w:bidi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13.3.2 试车中的责任</w:t>
      </w:r>
    </w:p>
    <w:p w14:paraId="3CF41675">
      <w:pPr>
        <w:pageBreakBefore w:val="0"/>
        <w:widowControl w:val="0"/>
        <w:kinsoku/>
        <w:wordWrap/>
        <w:overflowPunct/>
        <w:topLinePunct w:val="0"/>
        <w:bidi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因设计原因导致试车达不到验收要求，发包人应要求设计人修改设计，承包人按修改后的设计重新安装。发包人承担修改设计、拆除及重新安装的全部费用，工期相应顺延。因承包人原因导致试车达不到验收要求，承包人按监理人要求重新安装和试车，并承担重新安装和试车的费用，工期不予顺延。</w:t>
      </w:r>
    </w:p>
    <w:p w14:paraId="5C510D79">
      <w:pPr>
        <w:pageBreakBefore w:val="0"/>
        <w:widowControl w:val="0"/>
        <w:kinsoku/>
        <w:wordWrap/>
        <w:overflowPunct/>
        <w:topLinePunct w:val="0"/>
        <w:bidi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因工程设备制造原因导致试车达不到验收要求的，由采购该工程设备的合同当事人负责重新购置或修理，承包人负责拆除和重新安装，由此增加的修理、重新购置、拆除及重新安装的费用及延误的工期由采购该工程设备的合同当事人承担。</w:t>
      </w:r>
    </w:p>
    <w:p w14:paraId="142B22C2">
      <w:pPr>
        <w:pageBreakBefore w:val="0"/>
        <w:widowControl w:val="0"/>
        <w:kinsoku/>
        <w:wordWrap/>
        <w:overflowPunct/>
        <w:topLinePunct w:val="0"/>
        <w:bidi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13.3.3 投料试车</w:t>
      </w:r>
    </w:p>
    <w:p w14:paraId="08B31CEF">
      <w:pPr>
        <w:pageBreakBefore w:val="0"/>
        <w:widowControl w:val="0"/>
        <w:kinsoku/>
        <w:wordWrap/>
        <w:overflowPunct/>
        <w:topLinePunct w:val="0"/>
        <w:bidi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如需进行投料试车的，发包人应在工程竣工验收后组织投料试车。发包人要求在工程竣工验收前进行或需要承包人配合时，应征得承包人同意，并在专用合同条款中约定有关事项。</w:t>
      </w:r>
    </w:p>
    <w:p w14:paraId="2F47C8F3">
      <w:pPr>
        <w:pageBreakBefore w:val="0"/>
        <w:widowControl w:val="0"/>
        <w:kinsoku/>
        <w:wordWrap/>
        <w:overflowPunct/>
        <w:topLinePunct w:val="0"/>
        <w:bidi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投料试车合格的，费用由发包人承担；因承包人原因造成投料试车不合格的，承包人应按照发包人要求进行整改，由此产生的整改费用由承包人承担；非因承包人原因导致投料试车不合格的，如发包人要求承包人进行整改的，由此产生的费用由发包人承担。</w:t>
      </w:r>
    </w:p>
    <w:p w14:paraId="61ACA30F">
      <w:pPr>
        <w:pageBreakBefore w:val="0"/>
        <w:widowControl w:val="0"/>
        <w:kinsoku/>
        <w:wordWrap/>
        <w:overflowPunct/>
        <w:topLinePunct w:val="0"/>
        <w:bidi w:val="0"/>
        <w:snapToGrid/>
        <w:spacing w:before="120" w:after="120" w:line="480" w:lineRule="exact"/>
        <w:textAlignment w:val="auto"/>
        <w:outlineLvl w:val="9"/>
        <w:rPr>
          <w:rFonts w:hint="eastAsia" w:ascii="宋体" w:hAnsi="宋体" w:eastAsia="宋体" w:cs="宋体"/>
          <w:b w:val="0"/>
          <w:sz w:val="24"/>
          <w:szCs w:val="24"/>
        </w:rPr>
      </w:pPr>
      <w:bookmarkStart w:id="887" w:name="_Toc337558808"/>
      <w:r>
        <w:rPr>
          <w:rFonts w:hint="eastAsia" w:ascii="宋体" w:hAnsi="宋体" w:eastAsia="宋体" w:cs="宋体"/>
          <w:b w:val="0"/>
          <w:sz w:val="24"/>
          <w:szCs w:val="24"/>
        </w:rPr>
        <w:t xml:space="preserve">    </w:t>
      </w:r>
      <w:bookmarkStart w:id="888" w:name="_Toc351203590"/>
      <w:r>
        <w:rPr>
          <w:rFonts w:hint="eastAsia" w:ascii="宋体" w:hAnsi="宋体" w:eastAsia="宋体" w:cs="宋体"/>
          <w:b w:val="0"/>
          <w:sz w:val="24"/>
          <w:szCs w:val="24"/>
        </w:rPr>
        <w:t>13.4提前交付单位工程的验收</w:t>
      </w:r>
      <w:bookmarkEnd w:id="888"/>
    </w:p>
    <w:bookmarkEnd w:id="887"/>
    <w:p w14:paraId="237F6E29">
      <w:pPr>
        <w:pageBreakBefore w:val="0"/>
        <w:widowControl w:val="0"/>
        <w:kinsoku/>
        <w:wordWrap/>
        <w:overflowPunct/>
        <w:topLinePunct w:val="0"/>
        <w:bidi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13.4.1 发包人需要在工程竣工前使用单位工程的，或承包人提出提前交付已经竣工的单位工程且经发包人同意的，可进行单位工程验收，验收的程序按照第13.2款〔竣工验收〕的约定进行。</w:t>
      </w:r>
    </w:p>
    <w:p w14:paraId="134D9BDE">
      <w:pPr>
        <w:pageBreakBefore w:val="0"/>
        <w:widowControl w:val="0"/>
        <w:kinsoku/>
        <w:wordWrap/>
        <w:overflowPunct/>
        <w:topLinePunct w:val="0"/>
        <w:bidi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验收合格后，由监理人向承包人出具经发包人签认的单位工程接收证书。已签发单位工程接收证书的单位工程由发包人负责照管。单位工程的验收成果和结论作为整体工程竣工验收申请报告的附件。</w:t>
      </w:r>
    </w:p>
    <w:p w14:paraId="345A0CC0">
      <w:pPr>
        <w:pageBreakBefore w:val="0"/>
        <w:widowControl w:val="0"/>
        <w:kinsoku/>
        <w:wordWrap/>
        <w:overflowPunct/>
        <w:topLinePunct w:val="0"/>
        <w:bidi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13.4.2 发包人要求在工程竣工前交付单位工程，由此导致承包人费用增加和（或）工期延误的，由发包人承担由此增加的费用和（或）延误的工期，并支付承包人合理的利润。</w:t>
      </w:r>
    </w:p>
    <w:p w14:paraId="0037440D">
      <w:pPr>
        <w:pageBreakBefore w:val="0"/>
        <w:widowControl w:val="0"/>
        <w:kinsoku/>
        <w:wordWrap/>
        <w:overflowPunct/>
        <w:topLinePunct w:val="0"/>
        <w:bidi w:val="0"/>
        <w:snapToGrid/>
        <w:spacing w:before="120" w:after="120" w:line="480" w:lineRule="exact"/>
        <w:ind w:firstLine="480" w:firstLineChars="200"/>
        <w:textAlignment w:val="auto"/>
        <w:outlineLvl w:val="9"/>
        <w:rPr>
          <w:rFonts w:hint="eastAsia" w:ascii="宋体" w:hAnsi="宋体" w:eastAsia="宋体" w:cs="宋体"/>
          <w:b w:val="0"/>
          <w:sz w:val="24"/>
          <w:szCs w:val="24"/>
        </w:rPr>
      </w:pPr>
      <w:bookmarkStart w:id="889" w:name="_Toc351203591"/>
      <w:r>
        <w:rPr>
          <w:rFonts w:hint="eastAsia" w:ascii="宋体" w:hAnsi="宋体" w:eastAsia="宋体" w:cs="宋体"/>
          <w:b w:val="0"/>
          <w:sz w:val="24"/>
          <w:szCs w:val="24"/>
        </w:rPr>
        <w:t>13.5 施工期运行</w:t>
      </w:r>
      <w:bookmarkEnd w:id="889"/>
    </w:p>
    <w:p w14:paraId="4D412584">
      <w:pPr>
        <w:pageBreakBefore w:val="0"/>
        <w:widowControl w:val="0"/>
        <w:kinsoku/>
        <w:wordWrap/>
        <w:overflowPunct/>
        <w:topLinePunct w:val="0"/>
        <w:bidi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13.5.1 施工期运行是指合同工程尚未全部竣工，其中某项或某几项单位工程或工程设备安装已竣工，根据专用合同条款约定，需要投入施工期运行的，经发包人按第13.4款〔提前交付单位工程的验收〕的约定验收合格，证明能确保安全后，才能在施工期投入运行。</w:t>
      </w:r>
    </w:p>
    <w:p w14:paraId="22AEA2B3">
      <w:pPr>
        <w:pageBreakBefore w:val="0"/>
        <w:widowControl w:val="0"/>
        <w:kinsoku/>
        <w:wordWrap/>
        <w:overflowPunct/>
        <w:topLinePunct w:val="0"/>
        <w:bidi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13.5.2 在施工期运行中发现工程或工程设备损坏或存在缺陷的，由承包人按第15.2款〔缺陷责任期〕约定进行修复。</w:t>
      </w:r>
    </w:p>
    <w:p w14:paraId="40B5B2BE">
      <w:pPr>
        <w:pageBreakBefore w:val="0"/>
        <w:widowControl w:val="0"/>
        <w:kinsoku/>
        <w:wordWrap/>
        <w:overflowPunct/>
        <w:topLinePunct w:val="0"/>
        <w:bidi w:val="0"/>
        <w:snapToGrid/>
        <w:spacing w:before="120" w:after="120" w:line="480" w:lineRule="exact"/>
        <w:ind w:firstLine="480" w:firstLineChars="200"/>
        <w:textAlignment w:val="auto"/>
        <w:outlineLvl w:val="9"/>
        <w:rPr>
          <w:rFonts w:hint="eastAsia" w:ascii="宋体" w:hAnsi="宋体" w:eastAsia="宋体" w:cs="宋体"/>
          <w:b w:val="0"/>
          <w:sz w:val="24"/>
          <w:szCs w:val="24"/>
        </w:rPr>
      </w:pPr>
      <w:bookmarkStart w:id="890" w:name="_Toc296503112"/>
      <w:bookmarkStart w:id="891" w:name="_Toc296346613"/>
      <w:bookmarkStart w:id="892" w:name="_Toc351203592"/>
      <w:bookmarkStart w:id="893" w:name="_Toc337558809"/>
      <w:r>
        <w:rPr>
          <w:rFonts w:hint="eastAsia" w:ascii="宋体" w:hAnsi="宋体" w:eastAsia="宋体" w:cs="宋体"/>
          <w:b w:val="0"/>
          <w:sz w:val="24"/>
          <w:szCs w:val="24"/>
        </w:rPr>
        <w:t>13.6 竣工退</w:t>
      </w:r>
      <w:bookmarkEnd w:id="890"/>
      <w:bookmarkEnd w:id="891"/>
      <w:r>
        <w:rPr>
          <w:rFonts w:hint="eastAsia" w:ascii="宋体" w:hAnsi="宋体" w:eastAsia="宋体" w:cs="宋体"/>
          <w:b w:val="0"/>
          <w:sz w:val="24"/>
          <w:szCs w:val="24"/>
        </w:rPr>
        <w:t>场</w:t>
      </w:r>
      <w:bookmarkEnd w:id="892"/>
    </w:p>
    <w:bookmarkEnd w:id="893"/>
    <w:p w14:paraId="50711062">
      <w:pPr>
        <w:pageBreakBefore w:val="0"/>
        <w:widowControl w:val="0"/>
        <w:kinsoku/>
        <w:wordWrap/>
        <w:overflowPunct/>
        <w:topLinePunct w:val="0"/>
        <w:bidi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13.6.1 竣工退场</w:t>
      </w:r>
    </w:p>
    <w:p w14:paraId="22D3C8DC">
      <w:pPr>
        <w:pageBreakBefore w:val="0"/>
        <w:widowControl w:val="0"/>
        <w:kinsoku/>
        <w:wordWrap/>
        <w:overflowPunct/>
        <w:topLinePunct w:val="0"/>
        <w:bidi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颁发工程接收证书后，承包人应按以下要求对施工现场进行清理：</w:t>
      </w:r>
    </w:p>
    <w:p w14:paraId="6A0F1528">
      <w:pPr>
        <w:pageBreakBefore w:val="0"/>
        <w:widowControl w:val="0"/>
        <w:kinsoku/>
        <w:wordWrap/>
        <w:overflowPunct/>
        <w:topLinePunct w:val="0"/>
        <w:bidi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（1）施工现场内残留的垃圾已全部清除出场；</w:t>
      </w:r>
    </w:p>
    <w:p w14:paraId="2CCDB321">
      <w:pPr>
        <w:pageBreakBefore w:val="0"/>
        <w:widowControl w:val="0"/>
        <w:kinsoku/>
        <w:wordWrap/>
        <w:overflowPunct/>
        <w:topLinePunct w:val="0"/>
        <w:bidi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（2）临时工程已拆除，场地已进行清理、平整或复原；</w:t>
      </w:r>
    </w:p>
    <w:p w14:paraId="03C88BF3">
      <w:pPr>
        <w:pageBreakBefore w:val="0"/>
        <w:widowControl w:val="0"/>
        <w:kinsoku/>
        <w:wordWrap/>
        <w:overflowPunct/>
        <w:topLinePunct w:val="0"/>
        <w:bidi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（3）按合同约定应撤离的人员、承包人施工设备和剩余的材料，包括废弃的施工设备和材料，已按计划撤离施工现场；</w:t>
      </w:r>
    </w:p>
    <w:p w14:paraId="09339D17">
      <w:pPr>
        <w:pageBreakBefore w:val="0"/>
        <w:widowControl w:val="0"/>
        <w:kinsoku/>
        <w:wordWrap/>
        <w:overflowPunct/>
        <w:topLinePunct w:val="0"/>
        <w:bidi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（4）施工现场周边及其附近道路、河道的施工堆积物，已全部清理；</w:t>
      </w:r>
    </w:p>
    <w:p w14:paraId="5A4FC57C">
      <w:pPr>
        <w:pageBreakBefore w:val="0"/>
        <w:widowControl w:val="0"/>
        <w:kinsoku/>
        <w:wordWrap/>
        <w:overflowPunct/>
        <w:topLinePunct w:val="0"/>
        <w:bidi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（5）施工现场其他场地清理工作已全部完成。</w:t>
      </w:r>
    </w:p>
    <w:p w14:paraId="13B39C56">
      <w:pPr>
        <w:pageBreakBefore w:val="0"/>
        <w:widowControl w:val="0"/>
        <w:kinsoku/>
        <w:wordWrap/>
        <w:overflowPunct/>
        <w:topLinePunct w:val="0"/>
        <w:bidi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施工现场的竣工退场费用由承包人承担。承包人应在专用合同条款约定的期限内完成竣工退场，逾期未完成的，发包人有权出售或另行处理承包人遗留的物品，由此支出的费用由承包人承担，发包人出售承包人遗留物品所得款项在扣除必要费用后应返还承包人。</w:t>
      </w:r>
    </w:p>
    <w:p w14:paraId="252ADE27">
      <w:pPr>
        <w:pageBreakBefore w:val="0"/>
        <w:widowControl w:val="0"/>
        <w:kinsoku/>
        <w:wordWrap/>
        <w:overflowPunct/>
        <w:topLinePunct w:val="0"/>
        <w:bidi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13.6.2 地表还原</w:t>
      </w:r>
    </w:p>
    <w:p w14:paraId="5E6DE32B">
      <w:pPr>
        <w:pageBreakBefore w:val="0"/>
        <w:widowControl w:val="0"/>
        <w:kinsoku/>
        <w:wordWrap/>
        <w:overflowPunct/>
        <w:topLinePunct w:val="0"/>
        <w:bidi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承包人应按发包人要求恢复临时占地及清理场地，承包人未按发包人的要求恢复临时占地，或者场地清理未达到合同约定要求的，发包人有权委托其他人恢复或清理，所发生的费用由承包人承担。</w:t>
      </w:r>
    </w:p>
    <w:p w14:paraId="17CBB926">
      <w:pPr>
        <w:pageBreakBefore w:val="0"/>
        <w:widowControl w:val="0"/>
        <w:kinsoku/>
        <w:wordWrap/>
        <w:overflowPunct/>
        <w:topLinePunct w:val="0"/>
        <w:bidi w:val="0"/>
        <w:snapToGrid/>
        <w:spacing w:before="120" w:after="120" w:line="480" w:lineRule="exact"/>
        <w:textAlignment w:val="auto"/>
        <w:outlineLvl w:val="9"/>
        <w:rPr>
          <w:rFonts w:hint="eastAsia" w:ascii="宋体" w:hAnsi="宋体" w:eastAsia="宋体" w:cs="宋体"/>
          <w:bCs w:val="0"/>
          <w:sz w:val="24"/>
          <w:szCs w:val="24"/>
        </w:rPr>
      </w:pPr>
      <w:bookmarkStart w:id="894" w:name="_Toc351203593"/>
      <w:bookmarkStart w:id="895" w:name="_Toc337558810"/>
      <w:bookmarkStart w:id="896" w:name="_Toc296346614"/>
      <w:bookmarkStart w:id="897" w:name="_Toc296503113"/>
      <w:r>
        <w:rPr>
          <w:rFonts w:hint="eastAsia" w:ascii="宋体" w:hAnsi="宋体" w:eastAsia="宋体" w:cs="宋体"/>
          <w:bCs w:val="0"/>
          <w:sz w:val="24"/>
          <w:szCs w:val="24"/>
        </w:rPr>
        <w:t>14. 竣工结算</w:t>
      </w:r>
      <w:bookmarkEnd w:id="894"/>
    </w:p>
    <w:bookmarkEnd w:id="895"/>
    <w:p w14:paraId="790D8DCB">
      <w:pPr>
        <w:pageBreakBefore w:val="0"/>
        <w:widowControl w:val="0"/>
        <w:kinsoku/>
        <w:wordWrap/>
        <w:overflowPunct/>
        <w:topLinePunct w:val="0"/>
        <w:bidi w:val="0"/>
        <w:snapToGrid/>
        <w:spacing w:before="120" w:after="120" w:line="480" w:lineRule="exact"/>
        <w:ind w:firstLine="480" w:firstLineChars="200"/>
        <w:textAlignment w:val="auto"/>
        <w:outlineLvl w:val="9"/>
        <w:rPr>
          <w:rFonts w:hint="eastAsia" w:ascii="宋体" w:hAnsi="宋体" w:eastAsia="宋体" w:cs="宋体"/>
          <w:b w:val="0"/>
          <w:sz w:val="24"/>
          <w:szCs w:val="24"/>
        </w:rPr>
      </w:pPr>
      <w:bookmarkStart w:id="898" w:name="_Toc351203594"/>
      <w:bookmarkStart w:id="899" w:name="_Toc337558811"/>
      <w:r>
        <w:rPr>
          <w:rFonts w:hint="eastAsia" w:ascii="宋体" w:hAnsi="宋体" w:eastAsia="宋体" w:cs="宋体"/>
          <w:b w:val="0"/>
          <w:sz w:val="24"/>
          <w:szCs w:val="24"/>
        </w:rPr>
        <w:t>14.1 竣工结算申请</w:t>
      </w:r>
      <w:bookmarkEnd w:id="898"/>
    </w:p>
    <w:bookmarkEnd w:id="899"/>
    <w:p w14:paraId="3AF3CEF8">
      <w:pPr>
        <w:pageBreakBefore w:val="0"/>
        <w:widowControl w:val="0"/>
        <w:kinsoku/>
        <w:wordWrap/>
        <w:overflowPunct/>
        <w:topLinePunct w:val="0"/>
        <w:autoSpaceDE w:val="0"/>
        <w:autoSpaceDN w:val="0"/>
        <w:bidi w:val="0"/>
        <w:adjustRightInd w:val="0"/>
        <w:snapToGrid/>
        <w:spacing w:line="480" w:lineRule="exact"/>
        <w:ind w:firstLine="480" w:firstLineChars="200"/>
        <w:jc w:val="left"/>
        <w:textAlignment w:val="auto"/>
        <w:outlineLvl w:val="9"/>
        <w:rPr>
          <w:rFonts w:hint="eastAsia" w:ascii="宋体" w:hAnsi="宋体" w:eastAsia="宋体" w:cs="宋体"/>
          <w:sz w:val="24"/>
        </w:rPr>
      </w:pPr>
      <w:r>
        <w:rPr>
          <w:rFonts w:hint="eastAsia" w:ascii="宋体" w:hAnsi="宋体" w:eastAsia="宋体" w:cs="宋体"/>
          <w:kern w:val="0"/>
          <w:sz w:val="24"/>
        </w:rPr>
        <w:t>除专用合同条款另有约定外，</w:t>
      </w:r>
      <w:r>
        <w:rPr>
          <w:rFonts w:hint="eastAsia" w:ascii="宋体" w:hAnsi="宋体" w:eastAsia="宋体" w:cs="宋体"/>
          <w:sz w:val="24"/>
        </w:rPr>
        <w:t>承包人应在工程竣工验收合格后28天内向发包人和监理人提交竣工结算申请单，并提交完整的结算资料，有关竣工结算申请单的资料清单和份数等要求由合同当事人在专用合同条款中约定。</w:t>
      </w:r>
    </w:p>
    <w:p w14:paraId="25F3A524">
      <w:pPr>
        <w:pageBreakBefore w:val="0"/>
        <w:widowControl w:val="0"/>
        <w:kinsoku/>
        <w:wordWrap/>
        <w:overflowPunct/>
        <w:topLinePunct w:val="0"/>
        <w:autoSpaceDE w:val="0"/>
        <w:autoSpaceDN w:val="0"/>
        <w:bidi w:val="0"/>
        <w:adjustRightInd w:val="0"/>
        <w:snapToGrid/>
        <w:spacing w:line="480" w:lineRule="exact"/>
        <w:ind w:firstLine="480" w:firstLineChars="200"/>
        <w:jc w:val="left"/>
        <w:textAlignment w:val="auto"/>
        <w:outlineLvl w:val="9"/>
        <w:rPr>
          <w:rFonts w:hint="eastAsia" w:ascii="宋体" w:hAnsi="宋体" w:eastAsia="宋体" w:cs="宋体"/>
          <w:sz w:val="24"/>
        </w:rPr>
      </w:pPr>
      <w:r>
        <w:rPr>
          <w:rFonts w:hint="eastAsia" w:ascii="宋体" w:hAnsi="宋体" w:eastAsia="宋体" w:cs="宋体"/>
          <w:sz w:val="24"/>
        </w:rPr>
        <w:t>除专用合同条款另有约定外，竣工结算申请单应包括以下内容：</w:t>
      </w:r>
    </w:p>
    <w:p w14:paraId="289C17E2">
      <w:pPr>
        <w:pageBreakBefore w:val="0"/>
        <w:widowControl w:val="0"/>
        <w:kinsoku/>
        <w:wordWrap/>
        <w:overflowPunct/>
        <w:topLinePunct w:val="0"/>
        <w:autoSpaceDE w:val="0"/>
        <w:autoSpaceDN w:val="0"/>
        <w:bidi w:val="0"/>
        <w:adjustRightInd w:val="0"/>
        <w:snapToGrid/>
        <w:spacing w:line="480" w:lineRule="exact"/>
        <w:ind w:firstLine="480" w:firstLineChars="200"/>
        <w:jc w:val="left"/>
        <w:textAlignment w:val="auto"/>
        <w:outlineLvl w:val="9"/>
        <w:rPr>
          <w:rFonts w:hint="eastAsia" w:ascii="宋体" w:hAnsi="宋体" w:eastAsia="宋体" w:cs="宋体"/>
          <w:sz w:val="24"/>
        </w:rPr>
      </w:pPr>
      <w:r>
        <w:rPr>
          <w:rFonts w:hint="eastAsia" w:ascii="宋体" w:hAnsi="宋体" w:eastAsia="宋体" w:cs="宋体"/>
          <w:sz w:val="24"/>
        </w:rPr>
        <w:t>（1）竣工结算合同价格；</w:t>
      </w:r>
    </w:p>
    <w:p w14:paraId="2493E90D">
      <w:pPr>
        <w:pageBreakBefore w:val="0"/>
        <w:widowControl w:val="0"/>
        <w:kinsoku/>
        <w:wordWrap/>
        <w:overflowPunct/>
        <w:topLinePunct w:val="0"/>
        <w:autoSpaceDE w:val="0"/>
        <w:autoSpaceDN w:val="0"/>
        <w:bidi w:val="0"/>
        <w:adjustRightInd w:val="0"/>
        <w:snapToGrid/>
        <w:spacing w:line="480" w:lineRule="exact"/>
        <w:ind w:firstLine="480" w:firstLineChars="200"/>
        <w:jc w:val="left"/>
        <w:textAlignment w:val="auto"/>
        <w:outlineLvl w:val="9"/>
        <w:rPr>
          <w:rFonts w:hint="eastAsia" w:ascii="宋体" w:hAnsi="宋体" w:eastAsia="宋体" w:cs="宋体"/>
          <w:sz w:val="24"/>
        </w:rPr>
      </w:pPr>
      <w:r>
        <w:rPr>
          <w:rFonts w:hint="eastAsia" w:ascii="宋体" w:hAnsi="宋体" w:eastAsia="宋体" w:cs="宋体"/>
          <w:sz w:val="24"/>
        </w:rPr>
        <w:t>（2）发包人已支付承包人的款项；</w:t>
      </w:r>
    </w:p>
    <w:p w14:paraId="6DEDA4C9">
      <w:pPr>
        <w:pageBreakBefore w:val="0"/>
        <w:widowControl w:val="0"/>
        <w:kinsoku/>
        <w:wordWrap/>
        <w:overflowPunct/>
        <w:topLinePunct w:val="0"/>
        <w:autoSpaceDE w:val="0"/>
        <w:autoSpaceDN w:val="0"/>
        <w:bidi w:val="0"/>
        <w:adjustRightInd w:val="0"/>
        <w:snapToGrid/>
        <w:spacing w:line="480" w:lineRule="exact"/>
        <w:ind w:firstLine="480" w:firstLineChars="200"/>
        <w:jc w:val="left"/>
        <w:textAlignment w:val="auto"/>
        <w:outlineLvl w:val="9"/>
        <w:rPr>
          <w:rFonts w:hint="eastAsia" w:ascii="宋体" w:hAnsi="宋体" w:eastAsia="宋体" w:cs="宋体"/>
          <w:sz w:val="24"/>
        </w:rPr>
      </w:pPr>
      <w:r>
        <w:rPr>
          <w:rFonts w:hint="eastAsia" w:ascii="宋体" w:hAnsi="宋体" w:eastAsia="宋体" w:cs="宋体"/>
          <w:sz w:val="24"/>
        </w:rPr>
        <w:t xml:space="preserve">（3）应扣留的质量保证金； </w:t>
      </w:r>
    </w:p>
    <w:p w14:paraId="5FB6C11C">
      <w:pPr>
        <w:pageBreakBefore w:val="0"/>
        <w:widowControl w:val="0"/>
        <w:kinsoku/>
        <w:wordWrap/>
        <w:overflowPunct/>
        <w:topLinePunct w:val="0"/>
        <w:autoSpaceDE w:val="0"/>
        <w:autoSpaceDN w:val="0"/>
        <w:bidi w:val="0"/>
        <w:adjustRightInd w:val="0"/>
        <w:snapToGrid/>
        <w:spacing w:line="480" w:lineRule="exact"/>
        <w:ind w:firstLine="480" w:firstLineChars="200"/>
        <w:jc w:val="left"/>
        <w:textAlignment w:val="auto"/>
        <w:outlineLvl w:val="9"/>
        <w:rPr>
          <w:rFonts w:hint="eastAsia" w:ascii="宋体" w:hAnsi="宋体" w:eastAsia="宋体" w:cs="宋体"/>
          <w:sz w:val="24"/>
        </w:rPr>
      </w:pPr>
      <w:r>
        <w:rPr>
          <w:rFonts w:hint="eastAsia" w:ascii="宋体" w:hAnsi="宋体" w:eastAsia="宋体" w:cs="宋体"/>
          <w:sz w:val="24"/>
        </w:rPr>
        <w:t>（4）发包人应支付承包人的合同价款。</w:t>
      </w:r>
    </w:p>
    <w:p w14:paraId="76DD8390">
      <w:pPr>
        <w:pageBreakBefore w:val="0"/>
        <w:widowControl w:val="0"/>
        <w:kinsoku/>
        <w:wordWrap/>
        <w:overflowPunct/>
        <w:topLinePunct w:val="0"/>
        <w:bidi w:val="0"/>
        <w:snapToGrid/>
        <w:spacing w:before="120" w:after="120" w:line="480" w:lineRule="exact"/>
        <w:ind w:firstLine="480" w:firstLineChars="200"/>
        <w:textAlignment w:val="auto"/>
        <w:outlineLvl w:val="9"/>
        <w:rPr>
          <w:rFonts w:hint="eastAsia" w:ascii="宋体" w:hAnsi="宋体" w:eastAsia="宋体" w:cs="宋体"/>
          <w:b w:val="0"/>
          <w:sz w:val="24"/>
          <w:szCs w:val="24"/>
        </w:rPr>
      </w:pPr>
      <w:bookmarkStart w:id="900" w:name="_Toc351203595"/>
      <w:bookmarkStart w:id="901" w:name="_Toc337558812"/>
      <w:r>
        <w:rPr>
          <w:rFonts w:hint="eastAsia" w:ascii="宋体" w:hAnsi="宋体" w:eastAsia="宋体" w:cs="宋体"/>
          <w:b w:val="0"/>
          <w:sz w:val="24"/>
          <w:szCs w:val="24"/>
        </w:rPr>
        <w:t>14.2 竣工结算审核</w:t>
      </w:r>
      <w:bookmarkEnd w:id="900"/>
    </w:p>
    <w:bookmarkEnd w:id="901"/>
    <w:p w14:paraId="07D0D704">
      <w:pPr>
        <w:pageBreakBefore w:val="0"/>
        <w:widowControl w:val="0"/>
        <w:kinsoku/>
        <w:wordWrap/>
        <w:overflowPunct/>
        <w:topLinePunct w:val="0"/>
        <w:autoSpaceDE w:val="0"/>
        <w:autoSpaceDN w:val="0"/>
        <w:bidi w:val="0"/>
        <w:adjustRightInd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1）除专用合同条款另有约定外，监理人应在收到竣工结算申请单后14天内完成核查并报送发包人。发包人应在收到监理人提交的经审核的竣工结算申请单后14天内完成审批，并由监理人向承包人签发经发包人签认的竣工付款证书。监理人或</w:t>
      </w:r>
      <w:r>
        <w:rPr>
          <w:rFonts w:hint="eastAsia" w:ascii="宋体" w:hAnsi="宋体" w:eastAsia="宋体" w:cs="宋体"/>
          <w:sz w:val="24"/>
        </w:rPr>
        <w:t>发包人对竣工</w:t>
      </w:r>
      <w:r>
        <w:rPr>
          <w:rFonts w:hint="eastAsia" w:ascii="宋体" w:hAnsi="宋体" w:eastAsia="宋体" w:cs="宋体"/>
          <w:kern w:val="0"/>
          <w:sz w:val="24"/>
        </w:rPr>
        <w:t>结算</w:t>
      </w:r>
      <w:r>
        <w:rPr>
          <w:rFonts w:hint="eastAsia" w:ascii="宋体" w:hAnsi="宋体" w:eastAsia="宋体" w:cs="宋体"/>
          <w:sz w:val="24"/>
        </w:rPr>
        <w:t>申请单有异议的，有权要求承包人进行修正和提供补充资料，承包人应提交修正后的竣工</w:t>
      </w:r>
      <w:r>
        <w:rPr>
          <w:rFonts w:hint="eastAsia" w:ascii="宋体" w:hAnsi="宋体" w:eastAsia="宋体" w:cs="宋体"/>
          <w:kern w:val="0"/>
          <w:sz w:val="24"/>
        </w:rPr>
        <w:t>结算</w:t>
      </w:r>
      <w:r>
        <w:rPr>
          <w:rFonts w:hint="eastAsia" w:ascii="宋体" w:hAnsi="宋体" w:eastAsia="宋体" w:cs="宋体"/>
          <w:sz w:val="24"/>
        </w:rPr>
        <w:t>申请单。</w:t>
      </w:r>
    </w:p>
    <w:p w14:paraId="441CE9EB">
      <w:pPr>
        <w:pageBreakBefore w:val="0"/>
        <w:widowControl w:val="0"/>
        <w:kinsoku/>
        <w:wordWrap/>
        <w:overflowPunct/>
        <w:topLinePunct w:val="0"/>
        <w:autoSpaceDE w:val="0"/>
        <w:autoSpaceDN w:val="0"/>
        <w:bidi w:val="0"/>
        <w:adjustRightInd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发包人在收到承包人提交竣工结算申请书后28天内未完成审批且未提出异议的，视为发包人认可承包人提交的竣工结算申请单，并自发包人收到承包人提交的竣工结算申请单后第29天起视为已签发竣工付款证书。</w:t>
      </w:r>
    </w:p>
    <w:p w14:paraId="1D0C0B70">
      <w:pPr>
        <w:pageBreakBefore w:val="0"/>
        <w:widowControl w:val="0"/>
        <w:kinsoku/>
        <w:wordWrap/>
        <w:overflowPunct/>
        <w:topLinePunct w:val="0"/>
        <w:autoSpaceDE w:val="0"/>
        <w:autoSpaceDN w:val="0"/>
        <w:bidi w:val="0"/>
        <w:adjustRightInd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（2）除专用合同条款另有约定外，发包人应在签发竣工付款证书后的14 天内，完成对承包人的竣工付款。发包人逾期支付的，按照中国人民银行发布的同期同类贷款基准利率支付违约金；逾期支付超过56天的，按照中国人民银行发布的同期同类贷款基准利率的两倍支付违约金。</w:t>
      </w:r>
    </w:p>
    <w:p w14:paraId="2ED30E87">
      <w:pPr>
        <w:pageBreakBefore w:val="0"/>
        <w:widowControl w:val="0"/>
        <w:kinsoku/>
        <w:wordWrap/>
        <w:overflowPunct/>
        <w:topLinePunct w:val="0"/>
        <w:autoSpaceDE w:val="0"/>
        <w:autoSpaceDN w:val="0"/>
        <w:bidi w:val="0"/>
        <w:adjustRightInd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3）承包人对发包人签认的竣工付款证书有异议的，对于有异议部分应在收到发包人签认的竣工付款证书后7天内提出异议，并由合同当事人按照专用合同条款约定的方式和程序进行复核，或按照第20条〔争议解决〕约定处理。对于无异议部分，发包人应签发临时竣工付款证书，并按本款第（2）项完成付款。承包人逾期未提出异议的，视为认可发包人的审批结果。</w:t>
      </w:r>
    </w:p>
    <w:p w14:paraId="64D9D4C5">
      <w:pPr>
        <w:pageBreakBefore w:val="0"/>
        <w:widowControl w:val="0"/>
        <w:kinsoku/>
        <w:wordWrap/>
        <w:overflowPunct/>
        <w:topLinePunct w:val="0"/>
        <w:bidi w:val="0"/>
        <w:snapToGrid/>
        <w:spacing w:before="120" w:after="120" w:line="480" w:lineRule="exact"/>
        <w:ind w:firstLine="480" w:firstLineChars="200"/>
        <w:textAlignment w:val="auto"/>
        <w:outlineLvl w:val="9"/>
        <w:rPr>
          <w:rFonts w:hint="eastAsia" w:ascii="宋体" w:hAnsi="宋体" w:eastAsia="宋体" w:cs="宋体"/>
          <w:b w:val="0"/>
          <w:sz w:val="24"/>
          <w:szCs w:val="24"/>
        </w:rPr>
      </w:pPr>
      <w:bookmarkStart w:id="902" w:name="_Toc351203596"/>
      <w:bookmarkStart w:id="903" w:name="_Toc337558813"/>
      <w:r>
        <w:rPr>
          <w:rFonts w:hint="eastAsia" w:ascii="宋体" w:hAnsi="宋体" w:eastAsia="宋体" w:cs="宋体"/>
          <w:b w:val="0"/>
          <w:sz w:val="24"/>
          <w:szCs w:val="24"/>
        </w:rPr>
        <w:t>14.3 甩项竣工协议</w:t>
      </w:r>
      <w:bookmarkEnd w:id="902"/>
    </w:p>
    <w:bookmarkEnd w:id="903"/>
    <w:p w14:paraId="2C895B1F">
      <w:pPr>
        <w:pageBreakBefore w:val="0"/>
        <w:widowControl w:val="0"/>
        <w:kinsoku/>
        <w:wordWrap/>
        <w:overflowPunct/>
        <w:topLinePunct w:val="0"/>
        <w:autoSpaceDE w:val="0"/>
        <w:autoSpaceDN w:val="0"/>
        <w:bidi w:val="0"/>
        <w:adjustRightInd w:val="0"/>
        <w:snapToGrid/>
        <w:spacing w:line="480" w:lineRule="exact"/>
        <w:ind w:firstLine="470" w:firstLineChars="196"/>
        <w:jc w:val="left"/>
        <w:textAlignment w:val="auto"/>
        <w:outlineLvl w:val="9"/>
        <w:rPr>
          <w:rFonts w:hint="eastAsia" w:ascii="宋体" w:hAnsi="宋体" w:eastAsia="宋体" w:cs="宋体"/>
          <w:kern w:val="0"/>
          <w:sz w:val="24"/>
        </w:rPr>
      </w:pPr>
      <w:r>
        <w:rPr>
          <w:rFonts w:hint="eastAsia" w:ascii="宋体" w:hAnsi="宋体" w:eastAsia="宋体" w:cs="宋体"/>
          <w:sz w:val="24"/>
        </w:rPr>
        <w:t>发包人要求甩项竣工的，合同当事人应签订甩项竣工协议。在甩项竣工协议中应明确，合同当事人按照第14.1款〔竣工结算申请〕及14.2款〔竣工结算审核〕的约定，对已完合格工程进行结算，并支付相应合同价款。</w:t>
      </w:r>
    </w:p>
    <w:p w14:paraId="0E7BE0FC">
      <w:pPr>
        <w:pageBreakBefore w:val="0"/>
        <w:widowControl w:val="0"/>
        <w:kinsoku/>
        <w:wordWrap/>
        <w:overflowPunct/>
        <w:topLinePunct w:val="0"/>
        <w:bidi w:val="0"/>
        <w:snapToGrid/>
        <w:spacing w:before="120" w:after="120" w:line="480" w:lineRule="exact"/>
        <w:ind w:firstLine="480" w:firstLineChars="200"/>
        <w:textAlignment w:val="auto"/>
        <w:outlineLvl w:val="9"/>
        <w:rPr>
          <w:rFonts w:hint="eastAsia" w:ascii="宋体" w:hAnsi="宋体" w:eastAsia="宋体" w:cs="宋体"/>
          <w:b w:val="0"/>
          <w:sz w:val="24"/>
          <w:szCs w:val="24"/>
        </w:rPr>
      </w:pPr>
      <w:bookmarkStart w:id="904" w:name="_Toc351203597"/>
      <w:bookmarkStart w:id="905" w:name="_Toc337558814"/>
      <w:r>
        <w:rPr>
          <w:rFonts w:hint="eastAsia" w:ascii="宋体" w:hAnsi="宋体" w:eastAsia="宋体" w:cs="宋体"/>
          <w:b w:val="0"/>
          <w:sz w:val="24"/>
          <w:szCs w:val="24"/>
        </w:rPr>
        <w:t>14.4 最终结清</w:t>
      </w:r>
      <w:bookmarkEnd w:id="904"/>
    </w:p>
    <w:bookmarkEnd w:id="905"/>
    <w:p w14:paraId="0803FD3A">
      <w:pPr>
        <w:pageBreakBefore w:val="0"/>
        <w:widowControl w:val="0"/>
        <w:kinsoku/>
        <w:wordWrap/>
        <w:overflowPunct/>
        <w:topLinePunct w:val="0"/>
        <w:autoSpaceDE w:val="0"/>
        <w:autoSpaceDN w:val="0"/>
        <w:bidi w:val="0"/>
        <w:adjustRightInd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14.4.1 最终结清申请单</w:t>
      </w:r>
    </w:p>
    <w:p w14:paraId="358851BA">
      <w:pPr>
        <w:pageBreakBefore w:val="0"/>
        <w:widowControl w:val="0"/>
        <w:kinsoku/>
        <w:wordWrap/>
        <w:overflowPunct/>
        <w:topLinePunct w:val="0"/>
        <w:autoSpaceDE w:val="0"/>
        <w:autoSpaceDN w:val="0"/>
        <w:bidi w:val="0"/>
        <w:adjustRightInd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（1）除专用合同条款另有约定外，承包人应在缺陷责任期终止证书颁发后7天内，按专用合同条款约定的份数向发包人提交最终结清申请单，并提供相关证明材料。</w:t>
      </w:r>
    </w:p>
    <w:p w14:paraId="25CE53B1">
      <w:pPr>
        <w:pageBreakBefore w:val="0"/>
        <w:widowControl w:val="0"/>
        <w:kinsoku/>
        <w:wordWrap/>
        <w:overflowPunct/>
        <w:topLinePunct w:val="0"/>
        <w:autoSpaceDE w:val="0"/>
        <w:autoSpaceDN w:val="0"/>
        <w:bidi w:val="0"/>
        <w:adjustRightInd w:val="0"/>
        <w:snapToGrid/>
        <w:spacing w:line="480" w:lineRule="exact"/>
        <w:ind w:firstLine="480" w:firstLineChars="200"/>
        <w:jc w:val="left"/>
        <w:textAlignment w:val="auto"/>
        <w:outlineLvl w:val="9"/>
        <w:rPr>
          <w:rFonts w:hint="eastAsia" w:ascii="宋体" w:hAnsi="宋体" w:eastAsia="宋体" w:cs="宋体"/>
          <w:sz w:val="24"/>
        </w:rPr>
      </w:pPr>
      <w:r>
        <w:rPr>
          <w:rFonts w:hint="eastAsia" w:ascii="宋体" w:hAnsi="宋体" w:eastAsia="宋体" w:cs="宋体"/>
          <w:sz w:val="24"/>
        </w:rPr>
        <w:t>除专用合同条款另有约定外，</w:t>
      </w:r>
      <w:r>
        <w:rPr>
          <w:rFonts w:hint="eastAsia" w:ascii="宋体" w:hAnsi="宋体" w:eastAsia="宋体" w:cs="宋体"/>
          <w:kern w:val="0"/>
          <w:sz w:val="24"/>
        </w:rPr>
        <w:t>最终结清申请单</w:t>
      </w:r>
      <w:r>
        <w:rPr>
          <w:rFonts w:hint="eastAsia" w:ascii="宋体" w:hAnsi="宋体" w:eastAsia="宋体" w:cs="宋体"/>
          <w:sz w:val="24"/>
        </w:rPr>
        <w:t>应列明质量保证金、应扣除的质量保证金、缺陷责任期内发生的增减费用。</w:t>
      </w:r>
    </w:p>
    <w:p w14:paraId="095779C5">
      <w:pPr>
        <w:pageBreakBefore w:val="0"/>
        <w:widowControl w:val="0"/>
        <w:kinsoku/>
        <w:wordWrap/>
        <w:overflowPunct/>
        <w:topLinePunct w:val="0"/>
        <w:autoSpaceDE w:val="0"/>
        <w:autoSpaceDN w:val="0"/>
        <w:bidi w:val="0"/>
        <w:adjustRightInd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（2）发包人对最终结清申请单内容有异议的，有权要求承包人进行修正和提供补充资料，承包人应向发包人提交修正后的最终结清申请单。</w:t>
      </w:r>
    </w:p>
    <w:p w14:paraId="2ECCE8F2">
      <w:pPr>
        <w:pageBreakBefore w:val="0"/>
        <w:widowControl w:val="0"/>
        <w:kinsoku/>
        <w:wordWrap/>
        <w:overflowPunct/>
        <w:topLinePunct w:val="0"/>
        <w:autoSpaceDE w:val="0"/>
        <w:autoSpaceDN w:val="0"/>
        <w:bidi w:val="0"/>
        <w:adjustRightInd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14.4.2 最终结清证书和支付</w:t>
      </w:r>
    </w:p>
    <w:p w14:paraId="7BBCA0A8">
      <w:pPr>
        <w:pageBreakBefore w:val="0"/>
        <w:widowControl w:val="0"/>
        <w:kinsoku/>
        <w:wordWrap/>
        <w:overflowPunct/>
        <w:topLinePunct w:val="0"/>
        <w:autoSpaceDE w:val="0"/>
        <w:autoSpaceDN w:val="0"/>
        <w:bidi w:val="0"/>
        <w:adjustRightInd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1）除专用合同条款另有约定外，发包人应在收到承包人提交的最终结清申请单后14天内完成审批并向承包人颁发最终结清证书。发包人逾期未完成审批，又未提出修改意见的，视为发包人同意承包人提交的最终结清申请单，且自发包人收到承包人提交的最终结清申请单后15天起视为已颁发最终结清证书。</w:t>
      </w:r>
    </w:p>
    <w:p w14:paraId="646A9B3E">
      <w:pPr>
        <w:pageBreakBefore w:val="0"/>
        <w:widowControl w:val="0"/>
        <w:kinsoku/>
        <w:wordWrap/>
        <w:overflowPunct/>
        <w:topLinePunct w:val="0"/>
        <w:autoSpaceDE w:val="0"/>
        <w:autoSpaceDN w:val="0"/>
        <w:bidi w:val="0"/>
        <w:adjustRightInd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2）除专用合同条款另有约定外，发包人应在颁发最终结清证书后7天内完成支付。发包人逾期支付的，按照中国人民银行发布的同期同类贷款基准利率支付违约金；逾期支付超过56天的，按照中国人民银行发布的同期同类贷款基准利率的两倍支付违约金。</w:t>
      </w:r>
    </w:p>
    <w:p w14:paraId="266F9D87">
      <w:pPr>
        <w:pageBreakBefore w:val="0"/>
        <w:widowControl w:val="0"/>
        <w:kinsoku/>
        <w:wordWrap/>
        <w:overflowPunct/>
        <w:topLinePunct w:val="0"/>
        <w:autoSpaceDE w:val="0"/>
        <w:autoSpaceDN w:val="0"/>
        <w:bidi w:val="0"/>
        <w:adjustRightInd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（3）承包人对发包人颁发的最终结清证书有异议的，按第20条〔争议解决〕的约定办理。</w:t>
      </w:r>
    </w:p>
    <w:p w14:paraId="19F617B5">
      <w:pPr>
        <w:pageBreakBefore w:val="0"/>
        <w:widowControl w:val="0"/>
        <w:kinsoku/>
        <w:wordWrap/>
        <w:overflowPunct/>
        <w:topLinePunct w:val="0"/>
        <w:bidi w:val="0"/>
        <w:snapToGrid/>
        <w:spacing w:before="120" w:after="120" w:line="480" w:lineRule="exact"/>
        <w:textAlignment w:val="auto"/>
        <w:outlineLvl w:val="9"/>
        <w:rPr>
          <w:rFonts w:hint="eastAsia" w:ascii="宋体" w:hAnsi="宋体" w:eastAsia="宋体" w:cs="宋体"/>
          <w:b w:val="0"/>
          <w:sz w:val="24"/>
          <w:szCs w:val="24"/>
        </w:rPr>
      </w:pPr>
      <w:bookmarkStart w:id="906" w:name="_Toc351203598"/>
      <w:bookmarkStart w:id="907" w:name="_Toc337558815"/>
      <w:r>
        <w:rPr>
          <w:rFonts w:hint="eastAsia" w:ascii="宋体" w:hAnsi="宋体" w:eastAsia="宋体" w:cs="宋体"/>
          <w:b w:val="0"/>
          <w:sz w:val="24"/>
          <w:szCs w:val="24"/>
        </w:rPr>
        <w:t>15. 缺陷责任与保修</w:t>
      </w:r>
      <w:bookmarkEnd w:id="906"/>
    </w:p>
    <w:bookmarkEnd w:id="896"/>
    <w:bookmarkEnd w:id="897"/>
    <w:bookmarkEnd w:id="907"/>
    <w:p w14:paraId="0C5CA3BC">
      <w:pPr>
        <w:pageBreakBefore w:val="0"/>
        <w:widowControl w:val="0"/>
        <w:kinsoku/>
        <w:wordWrap/>
        <w:overflowPunct/>
        <w:topLinePunct w:val="0"/>
        <w:bidi w:val="0"/>
        <w:snapToGrid/>
        <w:spacing w:before="120" w:after="120" w:line="480" w:lineRule="exact"/>
        <w:ind w:firstLine="480" w:firstLineChars="200"/>
        <w:textAlignment w:val="auto"/>
        <w:outlineLvl w:val="9"/>
        <w:rPr>
          <w:rFonts w:hint="eastAsia" w:ascii="宋体" w:hAnsi="宋体" w:eastAsia="宋体" w:cs="宋体"/>
          <w:b w:val="0"/>
          <w:sz w:val="24"/>
          <w:szCs w:val="24"/>
        </w:rPr>
      </w:pPr>
      <w:bookmarkStart w:id="908" w:name="_Toc351203599"/>
      <w:bookmarkStart w:id="909" w:name="_Toc337558816"/>
      <w:bookmarkStart w:id="910" w:name="_Toc296346615"/>
      <w:bookmarkStart w:id="911" w:name="_Toc296503114"/>
      <w:r>
        <w:rPr>
          <w:rFonts w:hint="eastAsia" w:ascii="宋体" w:hAnsi="宋体" w:eastAsia="宋体" w:cs="宋体"/>
          <w:b w:val="0"/>
          <w:sz w:val="24"/>
          <w:szCs w:val="24"/>
        </w:rPr>
        <w:t>15.1 工程保修的原则</w:t>
      </w:r>
      <w:bookmarkEnd w:id="908"/>
    </w:p>
    <w:bookmarkEnd w:id="909"/>
    <w:p w14:paraId="68743047">
      <w:pPr>
        <w:pageBreakBefore w:val="0"/>
        <w:widowControl w:val="0"/>
        <w:kinsoku/>
        <w:wordWrap/>
        <w:overflowPunct/>
        <w:topLinePunct w:val="0"/>
        <w:autoSpaceDE w:val="0"/>
        <w:autoSpaceDN w:val="0"/>
        <w:bidi w:val="0"/>
        <w:adjustRightInd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在工程移交发包人后，因承包人原因产生的质量缺陷，承包人应承担质量缺陷责任和保修义务。缺陷责任期届满，承包人仍应按合同约定的工程各部位保修年限承担保修义务。</w:t>
      </w:r>
    </w:p>
    <w:p w14:paraId="72A751F5">
      <w:pPr>
        <w:pageBreakBefore w:val="0"/>
        <w:widowControl w:val="0"/>
        <w:kinsoku/>
        <w:wordWrap/>
        <w:overflowPunct/>
        <w:topLinePunct w:val="0"/>
        <w:bidi w:val="0"/>
        <w:snapToGrid/>
        <w:spacing w:before="120" w:after="120" w:line="480" w:lineRule="exact"/>
        <w:ind w:firstLine="480" w:firstLineChars="200"/>
        <w:textAlignment w:val="auto"/>
        <w:outlineLvl w:val="9"/>
        <w:rPr>
          <w:rFonts w:hint="eastAsia" w:ascii="宋体" w:hAnsi="宋体" w:eastAsia="宋体" w:cs="宋体"/>
          <w:b w:val="0"/>
          <w:sz w:val="24"/>
          <w:szCs w:val="24"/>
        </w:rPr>
      </w:pPr>
      <w:bookmarkStart w:id="912" w:name="_Toc351203600"/>
      <w:bookmarkStart w:id="913" w:name="_Toc337558817"/>
      <w:r>
        <w:rPr>
          <w:rFonts w:hint="eastAsia" w:ascii="宋体" w:hAnsi="宋体" w:eastAsia="宋体" w:cs="宋体"/>
          <w:b w:val="0"/>
          <w:sz w:val="24"/>
          <w:szCs w:val="24"/>
        </w:rPr>
        <w:t>15.2 缺陷责任期</w:t>
      </w:r>
      <w:bookmarkEnd w:id="910"/>
      <w:bookmarkEnd w:id="911"/>
      <w:bookmarkEnd w:id="912"/>
    </w:p>
    <w:bookmarkEnd w:id="913"/>
    <w:p w14:paraId="0F9A1170">
      <w:pPr>
        <w:pageBreakBefore w:val="0"/>
        <w:widowControl w:val="0"/>
        <w:kinsoku/>
        <w:wordWrap/>
        <w:overflowPunct/>
        <w:topLinePunct w:val="0"/>
        <w:autoSpaceDE w:val="0"/>
        <w:autoSpaceDN w:val="0"/>
        <w:bidi w:val="0"/>
        <w:adjustRightInd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15.2.1 缺陷责任期自实际竣工日期起计算，合同当事人应在专用合同条款约定缺陷责任期的具体期限，但该期限最长不超过24个月。</w:t>
      </w:r>
    </w:p>
    <w:p w14:paraId="233BF03A">
      <w:pPr>
        <w:pageBreakBefore w:val="0"/>
        <w:widowControl w:val="0"/>
        <w:kinsoku/>
        <w:wordWrap/>
        <w:overflowPunct/>
        <w:topLinePunct w:val="0"/>
        <w:autoSpaceDE w:val="0"/>
        <w:autoSpaceDN w:val="0"/>
        <w:bidi w:val="0"/>
        <w:adjustRightInd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单位工程先于全部工程进行验收，经验收合格并交付使用的，该单位工程缺陷责任期自单位工程验收合格之日起算。因发包人原因导致工程无法按合同约定期限进行竣工验收的，缺陷责任期自承包人提交竣工验收申请报告之日起开始计算；发包人未经竣工验收擅自使用工程的，缺陷责任期自工程转移占有之日起开始计算。</w:t>
      </w:r>
    </w:p>
    <w:p w14:paraId="643C4442">
      <w:pPr>
        <w:pageBreakBefore w:val="0"/>
        <w:widowControl w:val="0"/>
        <w:kinsoku/>
        <w:wordWrap/>
        <w:overflowPunct/>
        <w:topLinePunct w:val="0"/>
        <w:autoSpaceDE w:val="0"/>
        <w:autoSpaceDN w:val="0"/>
        <w:bidi w:val="0"/>
        <w:adjustRightInd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15.2.2 工程竣工验收合格后，因承包人原因导致的缺陷或损坏致使工程、单位工程或某项主要设备不能按原定目的使用的，则发包人有权要求承</w:t>
      </w:r>
      <w:r>
        <w:rPr>
          <w:rFonts w:hint="eastAsia" w:ascii="宋体" w:hAnsi="宋体" w:eastAsia="宋体" w:cs="宋体"/>
          <w:bCs/>
          <w:sz w:val="24"/>
        </w:rPr>
        <w:t>包人延长缺陷责任期，</w:t>
      </w:r>
      <w:r>
        <w:rPr>
          <w:rFonts w:hint="eastAsia" w:ascii="宋体" w:hAnsi="宋体" w:eastAsia="宋体" w:cs="宋体"/>
          <w:kern w:val="0"/>
          <w:sz w:val="24"/>
        </w:rPr>
        <w:t>并应在原缺陷责任期届满前发出延长通知，</w:t>
      </w:r>
      <w:r>
        <w:rPr>
          <w:rFonts w:hint="eastAsia" w:ascii="宋体" w:hAnsi="宋体" w:eastAsia="宋体" w:cs="宋体"/>
          <w:bCs/>
          <w:sz w:val="24"/>
        </w:rPr>
        <w:t>但缺陷责任期最长</w:t>
      </w:r>
      <w:r>
        <w:rPr>
          <w:rFonts w:hint="eastAsia" w:ascii="宋体" w:hAnsi="宋体" w:eastAsia="宋体" w:cs="宋体"/>
          <w:kern w:val="0"/>
          <w:sz w:val="24"/>
        </w:rPr>
        <w:t>不能超过24个月。</w:t>
      </w:r>
    </w:p>
    <w:p w14:paraId="7A078311">
      <w:pPr>
        <w:pageBreakBefore w:val="0"/>
        <w:widowControl w:val="0"/>
        <w:kinsoku/>
        <w:wordWrap/>
        <w:overflowPunct/>
        <w:topLinePunct w:val="0"/>
        <w:autoSpaceDE w:val="0"/>
        <w:autoSpaceDN w:val="0"/>
        <w:bidi w:val="0"/>
        <w:adjustRightInd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15.2.3 任何一项缺陷或损坏修复后，经检查证明其影响了工程或工程设备的使用性能，承包人应重新进行合同约定的试验和试运行，试验和试运行的全部费用应由责任方承担。</w:t>
      </w:r>
    </w:p>
    <w:p w14:paraId="5E20F03E">
      <w:pPr>
        <w:pageBreakBefore w:val="0"/>
        <w:widowControl w:val="0"/>
        <w:kinsoku/>
        <w:wordWrap/>
        <w:overflowPunct/>
        <w:topLinePunct w:val="0"/>
        <w:autoSpaceDE w:val="0"/>
        <w:autoSpaceDN w:val="0"/>
        <w:bidi w:val="0"/>
        <w:adjustRightInd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15.2.4 除专用合同条款另有约定外，承包人应于缺陷责任期届满后7天内向发包人发出缺陷责任期届满通知，发包人应在收到缺陷责任期满通知后14天内核实承包人是否履行缺陷修复义务，承包人未能履行缺陷修复义务的，发包人有权扣除相应金额的维修费用。发包人应在收到缺陷责任期届满通知后14天内，向承包人颁发缺陷责任期终止证书。</w:t>
      </w:r>
    </w:p>
    <w:p w14:paraId="1AEEF6AB">
      <w:pPr>
        <w:pageBreakBefore w:val="0"/>
        <w:widowControl w:val="0"/>
        <w:kinsoku/>
        <w:wordWrap/>
        <w:overflowPunct/>
        <w:topLinePunct w:val="0"/>
        <w:bidi w:val="0"/>
        <w:snapToGrid/>
        <w:spacing w:before="120" w:after="120" w:line="480" w:lineRule="exact"/>
        <w:ind w:firstLine="480" w:firstLineChars="200"/>
        <w:textAlignment w:val="auto"/>
        <w:outlineLvl w:val="9"/>
        <w:rPr>
          <w:rFonts w:hint="eastAsia" w:ascii="宋体" w:hAnsi="宋体" w:eastAsia="宋体" w:cs="宋体"/>
          <w:b w:val="0"/>
          <w:bCs w:val="0"/>
          <w:kern w:val="0"/>
          <w:sz w:val="24"/>
          <w:szCs w:val="24"/>
        </w:rPr>
      </w:pPr>
      <w:bookmarkStart w:id="914" w:name="_Toc351203601"/>
      <w:bookmarkStart w:id="915" w:name="_Toc337558818"/>
      <w:bookmarkStart w:id="916" w:name="_Toc296346616"/>
      <w:bookmarkStart w:id="917" w:name="_Toc296503115"/>
      <w:r>
        <w:rPr>
          <w:rFonts w:hint="eastAsia" w:ascii="宋体" w:hAnsi="宋体" w:eastAsia="宋体" w:cs="宋体"/>
          <w:b w:val="0"/>
          <w:bCs w:val="0"/>
          <w:kern w:val="0"/>
          <w:sz w:val="24"/>
          <w:szCs w:val="24"/>
        </w:rPr>
        <w:t>15.3 质量保证金</w:t>
      </w:r>
      <w:bookmarkEnd w:id="914"/>
    </w:p>
    <w:bookmarkEnd w:id="915"/>
    <w:p w14:paraId="0C07524D">
      <w:pPr>
        <w:pageBreakBefore w:val="0"/>
        <w:widowControl w:val="0"/>
        <w:kinsoku/>
        <w:wordWrap/>
        <w:overflowPunct/>
        <w:topLinePunct w:val="0"/>
        <w:autoSpaceDE w:val="0"/>
        <w:autoSpaceDN w:val="0"/>
        <w:bidi w:val="0"/>
        <w:adjustRightInd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经合同当事人协商一致扣留质量保证金的，应在专用合同条款中予以明确。</w:t>
      </w:r>
    </w:p>
    <w:p w14:paraId="37AF6B2B">
      <w:pPr>
        <w:pageBreakBefore w:val="0"/>
        <w:widowControl w:val="0"/>
        <w:kinsoku/>
        <w:wordWrap/>
        <w:overflowPunct/>
        <w:topLinePunct w:val="0"/>
        <w:autoSpaceDE w:val="0"/>
        <w:autoSpaceDN w:val="0"/>
        <w:bidi w:val="0"/>
        <w:adjustRightInd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15.3.1 承包人提供质量保证金的方式</w:t>
      </w:r>
    </w:p>
    <w:p w14:paraId="28442D4C">
      <w:pPr>
        <w:pageBreakBefore w:val="0"/>
        <w:widowControl w:val="0"/>
        <w:kinsoku/>
        <w:wordWrap/>
        <w:overflowPunct/>
        <w:topLinePunct w:val="0"/>
        <w:autoSpaceDE w:val="0"/>
        <w:autoSpaceDN w:val="0"/>
        <w:bidi w:val="0"/>
        <w:adjustRightInd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承包人提供质量保证金有以下三种方式：</w:t>
      </w:r>
    </w:p>
    <w:p w14:paraId="5F2FD876">
      <w:pPr>
        <w:pageBreakBefore w:val="0"/>
        <w:widowControl w:val="0"/>
        <w:kinsoku/>
        <w:wordWrap/>
        <w:overflowPunct/>
        <w:topLinePunct w:val="0"/>
        <w:autoSpaceDE w:val="0"/>
        <w:autoSpaceDN w:val="0"/>
        <w:bidi w:val="0"/>
        <w:adjustRightInd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 xml:space="preserve">（1）质量保证金保函； </w:t>
      </w:r>
    </w:p>
    <w:p w14:paraId="6B952066">
      <w:pPr>
        <w:pageBreakBefore w:val="0"/>
        <w:widowControl w:val="0"/>
        <w:kinsoku/>
        <w:wordWrap/>
        <w:overflowPunct/>
        <w:topLinePunct w:val="0"/>
        <w:autoSpaceDE w:val="0"/>
        <w:autoSpaceDN w:val="0"/>
        <w:bidi w:val="0"/>
        <w:adjustRightInd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（2）相应比例的工程款；</w:t>
      </w:r>
    </w:p>
    <w:p w14:paraId="0B8D64B3">
      <w:pPr>
        <w:pageBreakBefore w:val="0"/>
        <w:widowControl w:val="0"/>
        <w:kinsoku/>
        <w:wordWrap/>
        <w:overflowPunct/>
        <w:topLinePunct w:val="0"/>
        <w:autoSpaceDE w:val="0"/>
        <w:autoSpaceDN w:val="0"/>
        <w:bidi w:val="0"/>
        <w:adjustRightInd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（3）双方约定的其他方式。</w:t>
      </w:r>
    </w:p>
    <w:p w14:paraId="78296F6F">
      <w:pPr>
        <w:pageBreakBefore w:val="0"/>
        <w:widowControl w:val="0"/>
        <w:kinsoku/>
        <w:wordWrap/>
        <w:overflowPunct/>
        <w:topLinePunct w:val="0"/>
        <w:autoSpaceDE w:val="0"/>
        <w:autoSpaceDN w:val="0"/>
        <w:bidi w:val="0"/>
        <w:adjustRightInd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除专用合同条款另有约定外，质量保证金原则上采用上述第（1）种方式。</w:t>
      </w:r>
    </w:p>
    <w:p w14:paraId="0AB92497">
      <w:pPr>
        <w:pageBreakBefore w:val="0"/>
        <w:widowControl w:val="0"/>
        <w:kinsoku/>
        <w:wordWrap/>
        <w:overflowPunct/>
        <w:topLinePunct w:val="0"/>
        <w:autoSpaceDE w:val="0"/>
        <w:autoSpaceDN w:val="0"/>
        <w:bidi w:val="0"/>
        <w:adjustRightInd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15.3.2 质量保证金的扣留</w:t>
      </w:r>
    </w:p>
    <w:p w14:paraId="67EB6E0F">
      <w:pPr>
        <w:pageBreakBefore w:val="0"/>
        <w:widowControl w:val="0"/>
        <w:kinsoku/>
        <w:wordWrap/>
        <w:overflowPunct/>
        <w:topLinePunct w:val="0"/>
        <w:autoSpaceDE w:val="0"/>
        <w:autoSpaceDN w:val="0"/>
        <w:bidi w:val="0"/>
        <w:adjustRightInd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质量保证金的扣留有以下三种方式：</w:t>
      </w:r>
    </w:p>
    <w:p w14:paraId="4F3F3E9F">
      <w:pPr>
        <w:pageBreakBefore w:val="0"/>
        <w:widowControl w:val="0"/>
        <w:kinsoku/>
        <w:wordWrap/>
        <w:overflowPunct/>
        <w:topLinePunct w:val="0"/>
        <w:autoSpaceDE w:val="0"/>
        <w:autoSpaceDN w:val="0"/>
        <w:bidi w:val="0"/>
        <w:adjustRightInd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（1）在支付工程进度款时逐次扣留，在此情形下，质量保证金的计算基数不包括预付款的支付、扣回以及价格调整的金额；</w:t>
      </w:r>
    </w:p>
    <w:p w14:paraId="28C7AF9B">
      <w:pPr>
        <w:pageBreakBefore w:val="0"/>
        <w:widowControl w:val="0"/>
        <w:kinsoku/>
        <w:wordWrap/>
        <w:overflowPunct/>
        <w:topLinePunct w:val="0"/>
        <w:autoSpaceDE w:val="0"/>
        <w:autoSpaceDN w:val="0"/>
        <w:bidi w:val="0"/>
        <w:adjustRightInd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（2）工</w:t>
      </w:r>
      <w:bookmarkStart w:id="918" w:name="#go6"/>
      <w:bookmarkEnd w:id="918"/>
      <w:r>
        <w:rPr>
          <w:rFonts w:hint="eastAsia" w:ascii="宋体" w:hAnsi="宋体" w:eastAsia="宋体" w:cs="宋体"/>
          <w:kern w:val="0"/>
          <w:sz w:val="24"/>
        </w:rPr>
        <w:t>程竣工结算时一次性扣留质量保证金；</w:t>
      </w:r>
    </w:p>
    <w:p w14:paraId="35C12DCE">
      <w:pPr>
        <w:pageBreakBefore w:val="0"/>
        <w:widowControl w:val="0"/>
        <w:kinsoku/>
        <w:wordWrap/>
        <w:overflowPunct/>
        <w:topLinePunct w:val="0"/>
        <w:autoSpaceDE w:val="0"/>
        <w:autoSpaceDN w:val="0"/>
        <w:bidi w:val="0"/>
        <w:adjustRightInd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（3）双方约定的其他扣留方式。</w:t>
      </w:r>
    </w:p>
    <w:p w14:paraId="6561D6D8">
      <w:pPr>
        <w:pageBreakBefore w:val="0"/>
        <w:widowControl w:val="0"/>
        <w:kinsoku/>
        <w:wordWrap/>
        <w:overflowPunct/>
        <w:topLinePunct w:val="0"/>
        <w:autoSpaceDE w:val="0"/>
        <w:autoSpaceDN w:val="0"/>
        <w:bidi w:val="0"/>
        <w:adjustRightInd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除专用合同条款另有约定外，质量保证金的扣留原则上采用上述第（1）种方式。</w:t>
      </w:r>
    </w:p>
    <w:p w14:paraId="45B52113">
      <w:pPr>
        <w:pageBreakBefore w:val="0"/>
        <w:widowControl w:val="0"/>
        <w:kinsoku/>
        <w:wordWrap/>
        <w:overflowPunct/>
        <w:topLinePunct w:val="0"/>
        <w:autoSpaceDE w:val="0"/>
        <w:autoSpaceDN w:val="0"/>
        <w:bidi w:val="0"/>
        <w:adjustRightInd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发</w:t>
      </w:r>
      <w:bookmarkStart w:id="919" w:name="#go4"/>
      <w:bookmarkEnd w:id="919"/>
      <w:r>
        <w:rPr>
          <w:rFonts w:hint="eastAsia" w:ascii="宋体" w:hAnsi="宋体" w:eastAsia="宋体" w:cs="宋体"/>
          <w:kern w:val="0"/>
          <w:sz w:val="24"/>
        </w:rPr>
        <w:t>包人累计扣留的质量保证金不得超过结算合同价格的5%，如承包人在发包人签发竣工付款证书后28天内提交质量保证金保函，发包人应同时退还扣留的作为质量保证金的工程价款。</w:t>
      </w:r>
    </w:p>
    <w:p w14:paraId="5413D9D2">
      <w:pPr>
        <w:pageBreakBefore w:val="0"/>
        <w:widowControl w:val="0"/>
        <w:kinsoku/>
        <w:wordWrap/>
        <w:overflowPunct/>
        <w:topLinePunct w:val="0"/>
        <w:autoSpaceDE w:val="0"/>
        <w:autoSpaceDN w:val="0"/>
        <w:bidi w:val="0"/>
        <w:adjustRightInd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 xml:space="preserve">15.3.3 </w:t>
      </w:r>
      <w:r>
        <w:rPr>
          <w:rFonts w:hint="eastAsia" w:ascii="宋体" w:hAnsi="宋体" w:eastAsia="宋体" w:cs="宋体"/>
          <w:sz w:val="24"/>
        </w:rPr>
        <w:t>质量保证金</w:t>
      </w:r>
      <w:r>
        <w:rPr>
          <w:rFonts w:hint="eastAsia" w:ascii="宋体" w:hAnsi="宋体" w:eastAsia="宋体" w:cs="宋体"/>
          <w:kern w:val="0"/>
          <w:sz w:val="24"/>
        </w:rPr>
        <w:t>的退还</w:t>
      </w:r>
    </w:p>
    <w:p w14:paraId="1DF88760">
      <w:pPr>
        <w:pageBreakBefore w:val="0"/>
        <w:widowControl w:val="0"/>
        <w:kinsoku/>
        <w:wordWrap/>
        <w:overflowPunct/>
        <w:topLinePunct w:val="0"/>
        <w:autoSpaceDE w:val="0"/>
        <w:autoSpaceDN w:val="0"/>
        <w:bidi w:val="0"/>
        <w:adjustRightInd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发包人应按14.4款〔最终结清〕的约定退还质量保证金。</w:t>
      </w:r>
    </w:p>
    <w:p w14:paraId="5D785D13">
      <w:pPr>
        <w:pageBreakBefore w:val="0"/>
        <w:widowControl w:val="0"/>
        <w:kinsoku/>
        <w:wordWrap/>
        <w:overflowPunct/>
        <w:topLinePunct w:val="0"/>
        <w:bidi w:val="0"/>
        <w:snapToGrid/>
        <w:spacing w:before="120" w:after="120" w:line="480" w:lineRule="exact"/>
        <w:ind w:firstLine="480" w:firstLineChars="200"/>
        <w:textAlignment w:val="auto"/>
        <w:outlineLvl w:val="9"/>
        <w:rPr>
          <w:rFonts w:hint="eastAsia" w:ascii="宋体" w:hAnsi="宋体" w:eastAsia="宋体" w:cs="宋体"/>
          <w:b w:val="0"/>
          <w:sz w:val="24"/>
          <w:szCs w:val="24"/>
        </w:rPr>
      </w:pPr>
      <w:bookmarkStart w:id="920" w:name="_Toc351203602"/>
      <w:bookmarkStart w:id="921" w:name="_Toc337558819"/>
      <w:r>
        <w:rPr>
          <w:rFonts w:hint="eastAsia" w:ascii="宋体" w:hAnsi="宋体" w:eastAsia="宋体" w:cs="宋体"/>
          <w:b w:val="0"/>
          <w:sz w:val="24"/>
          <w:szCs w:val="24"/>
        </w:rPr>
        <w:t>15.4 保修</w:t>
      </w:r>
      <w:bookmarkEnd w:id="920"/>
    </w:p>
    <w:bookmarkEnd w:id="916"/>
    <w:bookmarkEnd w:id="917"/>
    <w:bookmarkEnd w:id="921"/>
    <w:p w14:paraId="3421654A">
      <w:pPr>
        <w:pageBreakBefore w:val="0"/>
        <w:widowControl w:val="0"/>
        <w:kinsoku/>
        <w:wordWrap/>
        <w:overflowPunct/>
        <w:topLinePunct w:val="0"/>
        <w:bidi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15.4.1保修责任</w:t>
      </w:r>
    </w:p>
    <w:p w14:paraId="7EEBCD97">
      <w:pPr>
        <w:pageBreakBefore w:val="0"/>
        <w:widowControl w:val="0"/>
        <w:kinsoku/>
        <w:wordWrap/>
        <w:overflowPunct/>
        <w:topLinePunct w:val="0"/>
        <w:bidi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工程保修期从工程竣工验收合格之日起算，具体分部分项工程的保修期由合同当事人在专用合同条款中约定，但不得低于法定最低保修年限。在工程保修期内，承包人应当根据有关法律规定以及合同约定承担保修责任。</w:t>
      </w:r>
    </w:p>
    <w:p w14:paraId="3B157391">
      <w:pPr>
        <w:pageBreakBefore w:val="0"/>
        <w:widowControl w:val="0"/>
        <w:kinsoku/>
        <w:wordWrap/>
        <w:overflowPunct/>
        <w:topLinePunct w:val="0"/>
        <w:bidi w:val="0"/>
        <w:snapToGrid/>
        <w:spacing w:line="480" w:lineRule="exact"/>
        <w:ind w:firstLine="480" w:firstLineChars="200"/>
        <w:jc w:val="left"/>
        <w:textAlignment w:val="auto"/>
        <w:outlineLvl w:val="9"/>
        <w:rPr>
          <w:rFonts w:hint="eastAsia" w:ascii="宋体" w:hAnsi="宋体" w:eastAsia="宋体" w:cs="宋体"/>
          <w:sz w:val="24"/>
        </w:rPr>
      </w:pPr>
      <w:r>
        <w:rPr>
          <w:rFonts w:hint="eastAsia" w:ascii="宋体" w:hAnsi="宋体" w:eastAsia="宋体" w:cs="宋体"/>
          <w:sz w:val="24"/>
        </w:rPr>
        <w:t>发包人未经竣工验收擅自使用工程的，保修期自</w:t>
      </w:r>
      <w:r>
        <w:rPr>
          <w:rFonts w:hint="eastAsia" w:ascii="宋体" w:hAnsi="宋体" w:eastAsia="宋体" w:cs="宋体"/>
          <w:kern w:val="0"/>
          <w:sz w:val="24"/>
        </w:rPr>
        <w:t>转移占有之日起算</w:t>
      </w:r>
      <w:r>
        <w:rPr>
          <w:rFonts w:hint="eastAsia" w:ascii="宋体" w:hAnsi="宋体" w:eastAsia="宋体" w:cs="宋体"/>
          <w:sz w:val="24"/>
        </w:rPr>
        <w:t>。</w:t>
      </w:r>
    </w:p>
    <w:p w14:paraId="57CD6E77">
      <w:pPr>
        <w:pageBreakBefore w:val="0"/>
        <w:widowControl w:val="0"/>
        <w:kinsoku/>
        <w:wordWrap/>
        <w:overflowPunct/>
        <w:topLinePunct w:val="0"/>
        <w:autoSpaceDE w:val="0"/>
        <w:autoSpaceDN w:val="0"/>
        <w:bidi w:val="0"/>
        <w:adjustRightInd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15.4.2 修复费用</w:t>
      </w:r>
    </w:p>
    <w:p w14:paraId="415B9000">
      <w:pPr>
        <w:pageBreakBefore w:val="0"/>
        <w:widowControl w:val="0"/>
        <w:kinsoku/>
        <w:wordWrap/>
        <w:overflowPunct/>
        <w:topLinePunct w:val="0"/>
        <w:autoSpaceDE w:val="0"/>
        <w:autoSpaceDN w:val="0"/>
        <w:bidi w:val="0"/>
        <w:adjustRightInd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保修期内，修复的费用按照以下约定处理：</w:t>
      </w:r>
    </w:p>
    <w:p w14:paraId="554B8C7D">
      <w:pPr>
        <w:pageBreakBefore w:val="0"/>
        <w:widowControl w:val="0"/>
        <w:kinsoku/>
        <w:wordWrap/>
        <w:overflowPunct/>
        <w:topLinePunct w:val="0"/>
        <w:autoSpaceDE w:val="0"/>
        <w:autoSpaceDN w:val="0"/>
        <w:bidi w:val="0"/>
        <w:adjustRightInd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（1）保修期内，因承包人原因造成工程的缺陷、损坏，承包人应负责修复，并承担修复的费用以及因工程的缺陷、损坏造成的人身伤害和财产损失；</w:t>
      </w:r>
    </w:p>
    <w:p w14:paraId="66B1D76B">
      <w:pPr>
        <w:pageBreakBefore w:val="0"/>
        <w:widowControl w:val="0"/>
        <w:kinsoku/>
        <w:wordWrap/>
        <w:overflowPunct/>
        <w:topLinePunct w:val="0"/>
        <w:autoSpaceDE w:val="0"/>
        <w:autoSpaceDN w:val="0"/>
        <w:bidi w:val="0"/>
        <w:adjustRightInd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（2）保修期内，因发包人使用不当造成工程的缺陷、损坏，可以委托承包人修复，但发包人应承担修复的费用，并支付承包人合理利润；</w:t>
      </w:r>
    </w:p>
    <w:p w14:paraId="7BF7DF7F">
      <w:pPr>
        <w:pageBreakBefore w:val="0"/>
        <w:widowControl w:val="0"/>
        <w:kinsoku/>
        <w:wordWrap/>
        <w:overflowPunct/>
        <w:topLinePunct w:val="0"/>
        <w:autoSpaceDE w:val="0"/>
        <w:autoSpaceDN w:val="0"/>
        <w:bidi w:val="0"/>
        <w:adjustRightInd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（3）因其他原因造成工程的缺陷、损坏，可以委托承包人修复，发包人应承担修复的费用，并支付承包人合理的利润，因工程的缺陷、损坏造成的人身伤害和财产损失由责任方承担。</w:t>
      </w:r>
    </w:p>
    <w:p w14:paraId="39C7D51D">
      <w:pPr>
        <w:pageBreakBefore w:val="0"/>
        <w:widowControl w:val="0"/>
        <w:kinsoku/>
        <w:wordWrap/>
        <w:overflowPunct/>
        <w:topLinePunct w:val="0"/>
        <w:bidi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15.4.3 修复通知</w:t>
      </w:r>
    </w:p>
    <w:p w14:paraId="1C9E9CBA">
      <w:pPr>
        <w:pageBreakBefore w:val="0"/>
        <w:widowControl w:val="0"/>
        <w:kinsoku/>
        <w:wordWrap/>
        <w:overflowPunct/>
        <w:topLinePunct w:val="0"/>
        <w:bidi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在保修期内，发包人在使用过程中，发现已接收的工程存在缺陷或损坏的，应书面通知承包人予以修复，但情况紧急必须立即修复缺陷或损坏的，发包人可以口头通知承包人并在口头通知后48小时内书面确认，承包人应在专用合同条款约定的合理期限内到达工程现场并修复缺陷或损坏。</w:t>
      </w:r>
    </w:p>
    <w:p w14:paraId="022B60BE">
      <w:pPr>
        <w:pageBreakBefore w:val="0"/>
        <w:widowControl w:val="0"/>
        <w:kinsoku/>
        <w:wordWrap/>
        <w:overflowPunct/>
        <w:topLinePunct w:val="0"/>
        <w:bidi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15.4.4 未能修复</w:t>
      </w:r>
    </w:p>
    <w:p w14:paraId="307CE3DF">
      <w:pPr>
        <w:pageBreakBefore w:val="0"/>
        <w:widowControl w:val="0"/>
        <w:kinsoku/>
        <w:wordWrap/>
        <w:overflowPunct/>
        <w:topLinePunct w:val="0"/>
        <w:bidi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因承包人原因造成工程的缺陷或损坏，承包人拒绝维修或未能在合理期限内修复缺陷或损坏，且经发包人书面催告后仍未修复的，发包人有权自行修复或委托第三方修复，所需费用由承包人承担。但修复范围超出缺陷或损坏范围的，超出范围部分的修复费用由发包人承担。</w:t>
      </w:r>
    </w:p>
    <w:p w14:paraId="0A562EFE">
      <w:pPr>
        <w:pageBreakBefore w:val="0"/>
        <w:widowControl w:val="0"/>
        <w:kinsoku/>
        <w:wordWrap/>
        <w:overflowPunct/>
        <w:topLinePunct w:val="0"/>
        <w:bidi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15.4.5 承包人出入权</w:t>
      </w:r>
    </w:p>
    <w:p w14:paraId="18FD6883">
      <w:pPr>
        <w:pageBreakBefore w:val="0"/>
        <w:widowControl w:val="0"/>
        <w:kinsoku/>
        <w:wordWrap/>
        <w:overflowPunct/>
        <w:topLinePunct w:val="0"/>
        <w:bidi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在保修期内，为了修复缺陷或损坏，承包人有权出入工程现场，除情况紧急必须立即修复缺陷或损坏外，承包人应提前24小时通知发包人进场修复的时间。承包人进入工程现场前应获得发包人同意，且不应影响发包人正常的生产经营，并应遵守发包人有关保安和保密等规定。</w:t>
      </w:r>
    </w:p>
    <w:p w14:paraId="4A2DB3B9">
      <w:pPr>
        <w:pageBreakBefore w:val="0"/>
        <w:widowControl w:val="0"/>
        <w:kinsoku/>
        <w:wordWrap/>
        <w:overflowPunct/>
        <w:topLinePunct w:val="0"/>
        <w:bidi w:val="0"/>
        <w:snapToGrid/>
        <w:spacing w:before="120" w:after="120" w:line="480" w:lineRule="exact"/>
        <w:textAlignment w:val="auto"/>
        <w:outlineLvl w:val="9"/>
        <w:rPr>
          <w:rFonts w:hint="eastAsia" w:ascii="宋体" w:hAnsi="宋体" w:eastAsia="宋体" w:cs="宋体"/>
          <w:bCs w:val="0"/>
          <w:sz w:val="24"/>
          <w:szCs w:val="24"/>
        </w:rPr>
      </w:pPr>
      <w:bookmarkStart w:id="922" w:name="_Toc351203603"/>
      <w:bookmarkStart w:id="923" w:name="_Toc337558820"/>
      <w:r>
        <w:rPr>
          <w:rFonts w:hint="eastAsia" w:ascii="宋体" w:hAnsi="宋体" w:eastAsia="宋体" w:cs="宋体"/>
          <w:bCs w:val="0"/>
          <w:sz w:val="24"/>
          <w:szCs w:val="24"/>
        </w:rPr>
        <w:t>16. 违约</w:t>
      </w:r>
      <w:bookmarkEnd w:id="922"/>
    </w:p>
    <w:bookmarkEnd w:id="923"/>
    <w:p w14:paraId="23F38A54">
      <w:pPr>
        <w:pageBreakBefore w:val="0"/>
        <w:widowControl w:val="0"/>
        <w:kinsoku/>
        <w:wordWrap/>
        <w:overflowPunct/>
        <w:topLinePunct w:val="0"/>
        <w:bidi w:val="0"/>
        <w:snapToGrid/>
        <w:spacing w:before="120" w:after="120" w:line="480" w:lineRule="exact"/>
        <w:ind w:firstLine="480" w:firstLineChars="200"/>
        <w:textAlignment w:val="auto"/>
        <w:outlineLvl w:val="9"/>
        <w:rPr>
          <w:rFonts w:hint="eastAsia" w:ascii="宋体" w:hAnsi="宋体" w:eastAsia="宋体" w:cs="宋体"/>
          <w:b w:val="0"/>
          <w:sz w:val="24"/>
          <w:szCs w:val="24"/>
        </w:rPr>
      </w:pPr>
      <w:bookmarkStart w:id="924" w:name="_Toc296503129"/>
      <w:bookmarkStart w:id="925" w:name="_Toc296346630"/>
      <w:bookmarkStart w:id="926" w:name="_Toc351203604"/>
      <w:bookmarkStart w:id="927" w:name="_Toc337558821"/>
      <w:r>
        <w:rPr>
          <w:rFonts w:hint="eastAsia" w:ascii="宋体" w:hAnsi="宋体" w:eastAsia="宋体" w:cs="宋体"/>
          <w:b w:val="0"/>
          <w:sz w:val="24"/>
          <w:szCs w:val="24"/>
        </w:rPr>
        <w:t>16.1 发</w:t>
      </w:r>
      <w:bookmarkEnd w:id="924"/>
      <w:bookmarkEnd w:id="925"/>
      <w:r>
        <w:rPr>
          <w:rFonts w:hint="eastAsia" w:ascii="宋体" w:hAnsi="宋体" w:eastAsia="宋体" w:cs="宋体"/>
          <w:b w:val="0"/>
          <w:sz w:val="24"/>
          <w:szCs w:val="24"/>
        </w:rPr>
        <w:t>包人违约</w:t>
      </w:r>
      <w:bookmarkEnd w:id="926"/>
    </w:p>
    <w:bookmarkEnd w:id="927"/>
    <w:p w14:paraId="27CA28DD">
      <w:pPr>
        <w:pageBreakBefore w:val="0"/>
        <w:widowControl w:val="0"/>
        <w:kinsoku/>
        <w:wordWrap/>
        <w:overflowPunct/>
        <w:topLinePunct w:val="0"/>
        <w:autoSpaceDE w:val="0"/>
        <w:autoSpaceDN w:val="0"/>
        <w:bidi w:val="0"/>
        <w:adjustRightInd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16.1.1 发包人违约的情形</w:t>
      </w:r>
    </w:p>
    <w:p w14:paraId="301B5061">
      <w:pPr>
        <w:pageBreakBefore w:val="0"/>
        <w:widowControl w:val="0"/>
        <w:kinsoku/>
        <w:wordWrap/>
        <w:overflowPunct/>
        <w:topLinePunct w:val="0"/>
        <w:autoSpaceDE w:val="0"/>
        <w:autoSpaceDN w:val="0"/>
        <w:bidi w:val="0"/>
        <w:adjustRightInd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在合同履行过程中发生的下列情形，属于发包人违约：</w:t>
      </w:r>
    </w:p>
    <w:p w14:paraId="575C3513">
      <w:pPr>
        <w:pageBreakBefore w:val="0"/>
        <w:widowControl w:val="0"/>
        <w:kinsoku/>
        <w:wordWrap/>
        <w:overflowPunct/>
        <w:topLinePunct w:val="0"/>
        <w:autoSpaceDE w:val="0"/>
        <w:autoSpaceDN w:val="0"/>
        <w:bidi w:val="0"/>
        <w:adjustRightInd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（1）因发包人原因未能在计划开工日期前7天内下达开工通知的；</w:t>
      </w:r>
    </w:p>
    <w:p w14:paraId="220A35CF">
      <w:pPr>
        <w:pageBreakBefore w:val="0"/>
        <w:widowControl w:val="0"/>
        <w:kinsoku/>
        <w:wordWrap/>
        <w:overflowPunct/>
        <w:topLinePunct w:val="0"/>
        <w:autoSpaceDE w:val="0"/>
        <w:autoSpaceDN w:val="0"/>
        <w:bidi w:val="0"/>
        <w:adjustRightInd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（2）因发包人原因未能按合同约定支付合同价款的；</w:t>
      </w:r>
    </w:p>
    <w:p w14:paraId="6BF52F1B">
      <w:pPr>
        <w:pageBreakBefore w:val="0"/>
        <w:widowControl w:val="0"/>
        <w:kinsoku/>
        <w:wordWrap/>
        <w:overflowPunct/>
        <w:topLinePunct w:val="0"/>
        <w:autoSpaceDE w:val="0"/>
        <w:autoSpaceDN w:val="0"/>
        <w:bidi w:val="0"/>
        <w:adjustRightInd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（3）发包人违反第10.1款〔变更的范围〕第（2）项约定，自行实施被取消的工作或转由他人实施的；</w:t>
      </w:r>
    </w:p>
    <w:p w14:paraId="32411CE1">
      <w:pPr>
        <w:pageBreakBefore w:val="0"/>
        <w:widowControl w:val="0"/>
        <w:kinsoku/>
        <w:wordWrap/>
        <w:overflowPunct/>
        <w:topLinePunct w:val="0"/>
        <w:autoSpaceDE w:val="0"/>
        <w:autoSpaceDN w:val="0"/>
        <w:bidi w:val="0"/>
        <w:adjustRightInd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（4）发包人提供的材料、工程设备的规格、数量或质量不符合合同约定，或因发包人原因导致交货日期延误或交货地点变更等情况的；</w:t>
      </w:r>
    </w:p>
    <w:p w14:paraId="599BF520">
      <w:pPr>
        <w:pageBreakBefore w:val="0"/>
        <w:widowControl w:val="0"/>
        <w:kinsoku/>
        <w:wordWrap/>
        <w:overflowPunct/>
        <w:topLinePunct w:val="0"/>
        <w:autoSpaceDE w:val="0"/>
        <w:autoSpaceDN w:val="0"/>
        <w:bidi w:val="0"/>
        <w:adjustRightInd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（5）因发包人违反合同约定造成暂停施工的；</w:t>
      </w:r>
    </w:p>
    <w:p w14:paraId="3CA1E882">
      <w:pPr>
        <w:pageBreakBefore w:val="0"/>
        <w:widowControl w:val="0"/>
        <w:kinsoku/>
        <w:wordWrap/>
        <w:overflowPunct/>
        <w:topLinePunct w:val="0"/>
        <w:autoSpaceDE w:val="0"/>
        <w:autoSpaceDN w:val="0"/>
        <w:bidi w:val="0"/>
        <w:adjustRightInd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（6）发包人无正当理由没有在约定期限内发出复工指示，导致承包人无法复工的；</w:t>
      </w:r>
    </w:p>
    <w:p w14:paraId="7CC78EB6">
      <w:pPr>
        <w:pageBreakBefore w:val="0"/>
        <w:widowControl w:val="0"/>
        <w:kinsoku/>
        <w:wordWrap/>
        <w:overflowPunct/>
        <w:topLinePunct w:val="0"/>
        <w:autoSpaceDE w:val="0"/>
        <w:autoSpaceDN w:val="0"/>
        <w:bidi w:val="0"/>
        <w:adjustRightInd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（7）发包人明确表示或者以其行为表明不履行合同主要义务的；</w:t>
      </w:r>
    </w:p>
    <w:p w14:paraId="74B212E1">
      <w:pPr>
        <w:pageBreakBefore w:val="0"/>
        <w:widowControl w:val="0"/>
        <w:kinsoku/>
        <w:wordWrap/>
        <w:overflowPunct/>
        <w:topLinePunct w:val="0"/>
        <w:autoSpaceDE w:val="0"/>
        <w:autoSpaceDN w:val="0"/>
        <w:bidi w:val="0"/>
        <w:adjustRightInd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（8）发包人未能按照合同约定履行其他义务的。</w:t>
      </w:r>
    </w:p>
    <w:p w14:paraId="1BFDF62A">
      <w:pPr>
        <w:pageBreakBefore w:val="0"/>
        <w:widowControl w:val="0"/>
        <w:kinsoku/>
        <w:wordWrap/>
        <w:overflowPunct/>
        <w:topLinePunct w:val="0"/>
        <w:autoSpaceDE w:val="0"/>
        <w:autoSpaceDN w:val="0"/>
        <w:bidi w:val="0"/>
        <w:adjustRightInd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发包人发生除本项第（7）目以外的违约情况时，承包人可向发包人发出通知，要求发包人采取有效措施纠正违约行为。发包人收到承包人通知后28天内仍不纠正违约行为的，承包人有权暂停相应部位工程施工，并通知监理人。</w:t>
      </w:r>
    </w:p>
    <w:p w14:paraId="1B03B350">
      <w:pPr>
        <w:pageBreakBefore w:val="0"/>
        <w:widowControl w:val="0"/>
        <w:kinsoku/>
        <w:wordWrap/>
        <w:overflowPunct/>
        <w:topLinePunct w:val="0"/>
        <w:autoSpaceDE w:val="0"/>
        <w:autoSpaceDN w:val="0"/>
        <w:bidi w:val="0"/>
        <w:adjustRightInd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16.1.2 发包人违约的责任</w:t>
      </w:r>
    </w:p>
    <w:p w14:paraId="017D4776">
      <w:pPr>
        <w:pageBreakBefore w:val="0"/>
        <w:widowControl w:val="0"/>
        <w:kinsoku/>
        <w:wordWrap/>
        <w:overflowPunct/>
        <w:topLinePunct w:val="0"/>
        <w:autoSpaceDE w:val="0"/>
        <w:autoSpaceDN w:val="0"/>
        <w:bidi w:val="0"/>
        <w:adjustRightInd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发包人应承担因其违约给承包人增加的费用和（或）延误的工期，并支付承包人合理的利润。此外，合同当事人可在专用合同条款中另行约定发包人违约责任的承担方式和计算方法。</w:t>
      </w:r>
    </w:p>
    <w:p w14:paraId="1671B3BA">
      <w:pPr>
        <w:pageBreakBefore w:val="0"/>
        <w:widowControl w:val="0"/>
        <w:kinsoku/>
        <w:wordWrap/>
        <w:overflowPunct/>
        <w:topLinePunct w:val="0"/>
        <w:autoSpaceDE w:val="0"/>
        <w:autoSpaceDN w:val="0"/>
        <w:bidi w:val="0"/>
        <w:adjustRightInd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16.1.3 因发包人违约解除合同</w:t>
      </w:r>
    </w:p>
    <w:p w14:paraId="02372D56">
      <w:pPr>
        <w:pageBreakBefore w:val="0"/>
        <w:widowControl w:val="0"/>
        <w:kinsoku/>
        <w:wordWrap/>
        <w:overflowPunct/>
        <w:topLinePunct w:val="0"/>
        <w:autoSpaceDE w:val="0"/>
        <w:autoSpaceDN w:val="0"/>
        <w:bidi w:val="0"/>
        <w:adjustRightInd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除专用合同条款另有约定外，承包人按第16.1.1项〔发包人违约的情形〕约定暂停施工满28天后，发包人仍不纠正其违约行为并致使合同目的不能实现的，或出现第16.1.1项〔发包人违约的情形〕第（7）目约定的违约情况，承包人有权解除合同，发包人应承担由此增加的费用，并支付承包人合理的利润。</w:t>
      </w:r>
    </w:p>
    <w:p w14:paraId="0BCFAD05">
      <w:pPr>
        <w:pageBreakBefore w:val="0"/>
        <w:widowControl w:val="0"/>
        <w:kinsoku/>
        <w:wordWrap/>
        <w:overflowPunct/>
        <w:topLinePunct w:val="0"/>
        <w:autoSpaceDE w:val="0"/>
        <w:autoSpaceDN w:val="0"/>
        <w:bidi w:val="0"/>
        <w:adjustRightInd w:val="0"/>
        <w:snapToGrid/>
        <w:spacing w:line="480" w:lineRule="exact"/>
        <w:ind w:firstLine="480" w:firstLineChars="200"/>
        <w:jc w:val="left"/>
        <w:textAlignment w:val="auto"/>
        <w:outlineLvl w:val="9"/>
        <w:rPr>
          <w:rFonts w:hint="eastAsia" w:ascii="宋体" w:hAnsi="宋体" w:eastAsia="宋体" w:cs="宋体"/>
          <w:sz w:val="24"/>
        </w:rPr>
      </w:pPr>
      <w:r>
        <w:rPr>
          <w:rFonts w:hint="eastAsia" w:ascii="宋体" w:hAnsi="宋体" w:eastAsia="宋体" w:cs="宋体"/>
          <w:kern w:val="0"/>
          <w:sz w:val="24"/>
        </w:rPr>
        <w:t>16.1.4 因发包人违约解除合同后的付款</w:t>
      </w:r>
    </w:p>
    <w:p w14:paraId="6575FC25">
      <w:pPr>
        <w:pageBreakBefore w:val="0"/>
        <w:widowControl w:val="0"/>
        <w:kinsoku/>
        <w:wordWrap/>
        <w:overflowPunct/>
        <w:topLinePunct w:val="0"/>
        <w:bidi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承包人按照本款约定解除合同的，发包人应在解除合同后28天内支付下列款项，并解除履约担保：</w:t>
      </w:r>
    </w:p>
    <w:p w14:paraId="0CCBEC1F">
      <w:pPr>
        <w:pageBreakBefore w:val="0"/>
        <w:widowControl w:val="0"/>
        <w:kinsoku/>
        <w:wordWrap/>
        <w:overflowPunct/>
        <w:topLinePunct w:val="0"/>
        <w:bidi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（1）合同解除前所完成工作的价款；</w:t>
      </w:r>
    </w:p>
    <w:p w14:paraId="6E1BB1AE">
      <w:pPr>
        <w:pageBreakBefore w:val="0"/>
        <w:widowControl w:val="0"/>
        <w:kinsoku/>
        <w:wordWrap/>
        <w:overflowPunct/>
        <w:topLinePunct w:val="0"/>
        <w:bidi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（2）承包人为工程施工订购并已付款的材料、工程设备和其他物品的价款；</w:t>
      </w:r>
    </w:p>
    <w:p w14:paraId="6F79CCFF">
      <w:pPr>
        <w:pageBreakBefore w:val="0"/>
        <w:widowControl w:val="0"/>
        <w:kinsoku/>
        <w:wordWrap/>
        <w:overflowPunct/>
        <w:topLinePunct w:val="0"/>
        <w:bidi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（3）承包人撤离施工现场以及遣散承包人人员的款项；</w:t>
      </w:r>
    </w:p>
    <w:p w14:paraId="04A5F85C">
      <w:pPr>
        <w:pageBreakBefore w:val="0"/>
        <w:widowControl w:val="0"/>
        <w:kinsoku/>
        <w:wordWrap/>
        <w:overflowPunct/>
        <w:topLinePunct w:val="0"/>
        <w:bidi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（4）按照合同约定在合同解除前应支付的违约金；</w:t>
      </w:r>
    </w:p>
    <w:p w14:paraId="0FB828ED">
      <w:pPr>
        <w:pageBreakBefore w:val="0"/>
        <w:widowControl w:val="0"/>
        <w:kinsoku/>
        <w:wordWrap/>
        <w:overflowPunct/>
        <w:topLinePunct w:val="0"/>
        <w:bidi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（5）按照合同约定应当支付给承包人的其他款项；</w:t>
      </w:r>
    </w:p>
    <w:p w14:paraId="62D0C300">
      <w:pPr>
        <w:pageBreakBefore w:val="0"/>
        <w:widowControl w:val="0"/>
        <w:kinsoku/>
        <w:wordWrap/>
        <w:overflowPunct/>
        <w:topLinePunct w:val="0"/>
        <w:bidi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（6）按照合同约定应退还的质量保证金；</w:t>
      </w:r>
    </w:p>
    <w:p w14:paraId="01A98E58">
      <w:pPr>
        <w:pageBreakBefore w:val="0"/>
        <w:widowControl w:val="0"/>
        <w:kinsoku/>
        <w:wordWrap/>
        <w:overflowPunct/>
        <w:topLinePunct w:val="0"/>
        <w:bidi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（7）因解除合同给承包人造成的损失。</w:t>
      </w:r>
    </w:p>
    <w:p w14:paraId="7AE65C90">
      <w:pPr>
        <w:pageBreakBefore w:val="0"/>
        <w:widowControl w:val="0"/>
        <w:kinsoku/>
        <w:wordWrap/>
        <w:overflowPunct/>
        <w:topLinePunct w:val="0"/>
        <w:bidi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合同当事人未能就解除合同后的结清达成一致的，按照第20条〔争议解决〕的约定处理。</w:t>
      </w:r>
    </w:p>
    <w:p w14:paraId="1A287A5A">
      <w:pPr>
        <w:pageBreakBefore w:val="0"/>
        <w:widowControl w:val="0"/>
        <w:kinsoku/>
        <w:wordWrap/>
        <w:overflowPunct/>
        <w:topLinePunct w:val="0"/>
        <w:bidi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承包人应妥善做好已完工程和与工程有关的已购材料、工程设备的保护和移交工作，并将施工设备和人员撤出施工现场，发包人应为承包人撤出提供必要条件。</w:t>
      </w:r>
    </w:p>
    <w:p w14:paraId="2B85E65D">
      <w:pPr>
        <w:pageBreakBefore w:val="0"/>
        <w:widowControl w:val="0"/>
        <w:kinsoku/>
        <w:wordWrap/>
        <w:overflowPunct/>
        <w:topLinePunct w:val="0"/>
        <w:bidi w:val="0"/>
        <w:snapToGrid/>
        <w:spacing w:before="120" w:after="120" w:line="480" w:lineRule="exact"/>
        <w:ind w:firstLine="480" w:firstLineChars="200"/>
        <w:textAlignment w:val="auto"/>
        <w:outlineLvl w:val="9"/>
        <w:rPr>
          <w:rFonts w:hint="eastAsia" w:ascii="宋体" w:hAnsi="宋体" w:eastAsia="宋体" w:cs="宋体"/>
          <w:b w:val="0"/>
          <w:sz w:val="24"/>
          <w:szCs w:val="24"/>
        </w:rPr>
      </w:pPr>
      <w:bookmarkStart w:id="928" w:name="_Toc351203605"/>
      <w:bookmarkStart w:id="929" w:name="_Toc337558822"/>
      <w:bookmarkStart w:id="930" w:name="_Toc296346632"/>
      <w:bookmarkStart w:id="931" w:name="_Toc296503131"/>
      <w:r>
        <w:rPr>
          <w:rFonts w:hint="eastAsia" w:ascii="宋体" w:hAnsi="宋体" w:eastAsia="宋体" w:cs="宋体"/>
          <w:b w:val="0"/>
          <w:sz w:val="24"/>
          <w:szCs w:val="24"/>
        </w:rPr>
        <w:t>16.2 承包人违约</w:t>
      </w:r>
      <w:bookmarkEnd w:id="928"/>
    </w:p>
    <w:bookmarkEnd w:id="929"/>
    <w:bookmarkEnd w:id="930"/>
    <w:bookmarkEnd w:id="931"/>
    <w:p w14:paraId="6E16404A">
      <w:pPr>
        <w:pageBreakBefore w:val="0"/>
        <w:widowControl w:val="0"/>
        <w:kinsoku/>
        <w:wordWrap/>
        <w:overflowPunct/>
        <w:topLinePunct w:val="0"/>
        <w:autoSpaceDE w:val="0"/>
        <w:autoSpaceDN w:val="0"/>
        <w:bidi w:val="0"/>
        <w:adjustRightInd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16.2.1 承包人违约的情形</w:t>
      </w:r>
    </w:p>
    <w:p w14:paraId="4B4FDD9B">
      <w:pPr>
        <w:pageBreakBefore w:val="0"/>
        <w:widowControl w:val="0"/>
        <w:kinsoku/>
        <w:wordWrap/>
        <w:overflowPunct/>
        <w:topLinePunct w:val="0"/>
        <w:autoSpaceDE w:val="0"/>
        <w:autoSpaceDN w:val="0"/>
        <w:bidi w:val="0"/>
        <w:adjustRightInd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在合同履行过程中发生的下列情形，属于承包人违约：</w:t>
      </w:r>
    </w:p>
    <w:p w14:paraId="6F259C59">
      <w:pPr>
        <w:pageBreakBefore w:val="0"/>
        <w:widowControl w:val="0"/>
        <w:kinsoku/>
        <w:wordWrap/>
        <w:overflowPunct/>
        <w:topLinePunct w:val="0"/>
        <w:autoSpaceDE w:val="0"/>
        <w:autoSpaceDN w:val="0"/>
        <w:bidi w:val="0"/>
        <w:adjustRightInd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（1）承包人违反合同约定进行转包或违法分包的；</w:t>
      </w:r>
    </w:p>
    <w:p w14:paraId="443AE78E">
      <w:pPr>
        <w:pageBreakBefore w:val="0"/>
        <w:widowControl w:val="0"/>
        <w:kinsoku/>
        <w:wordWrap/>
        <w:overflowPunct/>
        <w:topLinePunct w:val="0"/>
        <w:autoSpaceDE w:val="0"/>
        <w:autoSpaceDN w:val="0"/>
        <w:bidi w:val="0"/>
        <w:adjustRightInd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（2）承包人违反合同约定采购和使用不合格的材料和工程设备的；</w:t>
      </w:r>
    </w:p>
    <w:p w14:paraId="05CF20E4">
      <w:pPr>
        <w:pageBreakBefore w:val="0"/>
        <w:widowControl w:val="0"/>
        <w:kinsoku/>
        <w:wordWrap/>
        <w:overflowPunct/>
        <w:topLinePunct w:val="0"/>
        <w:autoSpaceDE w:val="0"/>
        <w:autoSpaceDN w:val="0"/>
        <w:bidi w:val="0"/>
        <w:adjustRightInd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 xml:space="preserve">（3）因承包人原因导致工程质量不符合合同要求的； </w:t>
      </w:r>
    </w:p>
    <w:p w14:paraId="49EA2BA3">
      <w:pPr>
        <w:pageBreakBefore w:val="0"/>
        <w:widowControl w:val="0"/>
        <w:kinsoku/>
        <w:wordWrap/>
        <w:overflowPunct/>
        <w:topLinePunct w:val="0"/>
        <w:autoSpaceDE w:val="0"/>
        <w:autoSpaceDN w:val="0"/>
        <w:bidi w:val="0"/>
        <w:adjustRightInd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（4）承包人违反第8.9款〔材料与设备专用要求〕的约定，未经批准，私自将已按照合同约定进入施工现场的材料或设备撤离施工现场的；</w:t>
      </w:r>
    </w:p>
    <w:p w14:paraId="1320D29D">
      <w:pPr>
        <w:pageBreakBefore w:val="0"/>
        <w:widowControl w:val="0"/>
        <w:kinsoku/>
        <w:wordWrap/>
        <w:overflowPunct/>
        <w:topLinePunct w:val="0"/>
        <w:autoSpaceDE w:val="0"/>
        <w:autoSpaceDN w:val="0"/>
        <w:bidi w:val="0"/>
        <w:adjustRightInd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（5）承包人未能按施工进度计划及时完成合同约定的工作，造成工期延误的；</w:t>
      </w:r>
    </w:p>
    <w:p w14:paraId="4ED9BA28">
      <w:pPr>
        <w:pageBreakBefore w:val="0"/>
        <w:widowControl w:val="0"/>
        <w:kinsoku/>
        <w:wordWrap/>
        <w:overflowPunct/>
        <w:topLinePunct w:val="0"/>
        <w:autoSpaceDE w:val="0"/>
        <w:autoSpaceDN w:val="0"/>
        <w:bidi w:val="0"/>
        <w:adjustRightInd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（6）承包人在缺陷责任期及保修期内，未能在合理期限对工程缺陷进行修复，或拒绝按发包人要求进行修复的；</w:t>
      </w:r>
    </w:p>
    <w:p w14:paraId="1105C18E">
      <w:pPr>
        <w:pageBreakBefore w:val="0"/>
        <w:widowControl w:val="0"/>
        <w:kinsoku/>
        <w:wordWrap/>
        <w:overflowPunct/>
        <w:topLinePunct w:val="0"/>
        <w:autoSpaceDE w:val="0"/>
        <w:autoSpaceDN w:val="0"/>
        <w:bidi w:val="0"/>
        <w:adjustRightInd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（7）承包人明确表示或者以其行为表明不履行合同主要义务的；</w:t>
      </w:r>
    </w:p>
    <w:p w14:paraId="0C86EB22">
      <w:pPr>
        <w:pageBreakBefore w:val="0"/>
        <w:widowControl w:val="0"/>
        <w:kinsoku/>
        <w:wordWrap/>
        <w:overflowPunct/>
        <w:topLinePunct w:val="0"/>
        <w:autoSpaceDE w:val="0"/>
        <w:autoSpaceDN w:val="0"/>
        <w:bidi w:val="0"/>
        <w:adjustRightInd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（8）承包人未能按照合同约定履行其他义务的。</w:t>
      </w:r>
    </w:p>
    <w:p w14:paraId="530E960B">
      <w:pPr>
        <w:pageBreakBefore w:val="0"/>
        <w:widowControl w:val="0"/>
        <w:kinsoku/>
        <w:wordWrap/>
        <w:overflowPunct/>
        <w:topLinePunct w:val="0"/>
        <w:autoSpaceDE w:val="0"/>
        <w:autoSpaceDN w:val="0"/>
        <w:bidi w:val="0"/>
        <w:adjustRightInd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承包人发生除本项第（7）目约定以外的其他违约情况时，监理人可向承包人发出整改通知，要求其在指定的期限内改正。</w:t>
      </w:r>
    </w:p>
    <w:p w14:paraId="655F29B3">
      <w:pPr>
        <w:pageBreakBefore w:val="0"/>
        <w:widowControl w:val="0"/>
        <w:kinsoku/>
        <w:wordWrap/>
        <w:overflowPunct/>
        <w:topLinePunct w:val="0"/>
        <w:autoSpaceDE w:val="0"/>
        <w:autoSpaceDN w:val="0"/>
        <w:bidi w:val="0"/>
        <w:adjustRightInd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16.2.2 承包人违约的责任</w:t>
      </w:r>
    </w:p>
    <w:p w14:paraId="7A8556B6">
      <w:pPr>
        <w:pageBreakBefore w:val="0"/>
        <w:widowControl w:val="0"/>
        <w:kinsoku/>
        <w:wordWrap/>
        <w:overflowPunct/>
        <w:topLinePunct w:val="0"/>
        <w:autoSpaceDE w:val="0"/>
        <w:autoSpaceDN w:val="0"/>
        <w:bidi w:val="0"/>
        <w:adjustRightInd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承包人应承担因其违约行为而增加的费用和（或）延误的工期。此外，合同当事人可在专用合同条款中另行约定承包人违约责任的承担方式和计算方法。</w:t>
      </w:r>
    </w:p>
    <w:p w14:paraId="15E61E44">
      <w:pPr>
        <w:pageBreakBefore w:val="0"/>
        <w:widowControl w:val="0"/>
        <w:kinsoku/>
        <w:wordWrap/>
        <w:overflowPunct/>
        <w:topLinePunct w:val="0"/>
        <w:autoSpaceDE w:val="0"/>
        <w:autoSpaceDN w:val="0"/>
        <w:bidi w:val="0"/>
        <w:adjustRightInd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16.2.3 因承包人违约解除合同</w:t>
      </w:r>
    </w:p>
    <w:p w14:paraId="193BFF72">
      <w:pPr>
        <w:pageBreakBefore w:val="0"/>
        <w:widowControl w:val="0"/>
        <w:kinsoku/>
        <w:wordWrap/>
        <w:overflowPunct/>
        <w:topLinePunct w:val="0"/>
        <w:autoSpaceDE w:val="0"/>
        <w:autoSpaceDN w:val="0"/>
        <w:bidi w:val="0"/>
        <w:adjustRightInd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除专用合同条款另有约定外，出现第16.2.1项〔承包人违约的情形〕第（7）目约定的违约情况时，或监理人发出整改通知后，承包人在指定的合理期限内仍不纠正违约行为并致使合同目的不能实现的，发包人有权解除合同。合同解除后，因继续完成工程的需要，发包人有权使用承包人在施工现场的材料、设备、临时工程、承包人文件和由承包人或以其名义编制的其他文件，合同当事人应在专用合同条款约定相应费用的承担方式。发包人继续使用的行为不免除或减轻承包人应承担的违约责任。</w:t>
      </w:r>
    </w:p>
    <w:p w14:paraId="16DE9B3C">
      <w:pPr>
        <w:pageBreakBefore w:val="0"/>
        <w:widowControl w:val="0"/>
        <w:kinsoku/>
        <w:wordWrap/>
        <w:overflowPunct/>
        <w:topLinePunct w:val="0"/>
        <w:bidi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16.2.4因承包人违约解除合同后的处理</w:t>
      </w:r>
    </w:p>
    <w:p w14:paraId="25D7B10F">
      <w:pPr>
        <w:pageBreakBefore w:val="0"/>
        <w:widowControl w:val="0"/>
        <w:kinsoku/>
        <w:wordWrap/>
        <w:overflowPunct/>
        <w:topLinePunct w:val="0"/>
        <w:bidi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因承包人原因导致合同解除的，则合同当事人应在合同解除后28天内完成估价、付款和清算，并按以下约定执行：</w:t>
      </w:r>
    </w:p>
    <w:p w14:paraId="7B086ADA">
      <w:pPr>
        <w:pageBreakBefore w:val="0"/>
        <w:widowControl w:val="0"/>
        <w:kinsoku/>
        <w:wordWrap/>
        <w:overflowPunct/>
        <w:topLinePunct w:val="0"/>
        <w:bidi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（1）合同解除后，按第4.4款〔商定或确定〕商定或确定承包人实际完成工作对应的合同价款，以及承包人已提供的材料、工程设备、施工设备和临时工程等的价值；</w:t>
      </w:r>
    </w:p>
    <w:p w14:paraId="2CD26439">
      <w:pPr>
        <w:pageBreakBefore w:val="0"/>
        <w:widowControl w:val="0"/>
        <w:kinsoku/>
        <w:wordWrap/>
        <w:overflowPunct/>
        <w:topLinePunct w:val="0"/>
        <w:bidi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（2）合同解除后，承包人应支付的违约金；</w:t>
      </w:r>
    </w:p>
    <w:p w14:paraId="7887458B">
      <w:pPr>
        <w:pageBreakBefore w:val="0"/>
        <w:widowControl w:val="0"/>
        <w:kinsoku/>
        <w:wordWrap/>
        <w:overflowPunct/>
        <w:topLinePunct w:val="0"/>
        <w:bidi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（3）合同解除后，因解除合同给发包人造成的损失；</w:t>
      </w:r>
    </w:p>
    <w:p w14:paraId="247E59E0">
      <w:pPr>
        <w:pageBreakBefore w:val="0"/>
        <w:widowControl w:val="0"/>
        <w:kinsoku/>
        <w:wordWrap/>
        <w:overflowPunct/>
        <w:topLinePunct w:val="0"/>
        <w:bidi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（4）合同解除后，承包人应按照发包人要求和监理人的指示完成现场的清理和撤离；</w:t>
      </w:r>
    </w:p>
    <w:p w14:paraId="30E78B4D">
      <w:pPr>
        <w:pageBreakBefore w:val="0"/>
        <w:widowControl w:val="0"/>
        <w:kinsoku/>
        <w:wordWrap/>
        <w:overflowPunct/>
        <w:topLinePunct w:val="0"/>
        <w:bidi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（5）发包人和承包人应在合同解除后进行清算，出具最终结清付款证书，结清全部款项。</w:t>
      </w:r>
    </w:p>
    <w:p w14:paraId="2F0A4895">
      <w:pPr>
        <w:pageBreakBefore w:val="0"/>
        <w:widowControl w:val="0"/>
        <w:kinsoku/>
        <w:wordWrap/>
        <w:overflowPunct/>
        <w:topLinePunct w:val="0"/>
        <w:bidi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因承包人违约解除合同的，发包人有权暂停对承包人的付款，查清各项付款和已扣款项。发包人和承包人未能就合同解除后的清算和款项支付达成一致的，按照第20条〔争议解决〕的约定处理。</w:t>
      </w:r>
    </w:p>
    <w:p w14:paraId="4260CF7D">
      <w:pPr>
        <w:pageBreakBefore w:val="0"/>
        <w:widowControl w:val="0"/>
        <w:kinsoku/>
        <w:wordWrap/>
        <w:overflowPunct/>
        <w:topLinePunct w:val="0"/>
        <w:bidi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16.2.5采购合同权益转让</w:t>
      </w:r>
    </w:p>
    <w:p w14:paraId="7BF3440B">
      <w:pPr>
        <w:pageBreakBefore w:val="0"/>
        <w:widowControl w:val="0"/>
        <w:kinsoku/>
        <w:wordWrap/>
        <w:overflowPunct/>
        <w:topLinePunct w:val="0"/>
        <w:bidi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因承包人违约解除合同的，发包人有权要求承包人将其为实施合同而签订的材料和设备的采购合同的权益转让给发包人，承包人应在收到解除合同通知后14天内，协助发包人与采购合同的供应商达成相关的转让协议。</w:t>
      </w:r>
    </w:p>
    <w:p w14:paraId="516B43B3">
      <w:pPr>
        <w:pageBreakBefore w:val="0"/>
        <w:widowControl w:val="0"/>
        <w:kinsoku/>
        <w:wordWrap/>
        <w:overflowPunct/>
        <w:topLinePunct w:val="0"/>
        <w:bidi w:val="0"/>
        <w:snapToGrid/>
        <w:spacing w:before="120" w:after="120" w:line="480" w:lineRule="exact"/>
        <w:ind w:firstLine="480" w:firstLineChars="200"/>
        <w:textAlignment w:val="auto"/>
        <w:outlineLvl w:val="9"/>
        <w:rPr>
          <w:rFonts w:hint="eastAsia" w:ascii="宋体" w:hAnsi="宋体" w:eastAsia="宋体" w:cs="宋体"/>
          <w:b w:val="0"/>
          <w:sz w:val="24"/>
          <w:szCs w:val="24"/>
        </w:rPr>
      </w:pPr>
      <w:bookmarkStart w:id="932" w:name="_Toc351203606"/>
      <w:r>
        <w:rPr>
          <w:rFonts w:hint="eastAsia" w:ascii="宋体" w:hAnsi="宋体" w:eastAsia="宋体" w:cs="宋体"/>
          <w:b w:val="0"/>
          <w:sz w:val="24"/>
          <w:szCs w:val="24"/>
        </w:rPr>
        <w:t>16.3 第三人造成的违约</w:t>
      </w:r>
      <w:bookmarkEnd w:id="932"/>
    </w:p>
    <w:p w14:paraId="4C1869AC">
      <w:pPr>
        <w:pageBreakBefore w:val="0"/>
        <w:widowControl w:val="0"/>
        <w:kinsoku/>
        <w:wordWrap/>
        <w:overflowPunct/>
        <w:topLinePunct w:val="0"/>
        <w:bidi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在履行合同过程中，一方当事人因第三人的原因造成违约的，应当向对方当事人承担违约责任。一方当事人和第三人之间的纠纷，依照法律规定或者按照约定解决。</w:t>
      </w:r>
    </w:p>
    <w:p w14:paraId="40007A1F">
      <w:pPr>
        <w:pageBreakBefore w:val="0"/>
        <w:widowControl w:val="0"/>
        <w:kinsoku/>
        <w:wordWrap/>
        <w:overflowPunct/>
        <w:topLinePunct w:val="0"/>
        <w:bidi w:val="0"/>
        <w:snapToGrid/>
        <w:spacing w:before="120" w:after="120" w:line="480" w:lineRule="exact"/>
        <w:textAlignment w:val="auto"/>
        <w:outlineLvl w:val="9"/>
        <w:rPr>
          <w:rFonts w:hint="eastAsia" w:ascii="宋体" w:hAnsi="宋体" w:eastAsia="宋体" w:cs="宋体"/>
          <w:bCs w:val="0"/>
          <w:sz w:val="24"/>
          <w:szCs w:val="24"/>
        </w:rPr>
      </w:pPr>
      <w:bookmarkStart w:id="933" w:name="_Toc351203607"/>
      <w:bookmarkStart w:id="934" w:name="_Toc296346617"/>
      <w:bookmarkStart w:id="935" w:name="_Toc337558823"/>
      <w:bookmarkStart w:id="936" w:name="_Toc296503116"/>
      <w:r>
        <w:rPr>
          <w:rFonts w:hint="eastAsia" w:ascii="宋体" w:hAnsi="宋体" w:eastAsia="宋体" w:cs="宋体"/>
          <w:bCs w:val="0"/>
          <w:sz w:val="24"/>
          <w:szCs w:val="24"/>
        </w:rPr>
        <w:t>17. 不可抗力</w:t>
      </w:r>
      <w:bookmarkEnd w:id="933"/>
      <w:r>
        <w:rPr>
          <w:rFonts w:hint="eastAsia" w:ascii="宋体" w:hAnsi="宋体" w:eastAsia="宋体" w:cs="宋体"/>
          <w:bCs w:val="0"/>
          <w:sz w:val="24"/>
          <w:szCs w:val="24"/>
        </w:rPr>
        <w:t xml:space="preserve"> </w:t>
      </w:r>
      <w:bookmarkEnd w:id="934"/>
      <w:bookmarkEnd w:id="935"/>
      <w:bookmarkEnd w:id="936"/>
    </w:p>
    <w:p w14:paraId="197C7564">
      <w:pPr>
        <w:pageBreakBefore w:val="0"/>
        <w:widowControl w:val="0"/>
        <w:kinsoku/>
        <w:wordWrap/>
        <w:overflowPunct/>
        <w:topLinePunct w:val="0"/>
        <w:bidi w:val="0"/>
        <w:snapToGrid/>
        <w:spacing w:before="120" w:after="120" w:line="480" w:lineRule="exact"/>
        <w:ind w:firstLine="480" w:firstLineChars="200"/>
        <w:textAlignment w:val="auto"/>
        <w:outlineLvl w:val="9"/>
        <w:rPr>
          <w:rFonts w:hint="eastAsia" w:ascii="宋体" w:hAnsi="宋体" w:eastAsia="宋体" w:cs="宋体"/>
          <w:b w:val="0"/>
          <w:sz w:val="24"/>
          <w:szCs w:val="24"/>
        </w:rPr>
      </w:pPr>
      <w:bookmarkStart w:id="937" w:name="_Toc351203608"/>
      <w:bookmarkStart w:id="938" w:name="_Toc296346618"/>
      <w:bookmarkStart w:id="939" w:name="_Toc337558824"/>
      <w:bookmarkStart w:id="940" w:name="_Toc296503117"/>
      <w:r>
        <w:rPr>
          <w:rFonts w:hint="eastAsia" w:ascii="宋体" w:hAnsi="宋体" w:eastAsia="宋体" w:cs="宋体"/>
          <w:b w:val="0"/>
          <w:sz w:val="24"/>
          <w:szCs w:val="24"/>
        </w:rPr>
        <w:t>17.1 不可抗力的确认</w:t>
      </w:r>
      <w:bookmarkEnd w:id="937"/>
    </w:p>
    <w:bookmarkEnd w:id="938"/>
    <w:bookmarkEnd w:id="939"/>
    <w:bookmarkEnd w:id="940"/>
    <w:p w14:paraId="3C33BCE0">
      <w:pPr>
        <w:pageBreakBefore w:val="0"/>
        <w:widowControl w:val="0"/>
        <w:kinsoku/>
        <w:wordWrap/>
        <w:overflowPunct/>
        <w:topLinePunct w:val="0"/>
        <w:autoSpaceDE w:val="0"/>
        <w:autoSpaceDN w:val="0"/>
        <w:bidi w:val="0"/>
        <w:adjustRightInd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不可抗力是指合同当事人在签订合同时不可预见，在合同履行过程中不可避免且不能克服的自然灾害和社会性突发事件，如地震、海啸、瘟疫、骚乱、戒严、暴动、战争和专用合同条款中约定的其他情形。</w:t>
      </w:r>
    </w:p>
    <w:p w14:paraId="5A53B006">
      <w:pPr>
        <w:pageBreakBefore w:val="0"/>
        <w:widowControl w:val="0"/>
        <w:kinsoku/>
        <w:wordWrap/>
        <w:overflowPunct/>
        <w:topLinePunct w:val="0"/>
        <w:autoSpaceDE w:val="0"/>
        <w:autoSpaceDN w:val="0"/>
        <w:bidi w:val="0"/>
        <w:adjustRightInd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不可抗力发生后，发包人和承包人应收集证明不可抗力发生及不可抗力造成损失的证据，并及时认真统计所造成的损失。合同当事人对是否属于不可抗力或其损失的意见不一致的，由监理人按第4.4款〔商定或确定〕的约定处理。发生争议时，按第20条〔争议解决〕的约定处理。</w:t>
      </w:r>
    </w:p>
    <w:p w14:paraId="746D8399">
      <w:pPr>
        <w:pageBreakBefore w:val="0"/>
        <w:widowControl w:val="0"/>
        <w:kinsoku/>
        <w:wordWrap/>
        <w:overflowPunct/>
        <w:topLinePunct w:val="0"/>
        <w:bidi w:val="0"/>
        <w:snapToGrid/>
        <w:spacing w:before="120" w:after="120" w:line="480" w:lineRule="exact"/>
        <w:ind w:firstLine="480" w:firstLineChars="200"/>
        <w:textAlignment w:val="auto"/>
        <w:outlineLvl w:val="9"/>
        <w:rPr>
          <w:rFonts w:hint="eastAsia" w:ascii="宋体" w:hAnsi="宋体" w:eastAsia="宋体" w:cs="宋体"/>
          <w:b w:val="0"/>
          <w:sz w:val="24"/>
          <w:szCs w:val="24"/>
        </w:rPr>
      </w:pPr>
      <w:bookmarkStart w:id="941" w:name="_Toc351203609"/>
      <w:bookmarkStart w:id="942" w:name="_Toc337558825"/>
      <w:bookmarkStart w:id="943" w:name="_Toc296503118"/>
      <w:bookmarkStart w:id="944" w:name="_Toc296346619"/>
      <w:r>
        <w:rPr>
          <w:rFonts w:hint="eastAsia" w:ascii="宋体" w:hAnsi="宋体" w:eastAsia="宋体" w:cs="宋体"/>
          <w:b w:val="0"/>
          <w:sz w:val="24"/>
          <w:szCs w:val="24"/>
        </w:rPr>
        <w:t>17.2 不可抗力的通知</w:t>
      </w:r>
      <w:bookmarkEnd w:id="941"/>
    </w:p>
    <w:bookmarkEnd w:id="942"/>
    <w:bookmarkEnd w:id="943"/>
    <w:bookmarkEnd w:id="944"/>
    <w:p w14:paraId="0448824F">
      <w:pPr>
        <w:pageBreakBefore w:val="0"/>
        <w:widowControl w:val="0"/>
        <w:kinsoku/>
        <w:wordWrap/>
        <w:overflowPunct/>
        <w:topLinePunct w:val="0"/>
        <w:autoSpaceDE w:val="0"/>
        <w:autoSpaceDN w:val="0"/>
        <w:bidi w:val="0"/>
        <w:adjustRightInd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合同一方当事人遇到不可抗力事件，使其履行合同义务受到阻碍时，应立即通知合同另一方当事人和监理人，书面说明不可抗力和受阻碍的详细情况，并提供必要的证明。</w:t>
      </w:r>
    </w:p>
    <w:p w14:paraId="4454487C">
      <w:pPr>
        <w:pageBreakBefore w:val="0"/>
        <w:widowControl w:val="0"/>
        <w:kinsoku/>
        <w:wordWrap/>
        <w:overflowPunct/>
        <w:topLinePunct w:val="0"/>
        <w:autoSpaceDE w:val="0"/>
        <w:autoSpaceDN w:val="0"/>
        <w:bidi w:val="0"/>
        <w:adjustRightInd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不可抗力持续发生的，合同一方当事人应及时向合同另一方当事人和监理人提交中间报告，说明不可抗力和履行合同受阻的情况，并于不可抗力事件结束后28天内提交最终报告及有关资料。</w:t>
      </w:r>
    </w:p>
    <w:p w14:paraId="6B6EF652">
      <w:pPr>
        <w:pageBreakBefore w:val="0"/>
        <w:widowControl w:val="0"/>
        <w:kinsoku/>
        <w:wordWrap/>
        <w:overflowPunct/>
        <w:topLinePunct w:val="0"/>
        <w:bidi w:val="0"/>
        <w:snapToGrid/>
        <w:spacing w:before="120" w:after="120" w:line="480" w:lineRule="exact"/>
        <w:ind w:firstLine="480" w:firstLineChars="200"/>
        <w:textAlignment w:val="auto"/>
        <w:outlineLvl w:val="9"/>
        <w:rPr>
          <w:rFonts w:hint="eastAsia" w:ascii="宋体" w:hAnsi="宋体" w:eastAsia="宋体" w:cs="宋体"/>
          <w:b w:val="0"/>
          <w:sz w:val="24"/>
          <w:szCs w:val="24"/>
        </w:rPr>
      </w:pPr>
      <w:bookmarkStart w:id="945" w:name="_Toc351203610"/>
      <w:bookmarkStart w:id="946" w:name="_Toc296346620"/>
      <w:bookmarkStart w:id="947" w:name="_Toc296503119"/>
      <w:bookmarkStart w:id="948" w:name="_Toc337558826"/>
      <w:r>
        <w:rPr>
          <w:rFonts w:hint="eastAsia" w:ascii="宋体" w:hAnsi="宋体" w:eastAsia="宋体" w:cs="宋体"/>
          <w:b w:val="0"/>
          <w:sz w:val="24"/>
          <w:szCs w:val="24"/>
        </w:rPr>
        <w:t>17.3 不可抗力后果的承担</w:t>
      </w:r>
      <w:bookmarkEnd w:id="945"/>
    </w:p>
    <w:bookmarkEnd w:id="946"/>
    <w:bookmarkEnd w:id="947"/>
    <w:bookmarkEnd w:id="948"/>
    <w:p w14:paraId="4892E558">
      <w:pPr>
        <w:pageBreakBefore w:val="0"/>
        <w:widowControl w:val="0"/>
        <w:kinsoku/>
        <w:wordWrap/>
        <w:overflowPunct/>
        <w:topLinePunct w:val="0"/>
        <w:autoSpaceDE w:val="0"/>
        <w:autoSpaceDN w:val="0"/>
        <w:bidi w:val="0"/>
        <w:adjustRightInd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17.3.1 不可抗力引起的后果及造成的损失由合同当事人按照法律规定及合同约定各自承担。不可抗力发生前已完成的工程应当按照合同约定进行计量支付。</w:t>
      </w:r>
    </w:p>
    <w:p w14:paraId="2DD920C5">
      <w:pPr>
        <w:pageBreakBefore w:val="0"/>
        <w:widowControl w:val="0"/>
        <w:kinsoku/>
        <w:wordWrap/>
        <w:overflowPunct/>
        <w:topLinePunct w:val="0"/>
        <w:autoSpaceDE w:val="0"/>
        <w:autoSpaceDN w:val="0"/>
        <w:bidi w:val="0"/>
        <w:adjustRightInd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17.3.2 不可抗力导致的人员伤亡、财产损失、费用增加和（或）工期延误等后果，由合同当事人按以下原则承担：</w:t>
      </w:r>
    </w:p>
    <w:p w14:paraId="4DB969B2">
      <w:pPr>
        <w:pageBreakBefore w:val="0"/>
        <w:widowControl w:val="0"/>
        <w:kinsoku/>
        <w:wordWrap/>
        <w:overflowPunct/>
        <w:topLinePunct w:val="0"/>
        <w:autoSpaceDE w:val="0"/>
        <w:autoSpaceDN w:val="0"/>
        <w:bidi w:val="0"/>
        <w:adjustRightInd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（1）永久工程、已运至施工现场的材料和工程设备的损坏，以及因工程损坏造成的第三人人员伤亡和财产损失由发包人承担；</w:t>
      </w:r>
    </w:p>
    <w:p w14:paraId="6EDC36E7">
      <w:pPr>
        <w:pageBreakBefore w:val="0"/>
        <w:widowControl w:val="0"/>
        <w:kinsoku/>
        <w:wordWrap/>
        <w:overflowPunct/>
        <w:topLinePunct w:val="0"/>
        <w:autoSpaceDE w:val="0"/>
        <w:autoSpaceDN w:val="0"/>
        <w:bidi w:val="0"/>
        <w:adjustRightInd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（2）承包人施工设备的损坏由承包人承担；</w:t>
      </w:r>
    </w:p>
    <w:p w14:paraId="5E253E5E">
      <w:pPr>
        <w:pageBreakBefore w:val="0"/>
        <w:widowControl w:val="0"/>
        <w:kinsoku/>
        <w:wordWrap/>
        <w:overflowPunct/>
        <w:topLinePunct w:val="0"/>
        <w:autoSpaceDE w:val="0"/>
        <w:autoSpaceDN w:val="0"/>
        <w:bidi w:val="0"/>
        <w:adjustRightInd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（3）发包人和承包人承担各自人员伤亡和财产的损失；</w:t>
      </w:r>
    </w:p>
    <w:p w14:paraId="088B3962">
      <w:pPr>
        <w:pageBreakBefore w:val="0"/>
        <w:widowControl w:val="0"/>
        <w:kinsoku/>
        <w:wordWrap/>
        <w:overflowPunct/>
        <w:topLinePunct w:val="0"/>
        <w:autoSpaceDE w:val="0"/>
        <w:autoSpaceDN w:val="0"/>
        <w:bidi w:val="0"/>
        <w:adjustRightInd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（4）因不可抗力影响承包人履行合同约定的义务，已经引起或将引起工期延误的，应当顺延工期，由此导致承包人停工的费用损失由发包人和承包人合理分担，停工期间必须支付的工人工资由发包人承担；</w:t>
      </w:r>
    </w:p>
    <w:p w14:paraId="0B78DB97">
      <w:pPr>
        <w:pageBreakBefore w:val="0"/>
        <w:widowControl w:val="0"/>
        <w:kinsoku/>
        <w:wordWrap/>
        <w:overflowPunct/>
        <w:topLinePunct w:val="0"/>
        <w:autoSpaceDE w:val="0"/>
        <w:autoSpaceDN w:val="0"/>
        <w:bidi w:val="0"/>
        <w:adjustRightInd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（5）因不可抗力引起或将引起工期延误，发包人要求赶工的，由此增加的赶工费用由发包人承担；</w:t>
      </w:r>
    </w:p>
    <w:p w14:paraId="00575179">
      <w:pPr>
        <w:pageBreakBefore w:val="0"/>
        <w:widowControl w:val="0"/>
        <w:kinsoku/>
        <w:wordWrap/>
        <w:overflowPunct/>
        <w:topLinePunct w:val="0"/>
        <w:autoSpaceDE w:val="0"/>
        <w:autoSpaceDN w:val="0"/>
        <w:bidi w:val="0"/>
        <w:adjustRightInd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（6）承包人在停工期间按照发包人要求照管、清理和修复工程的费用由发包人承担。</w:t>
      </w:r>
    </w:p>
    <w:p w14:paraId="1CD69396">
      <w:pPr>
        <w:pageBreakBefore w:val="0"/>
        <w:widowControl w:val="0"/>
        <w:kinsoku/>
        <w:wordWrap/>
        <w:overflowPunct/>
        <w:topLinePunct w:val="0"/>
        <w:autoSpaceDE w:val="0"/>
        <w:autoSpaceDN w:val="0"/>
        <w:bidi w:val="0"/>
        <w:adjustRightInd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不可抗力发生后，合同当事人均应采取措施尽量避免和减少损失的扩大，任何一方当事人没有采取有效措施导致损失扩大的，应对扩大的损失承担责任。</w:t>
      </w:r>
    </w:p>
    <w:p w14:paraId="78124203">
      <w:pPr>
        <w:pageBreakBefore w:val="0"/>
        <w:widowControl w:val="0"/>
        <w:kinsoku/>
        <w:wordWrap/>
        <w:overflowPunct/>
        <w:topLinePunct w:val="0"/>
        <w:autoSpaceDE w:val="0"/>
        <w:autoSpaceDN w:val="0"/>
        <w:bidi w:val="0"/>
        <w:adjustRightInd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因合同一方迟延履行合同义务，在迟延履行期间遭遇不可抗力的，不免除其违约责任。</w:t>
      </w:r>
    </w:p>
    <w:p w14:paraId="3A6DF025">
      <w:pPr>
        <w:pageBreakBefore w:val="0"/>
        <w:widowControl w:val="0"/>
        <w:kinsoku/>
        <w:wordWrap/>
        <w:overflowPunct/>
        <w:topLinePunct w:val="0"/>
        <w:bidi w:val="0"/>
        <w:snapToGrid/>
        <w:spacing w:before="120" w:after="120" w:line="480" w:lineRule="exact"/>
        <w:ind w:firstLine="480" w:firstLineChars="200"/>
        <w:textAlignment w:val="auto"/>
        <w:outlineLvl w:val="9"/>
        <w:rPr>
          <w:rFonts w:hint="eastAsia" w:ascii="宋体" w:hAnsi="宋体" w:eastAsia="宋体" w:cs="宋体"/>
          <w:b w:val="0"/>
          <w:sz w:val="24"/>
          <w:szCs w:val="24"/>
        </w:rPr>
      </w:pPr>
      <w:bookmarkStart w:id="949" w:name="_Toc351203611"/>
      <w:bookmarkStart w:id="950" w:name="_Toc337558827"/>
      <w:r>
        <w:rPr>
          <w:rFonts w:hint="eastAsia" w:ascii="宋体" w:hAnsi="宋体" w:eastAsia="宋体" w:cs="宋体"/>
          <w:b w:val="0"/>
          <w:sz w:val="24"/>
          <w:szCs w:val="24"/>
        </w:rPr>
        <w:t>17.4 因不可抗力解除合同</w:t>
      </w:r>
      <w:bookmarkEnd w:id="949"/>
    </w:p>
    <w:bookmarkEnd w:id="950"/>
    <w:p w14:paraId="527F9F07">
      <w:pPr>
        <w:pageBreakBefore w:val="0"/>
        <w:widowControl w:val="0"/>
        <w:kinsoku/>
        <w:wordWrap/>
        <w:overflowPunct/>
        <w:topLinePunct w:val="0"/>
        <w:bidi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因不可抗力导致合同无法履行连续超过84天或累计超过140天的，发包人和承包人均有权解除合同。合同解除后，由双方当事人按照第4.4款〔商定或确定〕商定或确定发包人应支付的款项，该款项包括：</w:t>
      </w:r>
    </w:p>
    <w:p w14:paraId="6E68AA93">
      <w:pPr>
        <w:pageBreakBefore w:val="0"/>
        <w:widowControl w:val="0"/>
        <w:kinsoku/>
        <w:wordWrap/>
        <w:overflowPunct/>
        <w:topLinePunct w:val="0"/>
        <w:bidi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（1）合同解除前承包人已完成工作的价款；</w:t>
      </w:r>
    </w:p>
    <w:p w14:paraId="1F28B7F3">
      <w:pPr>
        <w:pageBreakBefore w:val="0"/>
        <w:widowControl w:val="0"/>
        <w:kinsoku/>
        <w:wordWrap/>
        <w:overflowPunct/>
        <w:topLinePunct w:val="0"/>
        <w:bidi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（2）承包人为工程订购的并已交付给承包人，或承包人有责任接受交付的材料、工程设备和其他物品的价款；</w:t>
      </w:r>
    </w:p>
    <w:p w14:paraId="16C7D8C6">
      <w:pPr>
        <w:pageBreakBefore w:val="0"/>
        <w:widowControl w:val="0"/>
        <w:kinsoku/>
        <w:wordWrap/>
        <w:overflowPunct/>
        <w:topLinePunct w:val="0"/>
        <w:bidi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（3）发包人要求承包人退货或解除订货合同而产生的费用，或因不能退货或解除合同而产生的损失；</w:t>
      </w:r>
    </w:p>
    <w:p w14:paraId="2D4DDA8C">
      <w:pPr>
        <w:pageBreakBefore w:val="0"/>
        <w:widowControl w:val="0"/>
        <w:kinsoku/>
        <w:wordWrap/>
        <w:overflowPunct/>
        <w:topLinePunct w:val="0"/>
        <w:bidi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（4）承包人撤离施工现场以及遣散承包人人员的费用；</w:t>
      </w:r>
    </w:p>
    <w:p w14:paraId="68D46BAA">
      <w:pPr>
        <w:pageBreakBefore w:val="0"/>
        <w:widowControl w:val="0"/>
        <w:kinsoku/>
        <w:wordWrap/>
        <w:overflowPunct/>
        <w:topLinePunct w:val="0"/>
        <w:bidi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（5）按照合同约定在合同解除前应支付给承包人的其他款项；</w:t>
      </w:r>
    </w:p>
    <w:p w14:paraId="20B3E414">
      <w:pPr>
        <w:pageBreakBefore w:val="0"/>
        <w:widowControl w:val="0"/>
        <w:kinsoku/>
        <w:wordWrap/>
        <w:overflowPunct/>
        <w:topLinePunct w:val="0"/>
        <w:bidi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（6）扣减承包人按照合同约定应向发包人支付的款项；</w:t>
      </w:r>
    </w:p>
    <w:p w14:paraId="08E194BF">
      <w:pPr>
        <w:pageBreakBefore w:val="0"/>
        <w:widowControl w:val="0"/>
        <w:kinsoku/>
        <w:wordWrap/>
        <w:overflowPunct/>
        <w:topLinePunct w:val="0"/>
        <w:bidi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（7）双方商定或确定的其他款项。</w:t>
      </w:r>
    </w:p>
    <w:p w14:paraId="262A39C7">
      <w:pPr>
        <w:pageBreakBefore w:val="0"/>
        <w:widowControl w:val="0"/>
        <w:kinsoku/>
        <w:wordWrap/>
        <w:overflowPunct/>
        <w:topLinePunct w:val="0"/>
        <w:bidi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除专用合同条款另有约定外，合同解除后，发包人应在商定或确定上述款项后28天内完成上述款项的支付。</w:t>
      </w:r>
    </w:p>
    <w:p w14:paraId="3580EE0B">
      <w:pPr>
        <w:pageBreakBefore w:val="0"/>
        <w:widowControl w:val="0"/>
        <w:kinsoku/>
        <w:wordWrap/>
        <w:overflowPunct/>
        <w:topLinePunct w:val="0"/>
        <w:bidi w:val="0"/>
        <w:snapToGrid/>
        <w:spacing w:before="120" w:after="120" w:line="480" w:lineRule="exact"/>
        <w:textAlignment w:val="auto"/>
        <w:outlineLvl w:val="9"/>
        <w:rPr>
          <w:rFonts w:hint="eastAsia" w:ascii="宋体" w:hAnsi="宋体" w:eastAsia="宋体" w:cs="宋体"/>
          <w:bCs w:val="0"/>
          <w:sz w:val="24"/>
          <w:szCs w:val="24"/>
        </w:rPr>
      </w:pPr>
      <w:bookmarkStart w:id="951" w:name="_Toc351203612"/>
      <w:bookmarkStart w:id="952" w:name="_Toc337558828"/>
      <w:bookmarkStart w:id="953" w:name="_Toc296503120"/>
      <w:bookmarkStart w:id="954" w:name="_Toc296346621"/>
      <w:r>
        <w:rPr>
          <w:rFonts w:hint="eastAsia" w:ascii="宋体" w:hAnsi="宋体" w:eastAsia="宋体" w:cs="宋体"/>
          <w:bCs w:val="0"/>
          <w:sz w:val="24"/>
          <w:szCs w:val="24"/>
        </w:rPr>
        <w:t>18. 保险</w:t>
      </w:r>
      <w:bookmarkEnd w:id="951"/>
    </w:p>
    <w:bookmarkEnd w:id="952"/>
    <w:bookmarkEnd w:id="953"/>
    <w:bookmarkEnd w:id="954"/>
    <w:p w14:paraId="719BC5D2">
      <w:pPr>
        <w:pageBreakBefore w:val="0"/>
        <w:widowControl w:val="0"/>
        <w:kinsoku/>
        <w:wordWrap/>
        <w:overflowPunct/>
        <w:topLinePunct w:val="0"/>
        <w:bidi w:val="0"/>
        <w:snapToGrid/>
        <w:spacing w:before="120" w:after="120" w:line="480" w:lineRule="exact"/>
        <w:ind w:firstLine="480" w:firstLineChars="200"/>
        <w:textAlignment w:val="auto"/>
        <w:outlineLvl w:val="9"/>
        <w:rPr>
          <w:rFonts w:hint="eastAsia" w:ascii="宋体" w:hAnsi="宋体" w:eastAsia="宋体" w:cs="宋体"/>
          <w:b w:val="0"/>
          <w:sz w:val="24"/>
          <w:szCs w:val="24"/>
        </w:rPr>
      </w:pPr>
      <w:bookmarkStart w:id="955" w:name="_Toc351203613"/>
      <w:bookmarkStart w:id="956" w:name="_Toc337558829"/>
      <w:bookmarkStart w:id="957" w:name="_Toc296346622"/>
      <w:bookmarkStart w:id="958" w:name="_Toc296503121"/>
      <w:r>
        <w:rPr>
          <w:rFonts w:hint="eastAsia" w:ascii="宋体" w:hAnsi="宋体" w:eastAsia="宋体" w:cs="宋体"/>
          <w:b w:val="0"/>
          <w:sz w:val="24"/>
          <w:szCs w:val="24"/>
        </w:rPr>
        <w:t>18.1 工程保险</w:t>
      </w:r>
      <w:bookmarkEnd w:id="955"/>
    </w:p>
    <w:bookmarkEnd w:id="956"/>
    <w:bookmarkEnd w:id="957"/>
    <w:bookmarkEnd w:id="958"/>
    <w:p w14:paraId="1D843EE2">
      <w:pPr>
        <w:pageBreakBefore w:val="0"/>
        <w:widowControl w:val="0"/>
        <w:kinsoku/>
        <w:wordWrap/>
        <w:overflowPunct/>
        <w:topLinePunct w:val="0"/>
        <w:autoSpaceDE w:val="0"/>
        <w:autoSpaceDN w:val="0"/>
        <w:bidi w:val="0"/>
        <w:adjustRightInd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除专用合同条款另有约定外，发包人应投保建筑工程一切险或安装工程一切险；发包人委托承包人投保的，因投保产生的保险费和其他相关费用由发包人承担。</w:t>
      </w:r>
    </w:p>
    <w:p w14:paraId="2642796E">
      <w:pPr>
        <w:pageBreakBefore w:val="0"/>
        <w:widowControl w:val="0"/>
        <w:kinsoku/>
        <w:wordWrap/>
        <w:overflowPunct/>
        <w:topLinePunct w:val="0"/>
        <w:bidi w:val="0"/>
        <w:snapToGrid/>
        <w:spacing w:before="120" w:after="120" w:line="480" w:lineRule="exact"/>
        <w:ind w:firstLine="480" w:firstLineChars="200"/>
        <w:textAlignment w:val="auto"/>
        <w:outlineLvl w:val="9"/>
        <w:rPr>
          <w:rFonts w:hint="eastAsia" w:ascii="宋体" w:hAnsi="宋体" w:eastAsia="宋体" w:cs="宋体"/>
          <w:b w:val="0"/>
          <w:sz w:val="24"/>
          <w:szCs w:val="24"/>
        </w:rPr>
      </w:pPr>
      <w:bookmarkStart w:id="959" w:name="_Toc351203614"/>
      <w:bookmarkStart w:id="960" w:name="_Toc296503122"/>
      <w:bookmarkStart w:id="961" w:name="_Toc296346623"/>
      <w:bookmarkStart w:id="962" w:name="_Toc337558830"/>
      <w:r>
        <w:rPr>
          <w:rFonts w:hint="eastAsia" w:ascii="宋体" w:hAnsi="宋体" w:eastAsia="宋体" w:cs="宋体"/>
          <w:b w:val="0"/>
          <w:sz w:val="24"/>
          <w:szCs w:val="24"/>
        </w:rPr>
        <w:t>18.2 工伤保险</w:t>
      </w:r>
      <w:bookmarkEnd w:id="959"/>
    </w:p>
    <w:bookmarkEnd w:id="960"/>
    <w:bookmarkEnd w:id="961"/>
    <w:bookmarkEnd w:id="962"/>
    <w:p w14:paraId="7CF8BEBB">
      <w:pPr>
        <w:pageBreakBefore w:val="0"/>
        <w:widowControl w:val="0"/>
        <w:kinsoku/>
        <w:wordWrap/>
        <w:overflowPunct/>
        <w:topLinePunct w:val="0"/>
        <w:autoSpaceDE w:val="0"/>
        <w:autoSpaceDN w:val="0"/>
        <w:bidi w:val="0"/>
        <w:adjustRightInd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18.2.1 发包人应依照法律规定参加工伤保险，并为在施工现场的全部员工办理工伤保险，缴纳工伤保险费，并要求监理人及由发包人为履行合同聘请的第三方依法参加工伤保险。</w:t>
      </w:r>
    </w:p>
    <w:p w14:paraId="14564FFC">
      <w:pPr>
        <w:pageBreakBefore w:val="0"/>
        <w:widowControl w:val="0"/>
        <w:kinsoku/>
        <w:wordWrap/>
        <w:overflowPunct/>
        <w:topLinePunct w:val="0"/>
        <w:autoSpaceDE w:val="0"/>
        <w:autoSpaceDN w:val="0"/>
        <w:bidi w:val="0"/>
        <w:adjustRightInd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18.2.2 承包人应依照法律规定参加工伤保险，并为其履行合同的全部员工办理工伤保险，缴纳工伤保险费，并要求分包人及由承包人为履行合同聘请的第三方依法参加工伤保险。</w:t>
      </w:r>
    </w:p>
    <w:p w14:paraId="1491BFE0">
      <w:pPr>
        <w:pageBreakBefore w:val="0"/>
        <w:widowControl w:val="0"/>
        <w:kinsoku/>
        <w:wordWrap/>
        <w:overflowPunct/>
        <w:topLinePunct w:val="0"/>
        <w:bidi w:val="0"/>
        <w:snapToGrid/>
        <w:spacing w:before="120" w:after="120" w:line="480" w:lineRule="exact"/>
        <w:ind w:firstLine="480" w:firstLineChars="200"/>
        <w:textAlignment w:val="auto"/>
        <w:outlineLvl w:val="9"/>
        <w:rPr>
          <w:rFonts w:hint="eastAsia" w:ascii="宋体" w:hAnsi="宋体" w:eastAsia="宋体" w:cs="宋体"/>
          <w:b w:val="0"/>
          <w:sz w:val="24"/>
          <w:szCs w:val="24"/>
        </w:rPr>
      </w:pPr>
      <w:bookmarkStart w:id="963" w:name="_Toc351203615"/>
      <w:bookmarkStart w:id="964" w:name="_Toc337558831"/>
      <w:bookmarkStart w:id="965" w:name="_Toc296503125"/>
      <w:bookmarkStart w:id="966" w:name="_Toc296346626"/>
      <w:r>
        <w:rPr>
          <w:rFonts w:hint="eastAsia" w:ascii="宋体" w:hAnsi="宋体" w:eastAsia="宋体" w:cs="宋体"/>
          <w:b w:val="0"/>
          <w:sz w:val="24"/>
          <w:szCs w:val="24"/>
        </w:rPr>
        <w:t>18.3其他保险</w:t>
      </w:r>
      <w:bookmarkEnd w:id="963"/>
    </w:p>
    <w:bookmarkEnd w:id="964"/>
    <w:bookmarkEnd w:id="965"/>
    <w:bookmarkEnd w:id="966"/>
    <w:p w14:paraId="51908D84">
      <w:pPr>
        <w:pageBreakBefore w:val="0"/>
        <w:widowControl w:val="0"/>
        <w:kinsoku/>
        <w:wordWrap/>
        <w:overflowPunct/>
        <w:topLinePunct w:val="0"/>
        <w:bidi w:val="0"/>
        <w:snapToGrid/>
        <w:spacing w:line="480" w:lineRule="exact"/>
        <w:ind w:firstLine="480" w:firstLineChars="200"/>
        <w:jc w:val="left"/>
        <w:textAlignment w:val="auto"/>
        <w:outlineLvl w:val="9"/>
        <w:rPr>
          <w:rFonts w:hint="eastAsia" w:ascii="宋体" w:hAnsi="宋体" w:eastAsia="宋体" w:cs="宋体"/>
          <w:sz w:val="24"/>
        </w:rPr>
      </w:pPr>
      <w:r>
        <w:rPr>
          <w:rFonts w:hint="eastAsia" w:ascii="宋体" w:hAnsi="宋体" w:eastAsia="宋体" w:cs="宋体"/>
          <w:sz w:val="24"/>
        </w:rPr>
        <w:t>发包人和承包人可以为其施工现场的全部人员办理意外伤害保险并支付保险费，包括其员工及为履行合同聘请的第三方的人员，具体事项由合同当事人在专用合同条款约定。</w:t>
      </w:r>
    </w:p>
    <w:p w14:paraId="0464D045">
      <w:pPr>
        <w:pageBreakBefore w:val="0"/>
        <w:widowControl w:val="0"/>
        <w:kinsoku/>
        <w:wordWrap/>
        <w:overflowPunct/>
        <w:topLinePunct w:val="0"/>
        <w:bidi w:val="0"/>
        <w:snapToGrid/>
        <w:spacing w:line="480" w:lineRule="exact"/>
        <w:ind w:firstLine="480" w:firstLineChars="200"/>
        <w:jc w:val="left"/>
        <w:textAlignment w:val="auto"/>
        <w:outlineLvl w:val="9"/>
        <w:rPr>
          <w:rFonts w:hint="eastAsia" w:ascii="宋体" w:hAnsi="宋体" w:eastAsia="宋体" w:cs="宋体"/>
          <w:sz w:val="24"/>
        </w:rPr>
      </w:pPr>
      <w:r>
        <w:rPr>
          <w:rFonts w:hint="eastAsia" w:ascii="宋体" w:hAnsi="宋体" w:eastAsia="宋体" w:cs="宋体"/>
          <w:sz w:val="24"/>
        </w:rPr>
        <w:t>除专用合同条款另有约定外，承包人应为其施工设备等办理财产保险。</w:t>
      </w:r>
    </w:p>
    <w:p w14:paraId="06C7FC39">
      <w:pPr>
        <w:pageBreakBefore w:val="0"/>
        <w:widowControl w:val="0"/>
        <w:kinsoku/>
        <w:wordWrap/>
        <w:overflowPunct/>
        <w:topLinePunct w:val="0"/>
        <w:bidi w:val="0"/>
        <w:snapToGrid/>
        <w:spacing w:before="120" w:after="120" w:line="480" w:lineRule="exact"/>
        <w:ind w:firstLine="480" w:firstLineChars="200"/>
        <w:textAlignment w:val="auto"/>
        <w:outlineLvl w:val="9"/>
        <w:rPr>
          <w:rFonts w:hint="eastAsia" w:ascii="宋体" w:hAnsi="宋体" w:eastAsia="宋体" w:cs="宋体"/>
          <w:b w:val="0"/>
          <w:sz w:val="24"/>
          <w:szCs w:val="24"/>
        </w:rPr>
      </w:pPr>
      <w:bookmarkStart w:id="967" w:name="_Toc351203616"/>
      <w:r>
        <w:rPr>
          <w:rFonts w:hint="eastAsia" w:ascii="宋体" w:hAnsi="宋体" w:eastAsia="宋体" w:cs="宋体"/>
          <w:b w:val="0"/>
          <w:sz w:val="24"/>
          <w:szCs w:val="24"/>
        </w:rPr>
        <w:t>18.4持续保险</w:t>
      </w:r>
      <w:bookmarkEnd w:id="967"/>
    </w:p>
    <w:p w14:paraId="3543744C">
      <w:pPr>
        <w:pageBreakBefore w:val="0"/>
        <w:widowControl w:val="0"/>
        <w:kinsoku/>
        <w:wordWrap/>
        <w:overflowPunct/>
        <w:topLinePunct w:val="0"/>
        <w:bidi w:val="0"/>
        <w:snapToGrid/>
        <w:spacing w:line="480" w:lineRule="exact"/>
        <w:ind w:firstLine="480" w:firstLineChars="200"/>
        <w:jc w:val="left"/>
        <w:textAlignment w:val="auto"/>
        <w:outlineLvl w:val="9"/>
        <w:rPr>
          <w:rFonts w:hint="eastAsia" w:ascii="宋体" w:hAnsi="宋体" w:eastAsia="宋体" w:cs="宋体"/>
          <w:sz w:val="24"/>
        </w:rPr>
      </w:pPr>
      <w:r>
        <w:rPr>
          <w:rFonts w:hint="eastAsia" w:ascii="宋体" w:hAnsi="宋体" w:eastAsia="宋体" w:cs="宋体"/>
          <w:sz w:val="24"/>
        </w:rPr>
        <w:t>合同当事人应与保险人保持联系，使保险人能够随时了解工程实施中的变动，并确保按保险合同条款要求持续保险。</w:t>
      </w:r>
    </w:p>
    <w:p w14:paraId="4E14B3FB">
      <w:pPr>
        <w:pageBreakBefore w:val="0"/>
        <w:widowControl w:val="0"/>
        <w:kinsoku/>
        <w:wordWrap/>
        <w:overflowPunct/>
        <w:topLinePunct w:val="0"/>
        <w:bidi w:val="0"/>
        <w:snapToGrid/>
        <w:spacing w:before="120" w:after="120" w:line="480" w:lineRule="exact"/>
        <w:ind w:firstLine="480" w:firstLineChars="200"/>
        <w:textAlignment w:val="auto"/>
        <w:outlineLvl w:val="9"/>
        <w:rPr>
          <w:rFonts w:hint="eastAsia" w:ascii="宋体" w:hAnsi="宋体" w:eastAsia="宋体" w:cs="宋体"/>
          <w:b w:val="0"/>
          <w:sz w:val="24"/>
          <w:szCs w:val="24"/>
        </w:rPr>
      </w:pPr>
      <w:bookmarkStart w:id="968" w:name="_Toc351203617"/>
      <w:bookmarkStart w:id="969" w:name="_Toc296346627"/>
      <w:bookmarkStart w:id="970" w:name="_Toc337558832"/>
      <w:bookmarkStart w:id="971" w:name="_Toc296503126"/>
      <w:r>
        <w:rPr>
          <w:rFonts w:hint="eastAsia" w:ascii="宋体" w:hAnsi="宋体" w:eastAsia="宋体" w:cs="宋体"/>
          <w:b w:val="0"/>
          <w:sz w:val="24"/>
          <w:szCs w:val="24"/>
        </w:rPr>
        <w:t>18.5 保险凭证</w:t>
      </w:r>
      <w:bookmarkEnd w:id="968"/>
    </w:p>
    <w:bookmarkEnd w:id="969"/>
    <w:bookmarkEnd w:id="970"/>
    <w:bookmarkEnd w:id="971"/>
    <w:p w14:paraId="5056430C">
      <w:pPr>
        <w:pageBreakBefore w:val="0"/>
        <w:widowControl w:val="0"/>
        <w:kinsoku/>
        <w:wordWrap/>
        <w:overflowPunct/>
        <w:topLinePunct w:val="0"/>
        <w:bidi w:val="0"/>
        <w:snapToGrid/>
        <w:spacing w:line="480" w:lineRule="exact"/>
        <w:ind w:firstLine="480" w:firstLineChars="200"/>
        <w:jc w:val="left"/>
        <w:textAlignment w:val="auto"/>
        <w:outlineLvl w:val="9"/>
        <w:rPr>
          <w:rFonts w:hint="eastAsia" w:ascii="宋体" w:hAnsi="宋体" w:eastAsia="宋体" w:cs="宋体"/>
          <w:sz w:val="24"/>
        </w:rPr>
      </w:pPr>
      <w:r>
        <w:rPr>
          <w:rFonts w:hint="eastAsia" w:ascii="宋体" w:hAnsi="宋体" w:eastAsia="宋体" w:cs="宋体"/>
          <w:sz w:val="24"/>
        </w:rPr>
        <w:t>合同当事人应及时向另一方当事人提交其已投保的各项保险的凭证和保险单复印件。</w:t>
      </w:r>
    </w:p>
    <w:p w14:paraId="3563B253">
      <w:pPr>
        <w:pageBreakBefore w:val="0"/>
        <w:widowControl w:val="0"/>
        <w:kinsoku/>
        <w:wordWrap/>
        <w:overflowPunct/>
        <w:topLinePunct w:val="0"/>
        <w:bidi w:val="0"/>
        <w:snapToGrid/>
        <w:spacing w:before="120" w:after="120" w:line="480" w:lineRule="exact"/>
        <w:ind w:firstLine="480" w:firstLineChars="200"/>
        <w:textAlignment w:val="auto"/>
        <w:outlineLvl w:val="9"/>
        <w:rPr>
          <w:rFonts w:hint="eastAsia" w:ascii="宋体" w:hAnsi="宋体" w:eastAsia="宋体" w:cs="宋体"/>
          <w:b w:val="0"/>
          <w:sz w:val="24"/>
          <w:szCs w:val="24"/>
        </w:rPr>
      </w:pPr>
      <w:bookmarkStart w:id="972" w:name="_Toc351203618"/>
      <w:bookmarkStart w:id="973" w:name="_Toc296503127"/>
      <w:bookmarkStart w:id="974" w:name="_Toc337558833"/>
      <w:bookmarkStart w:id="975" w:name="_Toc296346628"/>
      <w:r>
        <w:rPr>
          <w:rFonts w:hint="eastAsia" w:ascii="宋体" w:hAnsi="宋体" w:eastAsia="宋体" w:cs="宋体"/>
          <w:b w:val="0"/>
          <w:sz w:val="24"/>
          <w:szCs w:val="24"/>
        </w:rPr>
        <w:t>18.6 未按约定投保的补救</w:t>
      </w:r>
      <w:bookmarkEnd w:id="972"/>
    </w:p>
    <w:bookmarkEnd w:id="973"/>
    <w:bookmarkEnd w:id="974"/>
    <w:bookmarkEnd w:id="975"/>
    <w:p w14:paraId="1AF449C5">
      <w:pPr>
        <w:pageBreakBefore w:val="0"/>
        <w:widowControl w:val="0"/>
        <w:kinsoku/>
        <w:wordWrap/>
        <w:overflowPunct/>
        <w:topLinePunct w:val="0"/>
        <w:bidi w:val="0"/>
        <w:snapToGrid/>
        <w:spacing w:line="480" w:lineRule="exact"/>
        <w:ind w:firstLine="480" w:firstLineChars="200"/>
        <w:jc w:val="left"/>
        <w:textAlignment w:val="auto"/>
        <w:outlineLvl w:val="9"/>
        <w:rPr>
          <w:rFonts w:hint="eastAsia" w:ascii="宋体" w:hAnsi="宋体" w:eastAsia="宋体" w:cs="宋体"/>
          <w:sz w:val="24"/>
        </w:rPr>
      </w:pPr>
      <w:r>
        <w:rPr>
          <w:rFonts w:hint="eastAsia" w:ascii="宋体" w:hAnsi="宋体" w:eastAsia="宋体" w:cs="宋体"/>
          <w:sz w:val="24"/>
        </w:rPr>
        <w:t>18.6.1发包人未按合同约定办理保险，或未能使保险持续有效的，则承包人可代为办理，所需费用由发包人承担。发包人未按合同约定办理保险，导致未能得到足额赔偿的，由发包人负责补足。</w:t>
      </w:r>
    </w:p>
    <w:p w14:paraId="18DD9DFA">
      <w:pPr>
        <w:pageBreakBefore w:val="0"/>
        <w:widowControl w:val="0"/>
        <w:kinsoku/>
        <w:wordWrap/>
        <w:overflowPunct/>
        <w:topLinePunct w:val="0"/>
        <w:bidi w:val="0"/>
        <w:snapToGrid/>
        <w:spacing w:line="480" w:lineRule="exact"/>
        <w:ind w:firstLine="480" w:firstLineChars="200"/>
        <w:jc w:val="left"/>
        <w:textAlignment w:val="auto"/>
        <w:outlineLvl w:val="9"/>
        <w:rPr>
          <w:rFonts w:hint="eastAsia" w:ascii="宋体" w:hAnsi="宋体" w:eastAsia="宋体" w:cs="宋体"/>
          <w:sz w:val="24"/>
        </w:rPr>
      </w:pPr>
      <w:r>
        <w:rPr>
          <w:rFonts w:hint="eastAsia" w:ascii="宋体" w:hAnsi="宋体" w:eastAsia="宋体" w:cs="宋体"/>
          <w:sz w:val="24"/>
        </w:rPr>
        <w:t>18.6.2承包人未按合同约定办理保险，或未能使保险持续有效的，则发包人可代为办理，所需费用由承包人承担。承包人未按合同约定办理保险，导致未能得到足额赔偿的，由承包人负责补足。</w:t>
      </w:r>
    </w:p>
    <w:p w14:paraId="4E4E0959">
      <w:pPr>
        <w:pageBreakBefore w:val="0"/>
        <w:widowControl w:val="0"/>
        <w:kinsoku/>
        <w:wordWrap/>
        <w:overflowPunct/>
        <w:topLinePunct w:val="0"/>
        <w:bidi w:val="0"/>
        <w:snapToGrid/>
        <w:spacing w:before="120" w:after="120" w:line="480" w:lineRule="exact"/>
        <w:ind w:firstLine="480" w:firstLineChars="200"/>
        <w:textAlignment w:val="auto"/>
        <w:outlineLvl w:val="9"/>
        <w:rPr>
          <w:rFonts w:hint="eastAsia" w:ascii="宋体" w:hAnsi="宋体" w:eastAsia="宋体" w:cs="宋体"/>
          <w:b w:val="0"/>
          <w:sz w:val="24"/>
          <w:szCs w:val="24"/>
        </w:rPr>
      </w:pPr>
      <w:bookmarkStart w:id="976" w:name="_Toc351203619"/>
      <w:bookmarkStart w:id="977" w:name="_Toc337558834"/>
      <w:r>
        <w:rPr>
          <w:rFonts w:hint="eastAsia" w:ascii="宋体" w:hAnsi="宋体" w:eastAsia="宋体" w:cs="宋体"/>
          <w:b w:val="0"/>
          <w:sz w:val="24"/>
          <w:szCs w:val="24"/>
        </w:rPr>
        <w:t>18.7 通知义务</w:t>
      </w:r>
      <w:bookmarkEnd w:id="976"/>
    </w:p>
    <w:bookmarkEnd w:id="977"/>
    <w:p w14:paraId="2348C113">
      <w:pPr>
        <w:pageBreakBefore w:val="0"/>
        <w:widowControl w:val="0"/>
        <w:kinsoku/>
        <w:wordWrap/>
        <w:overflowPunct/>
        <w:topLinePunct w:val="0"/>
        <w:bidi w:val="0"/>
        <w:snapToGrid/>
        <w:spacing w:line="480" w:lineRule="exact"/>
        <w:ind w:firstLine="480" w:firstLineChars="200"/>
        <w:jc w:val="left"/>
        <w:textAlignment w:val="auto"/>
        <w:outlineLvl w:val="9"/>
        <w:rPr>
          <w:rFonts w:hint="eastAsia" w:ascii="宋体" w:hAnsi="宋体" w:eastAsia="宋体" w:cs="宋体"/>
          <w:sz w:val="24"/>
        </w:rPr>
      </w:pPr>
      <w:r>
        <w:rPr>
          <w:rFonts w:hint="eastAsia" w:ascii="宋体" w:hAnsi="宋体" w:eastAsia="宋体" w:cs="宋体"/>
          <w:sz w:val="24"/>
        </w:rPr>
        <w:t>除专用合同条款另有约定外，发包人变更除工伤保险之外的保险合同时，应事先征得承包人同意，并通知监理人；承包人变更除工伤保险之外的保险合同时，应事先征得发包人同意，并通知监理人。</w:t>
      </w:r>
    </w:p>
    <w:p w14:paraId="0552AC65">
      <w:pPr>
        <w:pageBreakBefore w:val="0"/>
        <w:widowControl w:val="0"/>
        <w:kinsoku/>
        <w:wordWrap/>
        <w:overflowPunct/>
        <w:topLinePunct w:val="0"/>
        <w:bidi w:val="0"/>
        <w:snapToGrid/>
        <w:spacing w:line="480" w:lineRule="exact"/>
        <w:ind w:firstLine="480" w:firstLineChars="200"/>
        <w:jc w:val="left"/>
        <w:textAlignment w:val="auto"/>
        <w:outlineLvl w:val="9"/>
        <w:rPr>
          <w:rFonts w:hint="eastAsia" w:ascii="宋体" w:hAnsi="宋体" w:eastAsia="宋体" w:cs="宋体"/>
          <w:sz w:val="24"/>
        </w:rPr>
      </w:pPr>
      <w:r>
        <w:rPr>
          <w:rFonts w:hint="eastAsia" w:ascii="宋体" w:hAnsi="宋体" w:eastAsia="宋体" w:cs="宋体"/>
          <w:sz w:val="24"/>
        </w:rPr>
        <w:t>保险事故发生时，投保人应按照保险合同规定的条件和期限及时向保险人报告。发包人和承包人应当在知道保险事故发生后及时通知对方。</w:t>
      </w:r>
    </w:p>
    <w:p w14:paraId="33AFECB6">
      <w:pPr>
        <w:pageBreakBefore w:val="0"/>
        <w:widowControl w:val="0"/>
        <w:kinsoku/>
        <w:wordWrap/>
        <w:overflowPunct/>
        <w:topLinePunct w:val="0"/>
        <w:bidi w:val="0"/>
        <w:snapToGrid/>
        <w:spacing w:before="120" w:after="120" w:line="480" w:lineRule="exact"/>
        <w:textAlignment w:val="auto"/>
        <w:outlineLvl w:val="9"/>
        <w:rPr>
          <w:rFonts w:hint="eastAsia" w:ascii="宋体" w:hAnsi="宋体" w:eastAsia="宋体" w:cs="宋体"/>
          <w:bCs w:val="0"/>
          <w:sz w:val="24"/>
          <w:szCs w:val="24"/>
        </w:rPr>
      </w:pPr>
      <w:bookmarkStart w:id="978" w:name="_Toc351203620"/>
      <w:bookmarkStart w:id="979" w:name="_Toc296503140"/>
      <w:bookmarkStart w:id="980" w:name="_Toc337558835"/>
      <w:bookmarkStart w:id="981" w:name="_Toc296346641"/>
      <w:r>
        <w:rPr>
          <w:rFonts w:hint="eastAsia" w:ascii="宋体" w:hAnsi="宋体" w:eastAsia="宋体" w:cs="宋体"/>
          <w:bCs w:val="0"/>
          <w:sz w:val="24"/>
          <w:szCs w:val="24"/>
        </w:rPr>
        <w:t>19. 索赔</w:t>
      </w:r>
      <w:bookmarkEnd w:id="978"/>
    </w:p>
    <w:bookmarkEnd w:id="979"/>
    <w:bookmarkEnd w:id="980"/>
    <w:bookmarkEnd w:id="981"/>
    <w:p w14:paraId="1E3A228D">
      <w:pPr>
        <w:pageBreakBefore w:val="0"/>
        <w:widowControl w:val="0"/>
        <w:kinsoku/>
        <w:wordWrap/>
        <w:overflowPunct/>
        <w:topLinePunct w:val="0"/>
        <w:bidi w:val="0"/>
        <w:snapToGrid/>
        <w:spacing w:before="120" w:after="120" w:line="480" w:lineRule="exact"/>
        <w:ind w:firstLine="480" w:firstLineChars="200"/>
        <w:textAlignment w:val="auto"/>
        <w:outlineLvl w:val="9"/>
        <w:rPr>
          <w:rFonts w:hint="eastAsia" w:ascii="宋体" w:hAnsi="宋体" w:eastAsia="宋体" w:cs="宋体"/>
          <w:b w:val="0"/>
          <w:sz w:val="24"/>
          <w:szCs w:val="24"/>
        </w:rPr>
      </w:pPr>
      <w:bookmarkStart w:id="982" w:name="_Toc351203621"/>
      <w:bookmarkStart w:id="983" w:name="_Toc296503141"/>
      <w:bookmarkStart w:id="984" w:name="_Toc337558836"/>
      <w:bookmarkStart w:id="985" w:name="_Toc296346642"/>
      <w:r>
        <w:rPr>
          <w:rFonts w:hint="eastAsia" w:ascii="宋体" w:hAnsi="宋体" w:eastAsia="宋体" w:cs="宋体"/>
          <w:b w:val="0"/>
          <w:sz w:val="24"/>
          <w:szCs w:val="24"/>
        </w:rPr>
        <w:t>19.1承包人的索赔</w:t>
      </w:r>
      <w:bookmarkEnd w:id="982"/>
    </w:p>
    <w:bookmarkEnd w:id="983"/>
    <w:bookmarkEnd w:id="984"/>
    <w:bookmarkEnd w:id="985"/>
    <w:p w14:paraId="708E1D79">
      <w:pPr>
        <w:pageBreakBefore w:val="0"/>
        <w:widowControl w:val="0"/>
        <w:kinsoku/>
        <w:wordWrap/>
        <w:overflowPunct/>
        <w:topLinePunct w:val="0"/>
        <w:autoSpaceDE w:val="0"/>
        <w:autoSpaceDN w:val="0"/>
        <w:bidi w:val="0"/>
        <w:adjustRightInd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根据合同约定，承包人认为有权得到追加付款和（或）延长工期的，应按以下程序向发包人提出索赔：</w:t>
      </w:r>
    </w:p>
    <w:p w14:paraId="49300F5F">
      <w:pPr>
        <w:pageBreakBefore w:val="0"/>
        <w:widowControl w:val="0"/>
        <w:kinsoku/>
        <w:wordWrap/>
        <w:overflowPunct/>
        <w:topLinePunct w:val="0"/>
        <w:autoSpaceDE w:val="0"/>
        <w:autoSpaceDN w:val="0"/>
        <w:bidi w:val="0"/>
        <w:adjustRightInd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（1）承包人应在知道或应当知道索赔事件发生后28天内，向监理人递交索赔意向通知书，并说明发生索赔事件的事由；承包人未在前述28天内发出索赔意向通知书的，丧失要求追加付款和（或）延长工期的权利；</w:t>
      </w:r>
    </w:p>
    <w:p w14:paraId="271C381D">
      <w:pPr>
        <w:pageBreakBefore w:val="0"/>
        <w:widowControl w:val="0"/>
        <w:kinsoku/>
        <w:wordWrap/>
        <w:overflowPunct/>
        <w:topLinePunct w:val="0"/>
        <w:autoSpaceDE w:val="0"/>
        <w:autoSpaceDN w:val="0"/>
        <w:bidi w:val="0"/>
        <w:adjustRightInd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（2）承包人应在发出索赔意向通知书后28天内，向监理人正式递交索赔报告；索赔报告应详细说明索赔理由以及要求追加的付款金额和（或）延长的工期，并附必要的记录和证明材料；</w:t>
      </w:r>
    </w:p>
    <w:p w14:paraId="0403A38E">
      <w:pPr>
        <w:pageBreakBefore w:val="0"/>
        <w:widowControl w:val="0"/>
        <w:kinsoku/>
        <w:wordWrap/>
        <w:overflowPunct/>
        <w:topLinePunct w:val="0"/>
        <w:autoSpaceDE w:val="0"/>
        <w:autoSpaceDN w:val="0"/>
        <w:bidi w:val="0"/>
        <w:adjustRightInd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（3）索赔事件具有持续影响的，承包人应按合理时间间隔继续递交延续索赔通知，说明持续影响的实际情况和记录，列出累计的追加付款金额和（或）工期延长天数；</w:t>
      </w:r>
    </w:p>
    <w:p w14:paraId="2D5CFF65">
      <w:pPr>
        <w:pageBreakBefore w:val="0"/>
        <w:widowControl w:val="0"/>
        <w:kinsoku/>
        <w:wordWrap/>
        <w:overflowPunct/>
        <w:topLinePunct w:val="0"/>
        <w:autoSpaceDE w:val="0"/>
        <w:autoSpaceDN w:val="0"/>
        <w:bidi w:val="0"/>
        <w:adjustRightInd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（4）在索赔事件影响结束后28天内，承包人应向监理人递交最终索赔报告，说明最终要求索赔的追加付款金额和（或）延长的工期，并附必要的记录和证明材料。</w:t>
      </w:r>
    </w:p>
    <w:p w14:paraId="6249F0E9">
      <w:pPr>
        <w:pageBreakBefore w:val="0"/>
        <w:widowControl w:val="0"/>
        <w:kinsoku/>
        <w:wordWrap/>
        <w:overflowPunct/>
        <w:topLinePunct w:val="0"/>
        <w:bidi w:val="0"/>
        <w:snapToGrid/>
        <w:spacing w:before="120" w:after="120" w:line="480" w:lineRule="exact"/>
        <w:ind w:firstLine="480" w:firstLineChars="200"/>
        <w:textAlignment w:val="auto"/>
        <w:outlineLvl w:val="9"/>
        <w:rPr>
          <w:rFonts w:hint="eastAsia" w:ascii="宋体" w:hAnsi="宋体" w:eastAsia="宋体" w:cs="宋体"/>
          <w:b w:val="0"/>
          <w:sz w:val="24"/>
          <w:szCs w:val="24"/>
        </w:rPr>
      </w:pPr>
      <w:bookmarkStart w:id="986" w:name="_Toc351203622"/>
      <w:bookmarkStart w:id="987" w:name="_Toc296503142"/>
      <w:bookmarkStart w:id="988" w:name="_Toc296346643"/>
      <w:bookmarkStart w:id="989" w:name="_Toc337558837"/>
      <w:r>
        <w:rPr>
          <w:rFonts w:hint="eastAsia" w:ascii="宋体" w:hAnsi="宋体" w:eastAsia="宋体" w:cs="宋体"/>
          <w:b w:val="0"/>
          <w:sz w:val="24"/>
          <w:szCs w:val="24"/>
        </w:rPr>
        <w:t>19.2 对承包人索赔的处理</w:t>
      </w:r>
      <w:bookmarkEnd w:id="986"/>
    </w:p>
    <w:bookmarkEnd w:id="987"/>
    <w:bookmarkEnd w:id="988"/>
    <w:bookmarkEnd w:id="989"/>
    <w:p w14:paraId="01B532E1">
      <w:pPr>
        <w:pageBreakBefore w:val="0"/>
        <w:widowControl w:val="0"/>
        <w:kinsoku/>
        <w:wordWrap/>
        <w:overflowPunct/>
        <w:topLinePunct w:val="0"/>
        <w:autoSpaceDE w:val="0"/>
        <w:autoSpaceDN w:val="0"/>
        <w:bidi w:val="0"/>
        <w:adjustRightInd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对承包人索赔的处理如下：</w:t>
      </w:r>
    </w:p>
    <w:p w14:paraId="4CDA0D2D">
      <w:pPr>
        <w:pageBreakBefore w:val="0"/>
        <w:widowControl w:val="0"/>
        <w:kinsoku/>
        <w:wordWrap/>
        <w:overflowPunct/>
        <w:topLinePunct w:val="0"/>
        <w:autoSpaceDE w:val="0"/>
        <w:autoSpaceDN w:val="0"/>
        <w:bidi w:val="0"/>
        <w:adjustRightInd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（1）监理人应在收到索赔报告后14天内完成审查并报送发包人。监理人对索赔报告存在异议的，有权要求承包人提交全部原始记录副本；</w:t>
      </w:r>
    </w:p>
    <w:p w14:paraId="1CBE5D0C">
      <w:pPr>
        <w:pageBreakBefore w:val="0"/>
        <w:widowControl w:val="0"/>
        <w:kinsoku/>
        <w:wordWrap/>
        <w:overflowPunct/>
        <w:topLinePunct w:val="0"/>
        <w:autoSpaceDE w:val="0"/>
        <w:autoSpaceDN w:val="0"/>
        <w:bidi w:val="0"/>
        <w:adjustRightInd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（2）发包人应在监理人收到索赔报告或有关索赔的进一步证明材料后的28天内，由监理人向承包人出具经发包人签认的索赔处理结果。发包人逾期答复的，则视为认可承包人的索赔要求；</w:t>
      </w:r>
    </w:p>
    <w:p w14:paraId="0F9B89E6">
      <w:pPr>
        <w:pageBreakBefore w:val="0"/>
        <w:widowControl w:val="0"/>
        <w:kinsoku/>
        <w:wordWrap/>
        <w:overflowPunct/>
        <w:topLinePunct w:val="0"/>
        <w:autoSpaceDE w:val="0"/>
        <w:autoSpaceDN w:val="0"/>
        <w:bidi w:val="0"/>
        <w:adjustRightInd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（3）承包人接受索赔处理结果的，索赔款项在当期进度款中进行支付；承包人不接受索赔处理结果的，按照第20条〔争议解决〕约定处理。</w:t>
      </w:r>
    </w:p>
    <w:p w14:paraId="2AC29E8B">
      <w:pPr>
        <w:pageBreakBefore w:val="0"/>
        <w:widowControl w:val="0"/>
        <w:kinsoku/>
        <w:wordWrap/>
        <w:overflowPunct/>
        <w:topLinePunct w:val="0"/>
        <w:bidi w:val="0"/>
        <w:snapToGrid/>
        <w:spacing w:before="120" w:after="120" w:line="480" w:lineRule="exact"/>
        <w:ind w:firstLine="480" w:firstLineChars="200"/>
        <w:textAlignment w:val="auto"/>
        <w:outlineLvl w:val="9"/>
        <w:rPr>
          <w:rFonts w:hint="eastAsia" w:ascii="宋体" w:hAnsi="宋体" w:eastAsia="宋体" w:cs="宋体"/>
          <w:b w:val="0"/>
          <w:sz w:val="24"/>
          <w:szCs w:val="24"/>
        </w:rPr>
      </w:pPr>
      <w:bookmarkStart w:id="990" w:name="_Toc351203623"/>
      <w:bookmarkStart w:id="991" w:name="_Toc296346644"/>
      <w:bookmarkStart w:id="992" w:name="_Toc296503143"/>
      <w:bookmarkStart w:id="993" w:name="_Toc337558838"/>
      <w:r>
        <w:rPr>
          <w:rFonts w:hint="eastAsia" w:ascii="宋体" w:hAnsi="宋体" w:eastAsia="宋体" w:cs="宋体"/>
          <w:b w:val="0"/>
          <w:sz w:val="24"/>
          <w:szCs w:val="24"/>
        </w:rPr>
        <w:t>19.3发包人的索赔</w:t>
      </w:r>
      <w:bookmarkEnd w:id="990"/>
    </w:p>
    <w:bookmarkEnd w:id="991"/>
    <w:bookmarkEnd w:id="992"/>
    <w:bookmarkEnd w:id="993"/>
    <w:p w14:paraId="364CAAE8">
      <w:pPr>
        <w:pageBreakBefore w:val="0"/>
        <w:widowControl w:val="0"/>
        <w:kinsoku/>
        <w:wordWrap/>
        <w:overflowPunct/>
        <w:topLinePunct w:val="0"/>
        <w:autoSpaceDE w:val="0"/>
        <w:autoSpaceDN w:val="0"/>
        <w:bidi w:val="0"/>
        <w:adjustRightInd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根据合同约定，发包人认为有权得到赔付金额和（或）延长缺陷责任期的，监理人应向承包人发出通知并附有详细的证明。</w:t>
      </w:r>
    </w:p>
    <w:p w14:paraId="4AE57FBB">
      <w:pPr>
        <w:pageBreakBefore w:val="0"/>
        <w:widowControl w:val="0"/>
        <w:kinsoku/>
        <w:wordWrap/>
        <w:overflowPunct/>
        <w:topLinePunct w:val="0"/>
        <w:autoSpaceDE w:val="0"/>
        <w:autoSpaceDN w:val="0"/>
        <w:bidi w:val="0"/>
        <w:adjustRightInd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发包人应在知道或应当知道索赔事件发生后28天内通过监理人向承包人提出索赔意向通知书，发包人未在前述28天内发出索赔意向通知书的，丧失要求赔付金额和（或）延长缺陷责任期的权利。发包人应在发出索赔意向通知书后28天内，通过监理人向承包人正式递交索赔报告。</w:t>
      </w:r>
    </w:p>
    <w:p w14:paraId="7FB78A9E">
      <w:pPr>
        <w:pageBreakBefore w:val="0"/>
        <w:widowControl w:val="0"/>
        <w:kinsoku/>
        <w:wordWrap/>
        <w:overflowPunct/>
        <w:topLinePunct w:val="0"/>
        <w:bidi w:val="0"/>
        <w:snapToGrid/>
        <w:spacing w:before="120" w:after="120" w:line="480" w:lineRule="exact"/>
        <w:ind w:firstLine="480" w:firstLineChars="200"/>
        <w:textAlignment w:val="auto"/>
        <w:outlineLvl w:val="9"/>
        <w:rPr>
          <w:rFonts w:hint="eastAsia" w:ascii="宋体" w:hAnsi="宋体" w:eastAsia="宋体" w:cs="宋体"/>
          <w:b w:val="0"/>
          <w:sz w:val="24"/>
          <w:szCs w:val="24"/>
        </w:rPr>
      </w:pPr>
      <w:bookmarkStart w:id="994" w:name="_Toc351203624"/>
      <w:bookmarkStart w:id="995" w:name="_Toc296346645"/>
      <w:bookmarkStart w:id="996" w:name="_Toc296503144"/>
      <w:bookmarkStart w:id="997" w:name="_Toc337558839"/>
      <w:r>
        <w:rPr>
          <w:rFonts w:hint="eastAsia" w:ascii="宋体" w:hAnsi="宋体" w:eastAsia="宋体" w:cs="宋体"/>
          <w:b w:val="0"/>
          <w:sz w:val="24"/>
          <w:szCs w:val="24"/>
        </w:rPr>
        <w:t>19.4 对发包人索赔的处理</w:t>
      </w:r>
      <w:bookmarkEnd w:id="994"/>
    </w:p>
    <w:bookmarkEnd w:id="995"/>
    <w:bookmarkEnd w:id="996"/>
    <w:bookmarkEnd w:id="997"/>
    <w:p w14:paraId="6CDD724B">
      <w:pPr>
        <w:pageBreakBefore w:val="0"/>
        <w:widowControl w:val="0"/>
        <w:kinsoku/>
        <w:wordWrap/>
        <w:overflowPunct/>
        <w:topLinePunct w:val="0"/>
        <w:autoSpaceDE w:val="0"/>
        <w:autoSpaceDN w:val="0"/>
        <w:bidi w:val="0"/>
        <w:adjustRightInd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对发包人索赔的处理如下：</w:t>
      </w:r>
    </w:p>
    <w:p w14:paraId="34B5A7DF">
      <w:pPr>
        <w:pageBreakBefore w:val="0"/>
        <w:widowControl w:val="0"/>
        <w:kinsoku/>
        <w:wordWrap/>
        <w:overflowPunct/>
        <w:topLinePunct w:val="0"/>
        <w:autoSpaceDE w:val="0"/>
        <w:autoSpaceDN w:val="0"/>
        <w:bidi w:val="0"/>
        <w:adjustRightInd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（1）承包人收到发包人提交的索赔报告后，应及时审查索赔报告的内容、查验发包人证明材料；</w:t>
      </w:r>
    </w:p>
    <w:p w14:paraId="5C2353C1">
      <w:pPr>
        <w:pageBreakBefore w:val="0"/>
        <w:widowControl w:val="0"/>
        <w:kinsoku/>
        <w:wordWrap/>
        <w:overflowPunct/>
        <w:topLinePunct w:val="0"/>
        <w:autoSpaceDE w:val="0"/>
        <w:autoSpaceDN w:val="0"/>
        <w:bidi w:val="0"/>
        <w:adjustRightInd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（2）承包人应在收到索赔报告或有关索赔的进一步证明材料后28天内，将索赔处理结果答复发包人。如果承包人未在上述期限内作出答复的，则视为对发包人索赔要求的认可；</w:t>
      </w:r>
    </w:p>
    <w:p w14:paraId="66E16F9B">
      <w:pPr>
        <w:pageBreakBefore w:val="0"/>
        <w:widowControl w:val="0"/>
        <w:kinsoku/>
        <w:wordWrap/>
        <w:overflowPunct/>
        <w:topLinePunct w:val="0"/>
        <w:autoSpaceDE w:val="0"/>
        <w:autoSpaceDN w:val="0"/>
        <w:bidi w:val="0"/>
        <w:adjustRightInd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（3）承包人接受索赔处理结果的，发包人可从应支付给承包人的合同价款中扣除赔付的金额或延长缺陷责任期；发包人不接受索赔处理结果的，按第20条〔争议解决〕约定处理。</w:t>
      </w:r>
    </w:p>
    <w:p w14:paraId="42FE0CD0">
      <w:pPr>
        <w:pageBreakBefore w:val="0"/>
        <w:widowControl w:val="0"/>
        <w:kinsoku/>
        <w:wordWrap/>
        <w:overflowPunct/>
        <w:topLinePunct w:val="0"/>
        <w:bidi w:val="0"/>
        <w:snapToGrid/>
        <w:spacing w:before="120" w:after="120" w:line="480" w:lineRule="exact"/>
        <w:ind w:firstLine="480" w:firstLineChars="200"/>
        <w:textAlignment w:val="auto"/>
        <w:outlineLvl w:val="9"/>
        <w:rPr>
          <w:rFonts w:hint="eastAsia" w:ascii="宋体" w:hAnsi="宋体" w:eastAsia="宋体" w:cs="宋体"/>
          <w:b w:val="0"/>
          <w:sz w:val="24"/>
          <w:szCs w:val="24"/>
        </w:rPr>
      </w:pPr>
      <w:bookmarkStart w:id="998" w:name="_Toc351203625"/>
      <w:r>
        <w:rPr>
          <w:rFonts w:hint="eastAsia" w:ascii="宋体" w:hAnsi="宋体" w:eastAsia="宋体" w:cs="宋体"/>
          <w:b w:val="0"/>
          <w:sz w:val="24"/>
          <w:szCs w:val="24"/>
        </w:rPr>
        <w:t>19.5 提出索赔的期限</w:t>
      </w:r>
      <w:bookmarkEnd w:id="998"/>
    </w:p>
    <w:p w14:paraId="746468EA">
      <w:pPr>
        <w:pageBreakBefore w:val="0"/>
        <w:widowControl w:val="0"/>
        <w:kinsoku/>
        <w:wordWrap/>
        <w:overflowPunct/>
        <w:topLinePunct w:val="0"/>
        <w:bidi w:val="0"/>
        <w:snapToGrid/>
        <w:spacing w:line="480" w:lineRule="exact"/>
        <w:ind w:firstLine="480" w:firstLineChars="200"/>
        <w:textAlignment w:val="auto"/>
        <w:outlineLvl w:val="9"/>
        <w:rPr>
          <w:rFonts w:hint="eastAsia" w:ascii="宋体" w:hAnsi="宋体" w:eastAsia="宋体" w:cs="宋体"/>
          <w:kern w:val="0"/>
          <w:sz w:val="24"/>
        </w:rPr>
      </w:pPr>
      <w:r>
        <w:rPr>
          <w:rFonts w:hint="eastAsia" w:ascii="宋体" w:hAnsi="宋体" w:eastAsia="宋体" w:cs="宋体"/>
          <w:kern w:val="0"/>
          <w:sz w:val="24"/>
        </w:rPr>
        <w:t>（1）承包人按第14.2款〔竣工结算审核〕约定接收竣工付款证书后，应被视为已无权再提出在工程接收证书颁发前所发生的任何索赔。</w:t>
      </w:r>
    </w:p>
    <w:p w14:paraId="523212A5">
      <w:pPr>
        <w:pageBreakBefore w:val="0"/>
        <w:widowControl w:val="0"/>
        <w:kinsoku/>
        <w:wordWrap/>
        <w:overflowPunct/>
        <w:topLinePunct w:val="0"/>
        <w:bidi w:val="0"/>
        <w:snapToGrid/>
        <w:spacing w:line="480" w:lineRule="exact"/>
        <w:ind w:firstLine="480" w:firstLineChars="200"/>
        <w:textAlignment w:val="auto"/>
        <w:outlineLvl w:val="9"/>
        <w:rPr>
          <w:rFonts w:hint="eastAsia" w:ascii="宋体" w:hAnsi="宋体" w:eastAsia="宋体" w:cs="宋体"/>
          <w:kern w:val="0"/>
          <w:sz w:val="24"/>
        </w:rPr>
      </w:pPr>
      <w:r>
        <w:rPr>
          <w:rFonts w:hint="eastAsia" w:ascii="宋体" w:hAnsi="宋体" w:eastAsia="宋体" w:cs="宋体"/>
          <w:kern w:val="0"/>
          <w:sz w:val="24"/>
        </w:rPr>
        <w:t>（2）承包人按第14.4款〔最终结清〕提交的最终结清申请单中，只限于提出工程接收证书颁发后发生的索赔。提出索赔的期限自接受最终结清证书时终止。</w:t>
      </w:r>
    </w:p>
    <w:p w14:paraId="5A08C48E">
      <w:pPr>
        <w:pageBreakBefore w:val="0"/>
        <w:widowControl w:val="0"/>
        <w:kinsoku/>
        <w:wordWrap/>
        <w:overflowPunct/>
        <w:topLinePunct w:val="0"/>
        <w:bidi w:val="0"/>
        <w:snapToGrid/>
        <w:spacing w:before="120" w:after="120" w:line="480" w:lineRule="exact"/>
        <w:textAlignment w:val="auto"/>
        <w:outlineLvl w:val="9"/>
        <w:rPr>
          <w:rFonts w:hint="eastAsia" w:ascii="宋体" w:hAnsi="宋体" w:eastAsia="宋体" w:cs="宋体"/>
          <w:bCs w:val="0"/>
          <w:sz w:val="24"/>
          <w:szCs w:val="24"/>
        </w:rPr>
      </w:pPr>
      <w:bookmarkStart w:id="999" w:name="_Toc351203626"/>
      <w:r>
        <w:rPr>
          <w:rFonts w:hint="eastAsia" w:ascii="宋体" w:hAnsi="宋体" w:eastAsia="宋体" w:cs="宋体"/>
          <w:bCs w:val="0"/>
          <w:sz w:val="24"/>
          <w:szCs w:val="24"/>
        </w:rPr>
        <w:t>20</w:t>
      </w:r>
      <w:bookmarkStart w:id="1000" w:name="_Toc296346647"/>
      <w:bookmarkStart w:id="1001" w:name="_Toc337558840"/>
      <w:bookmarkStart w:id="1002" w:name="_Toc296503146"/>
      <w:r>
        <w:rPr>
          <w:rFonts w:hint="eastAsia" w:ascii="宋体" w:hAnsi="宋体" w:eastAsia="宋体" w:cs="宋体"/>
          <w:bCs w:val="0"/>
          <w:sz w:val="24"/>
          <w:szCs w:val="24"/>
        </w:rPr>
        <w:t>. 争议解决</w:t>
      </w:r>
      <w:bookmarkEnd w:id="999"/>
    </w:p>
    <w:bookmarkEnd w:id="1000"/>
    <w:bookmarkEnd w:id="1001"/>
    <w:bookmarkEnd w:id="1002"/>
    <w:p w14:paraId="43B42A6B">
      <w:pPr>
        <w:pageBreakBefore w:val="0"/>
        <w:widowControl w:val="0"/>
        <w:kinsoku/>
        <w:wordWrap/>
        <w:overflowPunct/>
        <w:topLinePunct w:val="0"/>
        <w:bidi w:val="0"/>
        <w:snapToGrid/>
        <w:spacing w:before="120" w:after="120" w:line="480" w:lineRule="exact"/>
        <w:ind w:firstLine="480" w:firstLineChars="200"/>
        <w:textAlignment w:val="auto"/>
        <w:outlineLvl w:val="9"/>
        <w:rPr>
          <w:rFonts w:hint="eastAsia" w:ascii="宋体" w:hAnsi="宋体" w:eastAsia="宋体" w:cs="宋体"/>
          <w:b w:val="0"/>
          <w:sz w:val="24"/>
          <w:szCs w:val="24"/>
        </w:rPr>
      </w:pPr>
      <w:bookmarkStart w:id="1003" w:name="_Toc351203627"/>
      <w:bookmarkStart w:id="1004" w:name="_Toc296346648"/>
      <w:bookmarkStart w:id="1005" w:name="_Toc296503147"/>
      <w:bookmarkStart w:id="1006" w:name="_Toc337558841"/>
      <w:r>
        <w:rPr>
          <w:rFonts w:hint="eastAsia" w:ascii="宋体" w:hAnsi="宋体" w:eastAsia="宋体" w:cs="宋体"/>
          <w:b w:val="0"/>
          <w:sz w:val="24"/>
          <w:szCs w:val="24"/>
        </w:rPr>
        <w:t>20.1和解</w:t>
      </w:r>
      <w:bookmarkEnd w:id="1003"/>
    </w:p>
    <w:bookmarkEnd w:id="1004"/>
    <w:bookmarkEnd w:id="1005"/>
    <w:bookmarkEnd w:id="1006"/>
    <w:p w14:paraId="52F468AC">
      <w:pPr>
        <w:pageBreakBefore w:val="0"/>
        <w:widowControl w:val="0"/>
        <w:kinsoku/>
        <w:wordWrap/>
        <w:overflowPunct/>
        <w:topLinePunct w:val="0"/>
        <w:autoSpaceDE w:val="0"/>
        <w:autoSpaceDN w:val="0"/>
        <w:bidi w:val="0"/>
        <w:adjustRightInd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合同当事人可以就争议自行和解，自行和解达成协议的经双方签字并盖章后作为合同补充文件，双方均应遵照执行。</w:t>
      </w:r>
    </w:p>
    <w:p w14:paraId="72678E64">
      <w:pPr>
        <w:pageBreakBefore w:val="0"/>
        <w:widowControl w:val="0"/>
        <w:kinsoku/>
        <w:wordWrap/>
        <w:overflowPunct/>
        <w:topLinePunct w:val="0"/>
        <w:bidi w:val="0"/>
        <w:snapToGrid/>
        <w:spacing w:before="120" w:after="120" w:line="480" w:lineRule="exact"/>
        <w:ind w:firstLine="480" w:firstLineChars="200"/>
        <w:textAlignment w:val="auto"/>
        <w:outlineLvl w:val="9"/>
        <w:rPr>
          <w:rFonts w:hint="eastAsia" w:ascii="宋体" w:hAnsi="宋体" w:eastAsia="宋体" w:cs="宋体"/>
          <w:b w:val="0"/>
          <w:sz w:val="24"/>
          <w:szCs w:val="24"/>
        </w:rPr>
      </w:pPr>
      <w:bookmarkStart w:id="1007" w:name="_Toc351203628"/>
      <w:r>
        <w:rPr>
          <w:rFonts w:hint="eastAsia" w:ascii="宋体" w:hAnsi="宋体" w:eastAsia="宋体" w:cs="宋体"/>
          <w:b w:val="0"/>
          <w:sz w:val="24"/>
          <w:szCs w:val="24"/>
        </w:rPr>
        <w:t>20</w:t>
      </w:r>
      <w:bookmarkStart w:id="1008" w:name="_Toc296346649"/>
      <w:bookmarkStart w:id="1009" w:name="_Toc296503148"/>
      <w:bookmarkStart w:id="1010" w:name="_Toc337558842"/>
      <w:r>
        <w:rPr>
          <w:rFonts w:hint="eastAsia" w:ascii="宋体" w:hAnsi="宋体" w:eastAsia="宋体" w:cs="宋体"/>
          <w:b w:val="0"/>
          <w:sz w:val="24"/>
          <w:szCs w:val="24"/>
        </w:rPr>
        <w:t>.2调解</w:t>
      </w:r>
      <w:bookmarkEnd w:id="1007"/>
    </w:p>
    <w:bookmarkEnd w:id="1008"/>
    <w:bookmarkEnd w:id="1009"/>
    <w:bookmarkEnd w:id="1010"/>
    <w:p w14:paraId="0E9B0005">
      <w:pPr>
        <w:pageBreakBefore w:val="0"/>
        <w:widowControl w:val="0"/>
        <w:kinsoku/>
        <w:wordWrap/>
        <w:overflowPunct/>
        <w:topLinePunct w:val="0"/>
        <w:autoSpaceDE w:val="0"/>
        <w:autoSpaceDN w:val="0"/>
        <w:bidi w:val="0"/>
        <w:adjustRightInd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合同当事人可以就争议请求建设行政主管部门、行业协会或其他第三方进行调解，调解达成协议的，经双方签字并盖章后作为合同补充文件，双方均应遵照执行。</w:t>
      </w:r>
    </w:p>
    <w:p w14:paraId="7E154491">
      <w:pPr>
        <w:pageBreakBefore w:val="0"/>
        <w:widowControl w:val="0"/>
        <w:kinsoku/>
        <w:wordWrap/>
        <w:overflowPunct/>
        <w:topLinePunct w:val="0"/>
        <w:bidi w:val="0"/>
        <w:snapToGrid/>
        <w:spacing w:before="120" w:after="120" w:line="480" w:lineRule="exact"/>
        <w:ind w:firstLine="480" w:firstLineChars="200"/>
        <w:textAlignment w:val="auto"/>
        <w:outlineLvl w:val="9"/>
        <w:rPr>
          <w:rFonts w:hint="eastAsia" w:ascii="宋体" w:hAnsi="宋体" w:eastAsia="宋体" w:cs="宋体"/>
          <w:b w:val="0"/>
          <w:sz w:val="24"/>
          <w:szCs w:val="24"/>
        </w:rPr>
      </w:pPr>
      <w:bookmarkStart w:id="1011" w:name="_Toc351203629"/>
      <w:bookmarkStart w:id="1012" w:name="_Toc296503149"/>
      <w:bookmarkStart w:id="1013" w:name="_Toc296346650"/>
      <w:bookmarkStart w:id="1014" w:name="_Toc337558843"/>
      <w:r>
        <w:rPr>
          <w:rFonts w:hint="eastAsia" w:ascii="宋体" w:hAnsi="宋体" w:eastAsia="宋体" w:cs="宋体"/>
          <w:b w:val="0"/>
          <w:sz w:val="24"/>
          <w:szCs w:val="24"/>
        </w:rPr>
        <w:t>20.3争议评审</w:t>
      </w:r>
      <w:bookmarkEnd w:id="1011"/>
    </w:p>
    <w:bookmarkEnd w:id="1012"/>
    <w:bookmarkEnd w:id="1013"/>
    <w:bookmarkEnd w:id="1014"/>
    <w:p w14:paraId="660829D8">
      <w:pPr>
        <w:pageBreakBefore w:val="0"/>
        <w:widowControl w:val="0"/>
        <w:kinsoku/>
        <w:wordWrap/>
        <w:overflowPunct/>
        <w:topLinePunct w:val="0"/>
        <w:autoSpaceDE w:val="0"/>
        <w:autoSpaceDN w:val="0"/>
        <w:bidi w:val="0"/>
        <w:adjustRightInd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 xml:space="preserve">合同当事人在专用合同条款中约定采取争议评审方式解决争议以及评审规则，并按下列约定执行： </w:t>
      </w:r>
    </w:p>
    <w:p w14:paraId="555AD82E">
      <w:pPr>
        <w:pageBreakBefore w:val="0"/>
        <w:widowControl w:val="0"/>
        <w:kinsoku/>
        <w:wordWrap/>
        <w:overflowPunct/>
        <w:topLinePunct w:val="0"/>
        <w:autoSpaceDE w:val="0"/>
        <w:autoSpaceDN w:val="0"/>
        <w:bidi w:val="0"/>
        <w:adjustRightInd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20.3.1 争议评审小组的确定</w:t>
      </w:r>
    </w:p>
    <w:p w14:paraId="15DB1D7F">
      <w:pPr>
        <w:pageBreakBefore w:val="0"/>
        <w:widowControl w:val="0"/>
        <w:kinsoku/>
        <w:wordWrap/>
        <w:overflowPunct/>
        <w:topLinePunct w:val="0"/>
        <w:autoSpaceDE w:val="0"/>
        <w:autoSpaceDN w:val="0"/>
        <w:bidi w:val="0"/>
        <w:adjustRightInd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合同当事人可以共同选择一名或三名争议评审员，组成争议评审小组。除专用合同条款另有约定外，合同当事人应当自合同签订后28天内，或者争议发生后14天内，选定争议评审员。</w:t>
      </w:r>
    </w:p>
    <w:p w14:paraId="30485C46">
      <w:pPr>
        <w:pageBreakBefore w:val="0"/>
        <w:widowControl w:val="0"/>
        <w:kinsoku/>
        <w:wordWrap/>
        <w:overflowPunct/>
        <w:topLinePunct w:val="0"/>
        <w:autoSpaceDE w:val="0"/>
        <w:autoSpaceDN w:val="0"/>
        <w:bidi w:val="0"/>
        <w:adjustRightInd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 xml:space="preserve">选择一名争议评审员的，由合同当事人共同确定；选择三名争议评审员的，各自选定一名，第三名成员为首席争议评审员，由合同当事人共同确定或由合同当事人委托已选定的争议评审员共同确定，或由专用合同条款约定的评审机构指定第三名首席争议评审员。 </w:t>
      </w:r>
    </w:p>
    <w:p w14:paraId="7CC73B48">
      <w:pPr>
        <w:pageBreakBefore w:val="0"/>
        <w:widowControl w:val="0"/>
        <w:kinsoku/>
        <w:wordWrap/>
        <w:overflowPunct/>
        <w:topLinePunct w:val="0"/>
        <w:autoSpaceDE w:val="0"/>
        <w:autoSpaceDN w:val="0"/>
        <w:bidi w:val="0"/>
        <w:adjustRightInd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除专用合同条款另有约定外，评审员报酬由发包人和承包人各承担一半。</w:t>
      </w:r>
    </w:p>
    <w:p w14:paraId="1338B293">
      <w:pPr>
        <w:pageBreakBefore w:val="0"/>
        <w:widowControl w:val="0"/>
        <w:kinsoku/>
        <w:wordWrap/>
        <w:overflowPunct/>
        <w:topLinePunct w:val="0"/>
        <w:autoSpaceDE w:val="0"/>
        <w:autoSpaceDN w:val="0"/>
        <w:bidi w:val="0"/>
        <w:adjustRightInd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20.3.2 争议评审小组的决定</w:t>
      </w:r>
    </w:p>
    <w:p w14:paraId="70295FB5">
      <w:pPr>
        <w:pageBreakBefore w:val="0"/>
        <w:widowControl w:val="0"/>
        <w:kinsoku/>
        <w:wordWrap/>
        <w:overflowPunct/>
        <w:topLinePunct w:val="0"/>
        <w:autoSpaceDE w:val="0"/>
        <w:autoSpaceDN w:val="0"/>
        <w:bidi w:val="0"/>
        <w:adjustRightInd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合同当事人可在任何时间将与合同有关的任何争议共同提请争议评审小组进行评审。争议评审小组应秉持客观、公正原则，充分听取合同当事人的意见，依据相关法律、规范、标准、案例经验及商业惯例等，自收到争议评审申请报告后14天内作出书面决定，并说明理由。合同当事人可以在专用合同条款中对本项事项另行约定。</w:t>
      </w:r>
    </w:p>
    <w:p w14:paraId="53F5644C">
      <w:pPr>
        <w:pageBreakBefore w:val="0"/>
        <w:widowControl w:val="0"/>
        <w:kinsoku/>
        <w:wordWrap/>
        <w:overflowPunct/>
        <w:topLinePunct w:val="0"/>
        <w:autoSpaceDE w:val="0"/>
        <w:autoSpaceDN w:val="0"/>
        <w:bidi w:val="0"/>
        <w:adjustRightInd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20.3.3 争议评审小组决定的效力</w:t>
      </w:r>
    </w:p>
    <w:p w14:paraId="3EB3B4AF">
      <w:pPr>
        <w:pageBreakBefore w:val="0"/>
        <w:widowControl w:val="0"/>
        <w:kinsoku/>
        <w:wordWrap/>
        <w:overflowPunct/>
        <w:topLinePunct w:val="0"/>
        <w:autoSpaceDE w:val="0"/>
        <w:autoSpaceDN w:val="0"/>
        <w:bidi w:val="0"/>
        <w:adjustRightInd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争议评审小组作出的书面决定经合同当事人签字确认后，对双方具有约束力，双方应遵照执行。</w:t>
      </w:r>
    </w:p>
    <w:p w14:paraId="1E377B19">
      <w:pPr>
        <w:pageBreakBefore w:val="0"/>
        <w:widowControl w:val="0"/>
        <w:kinsoku/>
        <w:wordWrap/>
        <w:overflowPunct/>
        <w:topLinePunct w:val="0"/>
        <w:autoSpaceDE w:val="0"/>
        <w:autoSpaceDN w:val="0"/>
        <w:bidi w:val="0"/>
        <w:adjustRightInd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任何一方当事人不接受争议评审小组决定或不履行争议评审小组决定的，双方可选择采用其他争议解决方式。</w:t>
      </w:r>
    </w:p>
    <w:p w14:paraId="224F14A1">
      <w:pPr>
        <w:pageBreakBefore w:val="0"/>
        <w:widowControl w:val="0"/>
        <w:kinsoku/>
        <w:wordWrap/>
        <w:overflowPunct/>
        <w:topLinePunct w:val="0"/>
        <w:bidi w:val="0"/>
        <w:snapToGrid/>
        <w:spacing w:before="120" w:after="120" w:line="480" w:lineRule="exact"/>
        <w:ind w:firstLine="480" w:firstLineChars="200"/>
        <w:textAlignment w:val="auto"/>
        <w:outlineLvl w:val="9"/>
        <w:rPr>
          <w:rFonts w:hint="eastAsia" w:ascii="宋体" w:hAnsi="宋体" w:eastAsia="宋体" w:cs="宋体"/>
          <w:b w:val="0"/>
          <w:sz w:val="24"/>
          <w:szCs w:val="24"/>
        </w:rPr>
      </w:pPr>
      <w:bookmarkStart w:id="1015" w:name="_Toc351203630"/>
      <w:bookmarkStart w:id="1016" w:name="_Toc337558844"/>
      <w:bookmarkStart w:id="1017" w:name="_Toc296503150"/>
      <w:bookmarkStart w:id="1018" w:name="_Toc296346651"/>
      <w:r>
        <w:rPr>
          <w:rFonts w:hint="eastAsia" w:ascii="宋体" w:hAnsi="宋体" w:eastAsia="宋体" w:cs="宋体"/>
          <w:b w:val="0"/>
          <w:sz w:val="24"/>
          <w:szCs w:val="24"/>
        </w:rPr>
        <w:t>20.4仲裁或诉讼</w:t>
      </w:r>
      <w:bookmarkEnd w:id="1015"/>
    </w:p>
    <w:bookmarkEnd w:id="1016"/>
    <w:bookmarkEnd w:id="1017"/>
    <w:bookmarkEnd w:id="1018"/>
    <w:p w14:paraId="38BACA1C">
      <w:pPr>
        <w:pageBreakBefore w:val="0"/>
        <w:widowControl w:val="0"/>
        <w:kinsoku/>
        <w:wordWrap/>
        <w:overflowPunct/>
        <w:topLinePunct w:val="0"/>
        <w:autoSpaceDE w:val="0"/>
        <w:autoSpaceDN w:val="0"/>
        <w:bidi w:val="0"/>
        <w:adjustRightInd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因合同及合同有关事项产生的争议，合同当事人可以在专用合同条款中约定以下一种方式解决争议：</w:t>
      </w:r>
    </w:p>
    <w:p w14:paraId="1E105159">
      <w:pPr>
        <w:pageBreakBefore w:val="0"/>
        <w:widowControl w:val="0"/>
        <w:kinsoku/>
        <w:wordWrap/>
        <w:overflowPunct/>
        <w:topLinePunct w:val="0"/>
        <w:autoSpaceDE w:val="0"/>
        <w:autoSpaceDN w:val="0"/>
        <w:bidi w:val="0"/>
        <w:adjustRightInd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（1）向约定的仲裁委员会申请仲裁；</w:t>
      </w:r>
    </w:p>
    <w:p w14:paraId="4FBDFA8B">
      <w:pPr>
        <w:pageBreakBefore w:val="0"/>
        <w:widowControl w:val="0"/>
        <w:kinsoku/>
        <w:wordWrap/>
        <w:overflowPunct/>
        <w:topLinePunct w:val="0"/>
        <w:autoSpaceDE w:val="0"/>
        <w:autoSpaceDN w:val="0"/>
        <w:bidi w:val="0"/>
        <w:adjustRightInd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（2）向有管辖权的人民法院起诉。</w:t>
      </w:r>
    </w:p>
    <w:p w14:paraId="4E09517A">
      <w:pPr>
        <w:pageBreakBefore w:val="0"/>
        <w:widowControl w:val="0"/>
        <w:kinsoku/>
        <w:wordWrap/>
        <w:overflowPunct/>
        <w:topLinePunct w:val="0"/>
        <w:bidi w:val="0"/>
        <w:snapToGrid/>
        <w:spacing w:before="120" w:after="120" w:line="480" w:lineRule="exact"/>
        <w:ind w:firstLine="480" w:firstLineChars="200"/>
        <w:textAlignment w:val="auto"/>
        <w:outlineLvl w:val="9"/>
        <w:rPr>
          <w:rFonts w:hint="eastAsia" w:ascii="宋体" w:hAnsi="宋体" w:eastAsia="宋体" w:cs="宋体"/>
          <w:b w:val="0"/>
          <w:sz w:val="24"/>
          <w:szCs w:val="24"/>
        </w:rPr>
      </w:pPr>
      <w:bookmarkStart w:id="1019" w:name="_Toc351203631"/>
      <w:bookmarkStart w:id="1020" w:name="_Toc296503152"/>
      <w:bookmarkStart w:id="1021" w:name="_Toc337558845"/>
      <w:bookmarkStart w:id="1022" w:name="_Toc296346653"/>
      <w:r>
        <w:rPr>
          <w:rFonts w:hint="eastAsia" w:ascii="宋体" w:hAnsi="宋体" w:eastAsia="宋体" w:cs="宋体"/>
          <w:b w:val="0"/>
          <w:sz w:val="24"/>
          <w:szCs w:val="24"/>
        </w:rPr>
        <w:t>20.5争议解决条款效力</w:t>
      </w:r>
      <w:bookmarkEnd w:id="1019"/>
    </w:p>
    <w:bookmarkEnd w:id="1020"/>
    <w:bookmarkEnd w:id="1021"/>
    <w:bookmarkEnd w:id="1022"/>
    <w:p w14:paraId="75BC548C">
      <w:pPr>
        <w:pageBreakBefore w:val="0"/>
        <w:widowControl w:val="0"/>
        <w:kinsoku/>
        <w:wordWrap/>
        <w:overflowPunct/>
        <w:topLinePunct w:val="0"/>
        <w:autoSpaceDE w:val="0"/>
        <w:autoSpaceDN w:val="0"/>
        <w:bidi w:val="0"/>
        <w:adjustRightInd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 xml:space="preserve">合同有关争议解决的条款独立存在，合同的变更、解除、终止、无效或者被撤销均不影响其效力。 </w:t>
      </w:r>
    </w:p>
    <w:p w14:paraId="43BDEB6C">
      <w:pPr>
        <w:pStyle w:val="5"/>
        <w:spacing w:line="480" w:lineRule="exact"/>
        <w:jc w:val="center"/>
        <w:rPr>
          <w:rFonts w:hint="eastAsia" w:ascii="宋体" w:hAnsi="宋体" w:eastAsia="宋体" w:cs="宋体"/>
          <w:sz w:val="36"/>
          <w:szCs w:val="36"/>
        </w:rPr>
      </w:pPr>
      <w:bookmarkStart w:id="1023" w:name="_Toc351203632"/>
      <w:r>
        <w:rPr>
          <w:rFonts w:hint="eastAsia" w:ascii="宋体" w:hAnsi="宋体" w:eastAsia="宋体" w:cs="宋体"/>
          <w:sz w:val="24"/>
          <w:szCs w:val="24"/>
        </w:rPr>
        <w:br w:type="page"/>
      </w:r>
      <w:bookmarkStart w:id="1024" w:name="_Toc1809"/>
      <w:bookmarkStart w:id="1025" w:name="_Toc109645956"/>
      <w:bookmarkStart w:id="1026" w:name="_Toc127896697"/>
      <w:bookmarkStart w:id="1027" w:name="_Toc127897090"/>
      <w:r>
        <w:rPr>
          <w:rFonts w:hint="eastAsia" w:ascii="宋体" w:hAnsi="宋体" w:eastAsia="宋体" w:cs="宋体"/>
          <w:sz w:val="36"/>
          <w:szCs w:val="36"/>
        </w:rPr>
        <w:t>第三部分 专用合同条款</w:t>
      </w:r>
      <w:bookmarkEnd w:id="1023"/>
      <w:bookmarkEnd w:id="1024"/>
      <w:bookmarkEnd w:id="1025"/>
      <w:bookmarkEnd w:id="1026"/>
      <w:bookmarkEnd w:id="1027"/>
    </w:p>
    <w:p w14:paraId="5D1D50E7">
      <w:pPr>
        <w:pageBreakBefore w:val="0"/>
        <w:widowControl w:val="0"/>
        <w:kinsoku/>
        <w:wordWrap/>
        <w:overflowPunct/>
        <w:topLinePunct w:val="0"/>
        <w:bidi w:val="0"/>
        <w:snapToGrid/>
        <w:spacing w:before="120" w:after="120" w:line="480" w:lineRule="exact"/>
        <w:textAlignment w:val="auto"/>
        <w:outlineLvl w:val="9"/>
        <w:rPr>
          <w:rFonts w:hint="eastAsia" w:ascii="宋体" w:hAnsi="宋体" w:eastAsia="宋体" w:cs="宋体"/>
          <w:b w:val="0"/>
          <w:sz w:val="24"/>
          <w:szCs w:val="24"/>
        </w:rPr>
      </w:pPr>
      <w:bookmarkStart w:id="1028" w:name="_Toc351203633"/>
      <w:r>
        <w:rPr>
          <w:rFonts w:hint="eastAsia" w:ascii="宋体" w:hAnsi="宋体" w:eastAsia="宋体" w:cs="宋体"/>
          <w:b w:val="0"/>
          <w:sz w:val="24"/>
          <w:szCs w:val="24"/>
        </w:rPr>
        <w:t>1</w:t>
      </w:r>
      <w:bookmarkStart w:id="1029" w:name="_Toc296347155"/>
      <w:bookmarkStart w:id="1030" w:name="_Toc296346657"/>
      <w:bookmarkStart w:id="1031" w:name="_Toc297048342"/>
      <w:bookmarkStart w:id="1032" w:name="_Toc292559866"/>
      <w:bookmarkStart w:id="1033" w:name="_Toc296891196"/>
      <w:bookmarkStart w:id="1034" w:name="_Toc296890984"/>
      <w:bookmarkStart w:id="1035" w:name="_Toc292559361"/>
      <w:bookmarkStart w:id="1036" w:name="_Toc296503156"/>
      <w:bookmarkStart w:id="1037" w:name="_Toc296944495"/>
      <w:bookmarkStart w:id="1038" w:name="_Toc297120456"/>
      <w:r>
        <w:rPr>
          <w:rFonts w:hint="eastAsia" w:ascii="宋体" w:hAnsi="宋体" w:eastAsia="宋体" w:cs="宋体"/>
          <w:b w:val="0"/>
          <w:sz w:val="24"/>
          <w:szCs w:val="24"/>
        </w:rPr>
        <w:t>. 一般约定</w:t>
      </w:r>
      <w:bookmarkEnd w:id="1028"/>
    </w:p>
    <w:bookmarkEnd w:id="1029"/>
    <w:bookmarkEnd w:id="1030"/>
    <w:bookmarkEnd w:id="1031"/>
    <w:bookmarkEnd w:id="1032"/>
    <w:bookmarkEnd w:id="1033"/>
    <w:bookmarkEnd w:id="1034"/>
    <w:bookmarkEnd w:id="1035"/>
    <w:bookmarkEnd w:id="1036"/>
    <w:bookmarkEnd w:id="1037"/>
    <w:bookmarkEnd w:id="1038"/>
    <w:p w14:paraId="5A4F46CF">
      <w:pPr>
        <w:pageBreakBefore w:val="0"/>
        <w:widowControl w:val="0"/>
        <w:kinsoku/>
        <w:wordWrap/>
        <w:overflowPunct/>
        <w:topLinePunct w:val="0"/>
        <w:bidi w:val="0"/>
        <w:snapToGrid/>
        <w:spacing w:after="120" w:line="480" w:lineRule="exact"/>
        <w:ind w:firstLine="480" w:firstLineChars="200"/>
        <w:textAlignment w:val="auto"/>
        <w:outlineLvl w:val="9"/>
        <w:rPr>
          <w:rFonts w:hint="eastAsia" w:ascii="宋体" w:hAnsi="宋体" w:eastAsia="宋体" w:cs="宋体"/>
          <w:sz w:val="24"/>
        </w:rPr>
      </w:pPr>
      <w:r>
        <w:rPr>
          <w:rFonts w:hint="eastAsia" w:ascii="宋体" w:hAnsi="宋体" w:eastAsia="宋体" w:cs="宋体"/>
          <w:sz w:val="24"/>
        </w:rPr>
        <w:t>1.1 词语定义</w:t>
      </w:r>
    </w:p>
    <w:p w14:paraId="485201BA">
      <w:pPr>
        <w:pageBreakBefore w:val="0"/>
        <w:widowControl w:val="0"/>
        <w:kinsoku/>
        <w:wordWrap/>
        <w:overflowPunct/>
        <w:topLinePunct w:val="0"/>
        <w:bidi w:val="0"/>
        <w:snapToGrid/>
        <w:spacing w:line="480" w:lineRule="exact"/>
        <w:ind w:firstLine="480" w:firstLineChars="200"/>
        <w:textAlignment w:val="auto"/>
        <w:outlineLvl w:val="9"/>
        <w:rPr>
          <w:rFonts w:hint="eastAsia" w:ascii="宋体" w:hAnsi="宋体" w:eastAsia="宋体" w:cs="宋体"/>
          <w:kern w:val="0"/>
          <w:sz w:val="24"/>
        </w:rPr>
      </w:pPr>
      <w:r>
        <w:rPr>
          <w:rFonts w:hint="eastAsia" w:ascii="宋体" w:hAnsi="宋体" w:eastAsia="宋体" w:cs="宋体"/>
          <w:kern w:val="0"/>
          <w:sz w:val="24"/>
        </w:rPr>
        <w:t>1.1.1合同</w:t>
      </w:r>
    </w:p>
    <w:p w14:paraId="612CF5D9">
      <w:pPr>
        <w:pageBreakBefore w:val="0"/>
        <w:widowControl w:val="0"/>
        <w:kinsoku/>
        <w:wordWrap/>
        <w:overflowPunct/>
        <w:topLinePunct w:val="0"/>
        <w:bidi w:val="0"/>
        <w:snapToGrid/>
        <w:spacing w:line="480" w:lineRule="exact"/>
        <w:ind w:firstLine="480" w:firstLineChars="200"/>
        <w:textAlignment w:val="auto"/>
        <w:outlineLvl w:val="9"/>
        <w:rPr>
          <w:rFonts w:hint="eastAsia" w:ascii="宋体" w:hAnsi="宋体" w:eastAsia="宋体" w:cs="宋体"/>
          <w:kern w:val="0"/>
          <w:sz w:val="24"/>
        </w:rPr>
      </w:pPr>
      <w:r>
        <w:rPr>
          <w:rFonts w:hint="eastAsia" w:ascii="宋体" w:hAnsi="宋体" w:eastAsia="宋体" w:cs="宋体"/>
          <w:kern w:val="0"/>
          <w:sz w:val="24"/>
        </w:rPr>
        <w:t>1.1.1.10其他合同文件包括：</w:t>
      </w:r>
      <w:r>
        <w:rPr>
          <w:rFonts w:hint="eastAsia" w:ascii="宋体" w:hAnsi="宋体" w:eastAsia="宋体" w:cs="宋体"/>
          <w:kern w:val="0"/>
          <w:sz w:val="24"/>
          <w:u w:val="single"/>
        </w:rPr>
        <w:t xml:space="preserve">                     </w:t>
      </w:r>
      <w:r>
        <w:rPr>
          <w:rFonts w:hint="eastAsia" w:ascii="宋体" w:hAnsi="宋体" w:eastAsia="宋体" w:cs="宋体"/>
          <w:sz w:val="24"/>
        </w:rPr>
        <w:t>。</w:t>
      </w:r>
    </w:p>
    <w:p w14:paraId="1F0C0554">
      <w:pPr>
        <w:pageBreakBefore w:val="0"/>
        <w:widowControl w:val="0"/>
        <w:kinsoku/>
        <w:wordWrap/>
        <w:overflowPunct/>
        <w:topLinePunct w:val="0"/>
        <w:bidi w:val="0"/>
        <w:snapToGrid/>
        <w:spacing w:line="480" w:lineRule="exact"/>
        <w:ind w:firstLine="480" w:firstLineChars="200"/>
        <w:textAlignment w:val="auto"/>
        <w:outlineLvl w:val="9"/>
        <w:rPr>
          <w:rFonts w:hint="eastAsia" w:ascii="宋体" w:hAnsi="宋体" w:eastAsia="宋体" w:cs="宋体"/>
          <w:sz w:val="24"/>
        </w:rPr>
      </w:pPr>
      <w:r>
        <w:rPr>
          <w:rFonts w:hint="eastAsia" w:ascii="宋体" w:hAnsi="宋体" w:eastAsia="宋体" w:cs="宋体"/>
          <w:sz w:val="24"/>
        </w:rPr>
        <w:t>1.1.2 合同当事人及其他相关方</w:t>
      </w:r>
    </w:p>
    <w:p w14:paraId="5690F5DD">
      <w:pPr>
        <w:pageBreakBefore w:val="0"/>
        <w:widowControl w:val="0"/>
        <w:kinsoku/>
        <w:wordWrap/>
        <w:overflowPunct/>
        <w:topLinePunct w:val="0"/>
        <w:bidi w:val="0"/>
        <w:snapToGrid/>
        <w:spacing w:line="480" w:lineRule="exact"/>
        <w:ind w:firstLine="480" w:firstLineChars="200"/>
        <w:textAlignment w:val="auto"/>
        <w:outlineLvl w:val="9"/>
        <w:rPr>
          <w:rFonts w:hint="eastAsia" w:ascii="宋体" w:hAnsi="宋体" w:eastAsia="宋体" w:cs="宋体"/>
          <w:sz w:val="24"/>
        </w:rPr>
      </w:pPr>
      <w:r>
        <w:rPr>
          <w:rFonts w:hint="eastAsia" w:ascii="宋体" w:hAnsi="宋体" w:eastAsia="宋体" w:cs="宋体"/>
          <w:sz w:val="24"/>
        </w:rPr>
        <w:t>1.1.2.4监理人：</w:t>
      </w:r>
    </w:p>
    <w:p w14:paraId="33784DA3">
      <w:pPr>
        <w:pageBreakBefore w:val="0"/>
        <w:widowControl w:val="0"/>
        <w:kinsoku/>
        <w:wordWrap/>
        <w:overflowPunct/>
        <w:topLinePunct w:val="0"/>
        <w:bidi w:val="0"/>
        <w:snapToGrid/>
        <w:spacing w:line="480" w:lineRule="exact"/>
        <w:ind w:firstLine="480" w:firstLineChars="200"/>
        <w:textAlignment w:val="auto"/>
        <w:outlineLvl w:val="9"/>
        <w:rPr>
          <w:rFonts w:hint="eastAsia" w:ascii="宋体" w:hAnsi="宋体" w:eastAsia="宋体" w:cs="宋体"/>
          <w:sz w:val="24"/>
        </w:rPr>
      </w:pPr>
      <w:r>
        <w:rPr>
          <w:rFonts w:hint="eastAsia" w:ascii="宋体" w:hAnsi="宋体" w:eastAsia="宋体" w:cs="宋体"/>
          <w:sz w:val="24"/>
        </w:rPr>
        <w:t>名    称：</w:t>
      </w:r>
      <w:r>
        <w:rPr>
          <w:rFonts w:hint="eastAsia" w:ascii="宋体" w:hAnsi="宋体" w:eastAsia="宋体" w:cs="宋体"/>
          <w:b/>
          <w:sz w:val="24"/>
          <w:u w:val="single"/>
        </w:rPr>
        <w:t xml:space="preserve">                          </w:t>
      </w:r>
      <w:r>
        <w:rPr>
          <w:rFonts w:hint="eastAsia" w:ascii="宋体" w:hAnsi="宋体" w:eastAsia="宋体" w:cs="宋体"/>
          <w:sz w:val="24"/>
        </w:rPr>
        <w:t>；</w:t>
      </w:r>
    </w:p>
    <w:p w14:paraId="41921407">
      <w:pPr>
        <w:pageBreakBefore w:val="0"/>
        <w:widowControl w:val="0"/>
        <w:kinsoku/>
        <w:wordWrap/>
        <w:overflowPunct/>
        <w:topLinePunct w:val="0"/>
        <w:bidi w:val="0"/>
        <w:snapToGrid/>
        <w:spacing w:line="480" w:lineRule="exact"/>
        <w:ind w:firstLine="480" w:firstLineChars="200"/>
        <w:textAlignment w:val="auto"/>
        <w:outlineLvl w:val="9"/>
        <w:rPr>
          <w:rFonts w:hint="eastAsia" w:ascii="宋体" w:hAnsi="宋体" w:eastAsia="宋体" w:cs="宋体"/>
          <w:sz w:val="24"/>
        </w:rPr>
      </w:pPr>
      <w:r>
        <w:rPr>
          <w:rFonts w:hint="eastAsia" w:ascii="宋体" w:hAnsi="宋体" w:eastAsia="宋体" w:cs="宋体"/>
          <w:sz w:val="24"/>
        </w:rPr>
        <w:t>1.1.2.5 设计人：</w:t>
      </w:r>
    </w:p>
    <w:p w14:paraId="4E4F491C">
      <w:pPr>
        <w:pageBreakBefore w:val="0"/>
        <w:widowControl w:val="0"/>
        <w:kinsoku/>
        <w:wordWrap/>
        <w:overflowPunct/>
        <w:topLinePunct w:val="0"/>
        <w:bidi w:val="0"/>
        <w:snapToGrid/>
        <w:spacing w:line="480" w:lineRule="exact"/>
        <w:ind w:firstLine="480" w:firstLineChars="200"/>
        <w:textAlignment w:val="auto"/>
        <w:outlineLvl w:val="9"/>
        <w:rPr>
          <w:rFonts w:hint="eastAsia" w:ascii="宋体" w:hAnsi="宋体" w:eastAsia="宋体" w:cs="宋体"/>
          <w:sz w:val="24"/>
        </w:rPr>
      </w:pPr>
      <w:r>
        <w:rPr>
          <w:rFonts w:hint="eastAsia" w:ascii="宋体" w:hAnsi="宋体" w:eastAsia="宋体" w:cs="宋体"/>
          <w:sz w:val="24"/>
        </w:rPr>
        <w:t>名    称：</w:t>
      </w:r>
      <w:r>
        <w:rPr>
          <w:rFonts w:hint="eastAsia" w:ascii="宋体" w:hAnsi="宋体" w:eastAsia="宋体" w:cs="宋体"/>
          <w:sz w:val="24"/>
          <w:u w:val="single"/>
        </w:rPr>
        <w:t xml:space="preserve">                            </w:t>
      </w:r>
      <w:r>
        <w:rPr>
          <w:rFonts w:hint="eastAsia" w:ascii="宋体" w:hAnsi="宋体" w:eastAsia="宋体" w:cs="宋体"/>
          <w:sz w:val="24"/>
        </w:rPr>
        <w:t>；</w:t>
      </w:r>
    </w:p>
    <w:p w14:paraId="2F5CD94B">
      <w:pPr>
        <w:pageBreakBefore w:val="0"/>
        <w:widowControl w:val="0"/>
        <w:kinsoku/>
        <w:wordWrap/>
        <w:overflowPunct/>
        <w:topLinePunct w:val="0"/>
        <w:bidi w:val="0"/>
        <w:snapToGrid/>
        <w:spacing w:line="480" w:lineRule="exact"/>
        <w:ind w:firstLine="480" w:firstLineChars="200"/>
        <w:textAlignment w:val="auto"/>
        <w:outlineLvl w:val="9"/>
        <w:rPr>
          <w:rFonts w:hint="eastAsia" w:ascii="宋体" w:hAnsi="宋体" w:eastAsia="宋体" w:cs="宋体"/>
          <w:sz w:val="24"/>
        </w:rPr>
      </w:pPr>
      <w:r>
        <w:rPr>
          <w:rFonts w:hint="eastAsia" w:ascii="宋体" w:hAnsi="宋体" w:eastAsia="宋体" w:cs="宋体"/>
          <w:sz w:val="24"/>
        </w:rPr>
        <w:t>1.1.3 工程和设备</w:t>
      </w:r>
    </w:p>
    <w:p w14:paraId="23F28FB1">
      <w:pPr>
        <w:pageBreakBefore w:val="0"/>
        <w:widowControl w:val="0"/>
        <w:kinsoku/>
        <w:wordWrap/>
        <w:overflowPunct/>
        <w:topLinePunct w:val="0"/>
        <w:bidi w:val="0"/>
        <w:snapToGrid/>
        <w:spacing w:line="480" w:lineRule="exact"/>
        <w:ind w:firstLine="480" w:firstLineChars="200"/>
        <w:textAlignment w:val="auto"/>
        <w:outlineLvl w:val="9"/>
        <w:rPr>
          <w:rFonts w:hint="eastAsia" w:ascii="宋体" w:hAnsi="宋体" w:eastAsia="宋体" w:cs="宋体"/>
          <w:sz w:val="24"/>
        </w:rPr>
      </w:pPr>
      <w:r>
        <w:rPr>
          <w:rFonts w:hint="eastAsia" w:ascii="宋体" w:hAnsi="宋体" w:eastAsia="宋体" w:cs="宋体"/>
          <w:sz w:val="24"/>
        </w:rPr>
        <w:t>1.1.3.7 作为施工现场组成部分的其他场所包括：</w:t>
      </w:r>
      <w:r>
        <w:rPr>
          <w:rFonts w:hint="eastAsia" w:ascii="宋体" w:hAnsi="宋体" w:eastAsia="宋体" w:cs="宋体"/>
          <w:sz w:val="24"/>
          <w:u w:val="single"/>
        </w:rPr>
        <w:t xml:space="preserve">                           </w:t>
      </w:r>
      <w:r>
        <w:rPr>
          <w:rFonts w:hint="eastAsia" w:ascii="宋体" w:hAnsi="宋体" w:eastAsia="宋体" w:cs="宋体"/>
          <w:sz w:val="24"/>
        </w:rPr>
        <w:t>。</w:t>
      </w:r>
    </w:p>
    <w:p w14:paraId="09AD6994">
      <w:pPr>
        <w:pageBreakBefore w:val="0"/>
        <w:widowControl w:val="0"/>
        <w:kinsoku/>
        <w:wordWrap/>
        <w:overflowPunct/>
        <w:topLinePunct w:val="0"/>
        <w:bidi w:val="0"/>
        <w:snapToGrid/>
        <w:spacing w:line="480" w:lineRule="exact"/>
        <w:ind w:firstLine="480" w:firstLineChars="200"/>
        <w:textAlignment w:val="auto"/>
        <w:outlineLvl w:val="9"/>
        <w:rPr>
          <w:rFonts w:hint="eastAsia" w:ascii="宋体" w:hAnsi="宋体" w:eastAsia="宋体" w:cs="宋体"/>
          <w:sz w:val="24"/>
        </w:rPr>
      </w:pPr>
      <w:r>
        <w:rPr>
          <w:rFonts w:hint="eastAsia" w:ascii="宋体" w:hAnsi="宋体" w:eastAsia="宋体" w:cs="宋体"/>
          <w:sz w:val="24"/>
        </w:rPr>
        <w:t>1.1.3.10 临时占地包括：</w:t>
      </w:r>
      <w:r>
        <w:rPr>
          <w:rFonts w:hint="eastAsia" w:ascii="宋体" w:hAnsi="宋体" w:eastAsia="宋体" w:cs="宋体"/>
          <w:sz w:val="24"/>
          <w:u w:val="single"/>
        </w:rPr>
        <w:t xml:space="preserve">                        </w:t>
      </w:r>
      <w:r>
        <w:rPr>
          <w:rFonts w:hint="eastAsia" w:ascii="宋体" w:hAnsi="宋体" w:eastAsia="宋体" w:cs="宋体"/>
          <w:sz w:val="24"/>
        </w:rPr>
        <w:t>。</w:t>
      </w:r>
    </w:p>
    <w:p w14:paraId="68D7BE8C">
      <w:pPr>
        <w:pageBreakBefore w:val="0"/>
        <w:widowControl w:val="0"/>
        <w:kinsoku/>
        <w:wordWrap/>
        <w:overflowPunct/>
        <w:topLinePunct w:val="0"/>
        <w:bidi w:val="0"/>
        <w:snapToGrid/>
        <w:spacing w:after="120" w:line="480" w:lineRule="exact"/>
        <w:ind w:firstLine="480" w:firstLineChars="200"/>
        <w:textAlignment w:val="auto"/>
        <w:outlineLvl w:val="9"/>
        <w:rPr>
          <w:rFonts w:hint="eastAsia" w:ascii="宋体" w:hAnsi="宋体" w:eastAsia="宋体" w:cs="宋体"/>
          <w:sz w:val="24"/>
        </w:rPr>
      </w:pPr>
      <w:r>
        <w:rPr>
          <w:rFonts w:hint="eastAsia" w:ascii="宋体" w:hAnsi="宋体" w:eastAsia="宋体" w:cs="宋体"/>
          <w:sz w:val="24"/>
        </w:rPr>
        <w:t xml:space="preserve">1.3法律 </w:t>
      </w:r>
    </w:p>
    <w:p w14:paraId="7FB1F800">
      <w:pPr>
        <w:pageBreakBefore w:val="0"/>
        <w:widowControl w:val="0"/>
        <w:kinsoku/>
        <w:wordWrap/>
        <w:overflowPunct/>
        <w:topLinePunct w:val="0"/>
        <w:autoSpaceDE w:val="0"/>
        <w:autoSpaceDN w:val="0"/>
        <w:bidi w:val="0"/>
        <w:adjustRightInd w:val="0"/>
        <w:snapToGrid/>
        <w:spacing w:line="480" w:lineRule="exact"/>
        <w:ind w:left="596" w:leftChars="284"/>
        <w:jc w:val="left"/>
        <w:textAlignment w:val="auto"/>
        <w:outlineLvl w:val="9"/>
        <w:rPr>
          <w:rFonts w:hint="eastAsia" w:ascii="宋体" w:hAnsi="宋体" w:eastAsia="宋体" w:cs="宋体"/>
          <w:sz w:val="24"/>
        </w:rPr>
      </w:pPr>
      <w:r>
        <w:rPr>
          <w:rFonts w:hint="eastAsia" w:ascii="宋体" w:hAnsi="宋体" w:eastAsia="宋体" w:cs="宋体"/>
          <w:sz w:val="24"/>
        </w:rPr>
        <w:t>适用于合同的其他规范性文件：</w:t>
      </w:r>
      <w:r>
        <w:rPr>
          <w:rFonts w:hint="eastAsia" w:ascii="宋体" w:hAnsi="宋体" w:eastAsia="宋体" w:cs="宋体"/>
          <w:sz w:val="24"/>
          <w:u w:val="single"/>
        </w:rPr>
        <w:t>《中华人民共和国建筑法》、《中华人民共和国</w:t>
      </w:r>
      <w:r>
        <w:rPr>
          <w:rFonts w:hint="eastAsia" w:ascii="宋体" w:hAnsi="宋体" w:eastAsia="宋体" w:cs="宋体"/>
          <w:sz w:val="24"/>
          <w:u w:val="single"/>
          <w:lang w:val="en-US" w:eastAsia="zh-CN"/>
        </w:rPr>
        <w:t>民法典</w:t>
      </w:r>
      <w:r>
        <w:rPr>
          <w:rFonts w:hint="eastAsia" w:ascii="宋体" w:hAnsi="宋体" w:eastAsia="宋体" w:cs="宋体"/>
          <w:sz w:val="24"/>
          <w:u w:val="single"/>
        </w:rPr>
        <w:t xml:space="preserve">》、《中华人民共和国招标投标法》、《建筑工程强制性标准条文》、《建筑工程质量保修办法》等国家、河南省现行的法规、条例和行政规范性文件等 </w:t>
      </w:r>
      <w:r>
        <w:rPr>
          <w:rFonts w:hint="eastAsia" w:ascii="宋体" w:hAnsi="宋体" w:eastAsia="宋体" w:cs="宋体"/>
          <w:sz w:val="24"/>
        </w:rPr>
        <w:t>。</w:t>
      </w:r>
    </w:p>
    <w:p w14:paraId="0EB92190">
      <w:pPr>
        <w:pageBreakBefore w:val="0"/>
        <w:widowControl w:val="0"/>
        <w:kinsoku/>
        <w:wordWrap/>
        <w:overflowPunct/>
        <w:topLinePunct w:val="0"/>
        <w:bidi w:val="0"/>
        <w:snapToGrid/>
        <w:spacing w:after="120" w:line="480" w:lineRule="exact"/>
        <w:ind w:firstLine="480" w:firstLineChars="200"/>
        <w:textAlignment w:val="auto"/>
        <w:outlineLvl w:val="9"/>
        <w:rPr>
          <w:rFonts w:hint="eastAsia" w:ascii="宋体" w:hAnsi="宋体" w:eastAsia="宋体" w:cs="宋体"/>
          <w:sz w:val="24"/>
        </w:rPr>
      </w:pPr>
      <w:r>
        <w:rPr>
          <w:rFonts w:hint="eastAsia" w:ascii="宋体" w:hAnsi="宋体" w:eastAsia="宋体" w:cs="宋体"/>
          <w:sz w:val="24"/>
        </w:rPr>
        <w:t>1.4 标准和规范</w:t>
      </w:r>
    </w:p>
    <w:p w14:paraId="31043B5F">
      <w:pPr>
        <w:pageBreakBefore w:val="0"/>
        <w:widowControl w:val="0"/>
        <w:kinsoku/>
        <w:wordWrap/>
        <w:overflowPunct/>
        <w:topLinePunct w:val="0"/>
        <w:bidi w:val="0"/>
        <w:snapToGrid/>
        <w:spacing w:line="480" w:lineRule="exact"/>
        <w:ind w:left="596" w:leftChars="284"/>
        <w:textAlignment w:val="auto"/>
        <w:outlineLvl w:val="9"/>
        <w:rPr>
          <w:rFonts w:hint="eastAsia" w:ascii="宋体" w:hAnsi="宋体" w:eastAsia="宋体" w:cs="宋体"/>
          <w:sz w:val="24"/>
        </w:rPr>
      </w:pPr>
      <w:r>
        <w:rPr>
          <w:rFonts w:hint="eastAsia" w:ascii="宋体" w:hAnsi="宋体" w:eastAsia="宋体" w:cs="宋体"/>
          <w:sz w:val="24"/>
        </w:rPr>
        <w:t>1.4.1适用于工程的标准规范包括：</w:t>
      </w:r>
      <w:r>
        <w:rPr>
          <w:rFonts w:hint="eastAsia" w:ascii="宋体" w:hAnsi="宋体" w:eastAsia="宋体" w:cs="宋体"/>
          <w:sz w:val="24"/>
          <w:u w:val="single"/>
        </w:rPr>
        <w:t>国家现行的施工及验收规范及质量检验评定标准等</w:t>
      </w:r>
      <w:r>
        <w:rPr>
          <w:rFonts w:hint="eastAsia" w:ascii="宋体" w:hAnsi="宋体" w:eastAsia="宋体" w:cs="宋体"/>
          <w:sz w:val="24"/>
        </w:rPr>
        <w:t>。</w:t>
      </w:r>
    </w:p>
    <w:p w14:paraId="34B4414A">
      <w:pPr>
        <w:pageBreakBefore w:val="0"/>
        <w:widowControl w:val="0"/>
        <w:kinsoku/>
        <w:wordWrap/>
        <w:overflowPunct/>
        <w:topLinePunct w:val="0"/>
        <w:bidi w:val="0"/>
        <w:snapToGrid/>
        <w:spacing w:line="480" w:lineRule="exact"/>
        <w:ind w:firstLine="480" w:firstLineChars="200"/>
        <w:textAlignment w:val="auto"/>
        <w:outlineLvl w:val="9"/>
        <w:rPr>
          <w:rFonts w:hint="eastAsia" w:ascii="宋体" w:hAnsi="宋体" w:eastAsia="宋体" w:cs="宋体"/>
          <w:kern w:val="0"/>
          <w:sz w:val="24"/>
          <w:u w:val="single"/>
        </w:rPr>
      </w:pPr>
      <w:r>
        <w:rPr>
          <w:rFonts w:hint="eastAsia" w:ascii="宋体" w:hAnsi="宋体" w:eastAsia="宋体" w:cs="宋体"/>
          <w:kern w:val="0"/>
          <w:sz w:val="24"/>
        </w:rPr>
        <w:t>1.4.2 发包人提供国外标准、规范的名称：</w:t>
      </w:r>
      <w:r>
        <w:rPr>
          <w:rFonts w:hint="eastAsia" w:ascii="宋体" w:hAnsi="宋体" w:eastAsia="宋体" w:cs="宋体"/>
          <w:kern w:val="0"/>
          <w:sz w:val="24"/>
          <w:u w:val="single"/>
        </w:rPr>
        <w:t xml:space="preserve">不提供       </w:t>
      </w:r>
      <w:r>
        <w:rPr>
          <w:rFonts w:hint="eastAsia" w:ascii="宋体" w:hAnsi="宋体" w:eastAsia="宋体" w:cs="宋体"/>
          <w:kern w:val="0"/>
          <w:sz w:val="24"/>
        </w:rPr>
        <w:t>；</w:t>
      </w:r>
    </w:p>
    <w:p w14:paraId="771C62AA">
      <w:pPr>
        <w:pageBreakBefore w:val="0"/>
        <w:widowControl w:val="0"/>
        <w:kinsoku/>
        <w:wordWrap/>
        <w:overflowPunct/>
        <w:topLinePunct w:val="0"/>
        <w:bidi w:val="0"/>
        <w:snapToGrid/>
        <w:spacing w:line="480" w:lineRule="exact"/>
        <w:ind w:firstLine="480" w:firstLineChars="200"/>
        <w:textAlignment w:val="auto"/>
        <w:outlineLvl w:val="9"/>
        <w:rPr>
          <w:rFonts w:hint="eastAsia" w:ascii="宋体" w:hAnsi="宋体" w:eastAsia="宋体" w:cs="宋体"/>
          <w:kern w:val="0"/>
          <w:sz w:val="24"/>
        </w:rPr>
      </w:pPr>
      <w:r>
        <w:rPr>
          <w:rFonts w:hint="eastAsia" w:ascii="宋体" w:hAnsi="宋体" w:eastAsia="宋体" w:cs="宋体"/>
          <w:kern w:val="0"/>
          <w:sz w:val="24"/>
        </w:rPr>
        <w:t>发包人提供国外标准、规范的份数：</w:t>
      </w:r>
      <w:r>
        <w:rPr>
          <w:rFonts w:hint="eastAsia" w:ascii="宋体" w:hAnsi="宋体" w:eastAsia="宋体" w:cs="宋体"/>
          <w:kern w:val="0"/>
          <w:sz w:val="24"/>
          <w:u w:val="single"/>
        </w:rPr>
        <w:t xml:space="preserve">             /         </w:t>
      </w:r>
      <w:r>
        <w:rPr>
          <w:rFonts w:hint="eastAsia" w:ascii="宋体" w:hAnsi="宋体" w:eastAsia="宋体" w:cs="宋体"/>
          <w:kern w:val="0"/>
          <w:sz w:val="24"/>
        </w:rPr>
        <w:t>；</w:t>
      </w:r>
    </w:p>
    <w:p w14:paraId="4AD1E3DF">
      <w:pPr>
        <w:pageBreakBefore w:val="0"/>
        <w:widowControl w:val="0"/>
        <w:kinsoku/>
        <w:wordWrap/>
        <w:overflowPunct/>
        <w:topLinePunct w:val="0"/>
        <w:bidi w:val="0"/>
        <w:snapToGrid/>
        <w:spacing w:line="480" w:lineRule="exact"/>
        <w:ind w:firstLine="480" w:firstLineChars="200"/>
        <w:textAlignment w:val="auto"/>
        <w:outlineLvl w:val="9"/>
        <w:rPr>
          <w:rFonts w:hint="eastAsia" w:ascii="宋体" w:hAnsi="宋体" w:eastAsia="宋体" w:cs="宋体"/>
          <w:sz w:val="24"/>
        </w:rPr>
      </w:pPr>
      <w:r>
        <w:rPr>
          <w:rFonts w:hint="eastAsia" w:ascii="宋体" w:hAnsi="宋体" w:eastAsia="宋体" w:cs="宋体"/>
          <w:kern w:val="0"/>
          <w:sz w:val="24"/>
        </w:rPr>
        <w:t>发包人提供国外标准、规范的名称：</w:t>
      </w:r>
      <w:r>
        <w:rPr>
          <w:rFonts w:hint="eastAsia" w:ascii="宋体" w:hAnsi="宋体" w:eastAsia="宋体" w:cs="宋体"/>
          <w:kern w:val="0"/>
          <w:sz w:val="24"/>
          <w:u w:val="single"/>
        </w:rPr>
        <w:t xml:space="preserve">             /         </w:t>
      </w:r>
      <w:r>
        <w:rPr>
          <w:rFonts w:hint="eastAsia" w:ascii="宋体" w:hAnsi="宋体" w:eastAsia="宋体" w:cs="宋体"/>
          <w:kern w:val="0"/>
          <w:sz w:val="24"/>
        </w:rPr>
        <w:t>。</w:t>
      </w:r>
    </w:p>
    <w:p w14:paraId="4A4BAE74">
      <w:pPr>
        <w:pageBreakBefore w:val="0"/>
        <w:widowControl w:val="0"/>
        <w:kinsoku/>
        <w:wordWrap/>
        <w:overflowPunct/>
        <w:topLinePunct w:val="0"/>
        <w:bidi w:val="0"/>
        <w:snapToGrid/>
        <w:spacing w:line="480" w:lineRule="exact"/>
        <w:ind w:left="596" w:leftChars="284"/>
        <w:textAlignment w:val="auto"/>
        <w:outlineLvl w:val="9"/>
        <w:rPr>
          <w:rFonts w:hint="eastAsia" w:ascii="宋体" w:hAnsi="宋体" w:eastAsia="宋体" w:cs="宋体"/>
          <w:sz w:val="24"/>
        </w:rPr>
      </w:pPr>
      <w:r>
        <w:rPr>
          <w:rFonts w:hint="eastAsia" w:ascii="宋体" w:hAnsi="宋体" w:eastAsia="宋体" w:cs="宋体"/>
          <w:sz w:val="24"/>
        </w:rPr>
        <w:t>1.4.3发包人对工程的技术标准和功能要求的特殊要求：</w:t>
      </w:r>
      <w:r>
        <w:rPr>
          <w:rFonts w:hint="eastAsia" w:ascii="宋体" w:hAnsi="宋体" w:eastAsia="宋体" w:cs="宋体"/>
          <w:sz w:val="24"/>
          <w:u w:val="single"/>
        </w:rPr>
        <w:t xml:space="preserve">                      </w:t>
      </w:r>
      <w:r>
        <w:rPr>
          <w:rFonts w:hint="eastAsia" w:ascii="宋体" w:hAnsi="宋体" w:eastAsia="宋体" w:cs="宋体"/>
          <w:sz w:val="24"/>
        </w:rPr>
        <w:t>。</w:t>
      </w:r>
    </w:p>
    <w:p w14:paraId="43ABF235">
      <w:pPr>
        <w:pageBreakBefore w:val="0"/>
        <w:widowControl w:val="0"/>
        <w:kinsoku/>
        <w:wordWrap/>
        <w:overflowPunct/>
        <w:topLinePunct w:val="0"/>
        <w:bidi w:val="0"/>
        <w:snapToGrid/>
        <w:spacing w:after="120" w:line="480" w:lineRule="exact"/>
        <w:ind w:firstLine="480" w:firstLineChars="200"/>
        <w:textAlignment w:val="auto"/>
        <w:outlineLvl w:val="9"/>
        <w:rPr>
          <w:rFonts w:hint="eastAsia" w:ascii="宋体" w:hAnsi="宋体" w:eastAsia="宋体" w:cs="宋体"/>
          <w:sz w:val="24"/>
        </w:rPr>
      </w:pPr>
      <w:r>
        <w:rPr>
          <w:rFonts w:hint="eastAsia" w:ascii="宋体" w:hAnsi="宋体" w:eastAsia="宋体" w:cs="宋体"/>
          <w:sz w:val="24"/>
        </w:rPr>
        <w:t>1.5 合同文件的优先顺序</w:t>
      </w:r>
    </w:p>
    <w:p w14:paraId="2B792F68">
      <w:pPr>
        <w:pageBreakBefore w:val="0"/>
        <w:widowControl w:val="0"/>
        <w:kinsoku/>
        <w:wordWrap/>
        <w:overflowPunct/>
        <w:topLinePunct w:val="0"/>
        <w:bidi w:val="0"/>
        <w:snapToGrid/>
        <w:spacing w:line="480" w:lineRule="exact"/>
        <w:ind w:firstLine="480" w:firstLineChars="200"/>
        <w:textAlignment w:val="auto"/>
        <w:outlineLvl w:val="9"/>
        <w:rPr>
          <w:rFonts w:hint="eastAsia" w:ascii="宋体" w:hAnsi="宋体" w:eastAsia="宋体" w:cs="宋体"/>
          <w:sz w:val="24"/>
        </w:rPr>
      </w:pPr>
      <w:r>
        <w:rPr>
          <w:rFonts w:hint="eastAsia" w:ascii="宋体" w:hAnsi="宋体" w:eastAsia="宋体" w:cs="宋体"/>
          <w:sz w:val="24"/>
        </w:rPr>
        <w:t>合同文件组成及优先顺序为：</w:t>
      </w:r>
      <w:r>
        <w:rPr>
          <w:rFonts w:hint="eastAsia" w:ascii="宋体" w:hAnsi="宋体" w:eastAsia="宋体" w:cs="宋体"/>
          <w:sz w:val="24"/>
          <w:u w:val="single"/>
        </w:rPr>
        <w:t>（1）合同协议书、（2）中标通知书、（3）投标函及投标函附录、（4）合同专用条款、（5）合同通用条款、（6）技术标准及要求、（7）图纸、（8）已标价的工程量清单、（9）其他合同文件</w:t>
      </w:r>
      <w:r>
        <w:rPr>
          <w:rFonts w:hint="eastAsia" w:ascii="宋体" w:hAnsi="宋体" w:eastAsia="宋体" w:cs="宋体"/>
          <w:sz w:val="24"/>
        </w:rPr>
        <w:t>。</w:t>
      </w:r>
    </w:p>
    <w:p w14:paraId="4E5EDA2A">
      <w:pPr>
        <w:pageBreakBefore w:val="0"/>
        <w:widowControl w:val="0"/>
        <w:kinsoku/>
        <w:wordWrap/>
        <w:overflowPunct/>
        <w:topLinePunct w:val="0"/>
        <w:bidi w:val="0"/>
        <w:snapToGrid/>
        <w:spacing w:after="120" w:line="480" w:lineRule="exact"/>
        <w:ind w:firstLine="480" w:firstLineChars="200"/>
        <w:textAlignment w:val="auto"/>
        <w:outlineLvl w:val="9"/>
        <w:rPr>
          <w:rFonts w:hint="eastAsia" w:ascii="宋体" w:hAnsi="宋体" w:eastAsia="宋体" w:cs="宋体"/>
          <w:sz w:val="24"/>
        </w:rPr>
      </w:pPr>
      <w:r>
        <w:rPr>
          <w:rFonts w:hint="eastAsia" w:ascii="宋体" w:hAnsi="宋体" w:eastAsia="宋体" w:cs="宋体"/>
          <w:sz w:val="24"/>
        </w:rPr>
        <w:t>1.6 图纸和承包人文件</w:t>
      </w:r>
      <w:r>
        <w:rPr>
          <w:rFonts w:hint="eastAsia" w:ascii="宋体" w:hAnsi="宋体" w:eastAsia="宋体" w:cs="宋体"/>
          <w:sz w:val="24"/>
        </w:rPr>
        <w:tab/>
      </w:r>
    </w:p>
    <w:p w14:paraId="6B52869E">
      <w:pPr>
        <w:pageBreakBefore w:val="0"/>
        <w:widowControl w:val="0"/>
        <w:kinsoku/>
        <w:wordWrap/>
        <w:overflowPunct/>
        <w:topLinePunct w:val="0"/>
        <w:bidi w:val="0"/>
        <w:snapToGrid/>
        <w:spacing w:line="480" w:lineRule="exact"/>
        <w:ind w:firstLine="480" w:firstLineChars="200"/>
        <w:textAlignment w:val="auto"/>
        <w:outlineLvl w:val="9"/>
        <w:rPr>
          <w:rFonts w:hint="eastAsia" w:ascii="宋体" w:hAnsi="宋体" w:eastAsia="宋体" w:cs="宋体"/>
          <w:sz w:val="24"/>
        </w:rPr>
      </w:pPr>
      <w:r>
        <w:rPr>
          <w:rFonts w:hint="eastAsia" w:ascii="宋体" w:hAnsi="宋体" w:eastAsia="宋体" w:cs="宋体"/>
          <w:sz w:val="24"/>
        </w:rPr>
        <w:t>1.6.1 图纸的提供</w:t>
      </w:r>
    </w:p>
    <w:p w14:paraId="486E2610">
      <w:pPr>
        <w:pageBreakBefore w:val="0"/>
        <w:widowControl w:val="0"/>
        <w:kinsoku/>
        <w:wordWrap/>
        <w:overflowPunct/>
        <w:topLinePunct w:val="0"/>
        <w:bidi w:val="0"/>
        <w:snapToGrid/>
        <w:spacing w:line="480" w:lineRule="exact"/>
        <w:ind w:firstLine="480" w:firstLineChars="200"/>
        <w:textAlignment w:val="auto"/>
        <w:outlineLvl w:val="9"/>
        <w:rPr>
          <w:rFonts w:hint="eastAsia" w:ascii="宋体" w:hAnsi="宋体" w:eastAsia="宋体" w:cs="宋体"/>
          <w:sz w:val="24"/>
        </w:rPr>
      </w:pPr>
      <w:r>
        <w:rPr>
          <w:rFonts w:hint="eastAsia" w:ascii="宋体" w:hAnsi="宋体" w:eastAsia="宋体" w:cs="宋体"/>
          <w:sz w:val="24"/>
        </w:rPr>
        <w:t>发包人向承包人提供图纸的期限：</w:t>
      </w:r>
      <w:r>
        <w:rPr>
          <w:rFonts w:hint="eastAsia" w:ascii="宋体" w:hAnsi="宋体" w:eastAsia="宋体" w:cs="宋体"/>
          <w:sz w:val="24"/>
          <w:u w:val="single"/>
        </w:rPr>
        <w:t xml:space="preserve">         ；</w:t>
      </w:r>
    </w:p>
    <w:p w14:paraId="2A6531A7">
      <w:pPr>
        <w:pageBreakBefore w:val="0"/>
        <w:widowControl w:val="0"/>
        <w:kinsoku/>
        <w:wordWrap/>
        <w:overflowPunct/>
        <w:topLinePunct w:val="0"/>
        <w:bidi w:val="0"/>
        <w:snapToGrid/>
        <w:spacing w:line="480" w:lineRule="exact"/>
        <w:ind w:firstLine="480" w:firstLineChars="200"/>
        <w:textAlignment w:val="auto"/>
        <w:outlineLvl w:val="9"/>
        <w:rPr>
          <w:rFonts w:hint="eastAsia" w:ascii="宋体" w:hAnsi="宋体" w:eastAsia="宋体" w:cs="宋体"/>
          <w:sz w:val="24"/>
        </w:rPr>
      </w:pPr>
      <w:r>
        <w:rPr>
          <w:rFonts w:hint="eastAsia" w:ascii="宋体" w:hAnsi="宋体" w:eastAsia="宋体" w:cs="宋体"/>
          <w:sz w:val="24"/>
        </w:rPr>
        <w:t>发包人向承包人提供图纸的数量：</w:t>
      </w:r>
      <w:r>
        <w:rPr>
          <w:rFonts w:hint="eastAsia" w:ascii="宋体" w:hAnsi="宋体" w:eastAsia="宋体" w:cs="宋体"/>
          <w:sz w:val="24"/>
          <w:u w:val="single"/>
        </w:rPr>
        <w:t xml:space="preserve">                </w:t>
      </w:r>
      <w:r>
        <w:rPr>
          <w:rFonts w:hint="eastAsia" w:ascii="宋体" w:hAnsi="宋体" w:eastAsia="宋体" w:cs="宋体"/>
          <w:sz w:val="24"/>
        </w:rPr>
        <w:t>；</w:t>
      </w:r>
    </w:p>
    <w:p w14:paraId="22DCA093">
      <w:pPr>
        <w:pageBreakBefore w:val="0"/>
        <w:widowControl w:val="0"/>
        <w:kinsoku/>
        <w:wordWrap/>
        <w:overflowPunct/>
        <w:topLinePunct w:val="0"/>
        <w:bidi w:val="0"/>
        <w:snapToGrid/>
        <w:spacing w:line="480" w:lineRule="exact"/>
        <w:ind w:firstLine="480" w:firstLineChars="200"/>
        <w:textAlignment w:val="auto"/>
        <w:outlineLvl w:val="9"/>
        <w:rPr>
          <w:rFonts w:hint="eastAsia" w:ascii="宋体" w:hAnsi="宋体" w:eastAsia="宋体" w:cs="宋体"/>
          <w:sz w:val="24"/>
        </w:rPr>
      </w:pPr>
      <w:r>
        <w:rPr>
          <w:rFonts w:hint="eastAsia" w:ascii="宋体" w:hAnsi="宋体" w:eastAsia="宋体" w:cs="宋体"/>
          <w:sz w:val="24"/>
        </w:rPr>
        <w:t>发包人向承包人提供图纸的内容：</w:t>
      </w:r>
      <w:r>
        <w:rPr>
          <w:rFonts w:hint="eastAsia" w:ascii="宋体" w:hAnsi="宋体" w:eastAsia="宋体" w:cs="宋体"/>
          <w:sz w:val="24"/>
          <w:u w:val="single"/>
        </w:rPr>
        <w:t xml:space="preserve">           </w:t>
      </w:r>
      <w:r>
        <w:rPr>
          <w:rFonts w:hint="eastAsia" w:ascii="宋体" w:hAnsi="宋体" w:eastAsia="宋体" w:cs="宋体"/>
          <w:sz w:val="24"/>
        </w:rPr>
        <w:t>。</w:t>
      </w:r>
    </w:p>
    <w:p w14:paraId="30E39707">
      <w:pPr>
        <w:pageBreakBefore w:val="0"/>
        <w:widowControl w:val="0"/>
        <w:kinsoku/>
        <w:wordWrap/>
        <w:overflowPunct/>
        <w:topLinePunct w:val="0"/>
        <w:bidi w:val="0"/>
        <w:snapToGrid/>
        <w:spacing w:line="480" w:lineRule="exact"/>
        <w:ind w:firstLine="480" w:firstLineChars="200"/>
        <w:textAlignment w:val="auto"/>
        <w:outlineLvl w:val="9"/>
        <w:rPr>
          <w:rFonts w:hint="eastAsia" w:ascii="宋体" w:hAnsi="宋体" w:eastAsia="宋体" w:cs="宋体"/>
          <w:sz w:val="24"/>
        </w:rPr>
      </w:pPr>
      <w:r>
        <w:rPr>
          <w:rFonts w:hint="eastAsia" w:ascii="宋体" w:hAnsi="宋体" w:eastAsia="宋体" w:cs="宋体"/>
          <w:sz w:val="24"/>
        </w:rPr>
        <w:t>1.6.4 承包人文件</w:t>
      </w:r>
    </w:p>
    <w:p w14:paraId="26257EFA">
      <w:pPr>
        <w:pageBreakBefore w:val="0"/>
        <w:widowControl w:val="0"/>
        <w:kinsoku/>
        <w:wordWrap/>
        <w:overflowPunct/>
        <w:topLinePunct w:val="0"/>
        <w:bidi w:val="0"/>
        <w:snapToGrid/>
        <w:spacing w:line="480" w:lineRule="exact"/>
        <w:ind w:left="596" w:leftChars="284"/>
        <w:jc w:val="left"/>
        <w:textAlignment w:val="auto"/>
        <w:outlineLvl w:val="9"/>
        <w:rPr>
          <w:rFonts w:hint="eastAsia" w:ascii="宋体" w:hAnsi="宋体" w:eastAsia="宋体" w:cs="宋体"/>
          <w:sz w:val="24"/>
        </w:rPr>
      </w:pPr>
      <w:r>
        <w:rPr>
          <w:rFonts w:hint="eastAsia" w:ascii="宋体" w:hAnsi="宋体" w:eastAsia="宋体" w:cs="宋体"/>
          <w:sz w:val="24"/>
        </w:rPr>
        <w:t>需要由承包人提供的文件，包括：</w:t>
      </w:r>
      <w:r>
        <w:rPr>
          <w:rFonts w:hint="eastAsia" w:ascii="宋体" w:hAnsi="宋体" w:eastAsia="宋体" w:cs="宋体"/>
          <w:sz w:val="24"/>
          <w:u w:val="single"/>
        </w:rPr>
        <w:t xml:space="preserve">                       </w:t>
      </w:r>
      <w:r>
        <w:rPr>
          <w:rFonts w:hint="eastAsia" w:ascii="宋体" w:hAnsi="宋体" w:eastAsia="宋体" w:cs="宋体"/>
          <w:sz w:val="24"/>
        </w:rPr>
        <w:t>；</w:t>
      </w:r>
    </w:p>
    <w:p w14:paraId="63AA5464">
      <w:pPr>
        <w:pageBreakBefore w:val="0"/>
        <w:widowControl w:val="0"/>
        <w:kinsoku/>
        <w:wordWrap/>
        <w:overflowPunct/>
        <w:topLinePunct w:val="0"/>
        <w:bidi w:val="0"/>
        <w:snapToGrid/>
        <w:spacing w:line="480" w:lineRule="exact"/>
        <w:ind w:firstLine="480" w:firstLineChars="200"/>
        <w:textAlignment w:val="auto"/>
        <w:outlineLvl w:val="9"/>
        <w:rPr>
          <w:rFonts w:hint="eastAsia" w:ascii="宋体" w:hAnsi="宋体" w:eastAsia="宋体" w:cs="宋体"/>
          <w:sz w:val="24"/>
        </w:rPr>
      </w:pPr>
      <w:r>
        <w:rPr>
          <w:rFonts w:hint="eastAsia" w:ascii="宋体" w:hAnsi="宋体" w:eastAsia="宋体" w:cs="宋体"/>
          <w:sz w:val="24"/>
        </w:rPr>
        <w:t>承包人提供的文件的期限为：</w:t>
      </w:r>
      <w:r>
        <w:rPr>
          <w:rFonts w:hint="eastAsia" w:ascii="宋体" w:hAnsi="宋体" w:eastAsia="宋体" w:cs="宋体"/>
          <w:sz w:val="24"/>
          <w:u w:val="single"/>
        </w:rPr>
        <w:t xml:space="preserve">                 </w:t>
      </w:r>
      <w:r>
        <w:rPr>
          <w:rFonts w:hint="eastAsia" w:ascii="宋体" w:hAnsi="宋体" w:eastAsia="宋体" w:cs="宋体"/>
          <w:sz w:val="24"/>
        </w:rPr>
        <w:t>；</w:t>
      </w:r>
    </w:p>
    <w:p w14:paraId="1868DBCB">
      <w:pPr>
        <w:pageBreakBefore w:val="0"/>
        <w:widowControl w:val="0"/>
        <w:kinsoku/>
        <w:wordWrap/>
        <w:overflowPunct/>
        <w:topLinePunct w:val="0"/>
        <w:bidi w:val="0"/>
        <w:snapToGrid/>
        <w:spacing w:line="480" w:lineRule="exact"/>
        <w:ind w:firstLine="480" w:firstLineChars="200"/>
        <w:textAlignment w:val="auto"/>
        <w:outlineLvl w:val="9"/>
        <w:rPr>
          <w:rFonts w:hint="eastAsia" w:ascii="宋体" w:hAnsi="宋体" w:eastAsia="宋体" w:cs="宋体"/>
          <w:sz w:val="24"/>
        </w:rPr>
      </w:pPr>
      <w:r>
        <w:rPr>
          <w:rFonts w:hint="eastAsia" w:ascii="宋体" w:hAnsi="宋体" w:eastAsia="宋体" w:cs="宋体"/>
          <w:sz w:val="24"/>
        </w:rPr>
        <w:t>承包人提供的文件的数量为：</w:t>
      </w:r>
      <w:r>
        <w:rPr>
          <w:rFonts w:hint="eastAsia" w:ascii="宋体" w:hAnsi="宋体" w:eastAsia="宋体" w:cs="宋体"/>
          <w:sz w:val="24"/>
          <w:u w:val="single"/>
        </w:rPr>
        <w:t xml:space="preserve">                    </w:t>
      </w:r>
      <w:r>
        <w:rPr>
          <w:rFonts w:hint="eastAsia" w:ascii="宋体" w:hAnsi="宋体" w:eastAsia="宋体" w:cs="宋体"/>
          <w:sz w:val="24"/>
        </w:rPr>
        <w:t>；</w:t>
      </w:r>
    </w:p>
    <w:p w14:paraId="5BC1C923">
      <w:pPr>
        <w:pageBreakBefore w:val="0"/>
        <w:widowControl w:val="0"/>
        <w:kinsoku/>
        <w:wordWrap/>
        <w:overflowPunct/>
        <w:topLinePunct w:val="0"/>
        <w:bidi w:val="0"/>
        <w:snapToGrid/>
        <w:spacing w:line="480" w:lineRule="exact"/>
        <w:ind w:firstLine="480" w:firstLineChars="200"/>
        <w:textAlignment w:val="auto"/>
        <w:outlineLvl w:val="9"/>
        <w:rPr>
          <w:rFonts w:hint="eastAsia" w:ascii="宋体" w:hAnsi="宋体" w:eastAsia="宋体" w:cs="宋体"/>
          <w:sz w:val="24"/>
        </w:rPr>
      </w:pPr>
      <w:r>
        <w:rPr>
          <w:rFonts w:hint="eastAsia" w:ascii="宋体" w:hAnsi="宋体" w:eastAsia="宋体" w:cs="宋体"/>
          <w:sz w:val="24"/>
        </w:rPr>
        <w:t>承包人提供的文件的形式为：</w:t>
      </w:r>
      <w:r>
        <w:rPr>
          <w:rFonts w:hint="eastAsia" w:ascii="宋体" w:hAnsi="宋体" w:eastAsia="宋体" w:cs="宋体"/>
          <w:sz w:val="24"/>
          <w:u w:val="single"/>
        </w:rPr>
        <w:t xml:space="preserve">                     </w:t>
      </w:r>
      <w:r>
        <w:rPr>
          <w:rFonts w:hint="eastAsia" w:ascii="宋体" w:hAnsi="宋体" w:eastAsia="宋体" w:cs="宋体"/>
          <w:sz w:val="24"/>
        </w:rPr>
        <w:t>；</w:t>
      </w:r>
    </w:p>
    <w:p w14:paraId="4DEEE6B9">
      <w:pPr>
        <w:pageBreakBefore w:val="0"/>
        <w:widowControl w:val="0"/>
        <w:kinsoku/>
        <w:wordWrap/>
        <w:overflowPunct/>
        <w:topLinePunct w:val="0"/>
        <w:bidi w:val="0"/>
        <w:snapToGrid/>
        <w:spacing w:line="480" w:lineRule="exact"/>
        <w:ind w:firstLine="480" w:firstLineChars="200"/>
        <w:textAlignment w:val="auto"/>
        <w:outlineLvl w:val="9"/>
        <w:rPr>
          <w:rFonts w:hint="eastAsia" w:ascii="宋体" w:hAnsi="宋体" w:eastAsia="宋体" w:cs="宋体"/>
          <w:sz w:val="24"/>
        </w:rPr>
      </w:pPr>
      <w:r>
        <w:rPr>
          <w:rFonts w:hint="eastAsia" w:ascii="宋体" w:hAnsi="宋体" w:eastAsia="宋体" w:cs="宋体"/>
          <w:sz w:val="24"/>
        </w:rPr>
        <w:t>发包人审批承包人文件的期限：</w:t>
      </w:r>
      <w:r>
        <w:rPr>
          <w:rFonts w:hint="eastAsia" w:ascii="宋体" w:hAnsi="宋体" w:eastAsia="宋体" w:cs="宋体"/>
          <w:sz w:val="24"/>
          <w:u w:val="single"/>
        </w:rPr>
        <w:t xml:space="preserve">           </w:t>
      </w:r>
      <w:r>
        <w:rPr>
          <w:rFonts w:hint="eastAsia" w:ascii="宋体" w:hAnsi="宋体" w:eastAsia="宋体" w:cs="宋体"/>
          <w:sz w:val="24"/>
        </w:rPr>
        <w:t>。</w:t>
      </w:r>
    </w:p>
    <w:p w14:paraId="051E4B9F">
      <w:pPr>
        <w:pageBreakBefore w:val="0"/>
        <w:widowControl w:val="0"/>
        <w:kinsoku/>
        <w:wordWrap/>
        <w:overflowPunct/>
        <w:topLinePunct w:val="0"/>
        <w:bidi w:val="0"/>
        <w:snapToGrid/>
        <w:spacing w:line="480" w:lineRule="exact"/>
        <w:ind w:firstLine="480" w:firstLineChars="200"/>
        <w:textAlignment w:val="auto"/>
        <w:outlineLvl w:val="9"/>
        <w:rPr>
          <w:rFonts w:hint="eastAsia" w:ascii="宋体" w:hAnsi="宋体" w:eastAsia="宋体" w:cs="宋体"/>
          <w:sz w:val="24"/>
        </w:rPr>
      </w:pPr>
      <w:r>
        <w:rPr>
          <w:rFonts w:hint="eastAsia" w:ascii="宋体" w:hAnsi="宋体" w:eastAsia="宋体" w:cs="宋体"/>
          <w:sz w:val="24"/>
        </w:rPr>
        <w:t>1.6.5 现场图纸准备</w:t>
      </w:r>
    </w:p>
    <w:p w14:paraId="3E108E8F">
      <w:pPr>
        <w:pageBreakBefore w:val="0"/>
        <w:widowControl w:val="0"/>
        <w:kinsoku/>
        <w:wordWrap/>
        <w:overflowPunct/>
        <w:topLinePunct w:val="0"/>
        <w:bidi w:val="0"/>
        <w:snapToGrid/>
        <w:spacing w:line="480" w:lineRule="exact"/>
        <w:ind w:firstLine="480" w:firstLineChars="200"/>
        <w:textAlignment w:val="auto"/>
        <w:outlineLvl w:val="9"/>
        <w:rPr>
          <w:rFonts w:hint="eastAsia" w:ascii="宋体" w:hAnsi="宋体" w:eastAsia="宋体" w:cs="宋体"/>
          <w:sz w:val="24"/>
        </w:rPr>
      </w:pPr>
      <w:r>
        <w:rPr>
          <w:rFonts w:hint="eastAsia" w:ascii="宋体" w:hAnsi="宋体" w:eastAsia="宋体" w:cs="宋体"/>
          <w:sz w:val="24"/>
        </w:rPr>
        <w:t>关于现场图纸准备的约定：</w:t>
      </w:r>
      <w:r>
        <w:rPr>
          <w:rFonts w:hint="eastAsia" w:ascii="宋体" w:hAnsi="宋体" w:eastAsia="宋体" w:cs="宋体"/>
          <w:sz w:val="24"/>
          <w:u w:val="single"/>
        </w:rPr>
        <w:t xml:space="preserve">                             </w:t>
      </w:r>
      <w:r>
        <w:rPr>
          <w:rFonts w:hint="eastAsia" w:ascii="宋体" w:hAnsi="宋体" w:eastAsia="宋体" w:cs="宋体"/>
          <w:sz w:val="24"/>
        </w:rPr>
        <w:t>。</w:t>
      </w:r>
    </w:p>
    <w:p w14:paraId="137EFF6C">
      <w:pPr>
        <w:pageBreakBefore w:val="0"/>
        <w:widowControl w:val="0"/>
        <w:kinsoku/>
        <w:wordWrap/>
        <w:overflowPunct/>
        <w:topLinePunct w:val="0"/>
        <w:bidi w:val="0"/>
        <w:snapToGrid/>
        <w:spacing w:after="120" w:line="480" w:lineRule="exact"/>
        <w:ind w:firstLine="480" w:firstLineChars="200"/>
        <w:textAlignment w:val="auto"/>
        <w:outlineLvl w:val="9"/>
        <w:rPr>
          <w:rFonts w:hint="eastAsia" w:ascii="宋体" w:hAnsi="宋体" w:eastAsia="宋体" w:cs="宋体"/>
          <w:sz w:val="24"/>
        </w:rPr>
      </w:pPr>
      <w:r>
        <w:rPr>
          <w:rFonts w:hint="eastAsia" w:ascii="宋体" w:hAnsi="宋体" w:eastAsia="宋体" w:cs="宋体"/>
          <w:sz w:val="24"/>
        </w:rPr>
        <w:t>1.7 联络</w:t>
      </w:r>
    </w:p>
    <w:p w14:paraId="381891B2">
      <w:pPr>
        <w:pageBreakBefore w:val="0"/>
        <w:widowControl w:val="0"/>
        <w:kinsoku/>
        <w:wordWrap/>
        <w:overflowPunct/>
        <w:topLinePunct w:val="0"/>
        <w:bidi w:val="0"/>
        <w:snapToGrid/>
        <w:spacing w:line="480" w:lineRule="exact"/>
        <w:ind w:firstLine="480" w:firstLineChars="200"/>
        <w:textAlignment w:val="auto"/>
        <w:outlineLvl w:val="9"/>
        <w:rPr>
          <w:rFonts w:hint="eastAsia" w:ascii="宋体" w:hAnsi="宋体" w:eastAsia="宋体" w:cs="宋体"/>
          <w:kern w:val="0"/>
          <w:sz w:val="24"/>
        </w:rPr>
      </w:pPr>
      <w:r>
        <w:rPr>
          <w:rFonts w:hint="eastAsia" w:ascii="宋体" w:hAnsi="宋体" w:eastAsia="宋体" w:cs="宋体"/>
          <w:kern w:val="0"/>
          <w:sz w:val="24"/>
        </w:rPr>
        <w:t>1.7.1发包人和承包人应当在</w:t>
      </w:r>
      <w:r>
        <w:rPr>
          <w:rFonts w:hint="eastAsia" w:ascii="宋体" w:hAnsi="宋体" w:eastAsia="宋体" w:cs="宋体"/>
          <w:sz w:val="24"/>
          <w:u w:val="single"/>
        </w:rPr>
        <w:t xml:space="preserve">    </w:t>
      </w:r>
      <w:r>
        <w:rPr>
          <w:rFonts w:hint="eastAsia" w:ascii="宋体" w:hAnsi="宋体" w:eastAsia="宋体" w:cs="宋体"/>
          <w:kern w:val="0"/>
          <w:sz w:val="24"/>
        </w:rPr>
        <w:t>天内将与合同有关的通知、批准、证明、证书、指示、指令、要求、请求、同意、意见、确定和决定等书面函件送达对方当事人。</w:t>
      </w:r>
    </w:p>
    <w:p w14:paraId="10E63CD8">
      <w:pPr>
        <w:pageBreakBefore w:val="0"/>
        <w:widowControl w:val="0"/>
        <w:kinsoku/>
        <w:wordWrap/>
        <w:overflowPunct/>
        <w:topLinePunct w:val="0"/>
        <w:bidi w:val="0"/>
        <w:snapToGrid/>
        <w:spacing w:line="480" w:lineRule="exact"/>
        <w:ind w:firstLine="480" w:firstLineChars="200"/>
        <w:textAlignment w:val="auto"/>
        <w:outlineLvl w:val="9"/>
        <w:rPr>
          <w:rFonts w:hint="eastAsia" w:ascii="宋体" w:hAnsi="宋体" w:eastAsia="宋体" w:cs="宋体"/>
          <w:kern w:val="0"/>
          <w:sz w:val="24"/>
        </w:rPr>
      </w:pPr>
      <w:r>
        <w:rPr>
          <w:rFonts w:hint="eastAsia" w:ascii="宋体" w:hAnsi="宋体" w:eastAsia="宋体" w:cs="宋体"/>
          <w:kern w:val="0"/>
          <w:sz w:val="24"/>
        </w:rPr>
        <w:t>1.7.2 发包人接收文件的地点：</w:t>
      </w:r>
      <w:r>
        <w:rPr>
          <w:rFonts w:hint="eastAsia" w:ascii="宋体" w:hAnsi="宋体" w:eastAsia="宋体" w:cs="宋体"/>
          <w:sz w:val="24"/>
          <w:u w:val="single"/>
        </w:rPr>
        <w:t xml:space="preserve">                  </w:t>
      </w:r>
      <w:r>
        <w:rPr>
          <w:rFonts w:hint="eastAsia" w:ascii="宋体" w:hAnsi="宋体" w:eastAsia="宋体" w:cs="宋体"/>
          <w:kern w:val="0"/>
          <w:sz w:val="24"/>
        </w:rPr>
        <w:t>；</w:t>
      </w:r>
    </w:p>
    <w:p w14:paraId="5F3218BE">
      <w:pPr>
        <w:pageBreakBefore w:val="0"/>
        <w:widowControl w:val="0"/>
        <w:kinsoku/>
        <w:wordWrap/>
        <w:overflowPunct/>
        <w:topLinePunct w:val="0"/>
        <w:bidi w:val="0"/>
        <w:snapToGrid/>
        <w:spacing w:line="480" w:lineRule="exact"/>
        <w:ind w:firstLine="480" w:firstLineChars="200"/>
        <w:textAlignment w:val="auto"/>
        <w:outlineLvl w:val="9"/>
        <w:rPr>
          <w:rFonts w:hint="eastAsia" w:ascii="宋体" w:hAnsi="宋体" w:eastAsia="宋体" w:cs="宋体"/>
          <w:kern w:val="0"/>
          <w:sz w:val="24"/>
        </w:rPr>
      </w:pPr>
      <w:r>
        <w:rPr>
          <w:rFonts w:hint="eastAsia" w:ascii="宋体" w:hAnsi="宋体" w:eastAsia="宋体" w:cs="宋体"/>
          <w:kern w:val="0"/>
          <w:sz w:val="24"/>
        </w:rPr>
        <w:t>发包人指定的接收人为：</w:t>
      </w:r>
      <w:r>
        <w:rPr>
          <w:rFonts w:hint="eastAsia" w:ascii="宋体" w:hAnsi="宋体" w:eastAsia="宋体" w:cs="宋体"/>
          <w:kern w:val="0"/>
          <w:sz w:val="24"/>
          <w:u w:val="single"/>
        </w:rPr>
        <w:t xml:space="preserve">                         </w:t>
      </w:r>
      <w:r>
        <w:rPr>
          <w:rFonts w:hint="eastAsia" w:ascii="宋体" w:hAnsi="宋体" w:eastAsia="宋体" w:cs="宋体"/>
          <w:sz w:val="24"/>
          <w:u w:val="single"/>
        </w:rPr>
        <w:t xml:space="preserve">    </w:t>
      </w:r>
      <w:r>
        <w:rPr>
          <w:rFonts w:hint="eastAsia" w:ascii="宋体" w:hAnsi="宋体" w:eastAsia="宋体" w:cs="宋体"/>
          <w:kern w:val="0"/>
          <w:sz w:val="24"/>
        </w:rPr>
        <w:t>。</w:t>
      </w:r>
    </w:p>
    <w:p w14:paraId="309085AC">
      <w:pPr>
        <w:pageBreakBefore w:val="0"/>
        <w:widowControl w:val="0"/>
        <w:kinsoku/>
        <w:wordWrap/>
        <w:overflowPunct/>
        <w:topLinePunct w:val="0"/>
        <w:bidi w:val="0"/>
        <w:snapToGrid/>
        <w:spacing w:line="480" w:lineRule="exact"/>
        <w:ind w:firstLine="480" w:firstLineChars="200"/>
        <w:textAlignment w:val="auto"/>
        <w:outlineLvl w:val="9"/>
        <w:rPr>
          <w:rFonts w:hint="eastAsia" w:ascii="宋体" w:hAnsi="宋体" w:eastAsia="宋体" w:cs="宋体"/>
          <w:kern w:val="0"/>
          <w:sz w:val="24"/>
        </w:rPr>
      </w:pPr>
      <w:r>
        <w:rPr>
          <w:rFonts w:hint="eastAsia" w:ascii="宋体" w:hAnsi="宋体" w:eastAsia="宋体" w:cs="宋体"/>
          <w:kern w:val="0"/>
          <w:sz w:val="24"/>
        </w:rPr>
        <w:t>承包人接收文件的地点：</w:t>
      </w:r>
      <w:r>
        <w:rPr>
          <w:rFonts w:hint="eastAsia" w:ascii="宋体" w:hAnsi="宋体" w:eastAsia="宋体" w:cs="宋体"/>
          <w:sz w:val="24"/>
          <w:u w:val="single"/>
        </w:rPr>
        <w:t xml:space="preserve">                           </w:t>
      </w:r>
      <w:r>
        <w:rPr>
          <w:rFonts w:hint="eastAsia" w:ascii="宋体" w:hAnsi="宋体" w:eastAsia="宋体" w:cs="宋体"/>
          <w:kern w:val="0"/>
          <w:sz w:val="24"/>
        </w:rPr>
        <w:t>；</w:t>
      </w:r>
    </w:p>
    <w:p w14:paraId="5F3328FE">
      <w:pPr>
        <w:pageBreakBefore w:val="0"/>
        <w:widowControl w:val="0"/>
        <w:kinsoku/>
        <w:wordWrap/>
        <w:overflowPunct/>
        <w:topLinePunct w:val="0"/>
        <w:bidi w:val="0"/>
        <w:snapToGrid/>
        <w:spacing w:line="480" w:lineRule="exact"/>
        <w:ind w:firstLine="480" w:firstLineChars="200"/>
        <w:textAlignment w:val="auto"/>
        <w:outlineLvl w:val="9"/>
        <w:rPr>
          <w:rFonts w:hint="eastAsia" w:ascii="宋体" w:hAnsi="宋体" w:eastAsia="宋体" w:cs="宋体"/>
          <w:kern w:val="0"/>
          <w:sz w:val="24"/>
        </w:rPr>
      </w:pPr>
      <w:r>
        <w:rPr>
          <w:rFonts w:hint="eastAsia" w:ascii="宋体" w:hAnsi="宋体" w:eastAsia="宋体" w:cs="宋体"/>
          <w:kern w:val="0"/>
          <w:sz w:val="24"/>
        </w:rPr>
        <w:t>承包人指定的接收人为：</w:t>
      </w:r>
      <w:r>
        <w:rPr>
          <w:rFonts w:hint="eastAsia" w:ascii="宋体" w:hAnsi="宋体" w:eastAsia="宋体" w:cs="宋体"/>
          <w:sz w:val="24"/>
          <w:u w:val="single"/>
        </w:rPr>
        <w:t xml:space="preserve">                               </w:t>
      </w:r>
      <w:r>
        <w:rPr>
          <w:rFonts w:hint="eastAsia" w:ascii="宋体" w:hAnsi="宋体" w:eastAsia="宋体" w:cs="宋体"/>
          <w:kern w:val="0"/>
          <w:sz w:val="24"/>
        </w:rPr>
        <w:t>。</w:t>
      </w:r>
    </w:p>
    <w:p w14:paraId="32CED48C">
      <w:pPr>
        <w:pageBreakBefore w:val="0"/>
        <w:widowControl w:val="0"/>
        <w:kinsoku/>
        <w:wordWrap/>
        <w:overflowPunct/>
        <w:topLinePunct w:val="0"/>
        <w:bidi w:val="0"/>
        <w:snapToGrid/>
        <w:spacing w:line="480" w:lineRule="exact"/>
        <w:ind w:firstLine="480" w:firstLineChars="200"/>
        <w:textAlignment w:val="auto"/>
        <w:outlineLvl w:val="9"/>
        <w:rPr>
          <w:rFonts w:hint="eastAsia" w:ascii="宋体" w:hAnsi="宋体" w:eastAsia="宋体" w:cs="宋体"/>
          <w:kern w:val="0"/>
          <w:sz w:val="24"/>
        </w:rPr>
      </w:pPr>
      <w:r>
        <w:rPr>
          <w:rFonts w:hint="eastAsia" w:ascii="宋体" w:hAnsi="宋体" w:eastAsia="宋体" w:cs="宋体"/>
          <w:kern w:val="0"/>
          <w:sz w:val="24"/>
        </w:rPr>
        <w:t>监理人接收文件的地点：</w:t>
      </w:r>
      <w:r>
        <w:rPr>
          <w:rFonts w:hint="eastAsia" w:ascii="宋体" w:hAnsi="宋体" w:eastAsia="宋体" w:cs="宋体"/>
          <w:sz w:val="24"/>
          <w:u w:val="single"/>
        </w:rPr>
        <w:t xml:space="preserve">                           </w:t>
      </w:r>
      <w:r>
        <w:rPr>
          <w:rFonts w:hint="eastAsia" w:ascii="宋体" w:hAnsi="宋体" w:eastAsia="宋体" w:cs="宋体"/>
          <w:kern w:val="0"/>
          <w:sz w:val="24"/>
        </w:rPr>
        <w:t>；</w:t>
      </w:r>
    </w:p>
    <w:p w14:paraId="2949E6B2">
      <w:pPr>
        <w:pageBreakBefore w:val="0"/>
        <w:widowControl w:val="0"/>
        <w:kinsoku/>
        <w:wordWrap/>
        <w:overflowPunct/>
        <w:topLinePunct w:val="0"/>
        <w:bidi w:val="0"/>
        <w:snapToGrid/>
        <w:spacing w:line="480" w:lineRule="exact"/>
        <w:ind w:firstLine="480" w:firstLineChars="200"/>
        <w:textAlignment w:val="auto"/>
        <w:outlineLvl w:val="9"/>
        <w:rPr>
          <w:rFonts w:hint="eastAsia" w:ascii="宋体" w:hAnsi="宋体" w:eastAsia="宋体" w:cs="宋体"/>
          <w:kern w:val="0"/>
          <w:sz w:val="24"/>
        </w:rPr>
      </w:pPr>
      <w:r>
        <w:rPr>
          <w:rFonts w:hint="eastAsia" w:ascii="宋体" w:hAnsi="宋体" w:eastAsia="宋体" w:cs="宋体"/>
          <w:kern w:val="0"/>
          <w:sz w:val="24"/>
        </w:rPr>
        <w:t>监理人指定的接收人为：</w:t>
      </w:r>
      <w:r>
        <w:rPr>
          <w:rFonts w:hint="eastAsia" w:ascii="宋体" w:hAnsi="宋体" w:eastAsia="宋体" w:cs="宋体"/>
          <w:sz w:val="24"/>
          <w:u w:val="single"/>
        </w:rPr>
        <w:t xml:space="preserve">                           </w:t>
      </w:r>
      <w:r>
        <w:rPr>
          <w:rFonts w:hint="eastAsia" w:ascii="宋体" w:hAnsi="宋体" w:eastAsia="宋体" w:cs="宋体"/>
          <w:kern w:val="0"/>
          <w:sz w:val="24"/>
        </w:rPr>
        <w:t>。</w:t>
      </w:r>
    </w:p>
    <w:p w14:paraId="0F39BCE2">
      <w:pPr>
        <w:pageBreakBefore w:val="0"/>
        <w:widowControl w:val="0"/>
        <w:kinsoku/>
        <w:wordWrap/>
        <w:overflowPunct/>
        <w:topLinePunct w:val="0"/>
        <w:bidi w:val="0"/>
        <w:snapToGrid/>
        <w:spacing w:after="120" w:line="480" w:lineRule="exact"/>
        <w:ind w:firstLine="480" w:firstLineChars="200"/>
        <w:textAlignment w:val="auto"/>
        <w:outlineLvl w:val="9"/>
        <w:rPr>
          <w:rFonts w:hint="eastAsia" w:ascii="宋体" w:hAnsi="宋体" w:eastAsia="宋体" w:cs="宋体"/>
          <w:sz w:val="24"/>
        </w:rPr>
      </w:pPr>
      <w:r>
        <w:rPr>
          <w:rFonts w:hint="eastAsia" w:ascii="宋体" w:hAnsi="宋体" w:eastAsia="宋体" w:cs="宋体"/>
          <w:sz w:val="24"/>
        </w:rPr>
        <w:t>1.10 交通运输</w:t>
      </w:r>
    </w:p>
    <w:p w14:paraId="71DC9151">
      <w:pPr>
        <w:pageBreakBefore w:val="0"/>
        <w:widowControl w:val="0"/>
        <w:kinsoku/>
        <w:wordWrap/>
        <w:overflowPunct/>
        <w:topLinePunct w:val="0"/>
        <w:bidi w:val="0"/>
        <w:snapToGrid/>
        <w:spacing w:line="480" w:lineRule="exact"/>
        <w:ind w:firstLine="480" w:firstLineChars="200"/>
        <w:textAlignment w:val="auto"/>
        <w:outlineLvl w:val="9"/>
        <w:rPr>
          <w:rFonts w:hint="eastAsia" w:ascii="宋体" w:hAnsi="宋体" w:eastAsia="宋体" w:cs="宋体"/>
          <w:sz w:val="24"/>
        </w:rPr>
      </w:pPr>
      <w:r>
        <w:rPr>
          <w:rFonts w:hint="eastAsia" w:ascii="宋体" w:hAnsi="宋体" w:eastAsia="宋体" w:cs="宋体"/>
          <w:sz w:val="24"/>
        </w:rPr>
        <w:t>1</w:t>
      </w:r>
      <w:bookmarkStart w:id="1039" w:name="_Toc303539100"/>
      <w:bookmarkStart w:id="1040" w:name="_Toc312677986"/>
      <w:bookmarkStart w:id="1041" w:name="_Toc304295521"/>
      <w:bookmarkStart w:id="1042" w:name="_Toc300934943"/>
      <w:bookmarkStart w:id="1043" w:name="_Toc318581155"/>
      <w:r>
        <w:rPr>
          <w:rFonts w:hint="eastAsia" w:ascii="宋体" w:hAnsi="宋体" w:eastAsia="宋体" w:cs="宋体"/>
          <w:sz w:val="24"/>
        </w:rPr>
        <w:t>.10.1 出入现场的权利</w:t>
      </w:r>
    </w:p>
    <w:p w14:paraId="5E11EC7E">
      <w:pPr>
        <w:pageBreakBefore w:val="0"/>
        <w:widowControl w:val="0"/>
        <w:kinsoku/>
        <w:wordWrap/>
        <w:overflowPunct/>
        <w:topLinePunct w:val="0"/>
        <w:bidi w:val="0"/>
        <w:snapToGrid/>
        <w:spacing w:line="480" w:lineRule="exact"/>
        <w:ind w:left="596" w:leftChars="284"/>
        <w:textAlignment w:val="auto"/>
        <w:outlineLvl w:val="9"/>
        <w:rPr>
          <w:rFonts w:hint="eastAsia" w:ascii="宋体" w:hAnsi="宋体" w:eastAsia="宋体" w:cs="宋体"/>
          <w:sz w:val="24"/>
        </w:rPr>
      </w:pPr>
      <w:r>
        <w:rPr>
          <w:rFonts w:hint="eastAsia" w:ascii="宋体" w:hAnsi="宋体" w:eastAsia="宋体" w:cs="宋体"/>
          <w:sz w:val="24"/>
        </w:rPr>
        <w:t>关于出入现场的权利的约定：</w:t>
      </w:r>
      <w:r>
        <w:rPr>
          <w:rFonts w:hint="eastAsia" w:ascii="宋体" w:hAnsi="宋体" w:eastAsia="宋体" w:cs="宋体"/>
          <w:sz w:val="24"/>
          <w:u w:val="single"/>
        </w:rPr>
        <w:t>按照甲乙双方场所安全规定执行</w:t>
      </w:r>
      <w:r>
        <w:rPr>
          <w:rFonts w:hint="eastAsia" w:ascii="宋体" w:hAnsi="宋体" w:eastAsia="宋体" w:cs="宋体"/>
          <w:sz w:val="24"/>
        </w:rPr>
        <w:t>。</w:t>
      </w:r>
    </w:p>
    <w:bookmarkEnd w:id="1039"/>
    <w:bookmarkEnd w:id="1040"/>
    <w:bookmarkEnd w:id="1041"/>
    <w:bookmarkEnd w:id="1042"/>
    <w:bookmarkEnd w:id="1043"/>
    <w:p w14:paraId="63EE401C">
      <w:pPr>
        <w:pageBreakBefore w:val="0"/>
        <w:widowControl w:val="0"/>
        <w:kinsoku/>
        <w:wordWrap/>
        <w:overflowPunct/>
        <w:topLinePunct w:val="0"/>
        <w:bidi w:val="0"/>
        <w:snapToGrid/>
        <w:spacing w:line="480" w:lineRule="exact"/>
        <w:ind w:firstLine="480" w:firstLineChars="200"/>
        <w:jc w:val="left"/>
        <w:textAlignment w:val="auto"/>
        <w:outlineLvl w:val="9"/>
        <w:rPr>
          <w:rFonts w:hint="eastAsia" w:ascii="宋体" w:hAnsi="宋体" w:eastAsia="宋体" w:cs="宋体"/>
          <w:sz w:val="24"/>
        </w:rPr>
      </w:pPr>
      <w:r>
        <w:rPr>
          <w:rFonts w:hint="eastAsia" w:ascii="宋体" w:hAnsi="宋体" w:eastAsia="宋体" w:cs="宋体"/>
          <w:sz w:val="24"/>
        </w:rPr>
        <w:t>1</w:t>
      </w:r>
      <w:bookmarkStart w:id="1044" w:name="_Toc300934944"/>
      <w:bookmarkStart w:id="1045" w:name="_Toc303539101"/>
      <w:bookmarkStart w:id="1046" w:name="_Toc318581156"/>
      <w:bookmarkStart w:id="1047" w:name="_Toc304295522"/>
      <w:bookmarkStart w:id="1048" w:name="_Toc312677987"/>
      <w:r>
        <w:rPr>
          <w:rFonts w:hint="eastAsia" w:ascii="宋体" w:hAnsi="宋体" w:eastAsia="宋体" w:cs="宋体"/>
          <w:sz w:val="24"/>
        </w:rPr>
        <w:t>.10.3 场内交通</w:t>
      </w:r>
    </w:p>
    <w:p w14:paraId="3A9784D4">
      <w:pPr>
        <w:pageBreakBefore w:val="0"/>
        <w:widowControl w:val="0"/>
        <w:kinsoku/>
        <w:wordWrap/>
        <w:overflowPunct/>
        <w:topLinePunct w:val="0"/>
        <w:bidi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关于场外交通和场内交通的边界的约定：</w:t>
      </w:r>
      <w:r>
        <w:rPr>
          <w:rFonts w:hint="eastAsia" w:ascii="宋体" w:hAnsi="宋体" w:eastAsia="宋体" w:cs="宋体"/>
          <w:sz w:val="24"/>
          <w:u w:val="single"/>
        </w:rPr>
        <w:t xml:space="preserve">              </w:t>
      </w:r>
      <w:r>
        <w:rPr>
          <w:rFonts w:hint="eastAsia" w:ascii="宋体" w:hAnsi="宋体" w:eastAsia="宋体" w:cs="宋体"/>
          <w:sz w:val="24"/>
        </w:rPr>
        <w:t>。</w:t>
      </w:r>
    </w:p>
    <w:p w14:paraId="562B96E8">
      <w:pPr>
        <w:pageBreakBefore w:val="0"/>
        <w:widowControl w:val="0"/>
        <w:kinsoku/>
        <w:wordWrap/>
        <w:overflowPunct/>
        <w:topLinePunct w:val="0"/>
        <w:bidi w:val="0"/>
        <w:snapToGrid/>
        <w:spacing w:line="480" w:lineRule="exact"/>
        <w:ind w:firstLine="480" w:firstLineChars="200"/>
        <w:jc w:val="left"/>
        <w:textAlignment w:val="auto"/>
        <w:outlineLvl w:val="9"/>
        <w:rPr>
          <w:rFonts w:hint="eastAsia" w:ascii="宋体" w:hAnsi="宋体" w:eastAsia="宋体" w:cs="宋体"/>
          <w:sz w:val="24"/>
        </w:rPr>
      </w:pPr>
      <w:r>
        <w:rPr>
          <w:rFonts w:hint="eastAsia" w:ascii="宋体" w:hAnsi="宋体" w:eastAsia="宋体" w:cs="宋体"/>
          <w:sz w:val="24"/>
        </w:rPr>
        <w:t>关于发包人向承包人免费提供满足工程施工需要的场内道路和交通设施的约定：</w:t>
      </w:r>
      <w:r>
        <w:rPr>
          <w:rFonts w:hint="eastAsia" w:ascii="宋体" w:hAnsi="宋体" w:eastAsia="宋体" w:cs="宋体"/>
          <w:sz w:val="24"/>
          <w:u w:val="single"/>
        </w:rPr>
        <w:t> /         </w:t>
      </w:r>
      <w:r>
        <w:rPr>
          <w:rFonts w:hint="eastAsia" w:ascii="宋体" w:hAnsi="宋体" w:eastAsia="宋体" w:cs="宋体"/>
          <w:sz w:val="24"/>
        </w:rPr>
        <w:t>。</w:t>
      </w:r>
      <w:bookmarkEnd w:id="1044"/>
      <w:bookmarkEnd w:id="1045"/>
      <w:bookmarkEnd w:id="1046"/>
      <w:bookmarkEnd w:id="1047"/>
      <w:bookmarkEnd w:id="1048"/>
      <w:r>
        <w:rPr>
          <w:rFonts w:hint="eastAsia" w:ascii="宋体" w:hAnsi="宋体" w:eastAsia="宋体" w:cs="宋体"/>
          <w:sz w:val="24"/>
        </w:rPr>
        <w:t xml:space="preserve">  </w:t>
      </w:r>
      <w:bookmarkStart w:id="1049" w:name="_Toc318581157"/>
    </w:p>
    <w:p w14:paraId="034723A5">
      <w:pPr>
        <w:pageBreakBefore w:val="0"/>
        <w:widowControl w:val="0"/>
        <w:kinsoku/>
        <w:wordWrap/>
        <w:overflowPunct/>
        <w:topLinePunct w:val="0"/>
        <w:bidi w:val="0"/>
        <w:snapToGrid/>
        <w:spacing w:line="480" w:lineRule="exact"/>
        <w:ind w:firstLine="480" w:firstLineChars="200"/>
        <w:jc w:val="left"/>
        <w:textAlignment w:val="auto"/>
        <w:outlineLvl w:val="9"/>
        <w:rPr>
          <w:rFonts w:hint="eastAsia" w:ascii="宋体" w:hAnsi="宋体" w:eastAsia="宋体" w:cs="宋体"/>
          <w:sz w:val="24"/>
        </w:rPr>
      </w:pPr>
      <w:r>
        <w:rPr>
          <w:rFonts w:hint="eastAsia" w:ascii="宋体" w:hAnsi="宋体" w:eastAsia="宋体" w:cs="宋体"/>
          <w:sz w:val="24"/>
        </w:rPr>
        <w:t>1.10.4超大件和超重件的运输</w:t>
      </w:r>
    </w:p>
    <w:p w14:paraId="2D45A63C">
      <w:pPr>
        <w:pageBreakBefore w:val="0"/>
        <w:widowControl w:val="0"/>
        <w:kinsoku/>
        <w:wordWrap/>
        <w:overflowPunct/>
        <w:topLinePunct w:val="0"/>
        <w:bidi w:val="0"/>
        <w:snapToGrid/>
        <w:spacing w:line="480" w:lineRule="exact"/>
        <w:ind w:firstLine="480" w:firstLineChars="200"/>
        <w:jc w:val="left"/>
        <w:textAlignment w:val="auto"/>
        <w:outlineLvl w:val="9"/>
        <w:rPr>
          <w:rFonts w:hint="eastAsia" w:ascii="宋体" w:hAnsi="宋体" w:eastAsia="宋体" w:cs="宋体"/>
          <w:sz w:val="24"/>
        </w:rPr>
      </w:pPr>
      <w:r>
        <w:rPr>
          <w:rFonts w:hint="eastAsia" w:ascii="宋体" w:hAnsi="宋体" w:eastAsia="宋体" w:cs="宋体"/>
          <w:sz w:val="24"/>
        </w:rPr>
        <w:t>运输超大件或超重件所需的道路和桥梁临时加固改造费用和其他有关费用由</w:t>
      </w:r>
      <w:r>
        <w:rPr>
          <w:rFonts w:hint="eastAsia" w:ascii="宋体" w:hAnsi="宋体" w:eastAsia="宋体" w:cs="宋体"/>
          <w:sz w:val="24"/>
          <w:u w:val="single"/>
        </w:rPr>
        <w:t xml:space="preserve">   /     </w:t>
      </w:r>
      <w:r>
        <w:rPr>
          <w:rFonts w:hint="eastAsia" w:ascii="宋体" w:hAnsi="宋体" w:eastAsia="宋体" w:cs="宋体"/>
          <w:sz w:val="24"/>
        </w:rPr>
        <w:t>承担。</w:t>
      </w:r>
    </w:p>
    <w:bookmarkEnd w:id="1049"/>
    <w:p w14:paraId="0BDC1474">
      <w:pPr>
        <w:pageBreakBefore w:val="0"/>
        <w:widowControl w:val="0"/>
        <w:kinsoku/>
        <w:wordWrap/>
        <w:overflowPunct/>
        <w:topLinePunct w:val="0"/>
        <w:bidi w:val="0"/>
        <w:snapToGrid/>
        <w:spacing w:after="120" w:line="480" w:lineRule="exact"/>
        <w:ind w:firstLine="480" w:firstLineChars="200"/>
        <w:textAlignment w:val="auto"/>
        <w:outlineLvl w:val="9"/>
        <w:rPr>
          <w:rFonts w:hint="eastAsia" w:ascii="宋体" w:hAnsi="宋体" w:eastAsia="宋体" w:cs="宋体"/>
          <w:sz w:val="24"/>
        </w:rPr>
      </w:pPr>
      <w:r>
        <w:rPr>
          <w:rFonts w:hint="eastAsia" w:ascii="宋体" w:hAnsi="宋体" w:eastAsia="宋体" w:cs="宋体"/>
          <w:sz w:val="24"/>
        </w:rPr>
        <w:t>1.11 知识产权</w:t>
      </w:r>
    </w:p>
    <w:p w14:paraId="11B7885F">
      <w:pPr>
        <w:pageBreakBefore w:val="0"/>
        <w:widowControl w:val="0"/>
        <w:kinsoku/>
        <w:wordWrap/>
        <w:overflowPunct/>
        <w:topLinePunct w:val="0"/>
        <w:bidi w:val="0"/>
        <w:snapToGrid/>
        <w:spacing w:line="480" w:lineRule="exact"/>
        <w:ind w:firstLine="480" w:firstLineChars="200"/>
        <w:textAlignment w:val="auto"/>
        <w:outlineLvl w:val="9"/>
        <w:rPr>
          <w:rFonts w:hint="eastAsia" w:ascii="宋体" w:hAnsi="宋体" w:eastAsia="宋体" w:cs="宋体"/>
          <w:sz w:val="24"/>
          <w:u w:val="single"/>
        </w:rPr>
      </w:pPr>
      <w:r>
        <w:rPr>
          <w:rFonts w:hint="eastAsia" w:ascii="宋体" w:hAnsi="宋体" w:eastAsia="宋体" w:cs="宋体"/>
          <w:sz w:val="24"/>
        </w:rPr>
        <w:t>1.11.1关于发包人提供给承包人的图纸、发包人为实施工程自行编制或委托编制的技术规范以及反映发包人关于合同要求或其他类似性质的文件的著作权的归属：</w:t>
      </w:r>
      <w:r>
        <w:rPr>
          <w:rFonts w:hint="eastAsia" w:ascii="宋体" w:hAnsi="宋体" w:eastAsia="宋体" w:cs="宋体"/>
          <w:sz w:val="24"/>
          <w:u w:val="single"/>
        </w:rPr>
        <w:t xml:space="preserve">       /        </w:t>
      </w:r>
      <w:r>
        <w:rPr>
          <w:rFonts w:hint="eastAsia" w:ascii="宋体" w:hAnsi="宋体" w:eastAsia="宋体" w:cs="宋体"/>
          <w:sz w:val="24"/>
        </w:rPr>
        <w:t>。</w:t>
      </w:r>
    </w:p>
    <w:p w14:paraId="304F4284">
      <w:pPr>
        <w:pageBreakBefore w:val="0"/>
        <w:widowControl w:val="0"/>
        <w:kinsoku/>
        <w:wordWrap/>
        <w:overflowPunct/>
        <w:topLinePunct w:val="0"/>
        <w:bidi w:val="0"/>
        <w:snapToGrid/>
        <w:spacing w:line="480" w:lineRule="exact"/>
        <w:textAlignment w:val="auto"/>
        <w:outlineLvl w:val="9"/>
        <w:rPr>
          <w:rFonts w:hint="eastAsia" w:ascii="宋体" w:hAnsi="宋体" w:eastAsia="宋体" w:cs="宋体"/>
          <w:sz w:val="24"/>
        </w:rPr>
      </w:pPr>
    </w:p>
    <w:p w14:paraId="07061071">
      <w:pPr>
        <w:pageBreakBefore w:val="0"/>
        <w:widowControl w:val="0"/>
        <w:kinsoku/>
        <w:wordWrap/>
        <w:overflowPunct/>
        <w:topLinePunct w:val="0"/>
        <w:bidi w:val="0"/>
        <w:snapToGrid/>
        <w:spacing w:line="480" w:lineRule="exact"/>
        <w:ind w:left="596" w:leftChars="284"/>
        <w:textAlignment w:val="auto"/>
        <w:outlineLvl w:val="9"/>
        <w:rPr>
          <w:rFonts w:hint="eastAsia" w:ascii="宋体" w:hAnsi="宋体" w:eastAsia="宋体" w:cs="宋体"/>
          <w:sz w:val="24"/>
        </w:rPr>
      </w:pPr>
      <w:r>
        <w:rPr>
          <w:rFonts w:hint="eastAsia" w:ascii="宋体" w:hAnsi="宋体" w:eastAsia="宋体" w:cs="宋体"/>
          <w:sz w:val="24"/>
        </w:rPr>
        <w:t>关于发包人提供的上述文件的使用限制的要求：</w:t>
      </w:r>
      <w:r>
        <w:rPr>
          <w:rFonts w:hint="eastAsia" w:ascii="宋体" w:hAnsi="宋体" w:eastAsia="宋体" w:cs="宋体"/>
          <w:sz w:val="24"/>
          <w:u w:val="single"/>
        </w:rPr>
        <w:t xml:space="preserve">      /     </w:t>
      </w:r>
      <w:r>
        <w:rPr>
          <w:rFonts w:hint="eastAsia" w:ascii="宋体" w:hAnsi="宋体" w:eastAsia="宋体" w:cs="宋体"/>
          <w:sz w:val="24"/>
        </w:rPr>
        <w:t>。</w:t>
      </w:r>
    </w:p>
    <w:p w14:paraId="438464B0">
      <w:pPr>
        <w:pageBreakBefore w:val="0"/>
        <w:widowControl w:val="0"/>
        <w:kinsoku/>
        <w:wordWrap/>
        <w:overflowPunct/>
        <w:topLinePunct w:val="0"/>
        <w:bidi w:val="0"/>
        <w:snapToGrid/>
        <w:spacing w:line="480" w:lineRule="exact"/>
        <w:ind w:left="716" w:leftChars="284" w:hanging="120" w:hangingChars="50"/>
        <w:jc w:val="left"/>
        <w:textAlignment w:val="auto"/>
        <w:outlineLvl w:val="9"/>
        <w:rPr>
          <w:rFonts w:hint="eastAsia" w:ascii="宋体" w:hAnsi="宋体" w:eastAsia="宋体" w:cs="宋体"/>
          <w:sz w:val="24"/>
        </w:rPr>
      </w:pPr>
      <w:r>
        <w:rPr>
          <w:rFonts w:hint="eastAsia" w:ascii="宋体" w:hAnsi="宋体" w:eastAsia="宋体" w:cs="宋体"/>
          <w:sz w:val="24"/>
        </w:rPr>
        <w:t xml:space="preserve">1.11.2 关于承包人为实施工程所编制文件的著作权的归属： </w:t>
      </w:r>
      <w:r>
        <w:rPr>
          <w:rFonts w:hint="eastAsia" w:ascii="宋体" w:hAnsi="宋体" w:eastAsia="宋体" w:cs="宋体"/>
          <w:sz w:val="24"/>
          <w:u w:val="single"/>
        </w:rPr>
        <w:t xml:space="preserve">   /      </w:t>
      </w:r>
      <w:r>
        <w:rPr>
          <w:rFonts w:hint="eastAsia" w:ascii="宋体" w:hAnsi="宋体" w:eastAsia="宋体" w:cs="宋体"/>
          <w:sz w:val="24"/>
        </w:rPr>
        <w:t>。</w:t>
      </w:r>
    </w:p>
    <w:p w14:paraId="3604D425">
      <w:pPr>
        <w:pageBreakBefore w:val="0"/>
        <w:widowControl w:val="0"/>
        <w:kinsoku/>
        <w:wordWrap/>
        <w:overflowPunct/>
        <w:topLinePunct w:val="0"/>
        <w:bidi w:val="0"/>
        <w:snapToGrid/>
        <w:spacing w:line="480" w:lineRule="exact"/>
        <w:ind w:firstLine="480" w:firstLineChars="200"/>
        <w:textAlignment w:val="auto"/>
        <w:outlineLvl w:val="9"/>
        <w:rPr>
          <w:rFonts w:hint="eastAsia" w:ascii="宋体" w:hAnsi="宋体" w:eastAsia="宋体" w:cs="宋体"/>
          <w:sz w:val="24"/>
        </w:rPr>
      </w:pPr>
      <w:r>
        <w:rPr>
          <w:rFonts w:hint="eastAsia" w:ascii="宋体" w:hAnsi="宋体" w:eastAsia="宋体" w:cs="宋体"/>
          <w:sz w:val="24"/>
        </w:rPr>
        <w:t>关于承包人提供的上述文件的使用限制的要求：</w:t>
      </w:r>
      <w:r>
        <w:rPr>
          <w:rFonts w:hint="eastAsia" w:ascii="宋体" w:hAnsi="宋体" w:eastAsia="宋体" w:cs="宋体"/>
          <w:sz w:val="24"/>
          <w:u w:val="single"/>
        </w:rPr>
        <w:t xml:space="preserve">      /      </w:t>
      </w:r>
      <w:r>
        <w:rPr>
          <w:rFonts w:hint="eastAsia" w:ascii="宋体" w:hAnsi="宋体" w:eastAsia="宋体" w:cs="宋体"/>
          <w:sz w:val="24"/>
        </w:rPr>
        <w:t>。</w:t>
      </w:r>
    </w:p>
    <w:p w14:paraId="2424EA1D">
      <w:pPr>
        <w:pageBreakBefore w:val="0"/>
        <w:widowControl w:val="0"/>
        <w:kinsoku/>
        <w:wordWrap/>
        <w:overflowPunct/>
        <w:topLinePunct w:val="0"/>
        <w:bidi w:val="0"/>
        <w:snapToGrid/>
        <w:spacing w:line="480" w:lineRule="exact"/>
        <w:ind w:firstLine="480" w:firstLineChars="200"/>
        <w:textAlignment w:val="auto"/>
        <w:outlineLvl w:val="9"/>
        <w:rPr>
          <w:rFonts w:hint="eastAsia" w:ascii="宋体" w:hAnsi="宋体" w:eastAsia="宋体" w:cs="宋体"/>
          <w:kern w:val="0"/>
          <w:sz w:val="24"/>
        </w:rPr>
      </w:pPr>
      <w:r>
        <w:rPr>
          <w:rFonts w:hint="eastAsia" w:ascii="宋体" w:hAnsi="宋体" w:eastAsia="宋体" w:cs="宋体"/>
          <w:sz w:val="24"/>
        </w:rPr>
        <w:t>1.11.4 承包人在施工过程中所采用的专利、专有技术、技术秘密的使用费的承担方式：</w:t>
      </w:r>
      <w:r>
        <w:rPr>
          <w:rFonts w:hint="eastAsia" w:ascii="宋体" w:hAnsi="宋体" w:eastAsia="宋体" w:cs="宋体"/>
          <w:sz w:val="24"/>
          <w:u w:val="single"/>
        </w:rPr>
        <w:t xml:space="preserve">          /                  </w:t>
      </w:r>
      <w:r>
        <w:rPr>
          <w:rFonts w:hint="eastAsia" w:ascii="宋体" w:hAnsi="宋体" w:eastAsia="宋体" w:cs="宋体"/>
          <w:kern w:val="0"/>
          <w:sz w:val="24"/>
        </w:rPr>
        <w:t>。</w:t>
      </w:r>
    </w:p>
    <w:p w14:paraId="77114EE6">
      <w:pPr>
        <w:pageBreakBefore w:val="0"/>
        <w:widowControl w:val="0"/>
        <w:kinsoku/>
        <w:wordWrap/>
        <w:overflowPunct/>
        <w:topLinePunct w:val="0"/>
        <w:bidi w:val="0"/>
        <w:snapToGrid/>
        <w:spacing w:after="120" w:line="480" w:lineRule="exact"/>
        <w:ind w:firstLine="480" w:firstLineChars="200"/>
        <w:textAlignment w:val="auto"/>
        <w:outlineLvl w:val="9"/>
        <w:rPr>
          <w:rFonts w:hint="eastAsia" w:ascii="宋体" w:hAnsi="宋体" w:eastAsia="宋体" w:cs="宋体"/>
          <w:sz w:val="24"/>
        </w:rPr>
      </w:pPr>
      <w:r>
        <w:rPr>
          <w:rFonts w:hint="eastAsia" w:ascii="宋体" w:hAnsi="宋体" w:eastAsia="宋体" w:cs="宋体"/>
          <w:sz w:val="24"/>
        </w:rPr>
        <w:t>1.13工程量清单错误的修正</w:t>
      </w:r>
    </w:p>
    <w:p w14:paraId="4DF0120E">
      <w:pPr>
        <w:pageBreakBefore w:val="0"/>
        <w:widowControl w:val="0"/>
        <w:kinsoku/>
        <w:wordWrap/>
        <w:overflowPunct/>
        <w:topLinePunct w:val="0"/>
        <w:bidi w:val="0"/>
        <w:snapToGrid/>
        <w:spacing w:line="480" w:lineRule="exact"/>
        <w:ind w:firstLine="480" w:firstLineChars="200"/>
        <w:textAlignment w:val="auto"/>
        <w:outlineLvl w:val="9"/>
        <w:rPr>
          <w:rFonts w:hint="eastAsia" w:ascii="宋体" w:hAnsi="宋体" w:eastAsia="宋体" w:cs="宋体"/>
          <w:sz w:val="24"/>
        </w:rPr>
      </w:pPr>
      <w:r>
        <w:rPr>
          <w:rFonts w:hint="eastAsia" w:ascii="宋体" w:hAnsi="宋体" w:eastAsia="宋体" w:cs="宋体"/>
          <w:sz w:val="24"/>
        </w:rPr>
        <w:t>出现工程量清单错误时，是否调整合同价格：</w:t>
      </w:r>
      <w:r>
        <w:rPr>
          <w:rFonts w:hint="eastAsia" w:ascii="宋体" w:hAnsi="宋体" w:eastAsia="宋体" w:cs="宋体"/>
          <w:sz w:val="24"/>
          <w:u w:val="single"/>
        </w:rPr>
        <w:t xml:space="preserve">         </w:t>
      </w:r>
      <w:r>
        <w:rPr>
          <w:rFonts w:hint="eastAsia" w:ascii="宋体" w:hAnsi="宋体" w:eastAsia="宋体" w:cs="宋体"/>
          <w:kern w:val="0"/>
          <w:sz w:val="24"/>
        </w:rPr>
        <w:t>。</w:t>
      </w:r>
    </w:p>
    <w:p w14:paraId="2A22A073">
      <w:pPr>
        <w:pageBreakBefore w:val="0"/>
        <w:widowControl w:val="0"/>
        <w:kinsoku/>
        <w:wordWrap/>
        <w:overflowPunct/>
        <w:topLinePunct w:val="0"/>
        <w:bidi w:val="0"/>
        <w:snapToGrid/>
        <w:spacing w:line="480" w:lineRule="exact"/>
        <w:ind w:firstLine="480" w:firstLineChars="200"/>
        <w:textAlignment w:val="auto"/>
        <w:outlineLvl w:val="9"/>
        <w:rPr>
          <w:rFonts w:hint="eastAsia" w:ascii="宋体" w:hAnsi="宋体" w:eastAsia="宋体" w:cs="宋体"/>
          <w:sz w:val="24"/>
        </w:rPr>
      </w:pPr>
      <w:r>
        <w:rPr>
          <w:rFonts w:hint="eastAsia" w:ascii="宋体" w:hAnsi="宋体" w:eastAsia="宋体" w:cs="宋体"/>
          <w:sz w:val="24"/>
        </w:rPr>
        <w:t>允许调整合同价格的工程量偏差范围：</w:t>
      </w:r>
      <w:r>
        <w:rPr>
          <w:rFonts w:hint="eastAsia" w:ascii="宋体" w:hAnsi="宋体" w:eastAsia="宋体" w:cs="宋体"/>
          <w:sz w:val="24"/>
          <w:u w:val="single"/>
        </w:rPr>
        <w:t xml:space="preserve">          </w:t>
      </w:r>
      <w:r>
        <w:rPr>
          <w:rFonts w:hint="eastAsia" w:ascii="宋体" w:hAnsi="宋体" w:eastAsia="宋体" w:cs="宋体"/>
          <w:kern w:val="0"/>
          <w:sz w:val="24"/>
        </w:rPr>
        <w:t>。</w:t>
      </w:r>
    </w:p>
    <w:p w14:paraId="154DFE74">
      <w:pPr>
        <w:pageBreakBefore w:val="0"/>
        <w:widowControl w:val="0"/>
        <w:kinsoku/>
        <w:wordWrap/>
        <w:overflowPunct/>
        <w:topLinePunct w:val="0"/>
        <w:bidi w:val="0"/>
        <w:snapToGrid/>
        <w:spacing w:before="120" w:after="120" w:line="480" w:lineRule="exact"/>
        <w:textAlignment w:val="auto"/>
        <w:outlineLvl w:val="9"/>
        <w:rPr>
          <w:rFonts w:hint="eastAsia" w:ascii="宋体" w:hAnsi="宋体" w:eastAsia="宋体" w:cs="宋体"/>
          <w:b w:val="0"/>
          <w:sz w:val="24"/>
          <w:szCs w:val="24"/>
        </w:rPr>
      </w:pPr>
      <w:bookmarkStart w:id="1050" w:name="_Toc351203634"/>
      <w:r>
        <w:rPr>
          <w:rFonts w:hint="eastAsia" w:ascii="宋体" w:hAnsi="宋体" w:eastAsia="宋体" w:cs="宋体"/>
          <w:b w:val="0"/>
          <w:sz w:val="24"/>
          <w:szCs w:val="24"/>
        </w:rPr>
        <w:t>2</w:t>
      </w:r>
      <w:bookmarkStart w:id="1051" w:name="_Toc297120457"/>
      <w:bookmarkStart w:id="1052" w:name="_Toc296347156"/>
      <w:bookmarkStart w:id="1053" w:name="_Toc292559362"/>
      <w:bookmarkStart w:id="1054" w:name="_Toc297048343"/>
      <w:bookmarkStart w:id="1055" w:name="_Toc296891197"/>
      <w:bookmarkStart w:id="1056" w:name="_Toc296944496"/>
      <w:bookmarkStart w:id="1057" w:name="_Toc292559867"/>
      <w:bookmarkStart w:id="1058" w:name="_Toc296503157"/>
      <w:bookmarkStart w:id="1059" w:name="_Toc296890985"/>
      <w:bookmarkStart w:id="1060" w:name="_Toc296346658"/>
      <w:r>
        <w:rPr>
          <w:rFonts w:hint="eastAsia" w:ascii="宋体" w:hAnsi="宋体" w:eastAsia="宋体" w:cs="宋体"/>
          <w:b w:val="0"/>
          <w:sz w:val="24"/>
          <w:szCs w:val="24"/>
        </w:rPr>
        <w:t>. 发包人</w:t>
      </w:r>
      <w:bookmarkEnd w:id="1050"/>
    </w:p>
    <w:bookmarkEnd w:id="1051"/>
    <w:bookmarkEnd w:id="1052"/>
    <w:bookmarkEnd w:id="1053"/>
    <w:bookmarkEnd w:id="1054"/>
    <w:bookmarkEnd w:id="1055"/>
    <w:bookmarkEnd w:id="1056"/>
    <w:bookmarkEnd w:id="1057"/>
    <w:bookmarkEnd w:id="1058"/>
    <w:bookmarkEnd w:id="1059"/>
    <w:bookmarkEnd w:id="1060"/>
    <w:p w14:paraId="6CB5CEFB">
      <w:pPr>
        <w:pageBreakBefore w:val="0"/>
        <w:widowControl w:val="0"/>
        <w:kinsoku/>
        <w:wordWrap/>
        <w:overflowPunct/>
        <w:topLinePunct w:val="0"/>
        <w:bidi w:val="0"/>
        <w:snapToGrid/>
        <w:spacing w:after="120" w:line="480" w:lineRule="exact"/>
        <w:ind w:firstLine="480" w:firstLineChars="200"/>
        <w:textAlignment w:val="auto"/>
        <w:outlineLvl w:val="9"/>
        <w:rPr>
          <w:rFonts w:hint="eastAsia" w:ascii="宋体" w:hAnsi="宋体" w:eastAsia="宋体" w:cs="宋体"/>
          <w:sz w:val="24"/>
        </w:rPr>
      </w:pPr>
      <w:r>
        <w:rPr>
          <w:rFonts w:hint="eastAsia" w:ascii="宋体" w:hAnsi="宋体" w:eastAsia="宋体" w:cs="宋体"/>
          <w:sz w:val="24"/>
        </w:rPr>
        <w:t>2.2 发包人代表</w:t>
      </w:r>
    </w:p>
    <w:p w14:paraId="7C64DC08">
      <w:pPr>
        <w:pageBreakBefore w:val="0"/>
        <w:widowControl w:val="0"/>
        <w:kinsoku/>
        <w:wordWrap/>
        <w:overflowPunct/>
        <w:topLinePunct w:val="0"/>
        <w:bidi w:val="0"/>
        <w:snapToGrid/>
        <w:spacing w:line="480" w:lineRule="exact"/>
        <w:ind w:firstLine="480" w:firstLineChars="200"/>
        <w:textAlignment w:val="auto"/>
        <w:outlineLvl w:val="9"/>
        <w:rPr>
          <w:rFonts w:hint="eastAsia" w:ascii="宋体" w:hAnsi="宋体" w:eastAsia="宋体" w:cs="宋体"/>
          <w:sz w:val="24"/>
        </w:rPr>
      </w:pPr>
      <w:r>
        <w:rPr>
          <w:rFonts w:hint="eastAsia" w:ascii="宋体" w:hAnsi="宋体" w:eastAsia="宋体" w:cs="宋体"/>
          <w:sz w:val="24"/>
        </w:rPr>
        <w:t>发包人代表：</w:t>
      </w:r>
    </w:p>
    <w:p w14:paraId="25F79BAF">
      <w:pPr>
        <w:pageBreakBefore w:val="0"/>
        <w:widowControl w:val="0"/>
        <w:kinsoku/>
        <w:wordWrap/>
        <w:overflowPunct/>
        <w:topLinePunct w:val="0"/>
        <w:bidi w:val="0"/>
        <w:snapToGrid/>
        <w:spacing w:line="480" w:lineRule="exact"/>
        <w:ind w:firstLine="480" w:firstLineChars="200"/>
        <w:textAlignment w:val="auto"/>
        <w:outlineLvl w:val="9"/>
        <w:rPr>
          <w:rFonts w:hint="eastAsia" w:ascii="宋体" w:hAnsi="宋体" w:eastAsia="宋体" w:cs="宋体"/>
          <w:sz w:val="24"/>
        </w:rPr>
      </w:pPr>
      <w:r>
        <w:rPr>
          <w:rFonts w:hint="eastAsia" w:ascii="宋体" w:hAnsi="宋体" w:eastAsia="宋体" w:cs="宋体"/>
          <w:sz w:val="24"/>
        </w:rPr>
        <w:t>姓    名：</w:t>
      </w:r>
      <w:r>
        <w:rPr>
          <w:rFonts w:hint="eastAsia" w:ascii="宋体" w:hAnsi="宋体" w:eastAsia="宋体" w:cs="宋体"/>
          <w:sz w:val="24"/>
          <w:u w:val="single"/>
        </w:rPr>
        <w:t>                 </w:t>
      </w:r>
      <w:r>
        <w:rPr>
          <w:rFonts w:hint="eastAsia" w:ascii="宋体" w:hAnsi="宋体" w:eastAsia="宋体" w:cs="宋体"/>
          <w:sz w:val="24"/>
        </w:rPr>
        <w:t>；</w:t>
      </w:r>
    </w:p>
    <w:p w14:paraId="61E4AC25">
      <w:pPr>
        <w:pageBreakBefore w:val="0"/>
        <w:widowControl w:val="0"/>
        <w:kinsoku/>
        <w:wordWrap/>
        <w:overflowPunct/>
        <w:topLinePunct w:val="0"/>
        <w:bidi w:val="0"/>
        <w:snapToGrid/>
        <w:spacing w:line="480" w:lineRule="exact"/>
        <w:ind w:firstLine="480" w:firstLineChars="200"/>
        <w:textAlignment w:val="auto"/>
        <w:outlineLvl w:val="9"/>
        <w:rPr>
          <w:rFonts w:hint="eastAsia" w:ascii="宋体" w:hAnsi="宋体" w:eastAsia="宋体" w:cs="宋体"/>
          <w:b/>
          <w:sz w:val="24"/>
        </w:rPr>
      </w:pPr>
      <w:r>
        <w:rPr>
          <w:rFonts w:hint="eastAsia" w:ascii="宋体" w:hAnsi="宋体" w:eastAsia="宋体" w:cs="宋体"/>
          <w:sz w:val="24"/>
        </w:rPr>
        <w:t>发包人对发包人代表的授权范围如下：</w:t>
      </w:r>
      <w:r>
        <w:rPr>
          <w:rFonts w:hint="eastAsia" w:ascii="宋体" w:hAnsi="宋体" w:eastAsia="宋体" w:cs="宋体"/>
          <w:sz w:val="24"/>
          <w:u w:val="single"/>
        </w:rPr>
        <w:t xml:space="preserve">                       </w:t>
      </w:r>
      <w:r>
        <w:rPr>
          <w:rFonts w:hint="eastAsia" w:ascii="宋体" w:hAnsi="宋体" w:eastAsia="宋体" w:cs="宋体"/>
          <w:sz w:val="24"/>
        </w:rPr>
        <w:t>。</w:t>
      </w:r>
    </w:p>
    <w:p w14:paraId="4034EC4D">
      <w:pPr>
        <w:pageBreakBefore w:val="0"/>
        <w:widowControl w:val="0"/>
        <w:kinsoku/>
        <w:wordWrap/>
        <w:overflowPunct/>
        <w:topLinePunct w:val="0"/>
        <w:bidi w:val="0"/>
        <w:snapToGrid/>
        <w:spacing w:after="120" w:line="480" w:lineRule="exact"/>
        <w:ind w:firstLine="480" w:firstLineChars="200"/>
        <w:textAlignment w:val="auto"/>
        <w:outlineLvl w:val="9"/>
        <w:rPr>
          <w:rFonts w:hint="eastAsia" w:ascii="宋体" w:hAnsi="宋体" w:eastAsia="宋体" w:cs="宋体"/>
          <w:sz w:val="24"/>
        </w:rPr>
      </w:pPr>
      <w:r>
        <w:rPr>
          <w:rFonts w:hint="eastAsia" w:ascii="宋体" w:hAnsi="宋体" w:eastAsia="宋体" w:cs="宋体"/>
          <w:sz w:val="24"/>
        </w:rPr>
        <w:t>2.4 施工现场、施工条件和基础资料的提供</w:t>
      </w:r>
    </w:p>
    <w:p w14:paraId="23CAC7D2">
      <w:pPr>
        <w:pageBreakBefore w:val="0"/>
        <w:widowControl w:val="0"/>
        <w:kinsoku/>
        <w:wordWrap/>
        <w:overflowPunct/>
        <w:topLinePunct w:val="0"/>
        <w:bidi w:val="0"/>
        <w:snapToGrid/>
        <w:spacing w:line="480" w:lineRule="exact"/>
        <w:ind w:firstLine="480" w:firstLineChars="200"/>
        <w:textAlignment w:val="auto"/>
        <w:outlineLvl w:val="9"/>
        <w:rPr>
          <w:rFonts w:hint="eastAsia" w:ascii="宋体" w:hAnsi="宋体" w:eastAsia="宋体" w:cs="宋体"/>
          <w:sz w:val="24"/>
        </w:rPr>
      </w:pPr>
      <w:r>
        <w:rPr>
          <w:rFonts w:hint="eastAsia" w:ascii="宋体" w:hAnsi="宋体" w:eastAsia="宋体" w:cs="宋体"/>
          <w:sz w:val="24"/>
        </w:rPr>
        <w:t>2.4.1 提供施工现场</w:t>
      </w:r>
    </w:p>
    <w:p w14:paraId="3BC53511">
      <w:pPr>
        <w:pageBreakBefore w:val="0"/>
        <w:widowControl w:val="0"/>
        <w:kinsoku/>
        <w:wordWrap/>
        <w:overflowPunct/>
        <w:topLinePunct w:val="0"/>
        <w:bidi w:val="0"/>
        <w:snapToGrid/>
        <w:spacing w:line="480" w:lineRule="exact"/>
        <w:ind w:firstLine="480" w:firstLineChars="200"/>
        <w:jc w:val="left"/>
        <w:textAlignment w:val="auto"/>
        <w:outlineLvl w:val="9"/>
        <w:rPr>
          <w:rFonts w:hint="eastAsia" w:ascii="宋体" w:hAnsi="宋体" w:eastAsia="宋体" w:cs="宋体"/>
          <w:sz w:val="24"/>
        </w:rPr>
      </w:pPr>
      <w:r>
        <w:rPr>
          <w:rFonts w:hint="eastAsia" w:ascii="宋体" w:hAnsi="宋体" w:eastAsia="宋体" w:cs="宋体"/>
          <w:sz w:val="24"/>
        </w:rPr>
        <w:t>关于发包人移交施工现场的期限要求：</w:t>
      </w:r>
      <w:r>
        <w:rPr>
          <w:rFonts w:hint="eastAsia" w:ascii="宋体" w:hAnsi="宋体" w:eastAsia="宋体" w:cs="宋体"/>
          <w:sz w:val="24"/>
          <w:u w:val="single"/>
        </w:rPr>
        <w:t>合同签订后，双方协商       </w:t>
      </w:r>
      <w:r>
        <w:rPr>
          <w:rFonts w:hint="eastAsia" w:ascii="宋体" w:hAnsi="宋体" w:eastAsia="宋体" w:cs="宋体"/>
          <w:sz w:val="24"/>
        </w:rPr>
        <w:t>。</w:t>
      </w:r>
    </w:p>
    <w:p w14:paraId="34058DDA">
      <w:pPr>
        <w:pageBreakBefore w:val="0"/>
        <w:widowControl w:val="0"/>
        <w:kinsoku/>
        <w:wordWrap/>
        <w:overflowPunct/>
        <w:topLinePunct w:val="0"/>
        <w:bidi w:val="0"/>
        <w:snapToGrid/>
        <w:spacing w:line="480" w:lineRule="exact"/>
        <w:ind w:firstLine="480" w:firstLineChars="200"/>
        <w:textAlignment w:val="auto"/>
        <w:outlineLvl w:val="9"/>
        <w:rPr>
          <w:rFonts w:hint="eastAsia" w:ascii="宋体" w:hAnsi="宋体" w:eastAsia="宋体" w:cs="宋体"/>
          <w:sz w:val="24"/>
        </w:rPr>
      </w:pPr>
      <w:r>
        <w:rPr>
          <w:rFonts w:hint="eastAsia" w:ascii="宋体" w:hAnsi="宋体" w:eastAsia="宋体" w:cs="宋体"/>
          <w:sz w:val="24"/>
        </w:rPr>
        <w:t>2.4.2 提供施工条件</w:t>
      </w:r>
    </w:p>
    <w:p w14:paraId="731C8EB5">
      <w:pPr>
        <w:pageBreakBefore w:val="0"/>
        <w:widowControl w:val="0"/>
        <w:kinsoku/>
        <w:wordWrap/>
        <w:overflowPunct/>
        <w:topLinePunct w:val="0"/>
        <w:bidi w:val="0"/>
        <w:snapToGrid/>
        <w:spacing w:line="480" w:lineRule="exact"/>
        <w:ind w:firstLine="480" w:firstLineChars="200"/>
        <w:textAlignment w:val="auto"/>
        <w:outlineLvl w:val="9"/>
        <w:rPr>
          <w:rFonts w:hint="eastAsia" w:ascii="宋体" w:hAnsi="宋体" w:eastAsia="宋体" w:cs="宋体"/>
          <w:sz w:val="24"/>
          <w:u w:val="single"/>
        </w:rPr>
      </w:pPr>
      <w:r>
        <w:rPr>
          <w:rFonts w:hint="eastAsia" w:ascii="宋体" w:hAnsi="宋体" w:eastAsia="宋体" w:cs="宋体"/>
          <w:sz w:val="24"/>
        </w:rPr>
        <w:t>关于发包人应负责提供施工所需要的条件，包括：水、电、路、网络、通讯通畅、工程地质、地下管线资料、水准点与坐标控制点等。</w:t>
      </w:r>
    </w:p>
    <w:p w14:paraId="421B3855">
      <w:pPr>
        <w:pageBreakBefore w:val="0"/>
        <w:widowControl w:val="0"/>
        <w:kinsoku/>
        <w:wordWrap/>
        <w:overflowPunct/>
        <w:topLinePunct w:val="0"/>
        <w:bidi w:val="0"/>
        <w:snapToGrid/>
        <w:spacing w:after="120" w:line="480" w:lineRule="exact"/>
        <w:ind w:firstLine="480" w:firstLineChars="200"/>
        <w:textAlignment w:val="auto"/>
        <w:outlineLvl w:val="9"/>
        <w:rPr>
          <w:rFonts w:hint="eastAsia" w:ascii="宋体" w:hAnsi="宋体" w:eastAsia="宋体" w:cs="宋体"/>
          <w:sz w:val="24"/>
        </w:rPr>
      </w:pPr>
      <w:r>
        <w:rPr>
          <w:rFonts w:hint="eastAsia" w:ascii="宋体" w:hAnsi="宋体" w:eastAsia="宋体" w:cs="宋体"/>
          <w:sz w:val="24"/>
        </w:rPr>
        <w:t>2.5 资金来源证明及支付担保</w:t>
      </w:r>
    </w:p>
    <w:p w14:paraId="187DDB54">
      <w:pPr>
        <w:pageBreakBefore w:val="0"/>
        <w:widowControl w:val="0"/>
        <w:kinsoku/>
        <w:wordWrap/>
        <w:overflowPunct/>
        <w:topLinePunct w:val="0"/>
        <w:bidi w:val="0"/>
        <w:snapToGrid/>
        <w:spacing w:line="480" w:lineRule="exact"/>
        <w:ind w:firstLine="480" w:firstLineChars="200"/>
        <w:textAlignment w:val="auto"/>
        <w:outlineLvl w:val="9"/>
        <w:rPr>
          <w:rFonts w:hint="eastAsia" w:ascii="宋体" w:hAnsi="宋体" w:eastAsia="宋体" w:cs="宋体"/>
          <w:sz w:val="24"/>
        </w:rPr>
      </w:pPr>
      <w:r>
        <w:rPr>
          <w:rFonts w:hint="eastAsia" w:ascii="宋体" w:hAnsi="宋体" w:eastAsia="宋体" w:cs="宋体"/>
          <w:sz w:val="24"/>
        </w:rPr>
        <w:t>发包人提供资金来源证明的期限要求：</w:t>
      </w:r>
      <w:r>
        <w:rPr>
          <w:rFonts w:hint="eastAsia" w:ascii="宋体" w:hAnsi="宋体" w:eastAsia="宋体" w:cs="宋体"/>
          <w:sz w:val="24"/>
          <w:u w:val="single"/>
        </w:rPr>
        <w:t xml:space="preserve">   /             </w:t>
      </w:r>
      <w:r>
        <w:rPr>
          <w:rFonts w:hint="eastAsia" w:ascii="宋体" w:hAnsi="宋体" w:eastAsia="宋体" w:cs="宋体"/>
          <w:sz w:val="24"/>
        </w:rPr>
        <w:t>。</w:t>
      </w:r>
    </w:p>
    <w:p w14:paraId="0C9240B1">
      <w:pPr>
        <w:pageBreakBefore w:val="0"/>
        <w:widowControl w:val="0"/>
        <w:kinsoku/>
        <w:wordWrap/>
        <w:overflowPunct/>
        <w:topLinePunct w:val="0"/>
        <w:bidi w:val="0"/>
        <w:snapToGrid/>
        <w:spacing w:line="480" w:lineRule="exact"/>
        <w:ind w:firstLine="480" w:firstLineChars="200"/>
        <w:textAlignment w:val="auto"/>
        <w:outlineLvl w:val="9"/>
        <w:rPr>
          <w:rFonts w:hint="eastAsia" w:ascii="宋体" w:hAnsi="宋体" w:eastAsia="宋体" w:cs="宋体"/>
          <w:sz w:val="24"/>
        </w:rPr>
      </w:pPr>
      <w:r>
        <w:rPr>
          <w:rFonts w:hint="eastAsia" w:ascii="宋体" w:hAnsi="宋体" w:eastAsia="宋体" w:cs="宋体"/>
          <w:sz w:val="24"/>
        </w:rPr>
        <w:t>发包人是否提供支付担保：</w:t>
      </w:r>
      <w:r>
        <w:rPr>
          <w:rFonts w:hint="eastAsia" w:ascii="宋体" w:hAnsi="宋体" w:eastAsia="宋体" w:cs="宋体"/>
          <w:sz w:val="24"/>
          <w:u w:val="single"/>
        </w:rPr>
        <w:t xml:space="preserve">           /           </w:t>
      </w:r>
      <w:r>
        <w:rPr>
          <w:rFonts w:hint="eastAsia" w:ascii="宋体" w:hAnsi="宋体" w:eastAsia="宋体" w:cs="宋体"/>
          <w:sz w:val="24"/>
        </w:rPr>
        <w:t>。</w:t>
      </w:r>
    </w:p>
    <w:p w14:paraId="49D6B15B">
      <w:pPr>
        <w:pageBreakBefore w:val="0"/>
        <w:widowControl w:val="0"/>
        <w:kinsoku/>
        <w:wordWrap/>
        <w:overflowPunct/>
        <w:topLinePunct w:val="0"/>
        <w:bidi w:val="0"/>
        <w:snapToGrid/>
        <w:spacing w:line="480" w:lineRule="exact"/>
        <w:ind w:firstLine="480" w:firstLineChars="200"/>
        <w:textAlignment w:val="auto"/>
        <w:outlineLvl w:val="9"/>
        <w:rPr>
          <w:rFonts w:hint="eastAsia" w:ascii="宋体" w:hAnsi="宋体" w:eastAsia="宋体" w:cs="宋体"/>
          <w:sz w:val="24"/>
          <w:u w:val="single"/>
        </w:rPr>
      </w:pPr>
      <w:r>
        <w:rPr>
          <w:rFonts w:hint="eastAsia" w:ascii="宋体" w:hAnsi="宋体" w:eastAsia="宋体" w:cs="宋体"/>
          <w:sz w:val="24"/>
        </w:rPr>
        <w:t>发包人提供支付担保的形式：</w:t>
      </w:r>
      <w:r>
        <w:rPr>
          <w:rFonts w:hint="eastAsia" w:ascii="宋体" w:hAnsi="宋体" w:eastAsia="宋体" w:cs="宋体"/>
          <w:sz w:val="24"/>
          <w:u w:val="single"/>
        </w:rPr>
        <w:t>         /             </w:t>
      </w:r>
      <w:r>
        <w:rPr>
          <w:rFonts w:hint="eastAsia" w:ascii="宋体" w:hAnsi="宋体" w:eastAsia="宋体" w:cs="宋体"/>
          <w:sz w:val="24"/>
        </w:rPr>
        <w:t>。</w:t>
      </w:r>
    </w:p>
    <w:p w14:paraId="55862989">
      <w:pPr>
        <w:pageBreakBefore w:val="0"/>
        <w:widowControl w:val="0"/>
        <w:kinsoku/>
        <w:wordWrap/>
        <w:overflowPunct/>
        <w:topLinePunct w:val="0"/>
        <w:bidi w:val="0"/>
        <w:snapToGrid/>
        <w:spacing w:before="120" w:after="120" w:line="480" w:lineRule="exact"/>
        <w:textAlignment w:val="auto"/>
        <w:outlineLvl w:val="9"/>
        <w:rPr>
          <w:rFonts w:hint="eastAsia" w:ascii="宋体" w:hAnsi="宋体" w:eastAsia="宋体" w:cs="宋体"/>
          <w:b w:val="0"/>
          <w:sz w:val="24"/>
          <w:szCs w:val="24"/>
        </w:rPr>
      </w:pPr>
      <w:bookmarkStart w:id="1061" w:name="_Toc351203635"/>
      <w:r>
        <w:rPr>
          <w:rFonts w:hint="eastAsia" w:ascii="宋体" w:hAnsi="宋体" w:eastAsia="宋体" w:cs="宋体"/>
          <w:b w:val="0"/>
          <w:sz w:val="24"/>
          <w:szCs w:val="24"/>
        </w:rPr>
        <w:t>3</w:t>
      </w:r>
      <w:bookmarkStart w:id="1062" w:name="_Toc296347157"/>
      <w:bookmarkStart w:id="1063" w:name="_Toc297120458"/>
      <w:bookmarkStart w:id="1064" w:name="_Toc296890986"/>
      <w:bookmarkStart w:id="1065" w:name="_Toc296346659"/>
      <w:bookmarkStart w:id="1066" w:name="_Toc296891198"/>
      <w:bookmarkStart w:id="1067" w:name="_Toc292559868"/>
      <w:bookmarkStart w:id="1068" w:name="_Toc292559363"/>
      <w:bookmarkStart w:id="1069" w:name="_Toc296503158"/>
      <w:bookmarkStart w:id="1070" w:name="_Toc296944497"/>
      <w:bookmarkStart w:id="1071" w:name="_Toc297048344"/>
      <w:r>
        <w:rPr>
          <w:rFonts w:hint="eastAsia" w:ascii="宋体" w:hAnsi="宋体" w:eastAsia="宋体" w:cs="宋体"/>
          <w:b w:val="0"/>
          <w:sz w:val="24"/>
          <w:szCs w:val="24"/>
        </w:rPr>
        <w:t>. 承包人</w:t>
      </w:r>
      <w:bookmarkEnd w:id="1061"/>
    </w:p>
    <w:bookmarkEnd w:id="1062"/>
    <w:bookmarkEnd w:id="1063"/>
    <w:bookmarkEnd w:id="1064"/>
    <w:bookmarkEnd w:id="1065"/>
    <w:bookmarkEnd w:id="1066"/>
    <w:bookmarkEnd w:id="1067"/>
    <w:bookmarkEnd w:id="1068"/>
    <w:bookmarkEnd w:id="1069"/>
    <w:bookmarkEnd w:id="1070"/>
    <w:bookmarkEnd w:id="1071"/>
    <w:p w14:paraId="0B9330DC">
      <w:pPr>
        <w:pageBreakBefore w:val="0"/>
        <w:widowControl w:val="0"/>
        <w:kinsoku/>
        <w:wordWrap/>
        <w:overflowPunct/>
        <w:topLinePunct w:val="0"/>
        <w:bidi w:val="0"/>
        <w:snapToGrid/>
        <w:spacing w:after="120" w:line="480" w:lineRule="exact"/>
        <w:ind w:firstLine="480" w:firstLineChars="200"/>
        <w:textAlignment w:val="auto"/>
        <w:outlineLvl w:val="9"/>
        <w:rPr>
          <w:rFonts w:hint="eastAsia" w:ascii="宋体" w:hAnsi="宋体" w:eastAsia="宋体" w:cs="宋体"/>
          <w:sz w:val="24"/>
        </w:rPr>
      </w:pPr>
      <w:r>
        <w:rPr>
          <w:rFonts w:hint="eastAsia" w:ascii="宋体" w:hAnsi="宋体" w:eastAsia="宋体" w:cs="宋体"/>
          <w:sz w:val="24"/>
        </w:rPr>
        <w:t>3.1 承包人的一般义务</w:t>
      </w:r>
    </w:p>
    <w:p w14:paraId="51CF807B">
      <w:pPr>
        <w:pageBreakBefore w:val="0"/>
        <w:widowControl w:val="0"/>
        <w:kinsoku/>
        <w:wordWrap/>
        <w:overflowPunct/>
        <w:topLinePunct w:val="0"/>
        <w:bidi w:val="0"/>
        <w:snapToGrid/>
        <w:spacing w:line="480" w:lineRule="exact"/>
        <w:ind w:firstLine="480" w:firstLineChars="200"/>
        <w:jc w:val="left"/>
        <w:textAlignment w:val="auto"/>
        <w:outlineLvl w:val="9"/>
        <w:rPr>
          <w:rFonts w:hint="eastAsia" w:ascii="宋体" w:hAnsi="宋体" w:eastAsia="宋体" w:cs="宋体"/>
          <w:sz w:val="24"/>
        </w:rPr>
      </w:pPr>
      <w:r>
        <w:rPr>
          <w:rFonts w:hint="eastAsia" w:ascii="宋体" w:hAnsi="宋体" w:eastAsia="宋体" w:cs="宋体"/>
          <w:kern w:val="0"/>
          <w:sz w:val="24"/>
        </w:rPr>
        <w:t>（9）</w:t>
      </w:r>
      <w:r>
        <w:rPr>
          <w:rFonts w:hint="eastAsia" w:ascii="宋体" w:hAnsi="宋体" w:eastAsia="宋体" w:cs="宋体"/>
          <w:sz w:val="24"/>
        </w:rPr>
        <w:t>承包人提交的竣工资料的内容：</w:t>
      </w:r>
      <w:r>
        <w:rPr>
          <w:rFonts w:hint="eastAsia" w:ascii="宋体" w:hAnsi="宋体" w:eastAsia="宋体" w:cs="宋体"/>
          <w:sz w:val="24"/>
          <w:u w:val="single"/>
        </w:rPr>
        <w:t xml:space="preserve">                    </w:t>
      </w:r>
      <w:r>
        <w:rPr>
          <w:rFonts w:hint="eastAsia" w:ascii="宋体" w:hAnsi="宋体" w:eastAsia="宋体" w:cs="宋体"/>
          <w:sz w:val="24"/>
        </w:rPr>
        <w:t>。</w:t>
      </w:r>
    </w:p>
    <w:p w14:paraId="1A9B0D6D">
      <w:pPr>
        <w:pageBreakBefore w:val="0"/>
        <w:widowControl w:val="0"/>
        <w:kinsoku/>
        <w:wordWrap/>
        <w:overflowPunct/>
        <w:topLinePunct w:val="0"/>
        <w:bidi w:val="0"/>
        <w:snapToGrid/>
        <w:spacing w:line="480" w:lineRule="exact"/>
        <w:ind w:firstLine="480" w:firstLineChars="200"/>
        <w:jc w:val="left"/>
        <w:textAlignment w:val="auto"/>
        <w:outlineLvl w:val="9"/>
        <w:rPr>
          <w:rFonts w:hint="eastAsia" w:ascii="宋体" w:hAnsi="宋体" w:eastAsia="宋体" w:cs="宋体"/>
          <w:sz w:val="24"/>
        </w:rPr>
      </w:pPr>
      <w:r>
        <w:rPr>
          <w:rFonts w:hint="eastAsia" w:ascii="宋体" w:hAnsi="宋体" w:eastAsia="宋体" w:cs="宋体"/>
          <w:sz w:val="24"/>
        </w:rPr>
        <w:t>承包人需要提交的竣工资料套数：</w:t>
      </w:r>
      <w:r>
        <w:rPr>
          <w:rFonts w:hint="eastAsia" w:ascii="宋体" w:hAnsi="宋体" w:eastAsia="宋体" w:cs="宋体"/>
          <w:sz w:val="24"/>
          <w:u w:val="single"/>
        </w:rPr>
        <w:t xml:space="preserve">                   </w:t>
      </w:r>
      <w:r>
        <w:rPr>
          <w:rFonts w:hint="eastAsia" w:ascii="宋体" w:hAnsi="宋体" w:eastAsia="宋体" w:cs="宋体"/>
          <w:sz w:val="24"/>
        </w:rPr>
        <w:t>。</w:t>
      </w:r>
    </w:p>
    <w:p w14:paraId="5325F87E">
      <w:pPr>
        <w:pageBreakBefore w:val="0"/>
        <w:widowControl w:val="0"/>
        <w:kinsoku/>
        <w:wordWrap/>
        <w:overflowPunct/>
        <w:topLinePunct w:val="0"/>
        <w:bidi w:val="0"/>
        <w:snapToGrid/>
        <w:spacing w:line="480" w:lineRule="exact"/>
        <w:ind w:left="638" w:leftChars="304"/>
        <w:jc w:val="left"/>
        <w:textAlignment w:val="auto"/>
        <w:outlineLvl w:val="9"/>
        <w:rPr>
          <w:rFonts w:hint="eastAsia" w:ascii="宋体" w:hAnsi="宋体" w:eastAsia="宋体" w:cs="宋体"/>
          <w:sz w:val="24"/>
        </w:rPr>
      </w:pPr>
      <w:r>
        <w:rPr>
          <w:rFonts w:hint="eastAsia" w:ascii="宋体" w:hAnsi="宋体" w:eastAsia="宋体" w:cs="宋体"/>
          <w:sz w:val="24"/>
        </w:rPr>
        <w:t>承包人提交的竣工资料的费用承担：</w:t>
      </w:r>
      <w:r>
        <w:rPr>
          <w:rFonts w:hint="eastAsia" w:ascii="宋体" w:hAnsi="宋体" w:eastAsia="宋体" w:cs="宋体"/>
          <w:sz w:val="24"/>
          <w:u w:val="single"/>
        </w:rPr>
        <w:t xml:space="preserve">             </w:t>
      </w:r>
      <w:r>
        <w:rPr>
          <w:rFonts w:hint="eastAsia" w:ascii="宋体" w:hAnsi="宋体" w:eastAsia="宋体" w:cs="宋体"/>
          <w:sz w:val="24"/>
        </w:rPr>
        <w:t>。</w:t>
      </w:r>
    </w:p>
    <w:p w14:paraId="27DC8908">
      <w:pPr>
        <w:pageBreakBefore w:val="0"/>
        <w:widowControl w:val="0"/>
        <w:kinsoku/>
        <w:wordWrap/>
        <w:overflowPunct/>
        <w:topLinePunct w:val="0"/>
        <w:bidi w:val="0"/>
        <w:snapToGrid/>
        <w:spacing w:line="480" w:lineRule="exact"/>
        <w:ind w:left="638" w:leftChars="304"/>
        <w:jc w:val="left"/>
        <w:textAlignment w:val="auto"/>
        <w:outlineLvl w:val="9"/>
        <w:rPr>
          <w:rFonts w:hint="eastAsia" w:ascii="宋体" w:hAnsi="宋体" w:eastAsia="宋体" w:cs="宋体"/>
          <w:sz w:val="24"/>
        </w:rPr>
      </w:pPr>
      <w:r>
        <w:rPr>
          <w:rFonts w:hint="eastAsia" w:ascii="宋体" w:hAnsi="宋体" w:eastAsia="宋体" w:cs="宋体"/>
          <w:sz w:val="24"/>
        </w:rPr>
        <w:t>承包人提交的竣工资料移交时间：。</w:t>
      </w:r>
    </w:p>
    <w:p w14:paraId="4996B10A">
      <w:pPr>
        <w:pageBreakBefore w:val="0"/>
        <w:widowControl w:val="0"/>
        <w:kinsoku/>
        <w:wordWrap/>
        <w:overflowPunct/>
        <w:topLinePunct w:val="0"/>
        <w:bidi w:val="0"/>
        <w:snapToGrid/>
        <w:spacing w:line="480" w:lineRule="exact"/>
        <w:ind w:firstLine="480" w:firstLineChars="200"/>
        <w:jc w:val="left"/>
        <w:textAlignment w:val="auto"/>
        <w:outlineLvl w:val="9"/>
        <w:rPr>
          <w:rFonts w:hint="eastAsia" w:ascii="宋体" w:hAnsi="宋体" w:eastAsia="宋体" w:cs="宋体"/>
          <w:sz w:val="24"/>
        </w:rPr>
      </w:pPr>
      <w:r>
        <w:rPr>
          <w:rFonts w:hint="eastAsia" w:ascii="宋体" w:hAnsi="宋体" w:eastAsia="宋体" w:cs="宋体"/>
          <w:sz w:val="24"/>
        </w:rPr>
        <w:t>承包人提交的竣工资料形式要求：</w:t>
      </w:r>
      <w:r>
        <w:rPr>
          <w:rFonts w:hint="eastAsia" w:ascii="宋体" w:hAnsi="宋体" w:eastAsia="宋体" w:cs="宋体"/>
          <w:sz w:val="24"/>
          <w:u w:val="single"/>
        </w:rPr>
        <w:t xml:space="preserve">  书面形式              </w:t>
      </w:r>
      <w:r>
        <w:rPr>
          <w:rFonts w:hint="eastAsia" w:ascii="宋体" w:hAnsi="宋体" w:eastAsia="宋体" w:cs="宋体"/>
          <w:sz w:val="24"/>
        </w:rPr>
        <w:t>。</w:t>
      </w:r>
    </w:p>
    <w:p w14:paraId="6578A930">
      <w:pPr>
        <w:pageBreakBefore w:val="0"/>
        <w:widowControl w:val="0"/>
        <w:kinsoku/>
        <w:wordWrap/>
        <w:overflowPunct/>
        <w:topLinePunct w:val="0"/>
        <w:bidi w:val="0"/>
        <w:snapToGrid/>
        <w:spacing w:line="480" w:lineRule="exact"/>
        <w:ind w:firstLine="480" w:firstLineChars="200"/>
        <w:textAlignment w:val="auto"/>
        <w:outlineLvl w:val="9"/>
        <w:rPr>
          <w:rFonts w:hint="eastAsia" w:ascii="宋体" w:hAnsi="宋体" w:eastAsia="宋体" w:cs="宋体"/>
          <w:sz w:val="24"/>
        </w:rPr>
      </w:pPr>
      <w:r>
        <w:rPr>
          <w:rFonts w:hint="eastAsia" w:ascii="宋体" w:hAnsi="宋体" w:eastAsia="宋体" w:cs="宋体"/>
          <w:kern w:val="0"/>
          <w:sz w:val="24"/>
        </w:rPr>
        <w:t>（10）承包人应履行的其他义务：</w:t>
      </w:r>
      <w:r>
        <w:rPr>
          <w:rFonts w:hint="eastAsia" w:ascii="宋体" w:hAnsi="宋体" w:eastAsia="宋体" w:cs="宋体"/>
          <w:sz w:val="24"/>
          <w:u w:val="single"/>
        </w:rPr>
        <w:t xml:space="preserve">           /            </w:t>
      </w:r>
      <w:r>
        <w:rPr>
          <w:rFonts w:hint="eastAsia" w:ascii="宋体" w:hAnsi="宋体" w:eastAsia="宋体" w:cs="宋体"/>
          <w:sz w:val="24"/>
        </w:rPr>
        <w:t>。</w:t>
      </w:r>
    </w:p>
    <w:p w14:paraId="0A77F2C2">
      <w:pPr>
        <w:pageBreakBefore w:val="0"/>
        <w:widowControl w:val="0"/>
        <w:kinsoku/>
        <w:wordWrap/>
        <w:overflowPunct/>
        <w:topLinePunct w:val="0"/>
        <w:bidi w:val="0"/>
        <w:snapToGrid/>
        <w:spacing w:after="120" w:line="480" w:lineRule="exact"/>
        <w:ind w:firstLine="480" w:firstLineChars="200"/>
        <w:textAlignment w:val="auto"/>
        <w:outlineLvl w:val="9"/>
        <w:rPr>
          <w:rFonts w:hint="eastAsia" w:ascii="宋体" w:hAnsi="宋体" w:eastAsia="宋体" w:cs="宋体"/>
          <w:sz w:val="24"/>
        </w:rPr>
      </w:pPr>
      <w:r>
        <w:rPr>
          <w:rFonts w:hint="eastAsia" w:ascii="宋体" w:hAnsi="宋体" w:eastAsia="宋体" w:cs="宋体"/>
          <w:sz w:val="24"/>
        </w:rPr>
        <w:t>3.2 项目经理</w:t>
      </w:r>
    </w:p>
    <w:p w14:paraId="28F4013B">
      <w:pPr>
        <w:pageBreakBefore w:val="0"/>
        <w:widowControl w:val="0"/>
        <w:kinsoku/>
        <w:wordWrap/>
        <w:overflowPunct/>
        <w:topLinePunct w:val="0"/>
        <w:bidi w:val="0"/>
        <w:snapToGrid/>
        <w:spacing w:line="480" w:lineRule="exact"/>
        <w:ind w:firstLine="480" w:firstLineChars="200"/>
        <w:textAlignment w:val="auto"/>
        <w:outlineLvl w:val="9"/>
        <w:rPr>
          <w:rFonts w:hint="eastAsia" w:ascii="宋体" w:hAnsi="宋体" w:eastAsia="宋体" w:cs="宋体"/>
          <w:sz w:val="24"/>
        </w:rPr>
      </w:pPr>
      <w:r>
        <w:rPr>
          <w:rFonts w:hint="eastAsia" w:ascii="宋体" w:hAnsi="宋体" w:eastAsia="宋体" w:cs="宋体"/>
          <w:kern w:val="0"/>
          <w:sz w:val="24"/>
        </w:rPr>
        <w:t xml:space="preserve">3.2.1 </w:t>
      </w:r>
      <w:r>
        <w:rPr>
          <w:rFonts w:hint="eastAsia" w:ascii="宋体" w:hAnsi="宋体" w:eastAsia="宋体" w:cs="宋体"/>
          <w:sz w:val="24"/>
        </w:rPr>
        <w:t>项目经理：</w:t>
      </w:r>
    </w:p>
    <w:p w14:paraId="7CD3764E">
      <w:pPr>
        <w:pageBreakBefore w:val="0"/>
        <w:widowControl w:val="0"/>
        <w:kinsoku/>
        <w:wordWrap/>
        <w:overflowPunct/>
        <w:topLinePunct w:val="0"/>
        <w:bidi w:val="0"/>
        <w:snapToGrid/>
        <w:spacing w:line="480" w:lineRule="exact"/>
        <w:ind w:firstLine="480" w:firstLineChars="200"/>
        <w:textAlignment w:val="auto"/>
        <w:outlineLvl w:val="9"/>
        <w:rPr>
          <w:rFonts w:hint="eastAsia" w:ascii="宋体" w:hAnsi="宋体" w:eastAsia="宋体" w:cs="宋体"/>
          <w:sz w:val="24"/>
        </w:rPr>
      </w:pPr>
      <w:r>
        <w:rPr>
          <w:rFonts w:hint="eastAsia" w:ascii="宋体" w:hAnsi="宋体" w:eastAsia="宋体" w:cs="宋体"/>
          <w:sz w:val="24"/>
        </w:rPr>
        <w:t>(1)项目经理</w:t>
      </w:r>
    </w:p>
    <w:p w14:paraId="1810D3B1">
      <w:pPr>
        <w:pageBreakBefore w:val="0"/>
        <w:widowControl w:val="0"/>
        <w:kinsoku/>
        <w:wordWrap/>
        <w:overflowPunct/>
        <w:topLinePunct w:val="0"/>
        <w:bidi w:val="0"/>
        <w:snapToGrid/>
        <w:spacing w:line="480" w:lineRule="exact"/>
        <w:ind w:firstLine="480" w:firstLineChars="200"/>
        <w:textAlignment w:val="auto"/>
        <w:outlineLvl w:val="9"/>
        <w:rPr>
          <w:rFonts w:hint="eastAsia" w:ascii="宋体" w:hAnsi="宋体" w:eastAsia="宋体" w:cs="宋体"/>
          <w:sz w:val="24"/>
        </w:rPr>
      </w:pPr>
      <w:r>
        <w:rPr>
          <w:rFonts w:hint="eastAsia" w:ascii="宋体" w:hAnsi="宋体" w:eastAsia="宋体" w:cs="宋体"/>
          <w:sz w:val="24"/>
        </w:rPr>
        <w:t>姓    名：</w:t>
      </w:r>
      <w:r>
        <w:rPr>
          <w:rFonts w:hint="eastAsia" w:ascii="宋体" w:hAnsi="宋体" w:eastAsia="宋体" w:cs="宋体"/>
          <w:sz w:val="24"/>
          <w:u w:val="single"/>
        </w:rPr>
        <w:t xml:space="preserve">            </w:t>
      </w:r>
      <w:r>
        <w:rPr>
          <w:rFonts w:hint="eastAsia" w:ascii="宋体" w:hAnsi="宋体" w:eastAsia="宋体" w:cs="宋体"/>
          <w:sz w:val="24"/>
        </w:rPr>
        <w:t>；</w:t>
      </w:r>
    </w:p>
    <w:p w14:paraId="4F1C7739">
      <w:pPr>
        <w:pageBreakBefore w:val="0"/>
        <w:widowControl w:val="0"/>
        <w:kinsoku/>
        <w:wordWrap/>
        <w:overflowPunct/>
        <w:topLinePunct w:val="0"/>
        <w:bidi w:val="0"/>
        <w:snapToGrid/>
        <w:spacing w:line="480" w:lineRule="exact"/>
        <w:ind w:firstLine="360" w:firstLineChars="150"/>
        <w:textAlignment w:val="auto"/>
        <w:outlineLvl w:val="9"/>
        <w:rPr>
          <w:rFonts w:hint="eastAsia" w:ascii="宋体" w:hAnsi="宋体" w:eastAsia="宋体" w:cs="宋体"/>
          <w:sz w:val="24"/>
        </w:rPr>
      </w:pPr>
      <w:r>
        <w:rPr>
          <w:rFonts w:hint="eastAsia" w:ascii="宋体" w:hAnsi="宋体" w:eastAsia="宋体" w:cs="宋体"/>
          <w:sz w:val="24"/>
        </w:rPr>
        <w:t>（2）现场经理</w:t>
      </w:r>
    </w:p>
    <w:p w14:paraId="3E4278FE">
      <w:pPr>
        <w:pageBreakBefore w:val="0"/>
        <w:widowControl w:val="0"/>
        <w:kinsoku/>
        <w:wordWrap/>
        <w:overflowPunct/>
        <w:topLinePunct w:val="0"/>
        <w:bidi w:val="0"/>
        <w:snapToGrid/>
        <w:spacing w:line="480" w:lineRule="exact"/>
        <w:ind w:firstLine="480" w:firstLineChars="200"/>
        <w:textAlignment w:val="auto"/>
        <w:outlineLvl w:val="9"/>
        <w:rPr>
          <w:rFonts w:hint="eastAsia" w:ascii="宋体" w:hAnsi="宋体" w:eastAsia="宋体" w:cs="宋体"/>
          <w:sz w:val="24"/>
        </w:rPr>
      </w:pPr>
      <w:r>
        <w:rPr>
          <w:rFonts w:hint="eastAsia" w:ascii="宋体" w:hAnsi="宋体" w:eastAsia="宋体" w:cs="宋体"/>
          <w:sz w:val="24"/>
        </w:rPr>
        <w:t>姓    名：</w:t>
      </w:r>
      <w:r>
        <w:rPr>
          <w:rFonts w:hint="eastAsia" w:ascii="宋体" w:hAnsi="宋体" w:eastAsia="宋体" w:cs="宋体"/>
          <w:sz w:val="24"/>
          <w:u w:val="single"/>
        </w:rPr>
        <w:t xml:space="preserve">            </w:t>
      </w:r>
      <w:r>
        <w:rPr>
          <w:rFonts w:hint="eastAsia" w:ascii="宋体" w:hAnsi="宋体" w:eastAsia="宋体" w:cs="宋体"/>
          <w:sz w:val="24"/>
        </w:rPr>
        <w:t>；</w:t>
      </w:r>
    </w:p>
    <w:p w14:paraId="2AABE4CA">
      <w:pPr>
        <w:pageBreakBefore w:val="0"/>
        <w:widowControl w:val="0"/>
        <w:kinsoku/>
        <w:wordWrap/>
        <w:overflowPunct/>
        <w:topLinePunct w:val="0"/>
        <w:bidi w:val="0"/>
        <w:snapToGrid/>
        <w:spacing w:line="480" w:lineRule="exact"/>
        <w:ind w:firstLine="480" w:firstLineChars="200"/>
        <w:textAlignment w:val="auto"/>
        <w:outlineLvl w:val="9"/>
        <w:rPr>
          <w:rFonts w:hint="eastAsia" w:ascii="宋体" w:hAnsi="宋体" w:eastAsia="宋体" w:cs="宋体"/>
          <w:sz w:val="24"/>
        </w:rPr>
      </w:pPr>
      <w:r>
        <w:rPr>
          <w:rFonts w:hint="eastAsia" w:ascii="宋体" w:hAnsi="宋体" w:eastAsia="宋体" w:cs="宋体"/>
          <w:sz w:val="24"/>
        </w:rPr>
        <w:t>承包人对项目经理的授权范围如下：</w:t>
      </w:r>
      <w:r>
        <w:rPr>
          <w:rFonts w:hint="eastAsia" w:ascii="宋体" w:hAnsi="宋体" w:eastAsia="宋体" w:cs="宋体"/>
          <w:sz w:val="24"/>
          <w:u w:val="single"/>
        </w:rPr>
        <w:t xml:space="preserve">         </w:t>
      </w:r>
      <w:r>
        <w:rPr>
          <w:rFonts w:hint="eastAsia" w:ascii="宋体" w:hAnsi="宋体" w:eastAsia="宋体" w:cs="宋体"/>
          <w:sz w:val="24"/>
        </w:rPr>
        <w:t>。</w:t>
      </w:r>
    </w:p>
    <w:p w14:paraId="7073C704">
      <w:pPr>
        <w:pageBreakBefore w:val="0"/>
        <w:widowControl w:val="0"/>
        <w:kinsoku/>
        <w:wordWrap/>
        <w:overflowPunct/>
        <w:topLinePunct w:val="0"/>
        <w:bidi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关于项目经理每月在施工现场的时间要求：</w:t>
      </w:r>
      <w:r>
        <w:rPr>
          <w:rFonts w:hint="eastAsia" w:ascii="宋体" w:hAnsi="宋体" w:eastAsia="宋体" w:cs="宋体"/>
          <w:sz w:val="24"/>
          <w:u w:val="single"/>
        </w:rPr>
        <w:t xml:space="preserve">  </w:t>
      </w:r>
      <w:r>
        <w:rPr>
          <w:rFonts w:hint="eastAsia" w:ascii="宋体" w:hAnsi="宋体" w:eastAsia="宋体" w:cs="宋体"/>
          <w:sz w:val="24"/>
        </w:rPr>
        <w:t>。</w:t>
      </w:r>
    </w:p>
    <w:p w14:paraId="442B1831">
      <w:pPr>
        <w:pageBreakBefore w:val="0"/>
        <w:widowControl w:val="0"/>
        <w:kinsoku/>
        <w:wordWrap/>
        <w:overflowPunct/>
        <w:topLinePunct w:val="0"/>
        <w:bidi w:val="0"/>
        <w:snapToGrid/>
        <w:spacing w:line="480" w:lineRule="exact"/>
        <w:ind w:firstLine="480" w:firstLineChars="200"/>
        <w:textAlignment w:val="auto"/>
        <w:outlineLvl w:val="9"/>
        <w:rPr>
          <w:rFonts w:hint="eastAsia" w:ascii="宋体" w:hAnsi="宋体" w:eastAsia="宋体" w:cs="宋体"/>
          <w:kern w:val="0"/>
          <w:sz w:val="24"/>
        </w:rPr>
      </w:pPr>
      <w:r>
        <w:rPr>
          <w:rFonts w:hint="eastAsia" w:ascii="宋体" w:hAnsi="宋体" w:eastAsia="宋体" w:cs="宋体"/>
          <w:kern w:val="0"/>
          <w:sz w:val="24"/>
        </w:rPr>
        <w:t>承包人未提交劳动合同，以及没有为项目经理缴纳社会保险证明的违约责任：</w:t>
      </w:r>
      <w:r>
        <w:rPr>
          <w:rFonts w:hint="eastAsia" w:ascii="宋体" w:hAnsi="宋体" w:eastAsia="宋体" w:cs="宋体"/>
          <w:sz w:val="24"/>
          <w:u w:val="single"/>
        </w:rPr>
        <w:t xml:space="preserve">                                </w:t>
      </w:r>
      <w:r>
        <w:rPr>
          <w:rFonts w:hint="eastAsia" w:ascii="宋体" w:hAnsi="宋体" w:eastAsia="宋体" w:cs="宋体"/>
          <w:sz w:val="24"/>
        </w:rPr>
        <w:t>。</w:t>
      </w:r>
    </w:p>
    <w:p w14:paraId="33730F74">
      <w:pPr>
        <w:pageBreakBefore w:val="0"/>
        <w:widowControl w:val="0"/>
        <w:kinsoku/>
        <w:wordWrap/>
        <w:overflowPunct/>
        <w:topLinePunct w:val="0"/>
        <w:bidi w:val="0"/>
        <w:snapToGrid/>
        <w:spacing w:line="480" w:lineRule="exact"/>
        <w:ind w:firstLine="480" w:firstLineChars="200"/>
        <w:textAlignment w:val="auto"/>
        <w:outlineLvl w:val="9"/>
        <w:rPr>
          <w:rFonts w:hint="eastAsia" w:ascii="宋体" w:hAnsi="宋体" w:eastAsia="宋体" w:cs="宋体"/>
          <w:sz w:val="24"/>
          <w:u w:val="single"/>
        </w:rPr>
      </w:pPr>
      <w:r>
        <w:rPr>
          <w:rFonts w:hint="eastAsia" w:ascii="宋体" w:hAnsi="宋体" w:eastAsia="宋体" w:cs="宋体"/>
          <w:kern w:val="0"/>
          <w:sz w:val="24"/>
        </w:rPr>
        <w:t>项目经理未经批准，擅自离开施工现场的违约责任：</w:t>
      </w:r>
      <w:r>
        <w:rPr>
          <w:rFonts w:hint="eastAsia" w:ascii="宋体" w:hAnsi="宋体" w:eastAsia="宋体" w:cs="宋体"/>
          <w:sz w:val="24"/>
          <w:u w:val="single"/>
        </w:rPr>
        <w:t xml:space="preserve">               </w:t>
      </w:r>
      <w:r>
        <w:rPr>
          <w:rFonts w:hint="eastAsia" w:ascii="宋体" w:hAnsi="宋体" w:eastAsia="宋体" w:cs="宋体"/>
          <w:sz w:val="24"/>
        </w:rPr>
        <w:t>。</w:t>
      </w:r>
    </w:p>
    <w:p w14:paraId="160C20FA">
      <w:pPr>
        <w:pageBreakBefore w:val="0"/>
        <w:widowControl w:val="0"/>
        <w:kinsoku/>
        <w:wordWrap/>
        <w:overflowPunct/>
        <w:topLinePunct w:val="0"/>
        <w:bidi w:val="0"/>
        <w:snapToGrid/>
        <w:spacing w:line="480" w:lineRule="exact"/>
        <w:ind w:firstLine="480" w:firstLineChars="200"/>
        <w:textAlignment w:val="auto"/>
        <w:outlineLvl w:val="9"/>
        <w:rPr>
          <w:rFonts w:hint="eastAsia" w:ascii="宋体" w:hAnsi="宋体" w:eastAsia="宋体" w:cs="宋体"/>
          <w:sz w:val="24"/>
        </w:rPr>
      </w:pPr>
      <w:r>
        <w:rPr>
          <w:rFonts w:hint="eastAsia" w:ascii="宋体" w:hAnsi="宋体" w:eastAsia="宋体" w:cs="宋体"/>
          <w:sz w:val="24"/>
        </w:rPr>
        <w:t>3.2.3 承包人擅自更换项目经理的违约责任：</w:t>
      </w:r>
      <w:r>
        <w:rPr>
          <w:rFonts w:hint="eastAsia" w:ascii="宋体" w:hAnsi="宋体" w:eastAsia="宋体" w:cs="宋体"/>
          <w:sz w:val="24"/>
          <w:u w:val="single"/>
        </w:rPr>
        <w:t xml:space="preserve">               </w:t>
      </w:r>
      <w:r>
        <w:rPr>
          <w:rFonts w:hint="eastAsia" w:ascii="宋体" w:hAnsi="宋体" w:eastAsia="宋体" w:cs="宋体"/>
          <w:sz w:val="24"/>
        </w:rPr>
        <w:t>。</w:t>
      </w:r>
    </w:p>
    <w:p w14:paraId="5CC91F7B">
      <w:pPr>
        <w:pageBreakBefore w:val="0"/>
        <w:widowControl w:val="0"/>
        <w:kinsoku/>
        <w:wordWrap/>
        <w:overflowPunct/>
        <w:topLinePunct w:val="0"/>
        <w:bidi w:val="0"/>
        <w:snapToGrid/>
        <w:spacing w:line="480" w:lineRule="exact"/>
        <w:textAlignment w:val="auto"/>
        <w:outlineLvl w:val="9"/>
        <w:rPr>
          <w:rFonts w:hint="eastAsia" w:ascii="宋体" w:hAnsi="宋体" w:eastAsia="宋体" w:cs="宋体"/>
          <w:sz w:val="24"/>
        </w:rPr>
      </w:pPr>
      <w:r>
        <w:rPr>
          <w:rFonts w:hint="eastAsia" w:ascii="宋体" w:hAnsi="宋体" w:eastAsia="宋体" w:cs="宋体"/>
          <w:sz w:val="24"/>
        </w:rPr>
        <w:t xml:space="preserve">    3.2.4 承包人无正当理由拒绝更换项目经理的违约责任：</w:t>
      </w:r>
      <w:r>
        <w:rPr>
          <w:rFonts w:hint="eastAsia" w:ascii="宋体" w:hAnsi="宋体" w:eastAsia="宋体" w:cs="宋体"/>
          <w:sz w:val="24"/>
          <w:u w:val="single"/>
        </w:rPr>
        <w:t xml:space="preserve">            </w:t>
      </w:r>
      <w:r>
        <w:rPr>
          <w:rFonts w:hint="eastAsia" w:ascii="宋体" w:hAnsi="宋体" w:eastAsia="宋体" w:cs="宋体"/>
          <w:sz w:val="24"/>
        </w:rPr>
        <w:t>。</w:t>
      </w:r>
    </w:p>
    <w:p w14:paraId="15A27467">
      <w:pPr>
        <w:pageBreakBefore w:val="0"/>
        <w:widowControl w:val="0"/>
        <w:kinsoku/>
        <w:wordWrap/>
        <w:overflowPunct/>
        <w:topLinePunct w:val="0"/>
        <w:bidi w:val="0"/>
        <w:snapToGrid/>
        <w:spacing w:after="120" w:line="480" w:lineRule="exact"/>
        <w:ind w:firstLine="480" w:firstLineChars="200"/>
        <w:textAlignment w:val="auto"/>
        <w:outlineLvl w:val="9"/>
        <w:rPr>
          <w:rFonts w:hint="eastAsia" w:ascii="宋体" w:hAnsi="宋体" w:eastAsia="宋体" w:cs="宋体"/>
          <w:sz w:val="24"/>
        </w:rPr>
      </w:pPr>
      <w:r>
        <w:rPr>
          <w:rFonts w:hint="eastAsia" w:ascii="宋体" w:hAnsi="宋体" w:eastAsia="宋体" w:cs="宋体"/>
          <w:sz w:val="24"/>
        </w:rPr>
        <w:t>3.3 承包人人员</w:t>
      </w:r>
    </w:p>
    <w:p w14:paraId="77591BDD">
      <w:pPr>
        <w:pageBreakBefore w:val="0"/>
        <w:widowControl w:val="0"/>
        <w:kinsoku/>
        <w:wordWrap/>
        <w:overflowPunct/>
        <w:topLinePunct w:val="0"/>
        <w:bidi w:val="0"/>
        <w:snapToGrid/>
        <w:spacing w:line="480" w:lineRule="exact"/>
        <w:ind w:firstLine="480" w:firstLineChars="200"/>
        <w:textAlignment w:val="auto"/>
        <w:outlineLvl w:val="9"/>
        <w:rPr>
          <w:rFonts w:hint="eastAsia" w:ascii="宋体" w:hAnsi="宋体" w:eastAsia="宋体" w:cs="宋体"/>
          <w:sz w:val="24"/>
        </w:rPr>
      </w:pPr>
      <w:r>
        <w:rPr>
          <w:rFonts w:hint="eastAsia" w:ascii="宋体" w:hAnsi="宋体" w:eastAsia="宋体" w:cs="宋体"/>
          <w:sz w:val="24"/>
        </w:rPr>
        <w:t>3.3.1 承包人提交项目管理机构及施工现场管理人员安排报告的期限：</w:t>
      </w:r>
      <w:r>
        <w:rPr>
          <w:rFonts w:hint="eastAsia" w:ascii="宋体" w:hAnsi="宋体" w:eastAsia="宋体" w:cs="宋体"/>
          <w:sz w:val="24"/>
          <w:u w:val="single"/>
        </w:rPr>
        <w:t xml:space="preserve">                           </w:t>
      </w:r>
      <w:r>
        <w:rPr>
          <w:rFonts w:hint="eastAsia" w:ascii="宋体" w:hAnsi="宋体" w:eastAsia="宋体" w:cs="宋体"/>
          <w:sz w:val="24"/>
        </w:rPr>
        <w:t>。</w:t>
      </w:r>
    </w:p>
    <w:p w14:paraId="6EECCAF9">
      <w:pPr>
        <w:pageBreakBefore w:val="0"/>
        <w:widowControl w:val="0"/>
        <w:kinsoku/>
        <w:wordWrap/>
        <w:overflowPunct/>
        <w:topLinePunct w:val="0"/>
        <w:bidi w:val="0"/>
        <w:snapToGrid/>
        <w:spacing w:line="480" w:lineRule="exact"/>
        <w:ind w:firstLine="480" w:firstLineChars="200"/>
        <w:textAlignment w:val="auto"/>
        <w:outlineLvl w:val="9"/>
        <w:rPr>
          <w:rFonts w:hint="eastAsia" w:ascii="宋体" w:hAnsi="宋体" w:eastAsia="宋体" w:cs="宋体"/>
          <w:sz w:val="24"/>
        </w:rPr>
      </w:pPr>
      <w:r>
        <w:rPr>
          <w:rFonts w:hint="eastAsia" w:ascii="宋体" w:hAnsi="宋体" w:eastAsia="宋体" w:cs="宋体"/>
          <w:sz w:val="24"/>
        </w:rPr>
        <w:t>3.3.3 承包人无正当理由拒绝撤换主要施工管理人员的违约责任：</w:t>
      </w:r>
      <w:r>
        <w:rPr>
          <w:rFonts w:hint="eastAsia" w:ascii="宋体" w:hAnsi="宋体" w:eastAsia="宋体" w:cs="宋体"/>
          <w:sz w:val="24"/>
          <w:u w:val="single"/>
        </w:rPr>
        <w:t xml:space="preserve">      /        </w:t>
      </w:r>
      <w:r>
        <w:rPr>
          <w:rFonts w:hint="eastAsia" w:ascii="宋体" w:hAnsi="宋体" w:eastAsia="宋体" w:cs="宋体"/>
          <w:sz w:val="24"/>
        </w:rPr>
        <w:t>。</w:t>
      </w:r>
    </w:p>
    <w:p w14:paraId="57B231CE">
      <w:pPr>
        <w:pageBreakBefore w:val="0"/>
        <w:widowControl w:val="0"/>
        <w:kinsoku/>
        <w:wordWrap/>
        <w:overflowPunct/>
        <w:topLinePunct w:val="0"/>
        <w:bidi w:val="0"/>
        <w:snapToGrid/>
        <w:spacing w:line="480" w:lineRule="exact"/>
        <w:ind w:firstLine="480" w:firstLineChars="200"/>
        <w:textAlignment w:val="auto"/>
        <w:outlineLvl w:val="9"/>
        <w:rPr>
          <w:rFonts w:hint="eastAsia" w:ascii="宋体" w:hAnsi="宋体" w:eastAsia="宋体" w:cs="宋体"/>
          <w:sz w:val="24"/>
          <w:u w:val="single"/>
        </w:rPr>
      </w:pPr>
      <w:r>
        <w:rPr>
          <w:rFonts w:hint="eastAsia" w:ascii="宋体" w:hAnsi="宋体" w:eastAsia="宋体" w:cs="宋体"/>
          <w:sz w:val="24"/>
        </w:rPr>
        <w:t xml:space="preserve">3.3.4 承包人主要施工管理人员离开施工现场的批准要求：   </w:t>
      </w:r>
      <w:r>
        <w:rPr>
          <w:rFonts w:hint="eastAsia" w:ascii="宋体" w:hAnsi="宋体" w:eastAsia="宋体" w:cs="宋体"/>
          <w:sz w:val="24"/>
          <w:u w:val="single"/>
        </w:rPr>
        <w:t xml:space="preserve">               </w:t>
      </w:r>
      <w:r>
        <w:rPr>
          <w:rFonts w:hint="eastAsia" w:ascii="宋体" w:hAnsi="宋体" w:eastAsia="宋体" w:cs="宋体"/>
          <w:sz w:val="24"/>
        </w:rPr>
        <w:t>。</w:t>
      </w:r>
    </w:p>
    <w:p w14:paraId="21420DF7">
      <w:pPr>
        <w:pageBreakBefore w:val="0"/>
        <w:widowControl w:val="0"/>
        <w:kinsoku/>
        <w:wordWrap/>
        <w:overflowPunct/>
        <w:topLinePunct w:val="0"/>
        <w:bidi w:val="0"/>
        <w:snapToGrid/>
        <w:spacing w:line="480" w:lineRule="exact"/>
        <w:ind w:firstLine="480" w:firstLineChars="200"/>
        <w:textAlignment w:val="auto"/>
        <w:outlineLvl w:val="9"/>
        <w:rPr>
          <w:rFonts w:hint="eastAsia" w:ascii="宋体" w:hAnsi="宋体" w:eastAsia="宋体" w:cs="宋体"/>
          <w:sz w:val="24"/>
        </w:rPr>
      </w:pPr>
      <w:r>
        <w:rPr>
          <w:rFonts w:hint="eastAsia" w:ascii="宋体" w:hAnsi="宋体" w:eastAsia="宋体" w:cs="宋体"/>
          <w:sz w:val="24"/>
        </w:rPr>
        <w:t>3.3.5承包人擅自更换主要施工管理人员的违约责任：</w:t>
      </w:r>
      <w:r>
        <w:rPr>
          <w:rFonts w:hint="eastAsia" w:ascii="宋体" w:hAnsi="宋体" w:eastAsia="宋体" w:cs="宋体"/>
          <w:sz w:val="24"/>
          <w:u w:val="single"/>
        </w:rPr>
        <w:t xml:space="preserve">           </w:t>
      </w:r>
      <w:r>
        <w:rPr>
          <w:rFonts w:hint="eastAsia" w:ascii="宋体" w:hAnsi="宋体" w:eastAsia="宋体" w:cs="宋体"/>
          <w:sz w:val="24"/>
        </w:rPr>
        <w:t>。</w:t>
      </w:r>
    </w:p>
    <w:p w14:paraId="7AE024CC">
      <w:pPr>
        <w:pageBreakBefore w:val="0"/>
        <w:widowControl w:val="0"/>
        <w:kinsoku/>
        <w:wordWrap/>
        <w:overflowPunct/>
        <w:topLinePunct w:val="0"/>
        <w:bidi w:val="0"/>
        <w:snapToGrid/>
        <w:spacing w:line="480" w:lineRule="exact"/>
        <w:textAlignment w:val="auto"/>
        <w:outlineLvl w:val="9"/>
        <w:rPr>
          <w:rFonts w:hint="eastAsia" w:ascii="宋体" w:hAnsi="宋体" w:eastAsia="宋体" w:cs="宋体"/>
          <w:sz w:val="24"/>
        </w:rPr>
      </w:pPr>
      <w:r>
        <w:rPr>
          <w:rFonts w:hint="eastAsia" w:ascii="宋体" w:hAnsi="宋体" w:eastAsia="宋体" w:cs="宋体"/>
          <w:sz w:val="24"/>
        </w:rPr>
        <w:t>承包人主要施工管理人员擅自离开施工现场的违约责任：</w:t>
      </w:r>
    </w:p>
    <w:p w14:paraId="334DA24C">
      <w:pPr>
        <w:pageBreakBefore w:val="0"/>
        <w:widowControl w:val="0"/>
        <w:kinsoku/>
        <w:wordWrap/>
        <w:overflowPunct/>
        <w:topLinePunct w:val="0"/>
        <w:bidi w:val="0"/>
        <w:snapToGrid/>
        <w:spacing w:line="480" w:lineRule="exact"/>
        <w:ind w:firstLine="511" w:firstLineChars="213"/>
        <w:textAlignment w:val="auto"/>
        <w:outlineLvl w:val="9"/>
        <w:rPr>
          <w:rFonts w:hint="eastAsia" w:ascii="宋体" w:hAnsi="宋体" w:eastAsia="宋体" w:cs="宋体"/>
          <w:sz w:val="24"/>
          <w:u w:val="single"/>
        </w:rPr>
      </w:pPr>
      <w:r>
        <w:rPr>
          <w:rFonts w:hint="eastAsia" w:ascii="宋体" w:hAnsi="宋体" w:eastAsia="宋体" w:cs="宋体"/>
          <w:sz w:val="24"/>
        </w:rPr>
        <w:fldChar w:fldCharType="begin"/>
      </w:r>
      <w:r>
        <w:rPr>
          <w:rFonts w:hint="eastAsia" w:ascii="宋体" w:hAnsi="宋体" w:eastAsia="宋体" w:cs="宋体"/>
          <w:sz w:val="24"/>
        </w:rPr>
        <w:instrText xml:space="preserve"> = 1 \* GB3 \* MERGEFORMAT </w:instrText>
      </w:r>
      <w:r>
        <w:rPr>
          <w:rFonts w:hint="eastAsia" w:ascii="宋体" w:hAnsi="宋体" w:eastAsia="宋体" w:cs="宋体"/>
          <w:sz w:val="24"/>
        </w:rPr>
        <w:fldChar w:fldCharType="separate"/>
      </w:r>
      <w:r>
        <w:rPr>
          <w:rFonts w:hint="eastAsia" w:ascii="宋体" w:hAnsi="宋体" w:eastAsia="宋体" w:cs="宋体"/>
          <w:sz w:val="24"/>
        </w:rPr>
        <w:t>①</w:t>
      </w:r>
      <w:r>
        <w:rPr>
          <w:rFonts w:hint="eastAsia" w:ascii="宋体" w:hAnsi="宋体" w:eastAsia="宋体" w:cs="宋体"/>
          <w:sz w:val="24"/>
        </w:rPr>
        <w:fldChar w:fldCharType="end"/>
      </w:r>
      <w:r>
        <w:rPr>
          <w:rFonts w:hint="eastAsia" w:ascii="宋体" w:hAnsi="宋体" w:eastAsia="宋体" w:cs="宋体"/>
          <w:sz w:val="24"/>
          <w:u w:val="single"/>
        </w:rPr>
        <w:t xml:space="preserve">                                                  ；</w:t>
      </w:r>
    </w:p>
    <w:p w14:paraId="35A000EC">
      <w:pPr>
        <w:pageBreakBefore w:val="0"/>
        <w:widowControl w:val="0"/>
        <w:kinsoku/>
        <w:wordWrap/>
        <w:overflowPunct/>
        <w:topLinePunct w:val="0"/>
        <w:bidi w:val="0"/>
        <w:snapToGrid/>
        <w:spacing w:line="480" w:lineRule="exact"/>
        <w:ind w:firstLine="547" w:firstLineChars="228"/>
        <w:textAlignment w:val="auto"/>
        <w:outlineLvl w:val="9"/>
        <w:rPr>
          <w:rFonts w:hint="eastAsia" w:ascii="宋体" w:hAnsi="宋体" w:eastAsia="宋体" w:cs="宋体"/>
          <w:sz w:val="24"/>
        </w:rPr>
      </w:pPr>
      <w:r>
        <w:rPr>
          <w:rFonts w:hint="eastAsia" w:ascii="宋体" w:hAnsi="宋体" w:eastAsia="宋体" w:cs="宋体"/>
          <w:sz w:val="24"/>
          <w:u w:val="single"/>
        </w:rPr>
        <w:fldChar w:fldCharType="begin"/>
      </w:r>
      <w:r>
        <w:rPr>
          <w:rFonts w:hint="eastAsia" w:ascii="宋体" w:hAnsi="宋体" w:eastAsia="宋体" w:cs="宋体"/>
          <w:sz w:val="24"/>
          <w:u w:val="single"/>
        </w:rPr>
        <w:instrText xml:space="preserve"> = 2 \* GB3 \* MERGEFORMAT </w:instrText>
      </w:r>
      <w:r>
        <w:rPr>
          <w:rFonts w:hint="eastAsia" w:ascii="宋体" w:hAnsi="宋体" w:eastAsia="宋体" w:cs="宋体"/>
          <w:sz w:val="24"/>
          <w:u w:val="single"/>
        </w:rPr>
        <w:fldChar w:fldCharType="separate"/>
      </w:r>
      <w:r>
        <w:rPr>
          <w:rFonts w:hint="eastAsia" w:ascii="宋体" w:hAnsi="宋体" w:eastAsia="宋体" w:cs="宋体"/>
          <w:sz w:val="24"/>
        </w:rPr>
        <w:t>②</w:t>
      </w:r>
      <w:r>
        <w:rPr>
          <w:rFonts w:hint="eastAsia" w:ascii="宋体" w:hAnsi="宋体" w:eastAsia="宋体" w:cs="宋体"/>
          <w:sz w:val="24"/>
          <w:u w:val="single"/>
        </w:rPr>
        <w:fldChar w:fldCharType="end"/>
      </w:r>
      <w:r>
        <w:rPr>
          <w:rFonts w:hint="eastAsia" w:ascii="宋体" w:hAnsi="宋体" w:eastAsia="宋体" w:cs="宋体"/>
          <w:sz w:val="24"/>
          <w:u w:val="single"/>
        </w:rPr>
        <w:t xml:space="preserve">                                                  。</w:t>
      </w:r>
    </w:p>
    <w:p w14:paraId="71016E5C">
      <w:pPr>
        <w:pageBreakBefore w:val="0"/>
        <w:widowControl w:val="0"/>
        <w:kinsoku/>
        <w:wordWrap/>
        <w:overflowPunct/>
        <w:topLinePunct w:val="0"/>
        <w:bidi w:val="0"/>
        <w:snapToGrid/>
        <w:spacing w:line="480" w:lineRule="exact"/>
        <w:ind w:firstLine="547" w:firstLineChars="228"/>
        <w:textAlignment w:val="auto"/>
        <w:outlineLvl w:val="9"/>
        <w:rPr>
          <w:rFonts w:hint="eastAsia" w:ascii="宋体" w:hAnsi="宋体" w:eastAsia="宋体" w:cs="宋体"/>
          <w:sz w:val="24"/>
        </w:rPr>
      </w:pPr>
      <w:r>
        <w:rPr>
          <w:rFonts w:hint="eastAsia" w:ascii="宋体" w:hAnsi="宋体" w:eastAsia="宋体" w:cs="宋体"/>
          <w:sz w:val="24"/>
          <w:u w:val="single"/>
        </w:rPr>
        <w:fldChar w:fldCharType="begin"/>
      </w:r>
      <w:r>
        <w:rPr>
          <w:rFonts w:hint="eastAsia" w:ascii="宋体" w:hAnsi="宋体" w:eastAsia="宋体" w:cs="宋体"/>
          <w:sz w:val="24"/>
          <w:u w:val="single"/>
        </w:rPr>
        <w:instrText xml:space="preserve"> = 3 \* GB3 \* MERGEFORMAT </w:instrText>
      </w:r>
      <w:r>
        <w:rPr>
          <w:rFonts w:hint="eastAsia" w:ascii="宋体" w:hAnsi="宋体" w:eastAsia="宋体" w:cs="宋体"/>
          <w:sz w:val="24"/>
          <w:u w:val="single"/>
        </w:rPr>
        <w:fldChar w:fldCharType="separate"/>
      </w:r>
      <w:r>
        <w:rPr>
          <w:rFonts w:hint="eastAsia" w:ascii="宋体" w:hAnsi="宋体" w:eastAsia="宋体" w:cs="宋体"/>
          <w:sz w:val="24"/>
        </w:rPr>
        <w:t>③</w:t>
      </w:r>
      <w:r>
        <w:rPr>
          <w:rFonts w:hint="eastAsia" w:ascii="宋体" w:hAnsi="宋体" w:eastAsia="宋体" w:cs="宋体"/>
          <w:sz w:val="24"/>
          <w:u w:val="single"/>
        </w:rPr>
        <w:fldChar w:fldCharType="end"/>
      </w:r>
      <w:r>
        <w:rPr>
          <w:rFonts w:hint="eastAsia" w:ascii="宋体" w:hAnsi="宋体" w:eastAsia="宋体" w:cs="宋体"/>
          <w:sz w:val="24"/>
          <w:u w:val="single"/>
        </w:rPr>
        <w:t xml:space="preserve">                                                 。</w:t>
      </w:r>
    </w:p>
    <w:p w14:paraId="1F0CA0C8">
      <w:pPr>
        <w:pageBreakBefore w:val="0"/>
        <w:widowControl w:val="0"/>
        <w:kinsoku/>
        <w:wordWrap/>
        <w:overflowPunct/>
        <w:topLinePunct w:val="0"/>
        <w:bidi w:val="0"/>
        <w:snapToGrid/>
        <w:spacing w:after="120" w:line="480" w:lineRule="exact"/>
        <w:ind w:firstLine="480" w:firstLineChars="200"/>
        <w:textAlignment w:val="auto"/>
        <w:outlineLvl w:val="9"/>
        <w:rPr>
          <w:rFonts w:hint="eastAsia" w:ascii="宋体" w:hAnsi="宋体" w:eastAsia="宋体" w:cs="宋体"/>
          <w:sz w:val="24"/>
        </w:rPr>
      </w:pPr>
      <w:r>
        <w:rPr>
          <w:rFonts w:hint="eastAsia" w:ascii="宋体" w:hAnsi="宋体" w:eastAsia="宋体" w:cs="宋体"/>
          <w:sz w:val="24"/>
        </w:rPr>
        <w:t>3</w:t>
      </w:r>
      <w:bookmarkStart w:id="1072" w:name="_Toc296890987"/>
      <w:bookmarkStart w:id="1073" w:name="_Toc297120459"/>
      <w:bookmarkStart w:id="1074" w:name="_Toc296891199"/>
      <w:bookmarkStart w:id="1075" w:name="_Toc292559869"/>
      <w:bookmarkStart w:id="1076" w:name="_Toc300934945"/>
      <w:bookmarkStart w:id="1077" w:name="_Toc296944498"/>
      <w:bookmarkStart w:id="1078" w:name="_Toc303539102"/>
      <w:bookmarkStart w:id="1079" w:name="_Toc296503159"/>
      <w:bookmarkStart w:id="1080" w:name="_Toc297123492"/>
      <w:bookmarkStart w:id="1081" w:name="_Toc297216151"/>
      <w:bookmarkStart w:id="1082" w:name="_Toc296347158"/>
      <w:bookmarkStart w:id="1083" w:name="_Toc297048345"/>
      <w:bookmarkStart w:id="1084" w:name="_Toc304295523"/>
      <w:bookmarkStart w:id="1085" w:name="_Toc292559364"/>
      <w:bookmarkStart w:id="1086" w:name="_Toc312677988"/>
      <w:bookmarkStart w:id="1087" w:name="_Toc296346660"/>
      <w:r>
        <w:rPr>
          <w:rFonts w:hint="eastAsia" w:ascii="宋体" w:hAnsi="宋体" w:eastAsia="宋体" w:cs="宋体"/>
          <w:sz w:val="24"/>
        </w:rPr>
        <w:t>.5 分包</w:t>
      </w:r>
    </w:p>
    <w:bookmarkEnd w:id="1072"/>
    <w:bookmarkEnd w:id="1073"/>
    <w:bookmarkEnd w:id="1074"/>
    <w:bookmarkEnd w:id="1075"/>
    <w:bookmarkEnd w:id="1076"/>
    <w:bookmarkEnd w:id="1077"/>
    <w:bookmarkEnd w:id="1078"/>
    <w:bookmarkEnd w:id="1079"/>
    <w:bookmarkEnd w:id="1080"/>
    <w:bookmarkEnd w:id="1081"/>
    <w:bookmarkEnd w:id="1082"/>
    <w:bookmarkEnd w:id="1083"/>
    <w:bookmarkEnd w:id="1084"/>
    <w:bookmarkEnd w:id="1085"/>
    <w:bookmarkEnd w:id="1086"/>
    <w:bookmarkEnd w:id="1087"/>
    <w:p w14:paraId="6A2D76A2">
      <w:pPr>
        <w:pageBreakBefore w:val="0"/>
        <w:widowControl w:val="0"/>
        <w:kinsoku/>
        <w:wordWrap/>
        <w:overflowPunct/>
        <w:topLinePunct w:val="0"/>
        <w:bidi w:val="0"/>
        <w:snapToGrid/>
        <w:spacing w:line="480" w:lineRule="exact"/>
        <w:ind w:firstLine="480" w:firstLineChars="200"/>
        <w:textAlignment w:val="auto"/>
        <w:outlineLvl w:val="9"/>
        <w:rPr>
          <w:rFonts w:hint="eastAsia" w:ascii="宋体" w:hAnsi="宋体" w:eastAsia="宋体" w:cs="宋体"/>
          <w:sz w:val="24"/>
        </w:rPr>
      </w:pPr>
      <w:r>
        <w:rPr>
          <w:rFonts w:hint="eastAsia" w:ascii="宋体" w:hAnsi="宋体" w:eastAsia="宋体" w:cs="宋体"/>
          <w:sz w:val="24"/>
        </w:rPr>
        <w:t>3</w:t>
      </w:r>
      <w:bookmarkStart w:id="1088" w:name="_Toc296891200"/>
      <w:bookmarkStart w:id="1089" w:name="_Toc297120460"/>
      <w:bookmarkStart w:id="1090" w:name="_Toc296346661"/>
      <w:bookmarkStart w:id="1091" w:name="_Toc296890988"/>
      <w:bookmarkStart w:id="1092" w:name="_Toc292559365"/>
      <w:bookmarkStart w:id="1093" w:name="_Toc297216152"/>
      <w:bookmarkStart w:id="1094" w:name="_Toc296944499"/>
      <w:bookmarkStart w:id="1095" w:name="_Toc300934946"/>
      <w:bookmarkStart w:id="1096" w:name="_Toc304295524"/>
      <w:bookmarkStart w:id="1097" w:name="_Toc303539103"/>
      <w:bookmarkStart w:id="1098" w:name="_Toc296503160"/>
      <w:bookmarkStart w:id="1099" w:name="_Toc292559870"/>
      <w:bookmarkStart w:id="1100" w:name="_Toc297048346"/>
      <w:bookmarkStart w:id="1101" w:name="_Toc296347159"/>
      <w:bookmarkStart w:id="1102" w:name="_Toc297123493"/>
      <w:bookmarkStart w:id="1103" w:name="_Toc312677989"/>
      <w:bookmarkStart w:id="1104" w:name="_Toc318581158"/>
      <w:r>
        <w:rPr>
          <w:rFonts w:hint="eastAsia" w:ascii="宋体" w:hAnsi="宋体" w:eastAsia="宋体" w:cs="宋体"/>
          <w:sz w:val="24"/>
        </w:rPr>
        <w:t>.5.1 分包的一般约定</w:t>
      </w:r>
    </w:p>
    <w:p w14:paraId="4860AC03">
      <w:pPr>
        <w:pageBreakBefore w:val="0"/>
        <w:widowControl w:val="0"/>
        <w:kinsoku/>
        <w:wordWrap/>
        <w:overflowPunct/>
        <w:topLinePunct w:val="0"/>
        <w:bidi w:val="0"/>
        <w:snapToGrid/>
        <w:spacing w:line="480" w:lineRule="exact"/>
        <w:ind w:firstLine="480" w:firstLineChars="200"/>
        <w:textAlignment w:val="auto"/>
        <w:outlineLvl w:val="9"/>
        <w:rPr>
          <w:rFonts w:hint="eastAsia" w:ascii="宋体" w:hAnsi="宋体" w:eastAsia="宋体" w:cs="宋体"/>
          <w:sz w:val="24"/>
        </w:rPr>
      </w:pPr>
      <w:r>
        <w:rPr>
          <w:rFonts w:hint="eastAsia" w:ascii="宋体" w:hAnsi="宋体" w:eastAsia="宋体" w:cs="宋体"/>
          <w:sz w:val="24"/>
        </w:rPr>
        <w:t>禁止分包的工程包括：          /        。</w:t>
      </w:r>
    </w:p>
    <w:p w14:paraId="63B454E8">
      <w:pPr>
        <w:pageBreakBefore w:val="0"/>
        <w:widowControl w:val="0"/>
        <w:kinsoku/>
        <w:wordWrap/>
        <w:overflowPunct/>
        <w:topLinePunct w:val="0"/>
        <w:bidi w:val="0"/>
        <w:snapToGrid/>
        <w:spacing w:line="480" w:lineRule="exact"/>
        <w:ind w:firstLine="480" w:firstLineChars="200"/>
        <w:textAlignment w:val="auto"/>
        <w:outlineLvl w:val="9"/>
        <w:rPr>
          <w:rFonts w:hint="eastAsia" w:ascii="宋体" w:hAnsi="宋体" w:eastAsia="宋体" w:cs="宋体"/>
          <w:sz w:val="24"/>
        </w:rPr>
      </w:pPr>
      <w:r>
        <w:rPr>
          <w:rFonts w:hint="eastAsia" w:ascii="宋体" w:hAnsi="宋体" w:eastAsia="宋体" w:cs="宋体"/>
          <w:sz w:val="24"/>
        </w:rPr>
        <w:t>主体结构、关键性工作的范围：     /       。</w:t>
      </w:r>
      <w:bookmarkEnd w:id="1088"/>
      <w:bookmarkEnd w:id="1089"/>
      <w:bookmarkEnd w:id="1090"/>
      <w:bookmarkEnd w:id="1091"/>
      <w:bookmarkEnd w:id="1092"/>
      <w:bookmarkEnd w:id="1093"/>
      <w:bookmarkEnd w:id="1094"/>
      <w:bookmarkEnd w:id="1095"/>
      <w:bookmarkEnd w:id="1096"/>
      <w:bookmarkEnd w:id="1097"/>
      <w:bookmarkEnd w:id="1098"/>
      <w:bookmarkEnd w:id="1099"/>
      <w:bookmarkEnd w:id="1100"/>
      <w:bookmarkEnd w:id="1101"/>
      <w:bookmarkEnd w:id="1102"/>
      <w:bookmarkStart w:id="1105" w:name="_Toc296346662"/>
      <w:bookmarkStart w:id="1106" w:name="_Toc296347160"/>
      <w:bookmarkStart w:id="1107" w:name="_Toc300934947"/>
      <w:bookmarkStart w:id="1108" w:name="_Toc296944500"/>
      <w:bookmarkStart w:id="1109" w:name="_Toc296890989"/>
      <w:bookmarkStart w:id="1110" w:name="_Toc303539104"/>
      <w:bookmarkStart w:id="1111" w:name="_Toc297123494"/>
      <w:bookmarkStart w:id="1112" w:name="_Toc304295525"/>
      <w:bookmarkStart w:id="1113" w:name="_Toc296503161"/>
      <w:bookmarkStart w:id="1114" w:name="_Toc297216153"/>
      <w:bookmarkStart w:id="1115" w:name="_Toc296891201"/>
      <w:bookmarkStart w:id="1116" w:name="_Toc297120461"/>
      <w:bookmarkStart w:id="1117" w:name="_Toc297048347"/>
    </w:p>
    <w:bookmarkEnd w:id="1103"/>
    <w:bookmarkEnd w:id="1104"/>
    <w:bookmarkEnd w:id="1105"/>
    <w:bookmarkEnd w:id="1106"/>
    <w:bookmarkEnd w:id="1107"/>
    <w:bookmarkEnd w:id="1108"/>
    <w:bookmarkEnd w:id="1109"/>
    <w:bookmarkEnd w:id="1110"/>
    <w:bookmarkEnd w:id="1111"/>
    <w:bookmarkEnd w:id="1112"/>
    <w:bookmarkEnd w:id="1113"/>
    <w:bookmarkEnd w:id="1114"/>
    <w:bookmarkEnd w:id="1115"/>
    <w:bookmarkEnd w:id="1116"/>
    <w:bookmarkEnd w:id="1117"/>
    <w:p w14:paraId="52F7020D">
      <w:pPr>
        <w:pageBreakBefore w:val="0"/>
        <w:widowControl w:val="0"/>
        <w:kinsoku/>
        <w:wordWrap/>
        <w:overflowPunct/>
        <w:topLinePunct w:val="0"/>
        <w:bidi w:val="0"/>
        <w:snapToGrid/>
        <w:spacing w:line="480" w:lineRule="exact"/>
        <w:textAlignment w:val="auto"/>
        <w:outlineLvl w:val="9"/>
        <w:rPr>
          <w:rFonts w:hint="eastAsia" w:ascii="宋体" w:hAnsi="宋体" w:eastAsia="宋体" w:cs="宋体"/>
          <w:sz w:val="24"/>
        </w:rPr>
      </w:pPr>
      <w:r>
        <w:rPr>
          <w:rFonts w:hint="eastAsia" w:ascii="宋体" w:hAnsi="宋体" w:eastAsia="宋体" w:cs="宋体"/>
          <w:sz w:val="24"/>
        </w:rPr>
        <w:t xml:space="preserve">    3</w:t>
      </w:r>
      <w:bookmarkStart w:id="1118" w:name="_Toc312677990"/>
      <w:bookmarkStart w:id="1119" w:name="_Toc318581159"/>
      <w:r>
        <w:rPr>
          <w:rFonts w:hint="eastAsia" w:ascii="宋体" w:hAnsi="宋体" w:eastAsia="宋体" w:cs="宋体"/>
          <w:sz w:val="24"/>
        </w:rPr>
        <w:t>.5.2分包的确定</w:t>
      </w:r>
    </w:p>
    <w:p w14:paraId="30C5D87F">
      <w:pPr>
        <w:pageBreakBefore w:val="0"/>
        <w:widowControl w:val="0"/>
        <w:kinsoku/>
        <w:wordWrap/>
        <w:overflowPunct/>
        <w:topLinePunct w:val="0"/>
        <w:bidi w:val="0"/>
        <w:snapToGrid/>
        <w:spacing w:line="480" w:lineRule="exact"/>
        <w:ind w:firstLine="480" w:firstLineChars="200"/>
        <w:textAlignment w:val="auto"/>
        <w:outlineLvl w:val="9"/>
        <w:rPr>
          <w:rFonts w:hint="eastAsia" w:ascii="宋体" w:hAnsi="宋体" w:eastAsia="宋体" w:cs="宋体"/>
          <w:sz w:val="24"/>
          <w:u w:val="single"/>
        </w:rPr>
      </w:pPr>
      <w:r>
        <w:rPr>
          <w:rFonts w:hint="eastAsia" w:ascii="宋体" w:hAnsi="宋体" w:eastAsia="宋体" w:cs="宋体"/>
          <w:sz w:val="24"/>
        </w:rPr>
        <w:t>允许分包的专业工程包括：</w:t>
      </w:r>
      <w:r>
        <w:rPr>
          <w:rFonts w:hint="eastAsia" w:ascii="宋体" w:hAnsi="宋体" w:eastAsia="宋体" w:cs="宋体"/>
          <w:sz w:val="24"/>
          <w:u w:val="single"/>
        </w:rPr>
        <w:t xml:space="preserve">             /                </w:t>
      </w:r>
      <w:r>
        <w:rPr>
          <w:rFonts w:hint="eastAsia" w:ascii="宋体" w:hAnsi="宋体" w:eastAsia="宋体" w:cs="宋体"/>
          <w:sz w:val="24"/>
        </w:rPr>
        <w:t>。</w:t>
      </w:r>
    </w:p>
    <w:p w14:paraId="5F6CB311">
      <w:pPr>
        <w:pageBreakBefore w:val="0"/>
        <w:widowControl w:val="0"/>
        <w:kinsoku/>
        <w:wordWrap/>
        <w:overflowPunct/>
        <w:topLinePunct w:val="0"/>
        <w:bidi w:val="0"/>
        <w:snapToGrid/>
        <w:spacing w:line="480" w:lineRule="exact"/>
        <w:ind w:firstLine="480" w:firstLineChars="200"/>
        <w:textAlignment w:val="auto"/>
        <w:outlineLvl w:val="9"/>
        <w:rPr>
          <w:rFonts w:hint="eastAsia" w:ascii="宋体" w:hAnsi="宋体" w:eastAsia="宋体" w:cs="宋体"/>
          <w:sz w:val="24"/>
          <w:u w:val="single"/>
        </w:rPr>
      </w:pPr>
      <w:r>
        <w:rPr>
          <w:rFonts w:hint="eastAsia" w:ascii="宋体" w:hAnsi="宋体" w:eastAsia="宋体" w:cs="宋体"/>
          <w:sz w:val="24"/>
        </w:rPr>
        <w:t>其他关于分包的约定：</w:t>
      </w:r>
      <w:r>
        <w:rPr>
          <w:rFonts w:hint="eastAsia" w:ascii="宋体" w:hAnsi="宋体" w:eastAsia="宋体" w:cs="宋体"/>
          <w:sz w:val="24"/>
          <w:u w:val="single"/>
        </w:rPr>
        <w:t xml:space="preserve">              /                   </w:t>
      </w:r>
      <w:r>
        <w:rPr>
          <w:rFonts w:hint="eastAsia" w:ascii="宋体" w:hAnsi="宋体" w:eastAsia="宋体" w:cs="宋体"/>
          <w:sz w:val="24"/>
        </w:rPr>
        <w:t>。</w:t>
      </w:r>
    </w:p>
    <w:p w14:paraId="26B5E577">
      <w:pPr>
        <w:pageBreakBefore w:val="0"/>
        <w:widowControl w:val="0"/>
        <w:kinsoku/>
        <w:wordWrap/>
        <w:overflowPunct/>
        <w:topLinePunct w:val="0"/>
        <w:bidi w:val="0"/>
        <w:snapToGrid/>
        <w:spacing w:line="480" w:lineRule="exact"/>
        <w:textAlignment w:val="auto"/>
        <w:outlineLvl w:val="9"/>
        <w:rPr>
          <w:rFonts w:hint="eastAsia" w:ascii="宋体" w:hAnsi="宋体" w:eastAsia="宋体" w:cs="宋体"/>
          <w:sz w:val="24"/>
        </w:rPr>
      </w:pPr>
      <w:r>
        <w:rPr>
          <w:rFonts w:hint="eastAsia" w:ascii="宋体" w:hAnsi="宋体" w:eastAsia="宋体" w:cs="宋体"/>
          <w:sz w:val="24"/>
          <w:u w:val="single"/>
        </w:rPr>
        <w:t xml:space="preserve">                                                         </w:t>
      </w:r>
      <w:r>
        <w:rPr>
          <w:rFonts w:hint="eastAsia" w:ascii="宋体" w:hAnsi="宋体" w:eastAsia="宋体" w:cs="宋体"/>
          <w:sz w:val="24"/>
        </w:rPr>
        <w:t>。</w:t>
      </w:r>
    </w:p>
    <w:p w14:paraId="7D73A43D">
      <w:pPr>
        <w:pageBreakBefore w:val="0"/>
        <w:widowControl w:val="0"/>
        <w:kinsoku/>
        <w:wordWrap/>
        <w:overflowPunct/>
        <w:topLinePunct w:val="0"/>
        <w:bidi w:val="0"/>
        <w:snapToGrid/>
        <w:spacing w:line="480" w:lineRule="exact"/>
        <w:ind w:firstLine="480" w:firstLineChars="200"/>
        <w:textAlignment w:val="auto"/>
        <w:outlineLvl w:val="9"/>
        <w:rPr>
          <w:rFonts w:hint="eastAsia" w:ascii="宋体" w:hAnsi="宋体" w:eastAsia="宋体" w:cs="宋体"/>
          <w:sz w:val="24"/>
        </w:rPr>
      </w:pPr>
      <w:r>
        <w:rPr>
          <w:rFonts w:hint="eastAsia" w:ascii="宋体" w:hAnsi="宋体" w:eastAsia="宋体" w:cs="宋体"/>
          <w:sz w:val="24"/>
        </w:rPr>
        <w:t>3.5.4 分包合同价款</w:t>
      </w:r>
    </w:p>
    <w:p w14:paraId="07D48919">
      <w:pPr>
        <w:pageBreakBefore w:val="0"/>
        <w:widowControl w:val="0"/>
        <w:kinsoku/>
        <w:wordWrap/>
        <w:overflowPunct/>
        <w:topLinePunct w:val="0"/>
        <w:bidi w:val="0"/>
        <w:snapToGrid/>
        <w:spacing w:line="480" w:lineRule="exact"/>
        <w:ind w:firstLine="480" w:firstLineChars="200"/>
        <w:textAlignment w:val="auto"/>
        <w:outlineLvl w:val="9"/>
        <w:rPr>
          <w:rFonts w:hint="eastAsia" w:ascii="宋体" w:hAnsi="宋体" w:eastAsia="宋体" w:cs="宋体"/>
          <w:sz w:val="24"/>
        </w:rPr>
      </w:pPr>
      <w:r>
        <w:rPr>
          <w:rFonts w:hint="eastAsia" w:ascii="宋体" w:hAnsi="宋体" w:eastAsia="宋体" w:cs="宋体"/>
          <w:sz w:val="24"/>
        </w:rPr>
        <w:t>关于分包合同价款支付的约定：</w:t>
      </w:r>
      <w:r>
        <w:rPr>
          <w:rFonts w:hint="eastAsia" w:ascii="宋体" w:hAnsi="宋体" w:eastAsia="宋体" w:cs="宋体"/>
          <w:sz w:val="24"/>
          <w:u w:val="single"/>
        </w:rPr>
        <w:t xml:space="preserve">       /               </w:t>
      </w:r>
      <w:r>
        <w:rPr>
          <w:rFonts w:hint="eastAsia" w:ascii="宋体" w:hAnsi="宋体" w:eastAsia="宋体" w:cs="宋体"/>
          <w:sz w:val="24"/>
        </w:rPr>
        <w:t>。</w:t>
      </w:r>
    </w:p>
    <w:bookmarkEnd w:id="1118"/>
    <w:bookmarkEnd w:id="1119"/>
    <w:p w14:paraId="12C12E80">
      <w:pPr>
        <w:pageBreakBefore w:val="0"/>
        <w:widowControl w:val="0"/>
        <w:kinsoku/>
        <w:wordWrap/>
        <w:overflowPunct/>
        <w:topLinePunct w:val="0"/>
        <w:bidi w:val="0"/>
        <w:snapToGrid/>
        <w:spacing w:after="120" w:line="480" w:lineRule="exact"/>
        <w:ind w:firstLine="480" w:firstLineChars="200"/>
        <w:textAlignment w:val="auto"/>
        <w:outlineLvl w:val="9"/>
        <w:rPr>
          <w:rFonts w:hint="eastAsia" w:ascii="宋体" w:hAnsi="宋体" w:eastAsia="宋体" w:cs="宋体"/>
          <w:sz w:val="24"/>
        </w:rPr>
      </w:pPr>
      <w:r>
        <w:rPr>
          <w:rFonts w:hint="eastAsia" w:ascii="宋体" w:hAnsi="宋体" w:eastAsia="宋体" w:cs="宋体"/>
          <w:sz w:val="24"/>
        </w:rPr>
        <w:t>3.6 工程照管与成品、半成品保护</w:t>
      </w:r>
    </w:p>
    <w:p w14:paraId="13A67A41">
      <w:pPr>
        <w:pageBreakBefore w:val="0"/>
        <w:widowControl w:val="0"/>
        <w:kinsoku/>
        <w:wordWrap/>
        <w:overflowPunct/>
        <w:topLinePunct w:val="0"/>
        <w:bidi w:val="0"/>
        <w:snapToGrid/>
        <w:spacing w:before="120" w:after="120" w:line="480" w:lineRule="exact"/>
        <w:ind w:firstLine="480" w:firstLineChars="200"/>
        <w:textAlignment w:val="auto"/>
        <w:outlineLvl w:val="9"/>
        <w:rPr>
          <w:rFonts w:hint="eastAsia" w:ascii="宋体" w:hAnsi="宋体" w:eastAsia="宋体" w:cs="宋体"/>
          <w:kern w:val="0"/>
          <w:sz w:val="24"/>
          <w:u w:val="single"/>
        </w:rPr>
      </w:pPr>
      <w:r>
        <w:rPr>
          <w:rFonts w:hint="eastAsia" w:ascii="宋体" w:hAnsi="宋体" w:eastAsia="宋体" w:cs="宋体"/>
          <w:kern w:val="0"/>
          <w:sz w:val="24"/>
        </w:rPr>
        <w:t>承包人负责照管工程及工程相关的材料、工程设备的起始时间：</w:t>
      </w:r>
      <w:r>
        <w:rPr>
          <w:rFonts w:hint="eastAsia" w:ascii="宋体" w:hAnsi="宋体" w:eastAsia="宋体" w:cs="宋体"/>
          <w:kern w:val="0"/>
          <w:sz w:val="24"/>
          <w:u w:val="single"/>
        </w:rPr>
        <w:t xml:space="preserve">  </w:t>
      </w:r>
      <w:r>
        <w:rPr>
          <w:rFonts w:hint="eastAsia" w:ascii="宋体" w:hAnsi="宋体" w:eastAsia="宋体" w:cs="宋体"/>
          <w:sz w:val="24"/>
          <w:u w:val="single"/>
        </w:rPr>
        <w:t xml:space="preserve"> </w:t>
      </w:r>
      <w:r>
        <w:rPr>
          <w:rFonts w:hint="eastAsia" w:ascii="宋体" w:hAnsi="宋体" w:eastAsia="宋体" w:cs="宋体"/>
          <w:kern w:val="0"/>
          <w:sz w:val="24"/>
          <w:u w:val="single"/>
        </w:rPr>
        <w:t xml:space="preserve"> </w:t>
      </w:r>
      <w:r>
        <w:rPr>
          <w:rFonts w:hint="eastAsia" w:ascii="宋体" w:hAnsi="宋体" w:eastAsia="宋体" w:cs="宋体"/>
          <w:kern w:val="0"/>
          <w:sz w:val="24"/>
        </w:rPr>
        <w:t>。</w:t>
      </w:r>
    </w:p>
    <w:p w14:paraId="38809CB2">
      <w:pPr>
        <w:pageBreakBefore w:val="0"/>
        <w:widowControl w:val="0"/>
        <w:kinsoku/>
        <w:wordWrap/>
        <w:overflowPunct/>
        <w:topLinePunct w:val="0"/>
        <w:bidi w:val="0"/>
        <w:snapToGrid/>
        <w:spacing w:after="120" w:line="480" w:lineRule="exact"/>
        <w:ind w:firstLine="480" w:firstLineChars="200"/>
        <w:textAlignment w:val="auto"/>
        <w:outlineLvl w:val="9"/>
        <w:rPr>
          <w:rFonts w:hint="eastAsia" w:ascii="宋体" w:hAnsi="宋体" w:eastAsia="宋体" w:cs="宋体"/>
          <w:sz w:val="24"/>
        </w:rPr>
      </w:pPr>
      <w:r>
        <w:rPr>
          <w:rFonts w:hint="eastAsia" w:ascii="宋体" w:hAnsi="宋体" w:eastAsia="宋体" w:cs="宋体"/>
          <w:sz w:val="24"/>
        </w:rPr>
        <w:t>3.7 履约担保</w:t>
      </w:r>
    </w:p>
    <w:p w14:paraId="343F8187">
      <w:pPr>
        <w:pageBreakBefore w:val="0"/>
        <w:widowControl w:val="0"/>
        <w:kinsoku/>
        <w:wordWrap/>
        <w:overflowPunct/>
        <w:topLinePunct w:val="0"/>
        <w:bidi w:val="0"/>
        <w:snapToGrid/>
        <w:spacing w:before="120" w:after="120" w:line="480" w:lineRule="exact"/>
        <w:ind w:firstLine="480" w:firstLineChars="200"/>
        <w:textAlignment w:val="auto"/>
        <w:outlineLvl w:val="9"/>
        <w:rPr>
          <w:rFonts w:hint="eastAsia" w:ascii="宋体" w:hAnsi="宋体" w:eastAsia="宋体" w:cs="宋体"/>
          <w:kern w:val="0"/>
          <w:sz w:val="24"/>
        </w:rPr>
      </w:pPr>
      <w:r>
        <w:rPr>
          <w:rFonts w:hint="eastAsia" w:ascii="宋体" w:hAnsi="宋体" w:eastAsia="宋体" w:cs="宋体"/>
          <w:sz w:val="24"/>
        </w:rPr>
        <w:t>承包人是否提供履约担保</w:t>
      </w:r>
      <w:r>
        <w:rPr>
          <w:rFonts w:hint="eastAsia" w:ascii="宋体" w:hAnsi="宋体" w:eastAsia="宋体" w:cs="宋体"/>
          <w:kern w:val="0"/>
          <w:sz w:val="24"/>
        </w:rPr>
        <w:t>：</w:t>
      </w:r>
      <w:r>
        <w:rPr>
          <w:rFonts w:hint="eastAsia" w:ascii="宋体" w:hAnsi="宋体" w:eastAsia="宋体" w:cs="宋体"/>
          <w:kern w:val="0"/>
          <w:sz w:val="24"/>
          <w:u w:val="single"/>
        </w:rPr>
        <w:t xml:space="preserve">                     。</w:t>
      </w:r>
    </w:p>
    <w:p w14:paraId="31976753">
      <w:pPr>
        <w:pageBreakBefore w:val="0"/>
        <w:widowControl w:val="0"/>
        <w:kinsoku/>
        <w:wordWrap/>
        <w:overflowPunct/>
        <w:topLinePunct w:val="0"/>
        <w:bidi w:val="0"/>
        <w:snapToGrid/>
        <w:spacing w:before="120" w:after="120" w:line="480" w:lineRule="exact"/>
        <w:textAlignment w:val="auto"/>
        <w:outlineLvl w:val="9"/>
        <w:rPr>
          <w:rFonts w:hint="eastAsia" w:ascii="宋体" w:hAnsi="宋体" w:eastAsia="宋体" w:cs="宋体"/>
          <w:b w:val="0"/>
          <w:sz w:val="24"/>
          <w:szCs w:val="24"/>
        </w:rPr>
      </w:pPr>
      <w:bookmarkStart w:id="1120" w:name="_Toc351203636"/>
      <w:r>
        <w:rPr>
          <w:rFonts w:hint="eastAsia" w:ascii="宋体" w:hAnsi="宋体" w:eastAsia="宋体" w:cs="宋体"/>
          <w:b w:val="0"/>
          <w:sz w:val="24"/>
          <w:szCs w:val="24"/>
        </w:rPr>
        <w:t>4</w:t>
      </w:r>
      <w:bookmarkStart w:id="1121" w:name="_Toc292559871"/>
      <w:bookmarkStart w:id="1122" w:name="_Toc267251413"/>
      <w:bookmarkStart w:id="1123" w:name="_Toc296891202"/>
      <w:bookmarkStart w:id="1124" w:name="_Toc292559366"/>
      <w:bookmarkStart w:id="1125" w:name="_Toc297120462"/>
      <w:bookmarkStart w:id="1126" w:name="_Toc296346663"/>
      <w:bookmarkStart w:id="1127" w:name="_Toc296890990"/>
      <w:bookmarkStart w:id="1128" w:name="_Toc296944501"/>
      <w:bookmarkStart w:id="1129" w:name="_Toc297048348"/>
      <w:bookmarkStart w:id="1130" w:name="_Toc296347161"/>
      <w:bookmarkStart w:id="1131" w:name="_Toc296503162"/>
      <w:r>
        <w:rPr>
          <w:rFonts w:hint="eastAsia" w:ascii="宋体" w:hAnsi="宋体" w:eastAsia="宋体" w:cs="宋体"/>
          <w:b w:val="0"/>
          <w:sz w:val="24"/>
          <w:szCs w:val="24"/>
        </w:rPr>
        <w:t>. 监</w:t>
      </w:r>
      <w:bookmarkEnd w:id="1121"/>
      <w:bookmarkEnd w:id="1122"/>
      <w:bookmarkEnd w:id="1123"/>
      <w:bookmarkEnd w:id="1124"/>
      <w:bookmarkEnd w:id="1125"/>
      <w:bookmarkEnd w:id="1126"/>
      <w:bookmarkEnd w:id="1127"/>
      <w:bookmarkEnd w:id="1128"/>
      <w:bookmarkEnd w:id="1129"/>
      <w:bookmarkEnd w:id="1130"/>
      <w:bookmarkEnd w:id="1131"/>
      <w:r>
        <w:rPr>
          <w:rFonts w:hint="eastAsia" w:ascii="宋体" w:hAnsi="宋体" w:eastAsia="宋体" w:cs="宋体"/>
          <w:b w:val="0"/>
          <w:sz w:val="24"/>
          <w:szCs w:val="24"/>
        </w:rPr>
        <w:t>理人</w:t>
      </w:r>
      <w:bookmarkEnd w:id="1120"/>
    </w:p>
    <w:p w14:paraId="4A6EAC0D">
      <w:pPr>
        <w:pageBreakBefore w:val="0"/>
        <w:widowControl w:val="0"/>
        <w:kinsoku/>
        <w:wordWrap/>
        <w:overflowPunct/>
        <w:topLinePunct w:val="0"/>
        <w:bidi w:val="0"/>
        <w:snapToGrid/>
        <w:spacing w:after="120" w:line="480" w:lineRule="exact"/>
        <w:ind w:firstLine="480" w:firstLineChars="200"/>
        <w:textAlignment w:val="auto"/>
        <w:outlineLvl w:val="9"/>
        <w:rPr>
          <w:rFonts w:hint="eastAsia" w:ascii="宋体" w:hAnsi="宋体" w:eastAsia="宋体" w:cs="宋体"/>
          <w:sz w:val="24"/>
        </w:rPr>
      </w:pPr>
      <w:r>
        <w:rPr>
          <w:rFonts w:hint="eastAsia" w:ascii="宋体" w:hAnsi="宋体" w:eastAsia="宋体" w:cs="宋体"/>
          <w:sz w:val="24"/>
        </w:rPr>
        <w:t>4.1监理人的一般规定</w:t>
      </w:r>
    </w:p>
    <w:p w14:paraId="14CE95E1">
      <w:pPr>
        <w:pageBreakBefore w:val="0"/>
        <w:widowControl w:val="0"/>
        <w:kinsoku/>
        <w:wordWrap/>
        <w:overflowPunct/>
        <w:topLinePunct w:val="0"/>
        <w:bidi w:val="0"/>
        <w:snapToGrid/>
        <w:spacing w:line="480" w:lineRule="exact"/>
        <w:ind w:firstLine="480" w:firstLineChars="200"/>
        <w:jc w:val="left"/>
        <w:textAlignment w:val="auto"/>
        <w:outlineLvl w:val="9"/>
        <w:rPr>
          <w:rFonts w:hint="eastAsia" w:ascii="宋体" w:hAnsi="宋体" w:eastAsia="宋体" w:cs="宋体"/>
          <w:sz w:val="24"/>
        </w:rPr>
      </w:pPr>
      <w:r>
        <w:rPr>
          <w:rFonts w:hint="eastAsia" w:ascii="宋体" w:hAnsi="宋体" w:eastAsia="宋体" w:cs="宋体"/>
          <w:sz w:val="24"/>
        </w:rPr>
        <w:t>关于监理人的监理内容：</w:t>
      </w:r>
      <w:r>
        <w:rPr>
          <w:rFonts w:hint="eastAsia" w:ascii="宋体" w:hAnsi="宋体" w:eastAsia="宋体" w:cs="宋体"/>
          <w:sz w:val="24"/>
          <w:u w:val="single"/>
        </w:rPr>
        <w:t xml:space="preserve">                   </w:t>
      </w:r>
      <w:r>
        <w:rPr>
          <w:rFonts w:hint="eastAsia" w:ascii="宋体" w:hAnsi="宋体" w:eastAsia="宋体" w:cs="宋体"/>
          <w:sz w:val="24"/>
        </w:rPr>
        <w:t>。</w:t>
      </w:r>
    </w:p>
    <w:p w14:paraId="6C4EC3B7">
      <w:pPr>
        <w:pageBreakBefore w:val="0"/>
        <w:widowControl w:val="0"/>
        <w:kinsoku/>
        <w:wordWrap/>
        <w:overflowPunct/>
        <w:topLinePunct w:val="0"/>
        <w:bidi w:val="0"/>
        <w:snapToGrid/>
        <w:spacing w:line="480" w:lineRule="exact"/>
        <w:ind w:firstLine="480" w:firstLineChars="200"/>
        <w:jc w:val="left"/>
        <w:textAlignment w:val="auto"/>
        <w:outlineLvl w:val="9"/>
        <w:rPr>
          <w:rFonts w:hint="eastAsia" w:ascii="宋体" w:hAnsi="宋体" w:eastAsia="宋体" w:cs="宋体"/>
          <w:sz w:val="24"/>
        </w:rPr>
      </w:pPr>
      <w:r>
        <w:rPr>
          <w:rFonts w:hint="eastAsia" w:ascii="宋体" w:hAnsi="宋体" w:eastAsia="宋体" w:cs="宋体"/>
          <w:sz w:val="24"/>
        </w:rPr>
        <w:t>关于监理人的监理权限：</w:t>
      </w:r>
      <w:r>
        <w:rPr>
          <w:rFonts w:hint="eastAsia" w:ascii="宋体" w:hAnsi="宋体" w:eastAsia="宋体" w:cs="宋体"/>
          <w:sz w:val="24"/>
          <w:u w:val="single"/>
        </w:rPr>
        <w:t xml:space="preserve">                   </w:t>
      </w:r>
      <w:r>
        <w:rPr>
          <w:rFonts w:hint="eastAsia" w:ascii="宋体" w:hAnsi="宋体" w:eastAsia="宋体" w:cs="宋体"/>
          <w:sz w:val="24"/>
        </w:rPr>
        <w:t xml:space="preserve">。 </w:t>
      </w:r>
    </w:p>
    <w:p w14:paraId="726FD97D">
      <w:pPr>
        <w:pageBreakBefore w:val="0"/>
        <w:widowControl w:val="0"/>
        <w:kinsoku/>
        <w:wordWrap/>
        <w:overflowPunct/>
        <w:topLinePunct w:val="0"/>
        <w:bidi w:val="0"/>
        <w:snapToGrid/>
        <w:spacing w:line="480" w:lineRule="exact"/>
        <w:ind w:firstLine="480" w:firstLineChars="200"/>
        <w:textAlignment w:val="auto"/>
        <w:outlineLvl w:val="9"/>
        <w:rPr>
          <w:rFonts w:hint="eastAsia" w:ascii="宋体" w:hAnsi="宋体" w:eastAsia="宋体" w:cs="宋体"/>
          <w:sz w:val="24"/>
          <w:u w:val="single"/>
        </w:rPr>
      </w:pPr>
      <w:r>
        <w:rPr>
          <w:rFonts w:hint="eastAsia" w:ascii="宋体" w:hAnsi="宋体" w:eastAsia="宋体" w:cs="宋体"/>
          <w:sz w:val="24"/>
        </w:rPr>
        <w:t>关于监理人在施工现场的办公场所、生活场所的提供和费用承担的约定：</w:t>
      </w:r>
      <w:r>
        <w:rPr>
          <w:rFonts w:hint="eastAsia" w:ascii="宋体" w:hAnsi="宋体" w:eastAsia="宋体" w:cs="宋体"/>
          <w:sz w:val="24"/>
          <w:u w:val="single"/>
        </w:rPr>
        <w:t xml:space="preserve">        </w:t>
      </w:r>
      <w:r>
        <w:rPr>
          <w:rFonts w:hint="eastAsia" w:ascii="宋体" w:hAnsi="宋体" w:eastAsia="宋体" w:cs="宋体"/>
          <w:sz w:val="24"/>
        </w:rPr>
        <w:t>。</w:t>
      </w:r>
    </w:p>
    <w:p w14:paraId="6187D2B6">
      <w:pPr>
        <w:pageBreakBefore w:val="0"/>
        <w:widowControl w:val="0"/>
        <w:kinsoku/>
        <w:wordWrap/>
        <w:overflowPunct/>
        <w:topLinePunct w:val="0"/>
        <w:bidi w:val="0"/>
        <w:snapToGrid/>
        <w:spacing w:after="120" w:line="480" w:lineRule="exact"/>
        <w:ind w:firstLine="480" w:firstLineChars="200"/>
        <w:textAlignment w:val="auto"/>
        <w:outlineLvl w:val="9"/>
        <w:rPr>
          <w:rFonts w:hint="eastAsia" w:ascii="宋体" w:hAnsi="宋体" w:eastAsia="宋体" w:cs="宋体"/>
          <w:sz w:val="24"/>
        </w:rPr>
      </w:pPr>
      <w:r>
        <w:rPr>
          <w:rFonts w:hint="eastAsia" w:ascii="宋体" w:hAnsi="宋体" w:eastAsia="宋体" w:cs="宋体"/>
          <w:sz w:val="24"/>
        </w:rPr>
        <w:t>4.2 监理人员</w:t>
      </w:r>
    </w:p>
    <w:p w14:paraId="2CB25DB3">
      <w:pPr>
        <w:pageBreakBefore w:val="0"/>
        <w:widowControl w:val="0"/>
        <w:kinsoku/>
        <w:wordWrap/>
        <w:overflowPunct/>
        <w:topLinePunct w:val="0"/>
        <w:bidi w:val="0"/>
        <w:snapToGrid/>
        <w:spacing w:line="480" w:lineRule="exact"/>
        <w:ind w:firstLine="480" w:firstLineChars="200"/>
        <w:textAlignment w:val="auto"/>
        <w:outlineLvl w:val="9"/>
        <w:rPr>
          <w:rFonts w:hint="eastAsia" w:ascii="宋体" w:hAnsi="宋体" w:eastAsia="宋体" w:cs="宋体"/>
          <w:kern w:val="0"/>
          <w:sz w:val="24"/>
        </w:rPr>
      </w:pPr>
      <w:r>
        <w:rPr>
          <w:rFonts w:hint="eastAsia" w:ascii="宋体" w:hAnsi="宋体" w:eastAsia="宋体" w:cs="宋体"/>
          <w:kern w:val="0"/>
          <w:sz w:val="24"/>
        </w:rPr>
        <w:t>总监理工程师姓名：</w:t>
      </w:r>
      <w:r>
        <w:rPr>
          <w:rFonts w:hint="eastAsia" w:ascii="宋体" w:hAnsi="宋体" w:eastAsia="宋体" w:cs="宋体"/>
          <w:b/>
          <w:sz w:val="24"/>
          <w:u w:val="single"/>
        </w:rPr>
        <w:t xml:space="preserve">     </w:t>
      </w:r>
      <w:r>
        <w:rPr>
          <w:rFonts w:hint="eastAsia" w:ascii="宋体" w:hAnsi="宋体" w:eastAsia="宋体" w:cs="宋体"/>
          <w:kern w:val="0"/>
          <w:sz w:val="24"/>
        </w:rPr>
        <w:t>；</w:t>
      </w:r>
    </w:p>
    <w:p w14:paraId="232FABBA">
      <w:pPr>
        <w:pageBreakBefore w:val="0"/>
        <w:widowControl w:val="0"/>
        <w:kinsoku/>
        <w:wordWrap/>
        <w:overflowPunct/>
        <w:topLinePunct w:val="0"/>
        <w:bidi w:val="0"/>
        <w:snapToGrid/>
        <w:spacing w:line="480" w:lineRule="exact"/>
        <w:ind w:firstLine="480" w:firstLineChars="200"/>
        <w:textAlignment w:val="auto"/>
        <w:outlineLvl w:val="9"/>
        <w:rPr>
          <w:rFonts w:hint="eastAsia" w:ascii="宋体" w:hAnsi="宋体" w:eastAsia="宋体" w:cs="宋体"/>
          <w:b/>
          <w:sz w:val="24"/>
          <w:u w:val="single"/>
        </w:rPr>
      </w:pPr>
      <w:r>
        <w:rPr>
          <w:rFonts w:hint="eastAsia" w:ascii="宋体" w:hAnsi="宋体" w:eastAsia="宋体" w:cs="宋体"/>
          <w:kern w:val="0"/>
          <w:sz w:val="24"/>
        </w:rPr>
        <w:t>身份证号码：</w:t>
      </w:r>
      <w:r>
        <w:rPr>
          <w:rFonts w:hint="eastAsia" w:ascii="宋体" w:hAnsi="宋体" w:eastAsia="宋体" w:cs="宋体"/>
          <w:b/>
          <w:sz w:val="24"/>
          <w:u w:val="single"/>
        </w:rPr>
        <w:t xml:space="preserve">                </w:t>
      </w:r>
      <w:r>
        <w:rPr>
          <w:rFonts w:hint="eastAsia" w:ascii="宋体" w:hAnsi="宋体" w:eastAsia="宋体" w:cs="宋体"/>
          <w:kern w:val="0"/>
          <w:sz w:val="24"/>
        </w:rPr>
        <w:t>，注册号：</w:t>
      </w:r>
      <w:r>
        <w:rPr>
          <w:rFonts w:hint="eastAsia" w:ascii="宋体" w:hAnsi="宋体" w:eastAsia="宋体" w:cs="宋体"/>
          <w:b/>
          <w:sz w:val="24"/>
          <w:u w:val="single"/>
        </w:rPr>
        <w:t xml:space="preserve">        </w:t>
      </w:r>
    </w:p>
    <w:p w14:paraId="3EF69D07">
      <w:pPr>
        <w:pageBreakBefore w:val="0"/>
        <w:widowControl w:val="0"/>
        <w:kinsoku/>
        <w:wordWrap/>
        <w:overflowPunct/>
        <w:topLinePunct w:val="0"/>
        <w:bidi w:val="0"/>
        <w:snapToGrid/>
        <w:spacing w:line="480" w:lineRule="exact"/>
        <w:ind w:firstLine="480" w:firstLineChars="200"/>
        <w:textAlignment w:val="auto"/>
        <w:outlineLvl w:val="9"/>
        <w:rPr>
          <w:rFonts w:hint="eastAsia" w:ascii="宋体" w:hAnsi="宋体" w:eastAsia="宋体" w:cs="宋体"/>
          <w:sz w:val="24"/>
        </w:rPr>
      </w:pPr>
      <w:r>
        <w:rPr>
          <w:rFonts w:hint="eastAsia" w:ascii="宋体" w:hAnsi="宋体" w:eastAsia="宋体" w:cs="宋体"/>
          <w:sz w:val="24"/>
        </w:rPr>
        <w:t>关于监理人的其他约定：</w:t>
      </w:r>
      <w:r>
        <w:rPr>
          <w:rFonts w:hint="eastAsia" w:ascii="宋体" w:hAnsi="宋体" w:eastAsia="宋体" w:cs="宋体"/>
          <w:sz w:val="24"/>
          <w:u w:val="single"/>
        </w:rPr>
        <w:t>/  </w:t>
      </w:r>
      <w:r>
        <w:rPr>
          <w:rFonts w:hint="eastAsia" w:ascii="宋体" w:hAnsi="宋体" w:eastAsia="宋体" w:cs="宋体"/>
          <w:sz w:val="24"/>
        </w:rPr>
        <w:t>。</w:t>
      </w:r>
    </w:p>
    <w:p w14:paraId="5C98BA60">
      <w:pPr>
        <w:pageBreakBefore w:val="0"/>
        <w:widowControl w:val="0"/>
        <w:kinsoku/>
        <w:wordWrap/>
        <w:overflowPunct/>
        <w:topLinePunct w:val="0"/>
        <w:bidi w:val="0"/>
        <w:snapToGrid/>
        <w:spacing w:after="120" w:line="480" w:lineRule="exact"/>
        <w:ind w:firstLine="480" w:firstLineChars="200"/>
        <w:textAlignment w:val="auto"/>
        <w:outlineLvl w:val="9"/>
        <w:rPr>
          <w:rFonts w:hint="eastAsia" w:ascii="宋体" w:hAnsi="宋体" w:eastAsia="宋体" w:cs="宋体"/>
          <w:sz w:val="24"/>
        </w:rPr>
      </w:pPr>
      <w:r>
        <w:rPr>
          <w:rFonts w:hint="eastAsia" w:ascii="宋体" w:hAnsi="宋体" w:eastAsia="宋体" w:cs="宋体"/>
          <w:sz w:val="24"/>
        </w:rPr>
        <w:t>4.4 商定或确定</w:t>
      </w:r>
    </w:p>
    <w:p w14:paraId="51CB9025">
      <w:pPr>
        <w:pageBreakBefore w:val="0"/>
        <w:widowControl w:val="0"/>
        <w:kinsoku/>
        <w:wordWrap/>
        <w:overflowPunct/>
        <w:topLinePunct w:val="0"/>
        <w:bidi w:val="0"/>
        <w:snapToGrid/>
        <w:spacing w:line="480" w:lineRule="exact"/>
        <w:ind w:firstLine="480" w:firstLineChars="200"/>
        <w:textAlignment w:val="auto"/>
        <w:outlineLvl w:val="9"/>
        <w:rPr>
          <w:rFonts w:hint="eastAsia" w:ascii="宋体" w:hAnsi="宋体" w:eastAsia="宋体" w:cs="宋体"/>
          <w:sz w:val="24"/>
        </w:rPr>
      </w:pPr>
      <w:bookmarkStart w:id="1132" w:name="_Toc267251418"/>
      <w:r>
        <w:rPr>
          <w:rFonts w:hint="eastAsia" w:ascii="宋体" w:hAnsi="宋体" w:eastAsia="宋体" w:cs="宋体"/>
          <w:sz w:val="24"/>
        </w:rPr>
        <w:t>在发包人和承包人不能通过协商达成一致意见时，发包人授权监理人对以下事项进行确定：</w:t>
      </w:r>
    </w:p>
    <w:p w14:paraId="7D992024">
      <w:pPr>
        <w:pageBreakBefore w:val="0"/>
        <w:widowControl w:val="0"/>
        <w:kinsoku/>
        <w:wordWrap/>
        <w:overflowPunct/>
        <w:topLinePunct w:val="0"/>
        <w:autoSpaceDE w:val="0"/>
        <w:autoSpaceDN w:val="0"/>
        <w:bidi w:val="0"/>
        <w:adjustRightInd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（1）</w:t>
      </w:r>
      <w:r>
        <w:rPr>
          <w:rFonts w:hint="eastAsia" w:ascii="宋体" w:hAnsi="宋体" w:eastAsia="宋体" w:cs="宋体"/>
          <w:sz w:val="24"/>
          <w:u w:val="single"/>
        </w:rPr>
        <w:t xml:space="preserve">                  /                 </w:t>
      </w:r>
      <w:r>
        <w:rPr>
          <w:rFonts w:hint="eastAsia" w:ascii="宋体" w:hAnsi="宋体" w:eastAsia="宋体" w:cs="宋体"/>
          <w:sz w:val="24"/>
        </w:rPr>
        <w:t>；</w:t>
      </w:r>
    </w:p>
    <w:p w14:paraId="7C4DE84F">
      <w:pPr>
        <w:pageBreakBefore w:val="0"/>
        <w:widowControl w:val="0"/>
        <w:kinsoku/>
        <w:wordWrap/>
        <w:overflowPunct/>
        <w:topLinePunct w:val="0"/>
        <w:autoSpaceDE w:val="0"/>
        <w:autoSpaceDN w:val="0"/>
        <w:bidi w:val="0"/>
        <w:adjustRightInd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（2）</w:t>
      </w:r>
      <w:r>
        <w:rPr>
          <w:rFonts w:hint="eastAsia" w:ascii="宋体" w:hAnsi="宋体" w:eastAsia="宋体" w:cs="宋体"/>
          <w:sz w:val="24"/>
          <w:u w:val="single"/>
        </w:rPr>
        <w:t xml:space="preserve">                  /                 </w:t>
      </w:r>
      <w:r>
        <w:rPr>
          <w:rFonts w:hint="eastAsia" w:ascii="宋体" w:hAnsi="宋体" w:eastAsia="宋体" w:cs="宋体"/>
          <w:sz w:val="24"/>
        </w:rPr>
        <w:t>；</w:t>
      </w:r>
    </w:p>
    <w:p w14:paraId="60E0A6CB">
      <w:pPr>
        <w:pageBreakBefore w:val="0"/>
        <w:widowControl w:val="0"/>
        <w:kinsoku/>
        <w:wordWrap/>
        <w:overflowPunct/>
        <w:topLinePunct w:val="0"/>
        <w:autoSpaceDE w:val="0"/>
        <w:autoSpaceDN w:val="0"/>
        <w:bidi w:val="0"/>
        <w:adjustRightInd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（3）</w:t>
      </w:r>
      <w:r>
        <w:rPr>
          <w:rFonts w:hint="eastAsia" w:ascii="宋体" w:hAnsi="宋体" w:eastAsia="宋体" w:cs="宋体"/>
          <w:sz w:val="24"/>
          <w:u w:val="single"/>
        </w:rPr>
        <w:t xml:space="preserve">                  /                 </w:t>
      </w:r>
      <w:r>
        <w:rPr>
          <w:rFonts w:hint="eastAsia" w:ascii="宋体" w:hAnsi="宋体" w:eastAsia="宋体" w:cs="宋体"/>
          <w:sz w:val="24"/>
        </w:rPr>
        <w:t>。</w:t>
      </w:r>
    </w:p>
    <w:p w14:paraId="4FB74218">
      <w:pPr>
        <w:pageBreakBefore w:val="0"/>
        <w:widowControl w:val="0"/>
        <w:kinsoku/>
        <w:wordWrap/>
        <w:overflowPunct/>
        <w:topLinePunct w:val="0"/>
        <w:bidi w:val="0"/>
        <w:snapToGrid/>
        <w:spacing w:before="120" w:after="120" w:line="480" w:lineRule="exact"/>
        <w:textAlignment w:val="auto"/>
        <w:outlineLvl w:val="9"/>
        <w:rPr>
          <w:rFonts w:hint="eastAsia" w:ascii="宋体" w:hAnsi="宋体" w:eastAsia="宋体" w:cs="宋体"/>
          <w:b w:val="0"/>
          <w:sz w:val="24"/>
          <w:szCs w:val="24"/>
        </w:rPr>
      </w:pPr>
      <w:bookmarkStart w:id="1133" w:name="_Toc351203637"/>
      <w:r>
        <w:rPr>
          <w:rFonts w:hint="eastAsia" w:ascii="宋体" w:hAnsi="宋体" w:eastAsia="宋体" w:cs="宋体"/>
          <w:b w:val="0"/>
          <w:sz w:val="24"/>
          <w:szCs w:val="24"/>
        </w:rPr>
        <w:t>5</w:t>
      </w:r>
      <w:bookmarkEnd w:id="1132"/>
      <w:bookmarkStart w:id="1134" w:name="_Toc292559367"/>
      <w:bookmarkStart w:id="1135" w:name="_Toc292559872"/>
      <w:bookmarkStart w:id="1136" w:name="_Toc296347162"/>
      <w:bookmarkStart w:id="1137" w:name="_Toc296890991"/>
      <w:bookmarkStart w:id="1138" w:name="_Toc296503163"/>
      <w:bookmarkStart w:id="1139" w:name="_Toc296891203"/>
      <w:bookmarkStart w:id="1140" w:name="_Toc297048349"/>
      <w:bookmarkStart w:id="1141" w:name="_Toc296944502"/>
      <w:bookmarkStart w:id="1142" w:name="_Toc296346664"/>
      <w:bookmarkStart w:id="1143" w:name="_Toc297120463"/>
      <w:r>
        <w:rPr>
          <w:rFonts w:hint="eastAsia" w:ascii="宋体" w:hAnsi="宋体" w:eastAsia="宋体" w:cs="宋体"/>
          <w:b w:val="0"/>
          <w:sz w:val="24"/>
          <w:szCs w:val="24"/>
        </w:rPr>
        <w:t>. 工程质量</w:t>
      </w:r>
      <w:bookmarkEnd w:id="1133"/>
    </w:p>
    <w:p w14:paraId="4093D45D">
      <w:pPr>
        <w:pageBreakBefore w:val="0"/>
        <w:widowControl w:val="0"/>
        <w:kinsoku/>
        <w:wordWrap/>
        <w:overflowPunct/>
        <w:topLinePunct w:val="0"/>
        <w:bidi w:val="0"/>
        <w:snapToGrid/>
        <w:spacing w:after="120" w:line="480" w:lineRule="exact"/>
        <w:ind w:firstLine="480" w:firstLineChars="200"/>
        <w:textAlignment w:val="auto"/>
        <w:outlineLvl w:val="9"/>
        <w:rPr>
          <w:rFonts w:hint="eastAsia" w:ascii="宋体" w:hAnsi="宋体" w:eastAsia="宋体" w:cs="宋体"/>
          <w:sz w:val="24"/>
        </w:rPr>
      </w:pPr>
      <w:r>
        <w:rPr>
          <w:rFonts w:hint="eastAsia" w:ascii="宋体" w:hAnsi="宋体" w:eastAsia="宋体" w:cs="宋体"/>
          <w:sz w:val="24"/>
        </w:rPr>
        <w:t>5.1 质量要求</w:t>
      </w:r>
    </w:p>
    <w:p w14:paraId="1A83E85C">
      <w:pPr>
        <w:pageBreakBefore w:val="0"/>
        <w:widowControl w:val="0"/>
        <w:kinsoku/>
        <w:wordWrap/>
        <w:overflowPunct/>
        <w:topLinePunct w:val="0"/>
        <w:bidi w:val="0"/>
        <w:snapToGrid/>
        <w:spacing w:line="480" w:lineRule="exact"/>
        <w:ind w:firstLine="480" w:firstLineChars="200"/>
        <w:jc w:val="left"/>
        <w:textAlignment w:val="auto"/>
        <w:outlineLvl w:val="9"/>
        <w:rPr>
          <w:rFonts w:hint="eastAsia" w:ascii="宋体" w:hAnsi="宋体" w:eastAsia="宋体" w:cs="宋体"/>
          <w:sz w:val="24"/>
        </w:rPr>
      </w:pPr>
      <w:r>
        <w:rPr>
          <w:rFonts w:hint="eastAsia" w:ascii="宋体" w:hAnsi="宋体" w:eastAsia="宋体" w:cs="宋体"/>
          <w:sz w:val="24"/>
        </w:rPr>
        <w:t>5</w:t>
      </w:r>
      <w:bookmarkStart w:id="1144" w:name="_Toc312677997"/>
      <w:bookmarkStart w:id="1145" w:name="_Toc318581164"/>
      <w:bookmarkStart w:id="1146" w:name="_Toc297216155"/>
      <w:bookmarkStart w:id="1147" w:name="_Toc303539106"/>
      <w:bookmarkStart w:id="1148" w:name="_Toc297123496"/>
      <w:bookmarkStart w:id="1149" w:name="_Toc304295527"/>
      <w:bookmarkStart w:id="1150" w:name="_Toc300934949"/>
      <w:r>
        <w:rPr>
          <w:rFonts w:hint="eastAsia" w:ascii="宋体" w:hAnsi="宋体" w:eastAsia="宋体" w:cs="宋体"/>
          <w:sz w:val="24"/>
        </w:rPr>
        <w:t>.1.1 特殊质量标准和要求：</w:t>
      </w:r>
      <w:r>
        <w:rPr>
          <w:rFonts w:hint="eastAsia" w:ascii="宋体" w:hAnsi="宋体" w:eastAsia="宋体" w:cs="宋体"/>
          <w:sz w:val="24"/>
          <w:u w:val="single"/>
        </w:rPr>
        <w:t xml:space="preserve">             无              </w:t>
      </w:r>
      <w:r>
        <w:rPr>
          <w:rFonts w:hint="eastAsia" w:ascii="宋体" w:hAnsi="宋体" w:eastAsia="宋体" w:cs="宋体"/>
          <w:sz w:val="24"/>
        </w:rPr>
        <w:t>。</w:t>
      </w:r>
    </w:p>
    <w:p w14:paraId="25A5D7F8">
      <w:pPr>
        <w:pageBreakBefore w:val="0"/>
        <w:widowControl w:val="0"/>
        <w:kinsoku/>
        <w:wordWrap/>
        <w:overflowPunct/>
        <w:topLinePunct w:val="0"/>
        <w:bidi w:val="0"/>
        <w:snapToGrid/>
        <w:spacing w:line="480" w:lineRule="exact"/>
        <w:ind w:firstLine="480" w:firstLineChars="200"/>
        <w:jc w:val="left"/>
        <w:textAlignment w:val="auto"/>
        <w:outlineLvl w:val="9"/>
        <w:rPr>
          <w:rFonts w:hint="eastAsia" w:ascii="宋体" w:hAnsi="宋体" w:eastAsia="宋体" w:cs="宋体"/>
          <w:sz w:val="24"/>
        </w:rPr>
      </w:pPr>
      <w:r>
        <w:rPr>
          <w:rFonts w:hint="eastAsia" w:ascii="宋体" w:hAnsi="宋体" w:eastAsia="宋体" w:cs="宋体"/>
          <w:sz w:val="24"/>
        </w:rPr>
        <w:t>关于工程奖项的约定：</w:t>
      </w:r>
      <w:r>
        <w:rPr>
          <w:rFonts w:hint="eastAsia" w:ascii="宋体" w:hAnsi="宋体" w:eastAsia="宋体" w:cs="宋体"/>
          <w:sz w:val="24"/>
          <w:u w:val="single"/>
        </w:rPr>
        <w:t xml:space="preserve">                 无               </w:t>
      </w:r>
      <w:r>
        <w:rPr>
          <w:rFonts w:hint="eastAsia" w:ascii="宋体" w:hAnsi="宋体" w:eastAsia="宋体" w:cs="宋体"/>
          <w:sz w:val="24"/>
        </w:rPr>
        <w:t>。</w:t>
      </w:r>
    </w:p>
    <w:p w14:paraId="7F512B0B">
      <w:pPr>
        <w:pageBreakBefore w:val="0"/>
        <w:widowControl w:val="0"/>
        <w:kinsoku/>
        <w:wordWrap/>
        <w:overflowPunct/>
        <w:topLinePunct w:val="0"/>
        <w:bidi w:val="0"/>
        <w:snapToGrid/>
        <w:spacing w:after="120" w:line="480" w:lineRule="exact"/>
        <w:ind w:firstLine="480" w:firstLineChars="200"/>
        <w:textAlignment w:val="auto"/>
        <w:outlineLvl w:val="9"/>
        <w:rPr>
          <w:rFonts w:hint="eastAsia" w:ascii="宋体" w:hAnsi="宋体" w:eastAsia="宋体" w:cs="宋体"/>
          <w:sz w:val="24"/>
        </w:rPr>
      </w:pPr>
      <w:r>
        <w:rPr>
          <w:rFonts w:hint="eastAsia" w:ascii="宋体" w:hAnsi="宋体" w:eastAsia="宋体" w:cs="宋体"/>
          <w:sz w:val="24"/>
        </w:rPr>
        <w:t>5.3 隐蔽工程检查</w:t>
      </w:r>
    </w:p>
    <w:p w14:paraId="6D2EB901">
      <w:pPr>
        <w:pageBreakBefore w:val="0"/>
        <w:widowControl w:val="0"/>
        <w:kinsoku/>
        <w:wordWrap/>
        <w:overflowPunct/>
        <w:topLinePunct w:val="0"/>
        <w:bidi w:val="0"/>
        <w:snapToGrid/>
        <w:spacing w:line="480" w:lineRule="exact"/>
        <w:jc w:val="left"/>
        <w:textAlignment w:val="auto"/>
        <w:outlineLvl w:val="9"/>
        <w:rPr>
          <w:rFonts w:hint="eastAsia" w:ascii="宋体" w:hAnsi="宋体" w:eastAsia="宋体" w:cs="宋体"/>
          <w:sz w:val="24"/>
        </w:rPr>
      </w:pPr>
      <w:r>
        <w:rPr>
          <w:rFonts w:hint="eastAsia" w:ascii="宋体" w:hAnsi="宋体" w:eastAsia="宋体" w:cs="宋体"/>
          <w:sz w:val="24"/>
        </w:rPr>
        <w:t xml:space="preserve">    5.3.2承包人提前通知监理人隐蔽工程检查的期限的约定：</w:t>
      </w:r>
      <w:r>
        <w:rPr>
          <w:rFonts w:hint="eastAsia" w:ascii="宋体" w:hAnsi="宋体" w:eastAsia="宋体" w:cs="宋体"/>
          <w:sz w:val="24"/>
          <w:u w:val="single"/>
        </w:rPr>
        <w:t xml:space="preserve">  </w:t>
      </w:r>
      <w:r>
        <w:rPr>
          <w:rFonts w:hint="eastAsia" w:ascii="宋体" w:hAnsi="宋体" w:eastAsia="宋体" w:cs="宋体"/>
          <w:sz w:val="24"/>
        </w:rPr>
        <w:t>。</w:t>
      </w:r>
    </w:p>
    <w:p w14:paraId="7161D873">
      <w:pPr>
        <w:pageBreakBefore w:val="0"/>
        <w:widowControl w:val="0"/>
        <w:kinsoku/>
        <w:wordWrap/>
        <w:overflowPunct/>
        <w:topLinePunct w:val="0"/>
        <w:bidi w:val="0"/>
        <w:snapToGrid/>
        <w:spacing w:line="480" w:lineRule="exact"/>
        <w:ind w:firstLine="480" w:firstLineChars="200"/>
        <w:jc w:val="left"/>
        <w:textAlignment w:val="auto"/>
        <w:outlineLvl w:val="9"/>
        <w:rPr>
          <w:rFonts w:hint="eastAsia" w:ascii="宋体" w:hAnsi="宋体" w:eastAsia="宋体" w:cs="宋体"/>
          <w:sz w:val="24"/>
        </w:rPr>
      </w:pPr>
      <w:r>
        <w:rPr>
          <w:rFonts w:hint="eastAsia" w:ascii="宋体" w:hAnsi="宋体" w:eastAsia="宋体" w:cs="宋体"/>
          <w:sz w:val="24"/>
        </w:rPr>
        <w:t>监理人不能按时进行检查时，应提前</w:t>
      </w:r>
      <w:r>
        <w:rPr>
          <w:rFonts w:hint="eastAsia" w:ascii="宋体" w:hAnsi="宋体" w:eastAsia="宋体" w:cs="宋体"/>
          <w:sz w:val="24"/>
          <w:u w:val="single"/>
        </w:rPr>
        <w:t xml:space="preserve">     </w:t>
      </w:r>
      <w:r>
        <w:rPr>
          <w:rFonts w:hint="eastAsia" w:ascii="宋体" w:hAnsi="宋体" w:eastAsia="宋体" w:cs="宋体"/>
          <w:sz w:val="24"/>
        </w:rPr>
        <w:t>小时提交书面延期要求。</w:t>
      </w:r>
    </w:p>
    <w:p w14:paraId="5A16BC54">
      <w:pPr>
        <w:pageBreakBefore w:val="0"/>
        <w:widowControl w:val="0"/>
        <w:kinsoku/>
        <w:wordWrap/>
        <w:overflowPunct/>
        <w:topLinePunct w:val="0"/>
        <w:bidi w:val="0"/>
        <w:snapToGrid/>
        <w:spacing w:line="480" w:lineRule="exact"/>
        <w:ind w:firstLine="480" w:firstLineChars="200"/>
        <w:jc w:val="left"/>
        <w:textAlignment w:val="auto"/>
        <w:outlineLvl w:val="9"/>
        <w:rPr>
          <w:rFonts w:hint="eastAsia" w:ascii="宋体" w:hAnsi="宋体" w:eastAsia="宋体" w:cs="宋体"/>
          <w:sz w:val="24"/>
        </w:rPr>
      </w:pPr>
      <w:r>
        <w:rPr>
          <w:rFonts w:hint="eastAsia" w:ascii="宋体" w:hAnsi="宋体" w:eastAsia="宋体" w:cs="宋体"/>
          <w:sz w:val="24"/>
        </w:rPr>
        <w:t>关于延期最长不得超过：</w:t>
      </w:r>
      <w:r>
        <w:rPr>
          <w:rFonts w:hint="eastAsia" w:ascii="宋体" w:hAnsi="宋体" w:eastAsia="宋体" w:cs="宋体"/>
          <w:sz w:val="24"/>
          <w:u w:val="single"/>
        </w:rPr>
        <w:t xml:space="preserve">    </w:t>
      </w:r>
      <w:r>
        <w:rPr>
          <w:rFonts w:hint="eastAsia" w:ascii="宋体" w:hAnsi="宋体" w:eastAsia="宋体" w:cs="宋体"/>
          <w:sz w:val="24"/>
        </w:rPr>
        <w:t>小时。</w:t>
      </w:r>
    </w:p>
    <w:p w14:paraId="7CC3EECB">
      <w:pPr>
        <w:pageBreakBefore w:val="0"/>
        <w:widowControl w:val="0"/>
        <w:kinsoku/>
        <w:wordWrap/>
        <w:overflowPunct/>
        <w:topLinePunct w:val="0"/>
        <w:bidi w:val="0"/>
        <w:snapToGrid/>
        <w:spacing w:before="120" w:after="120" w:line="480" w:lineRule="exact"/>
        <w:textAlignment w:val="auto"/>
        <w:outlineLvl w:val="9"/>
        <w:rPr>
          <w:rFonts w:hint="eastAsia" w:ascii="宋体" w:hAnsi="宋体" w:eastAsia="宋体" w:cs="宋体"/>
          <w:b w:val="0"/>
          <w:sz w:val="24"/>
          <w:szCs w:val="24"/>
        </w:rPr>
      </w:pPr>
      <w:bookmarkStart w:id="1151" w:name="_Toc351203638"/>
      <w:r>
        <w:rPr>
          <w:rFonts w:hint="eastAsia" w:ascii="宋体" w:hAnsi="宋体" w:eastAsia="宋体" w:cs="宋体"/>
          <w:b w:val="0"/>
          <w:sz w:val="24"/>
          <w:szCs w:val="24"/>
        </w:rPr>
        <w:t>6. 安全文明施工与环境保护</w:t>
      </w:r>
      <w:bookmarkEnd w:id="1151"/>
    </w:p>
    <w:p w14:paraId="6854C882">
      <w:pPr>
        <w:pageBreakBefore w:val="0"/>
        <w:widowControl w:val="0"/>
        <w:kinsoku/>
        <w:wordWrap/>
        <w:overflowPunct/>
        <w:topLinePunct w:val="0"/>
        <w:bidi w:val="0"/>
        <w:snapToGrid/>
        <w:spacing w:after="120" w:line="480" w:lineRule="exact"/>
        <w:ind w:firstLine="480" w:firstLineChars="200"/>
        <w:textAlignment w:val="auto"/>
        <w:outlineLvl w:val="9"/>
        <w:rPr>
          <w:rFonts w:hint="eastAsia" w:ascii="宋体" w:hAnsi="宋体" w:eastAsia="宋体" w:cs="宋体"/>
          <w:sz w:val="24"/>
        </w:rPr>
      </w:pPr>
      <w:r>
        <w:rPr>
          <w:rFonts w:hint="eastAsia" w:ascii="宋体" w:hAnsi="宋体" w:eastAsia="宋体" w:cs="宋体"/>
          <w:sz w:val="24"/>
        </w:rPr>
        <w:t>6.1安全文明施工</w:t>
      </w:r>
    </w:p>
    <w:p w14:paraId="1362A12E">
      <w:pPr>
        <w:pageBreakBefore w:val="0"/>
        <w:widowControl w:val="0"/>
        <w:kinsoku/>
        <w:wordWrap/>
        <w:overflowPunct/>
        <w:topLinePunct w:val="0"/>
        <w:bidi w:val="0"/>
        <w:snapToGrid/>
        <w:spacing w:line="480" w:lineRule="exact"/>
        <w:ind w:firstLine="480" w:firstLineChars="200"/>
        <w:jc w:val="left"/>
        <w:textAlignment w:val="auto"/>
        <w:outlineLvl w:val="9"/>
        <w:rPr>
          <w:rFonts w:hint="eastAsia" w:ascii="宋体" w:hAnsi="宋体" w:eastAsia="宋体" w:cs="宋体"/>
          <w:sz w:val="24"/>
          <w:u w:val="single"/>
        </w:rPr>
      </w:pPr>
      <w:r>
        <w:rPr>
          <w:rFonts w:hint="eastAsia" w:ascii="宋体" w:hAnsi="宋体" w:eastAsia="宋体" w:cs="宋体"/>
          <w:sz w:val="24"/>
        </w:rPr>
        <w:t>6.1.1 项目安全生产的达标目标及相应事项的约定：</w:t>
      </w:r>
      <w:r>
        <w:rPr>
          <w:rFonts w:hint="eastAsia" w:ascii="宋体" w:hAnsi="宋体" w:eastAsia="宋体" w:cs="宋体"/>
          <w:sz w:val="24"/>
          <w:u w:val="single"/>
        </w:rPr>
        <w:t>符合国家现行的及当地主管部门的相关规定。</w:t>
      </w:r>
    </w:p>
    <w:p w14:paraId="496F1379">
      <w:pPr>
        <w:pageBreakBefore w:val="0"/>
        <w:widowControl w:val="0"/>
        <w:kinsoku/>
        <w:wordWrap/>
        <w:overflowPunct/>
        <w:topLinePunct w:val="0"/>
        <w:bidi w:val="0"/>
        <w:snapToGrid/>
        <w:spacing w:line="480" w:lineRule="exact"/>
        <w:ind w:firstLine="480" w:firstLineChars="200"/>
        <w:jc w:val="left"/>
        <w:textAlignment w:val="auto"/>
        <w:outlineLvl w:val="9"/>
        <w:rPr>
          <w:rFonts w:hint="eastAsia" w:ascii="宋体" w:hAnsi="宋体" w:eastAsia="宋体" w:cs="宋体"/>
          <w:sz w:val="24"/>
        </w:rPr>
      </w:pPr>
      <w:r>
        <w:rPr>
          <w:rFonts w:hint="eastAsia" w:ascii="宋体" w:hAnsi="宋体" w:eastAsia="宋体" w:cs="宋体"/>
          <w:sz w:val="24"/>
        </w:rPr>
        <w:t>6.1.4 关于治安保卫的特别约定：</w:t>
      </w:r>
      <w:r>
        <w:rPr>
          <w:rFonts w:hint="eastAsia" w:ascii="宋体" w:hAnsi="宋体" w:eastAsia="宋体" w:cs="宋体"/>
          <w:sz w:val="24"/>
          <w:u w:val="single"/>
        </w:rPr>
        <w:t>符合当地主管部门的规定</w:t>
      </w:r>
      <w:r>
        <w:rPr>
          <w:rFonts w:hint="eastAsia" w:ascii="宋体" w:hAnsi="宋体" w:eastAsia="宋体" w:cs="宋体"/>
          <w:sz w:val="24"/>
        </w:rPr>
        <w:t>。</w:t>
      </w:r>
    </w:p>
    <w:p w14:paraId="2FEF3EE8">
      <w:pPr>
        <w:pageBreakBefore w:val="0"/>
        <w:widowControl w:val="0"/>
        <w:kinsoku/>
        <w:wordWrap/>
        <w:overflowPunct/>
        <w:topLinePunct w:val="0"/>
        <w:bidi w:val="0"/>
        <w:snapToGrid/>
        <w:spacing w:line="480" w:lineRule="exact"/>
        <w:ind w:firstLine="480" w:firstLineChars="200"/>
        <w:jc w:val="left"/>
        <w:textAlignment w:val="auto"/>
        <w:outlineLvl w:val="9"/>
        <w:rPr>
          <w:rFonts w:hint="eastAsia" w:ascii="宋体" w:hAnsi="宋体" w:eastAsia="宋体" w:cs="宋体"/>
          <w:sz w:val="24"/>
        </w:rPr>
      </w:pPr>
      <w:r>
        <w:rPr>
          <w:rFonts w:hint="eastAsia" w:ascii="宋体" w:hAnsi="宋体" w:eastAsia="宋体" w:cs="宋体"/>
          <w:sz w:val="24"/>
        </w:rPr>
        <w:t>6.1.5 文明施工</w:t>
      </w:r>
    </w:p>
    <w:p w14:paraId="3D3C222D">
      <w:pPr>
        <w:pageBreakBefore w:val="0"/>
        <w:widowControl w:val="0"/>
        <w:kinsoku/>
        <w:wordWrap/>
        <w:overflowPunct/>
        <w:topLinePunct w:val="0"/>
        <w:bidi w:val="0"/>
        <w:snapToGrid/>
        <w:spacing w:line="480" w:lineRule="exact"/>
        <w:ind w:firstLine="480" w:firstLineChars="200"/>
        <w:jc w:val="left"/>
        <w:textAlignment w:val="auto"/>
        <w:outlineLvl w:val="9"/>
        <w:rPr>
          <w:rFonts w:hint="eastAsia" w:ascii="宋体" w:hAnsi="宋体" w:eastAsia="宋体" w:cs="宋体"/>
          <w:sz w:val="24"/>
        </w:rPr>
      </w:pPr>
      <w:r>
        <w:rPr>
          <w:rFonts w:hint="eastAsia" w:ascii="宋体" w:hAnsi="宋体" w:eastAsia="宋体" w:cs="宋体"/>
          <w:sz w:val="24"/>
        </w:rPr>
        <w:t>合同当事人对文明施工的要求：</w:t>
      </w:r>
      <w:r>
        <w:rPr>
          <w:rFonts w:hint="eastAsia" w:ascii="宋体" w:hAnsi="宋体" w:eastAsia="宋体" w:cs="宋体"/>
          <w:sz w:val="24"/>
          <w:u w:val="single"/>
        </w:rPr>
        <w:t xml:space="preserve"> 符合国家现行的及当地主管部门的相关规定 。</w:t>
      </w:r>
    </w:p>
    <w:bookmarkEnd w:id="1144"/>
    <w:bookmarkEnd w:id="1145"/>
    <w:bookmarkEnd w:id="1146"/>
    <w:bookmarkEnd w:id="1147"/>
    <w:bookmarkEnd w:id="1148"/>
    <w:bookmarkEnd w:id="1149"/>
    <w:bookmarkEnd w:id="1150"/>
    <w:p w14:paraId="01767053">
      <w:pPr>
        <w:pageBreakBefore w:val="0"/>
        <w:widowControl w:val="0"/>
        <w:kinsoku/>
        <w:wordWrap/>
        <w:overflowPunct/>
        <w:topLinePunct w:val="0"/>
        <w:bidi w:val="0"/>
        <w:snapToGrid/>
        <w:spacing w:before="120" w:after="120" w:line="480" w:lineRule="exact"/>
        <w:textAlignment w:val="auto"/>
        <w:outlineLvl w:val="9"/>
        <w:rPr>
          <w:rFonts w:hint="eastAsia" w:ascii="宋体" w:hAnsi="宋体" w:eastAsia="宋体" w:cs="宋体"/>
          <w:b w:val="0"/>
          <w:sz w:val="24"/>
          <w:szCs w:val="24"/>
        </w:rPr>
      </w:pPr>
      <w:bookmarkStart w:id="1152" w:name="_Toc351203639"/>
      <w:r>
        <w:rPr>
          <w:rFonts w:hint="eastAsia" w:ascii="宋体" w:hAnsi="宋体" w:eastAsia="宋体" w:cs="宋体"/>
          <w:b w:val="0"/>
          <w:sz w:val="24"/>
          <w:szCs w:val="24"/>
        </w:rPr>
        <w:t>7. 工期和进度</w:t>
      </w:r>
      <w:bookmarkEnd w:id="1152"/>
    </w:p>
    <w:p w14:paraId="6A5DDA11">
      <w:pPr>
        <w:pageBreakBefore w:val="0"/>
        <w:widowControl w:val="0"/>
        <w:kinsoku/>
        <w:wordWrap/>
        <w:overflowPunct/>
        <w:topLinePunct w:val="0"/>
        <w:bidi w:val="0"/>
        <w:snapToGrid/>
        <w:spacing w:after="120" w:line="480" w:lineRule="exact"/>
        <w:ind w:firstLine="480" w:firstLineChars="200"/>
        <w:textAlignment w:val="auto"/>
        <w:outlineLvl w:val="9"/>
        <w:rPr>
          <w:rFonts w:hint="eastAsia" w:ascii="宋体" w:hAnsi="宋体" w:eastAsia="宋体" w:cs="宋体"/>
          <w:sz w:val="24"/>
        </w:rPr>
      </w:pPr>
      <w:r>
        <w:rPr>
          <w:rFonts w:hint="eastAsia" w:ascii="宋体" w:hAnsi="宋体" w:eastAsia="宋体" w:cs="宋体"/>
          <w:sz w:val="24"/>
        </w:rPr>
        <w:t>7.1 施工组织设计</w:t>
      </w:r>
    </w:p>
    <w:p w14:paraId="26FBFA33">
      <w:pPr>
        <w:pageBreakBefore w:val="0"/>
        <w:widowControl w:val="0"/>
        <w:kinsoku/>
        <w:wordWrap/>
        <w:overflowPunct/>
        <w:topLinePunct w:val="0"/>
        <w:autoSpaceDE w:val="0"/>
        <w:autoSpaceDN w:val="0"/>
        <w:bidi w:val="0"/>
        <w:adjustRightInd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sz w:val="24"/>
        </w:rPr>
        <w:t>7.1.1 合</w:t>
      </w:r>
      <w:r>
        <w:rPr>
          <w:rFonts w:hint="eastAsia" w:ascii="宋体" w:hAnsi="宋体" w:eastAsia="宋体" w:cs="宋体"/>
          <w:kern w:val="0"/>
          <w:sz w:val="24"/>
        </w:rPr>
        <w:t>同当事人约定的施工组织设计应包括的其他内容：</w:t>
      </w:r>
      <w:r>
        <w:rPr>
          <w:rFonts w:hint="eastAsia" w:ascii="宋体" w:hAnsi="宋体" w:eastAsia="宋体" w:cs="宋体"/>
          <w:sz w:val="24"/>
          <w:u w:val="single"/>
        </w:rPr>
        <w:t xml:space="preserve">                 </w:t>
      </w:r>
      <w:r>
        <w:rPr>
          <w:rFonts w:hint="eastAsia" w:ascii="宋体" w:hAnsi="宋体" w:eastAsia="宋体" w:cs="宋体"/>
          <w:sz w:val="24"/>
        </w:rPr>
        <w:t>。</w:t>
      </w:r>
    </w:p>
    <w:p w14:paraId="4847C305">
      <w:pPr>
        <w:pageBreakBefore w:val="0"/>
        <w:widowControl w:val="0"/>
        <w:kinsoku/>
        <w:wordWrap/>
        <w:overflowPunct/>
        <w:topLinePunct w:val="0"/>
        <w:autoSpaceDE w:val="0"/>
        <w:autoSpaceDN w:val="0"/>
        <w:bidi w:val="0"/>
        <w:adjustRightInd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sz w:val="24"/>
        </w:rPr>
        <w:t xml:space="preserve">7.1.2 </w:t>
      </w:r>
      <w:r>
        <w:rPr>
          <w:rFonts w:hint="eastAsia" w:ascii="宋体" w:hAnsi="宋体" w:eastAsia="宋体" w:cs="宋体"/>
          <w:kern w:val="0"/>
          <w:sz w:val="24"/>
        </w:rPr>
        <w:t>施工组织设计的提交和修改</w:t>
      </w:r>
    </w:p>
    <w:p w14:paraId="3CC82B94">
      <w:pPr>
        <w:pageBreakBefore w:val="0"/>
        <w:widowControl w:val="0"/>
        <w:kinsoku/>
        <w:wordWrap/>
        <w:overflowPunct/>
        <w:topLinePunct w:val="0"/>
        <w:autoSpaceDE w:val="0"/>
        <w:autoSpaceDN w:val="0"/>
        <w:bidi w:val="0"/>
        <w:adjustRightInd w:val="0"/>
        <w:snapToGrid/>
        <w:spacing w:line="480" w:lineRule="exact"/>
        <w:ind w:firstLine="480" w:firstLineChars="200"/>
        <w:jc w:val="left"/>
        <w:textAlignment w:val="auto"/>
        <w:outlineLvl w:val="9"/>
        <w:rPr>
          <w:rFonts w:hint="eastAsia" w:ascii="宋体" w:hAnsi="宋体" w:eastAsia="宋体" w:cs="宋体"/>
          <w:sz w:val="24"/>
        </w:rPr>
      </w:pPr>
      <w:r>
        <w:rPr>
          <w:rFonts w:hint="eastAsia" w:ascii="宋体" w:hAnsi="宋体" w:eastAsia="宋体" w:cs="宋体"/>
          <w:kern w:val="0"/>
          <w:sz w:val="24"/>
        </w:rPr>
        <w:t>承包人提交详细施工组织设计的期限的约定：</w:t>
      </w:r>
      <w:r>
        <w:rPr>
          <w:rFonts w:hint="eastAsia" w:ascii="宋体" w:hAnsi="宋体" w:eastAsia="宋体" w:cs="宋体"/>
          <w:sz w:val="24"/>
          <w:u w:val="single"/>
        </w:rPr>
        <w:t xml:space="preserve">               </w:t>
      </w:r>
      <w:r>
        <w:rPr>
          <w:rFonts w:hint="eastAsia" w:ascii="宋体" w:hAnsi="宋体" w:eastAsia="宋体" w:cs="宋体"/>
          <w:sz w:val="24"/>
        </w:rPr>
        <w:t>。</w:t>
      </w:r>
    </w:p>
    <w:p w14:paraId="59EA2F18">
      <w:pPr>
        <w:pageBreakBefore w:val="0"/>
        <w:widowControl w:val="0"/>
        <w:kinsoku/>
        <w:wordWrap/>
        <w:overflowPunct/>
        <w:topLinePunct w:val="0"/>
        <w:bidi w:val="0"/>
        <w:snapToGrid/>
        <w:spacing w:line="480" w:lineRule="exact"/>
        <w:ind w:firstLine="480" w:firstLineChars="200"/>
        <w:jc w:val="left"/>
        <w:textAlignment w:val="auto"/>
        <w:outlineLvl w:val="9"/>
        <w:rPr>
          <w:rFonts w:hint="eastAsia" w:ascii="宋体" w:hAnsi="宋体" w:eastAsia="宋体" w:cs="宋体"/>
          <w:sz w:val="24"/>
        </w:rPr>
      </w:pPr>
      <w:r>
        <w:rPr>
          <w:rFonts w:hint="eastAsia" w:ascii="宋体" w:hAnsi="宋体" w:eastAsia="宋体" w:cs="宋体"/>
          <w:sz w:val="24"/>
        </w:rPr>
        <w:t>发包人和监理人在收到详细的施工组织设计后确认或提出修改意见的期限：</w:t>
      </w:r>
      <w:r>
        <w:rPr>
          <w:rFonts w:hint="eastAsia" w:ascii="宋体" w:hAnsi="宋体" w:eastAsia="宋体" w:cs="宋体"/>
          <w:sz w:val="24"/>
          <w:u w:val="single"/>
        </w:rPr>
        <w:t xml:space="preserve">            </w:t>
      </w:r>
      <w:r>
        <w:rPr>
          <w:rFonts w:hint="eastAsia" w:ascii="宋体" w:hAnsi="宋体" w:eastAsia="宋体" w:cs="宋体"/>
          <w:sz w:val="24"/>
        </w:rPr>
        <w:t>。</w:t>
      </w:r>
    </w:p>
    <w:p w14:paraId="206FCA42">
      <w:pPr>
        <w:pageBreakBefore w:val="0"/>
        <w:widowControl w:val="0"/>
        <w:kinsoku/>
        <w:wordWrap/>
        <w:overflowPunct/>
        <w:topLinePunct w:val="0"/>
        <w:bidi w:val="0"/>
        <w:snapToGrid/>
        <w:spacing w:after="120" w:line="480" w:lineRule="exact"/>
        <w:ind w:firstLine="480" w:firstLineChars="200"/>
        <w:textAlignment w:val="auto"/>
        <w:outlineLvl w:val="9"/>
        <w:rPr>
          <w:rFonts w:hint="eastAsia" w:ascii="宋体" w:hAnsi="宋体" w:eastAsia="宋体" w:cs="宋体"/>
          <w:sz w:val="24"/>
        </w:rPr>
      </w:pPr>
      <w:r>
        <w:rPr>
          <w:rFonts w:hint="eastAsia" w:ascii="宋体" w:hAnsi="宋体" w:eastAsia="宋体" w:cs="宋体"/>
          <w:sz w:val="24"/>
        </w:rPr>
        <w:t>7</w:t>
      </w:r>
      <w:bookmarkStart w:id="1153" w:name="_Toc300934966"/>
      <w:bookmarkStart w:id="1154" w:name="_Toc297123514"/>
      <w:bookmarkStart w:id="1155" w:name="_Toc312678005"/>
      <w:bookmarkStart w:id="1156" w:name="_Toc304295541"/>
      <w:bookmarkStart w:id="1157" w:name="_Toc297216173"/>
      <w:bookmarkStart w:id="1158" w:name="_Toc312677479"/>
      <w:bookmarkStart w:id="1159" w:name="_Toc303539123"/>
      <w:r>
        <w:rPr>
          <w:rFonts w:hint="eastAsia" w:ascii="宋体" w:hAnsi="宋体" w:eastAsia="宋体" w:cs="宋体"/>
          <w:sz w:val="24"/>
        </w:rPr>
        <w:t>.2 施工进度计划</w:t>
      </w:r>
    </w:p>
    <w:p w14:paraId="0CA01378">
      <w:pPr>
        <w:pageBreakBefore w:val="0"/>
        <w:widowControl w:val="0"/>
        <w:kinsoku/>
        <w:wordWrap/>
        <w:overflowPunct/>
        <w:topLinePunct w:val="0"/>
        <w:bidi w:val="0"/>
        <w:snapToGrid/>
        <w:spacing w:line="480" w:lineRule="exact"/>
        <w:ind w:firstLine="480" w:firstLineChars="200"/>
        <w:jc w:val="left"/>
        <w:textAlignment w:val="auto"/>
        <w:outlineLvl w:val="9"/>
        <w:rPr>
          <w:rFonts w:hint="eastAsia" w:ascii="宋体" w:hAnsi="宋体" w:eastAsia="宋体" w:cs="宋体"/>
          <w:sz w:val="24"/>
        </w:rPr>
      </w:pPr>
      <w:r>
        <w:rPr>
          <w:rFonts w:hint="eastAsia" w:ascii="宋体" w:hAnsi="宋体" w:eastAsia="宋体" w:cs="宋体"/>
          <w:sz w:val="24"/>
        </w:rPr>
        <w:t>7.2.2 施工进度计划的修订</w:t>
      </w:r>
    </w:p>
    <w:p w14:paraId="513D38E6">
      <w:pPr>
        <w:pageBreakBefore w:val="0"/>
        <w:widowControl w:val="0"/>
        <w:kinsoku/>
        <w:wordWrap/>
        <w:overflowPunct/>
        <w:topLinePunct w:val="0"/>
        <w:bidi w:val="0"/>
        <w:snapToGrid/>
        <w:spacing w:line="480" w:lineRule="exact"/>
        <w:ind w:firstLine="480" w:firstLineChars="200"/>
        <w:jc w:val="left"/>
        <w:textAlignment w:val="auto"/>
        <w:outlineLvl w:val="9"/>
        <w:rPr>
          <w:rFonts w:hint="eastAsia" w:ascii="宋体" w:hAnsi="宋体" w:eastAsia="宋体" w:cs="宋体"/>
          <w:sz w:val="24"/>
        </w:rPr>
      </w:pPr>
      <w:r>
        <w:rPr>
          <w:rFonts w:hint="eastAsia" w:ascii="宋体" w:hAnsi="宋体" w:eastAsia="宋体" w:cs="宋体"/>
          <w:sz w:val="24"/>
        </w:rPr>
        <w:t>发包人和监理人在收到修订的施工进度计划后确认或提出修改意见的期限：</w:t>
      </w:r>
      <w:r>
        <w:rPr>
          <w:rFonts w:hint="eastAsia" w:ascii="宋体" w:hAnsi="宋体" w:eastAsia="宋体" w:cs="宋体"/>
          <w:sz w:val="24"/>
          <w:u w:val="single"/>
        </w:rPr>
        <w:t xml:space="preserve">              </w:t>
      </w:r>
      <w:r>
        <w:rPr>
          <w:rFonts w:hint="eastAsia" w:ascii="宋体" w:hAnsi="宋体" w:eastAsia="宋体" w:cs="宋体"/>
          <w:sz w:val="24"/>
        </w:rPr>
        <w:t>。</w:t>
      </w:r>
    </w:p>
    <w:p w14:paraId="6CDF0A9C">
      <w:pPr>
        <w:pageBreakBefore w:val="0"/>
        <w:widowControl w:val="0"/>
        <w:kinsoku/>
        <w:wordWrap/>
        <w:overflowPunct/>
        <w:topLinePunct w:val="0"/>
        <w:bidi w:val="0"/>
        <w:snapToGrid/>
        <w:spacing w:after="120" w:line="480" w:lineRule="exact"/>
        <w:ind w:firstLine="480" w:firstLineChars="200"/>
        <w:textAlignment w:val="auto"/>
        <w:outlineLvl w:val="9"/>
        <w:rPr>
          <w:rFonts w:hint="eastAsia" w:ascii="宋体" w:hAnsi="宋体" w:eastAsia="宋体" w:cs="宋体"/>
          <w:sz w:val="24"/>
        </w:rPr>
      </w:pPr>
      <w:r>
        <w:rPr>
          <w:rFonts w:hint="eastAsia" w:ascii="宋体" w:hAnsi="宋体" w:eastAsia="宋体" w:cs="宋体"/>
          <w:sz w:val="24"/>
        </w:rPr>
        <w:t>7.3 开工</w:t>
      </w:r>
    </w:p>
    <w:p w14:paraId="7E122EF1">
      <w:pPr>
        <w:pageBreakBefore w:val="0"/>
        <w:widowControl w:val="0"/>
        <w:kinsoku/>
        <w:wordWrap/>
        <w:overflowPunct/>
        <w:topLinePunct w:val="0"/>
        <w:bidi w:val="0"/>
        <w:snapToGrid/>
        <w:spacing w:line="480" w:lineRule="exact"/>
        <w:ind w:firstLine="480" w:firstLineChars="200"/>
        <w:jc w:val="left"/>
        <w:textAlignment w:val="auto"/>
        <w:outlineLvl w:val="9"/>
        <w:rPr>
          <w:rFonts w:hint="eastAsia" w:ascii="宋体" w:hAnsi="宋体" w:eastAsia="宋体" w:cs="宋体"/>
          <w:sz w:val="24"/>
        </w:rPr>
      </w:pPr>
      <w:r>
        <w:rPr>
          <w:rFonts w:hint="eastAsia" w:ascii="宋体" w:hAnsi="宋体" w:eastAsia="宋体" w:cs="宋体"/>
          <w:sz w:val="24"/>
        </w:rPr>
        <w:t>7.3.1 开工准备</w:t>
      </w:r>
    </w:p>
    <w:p w14:paraId="555BAE4B">
      <w:pPr>
        <w:pageBreakBefore w:val="0"/>
        <w:widowControl w:val="0"/>
        <w:kinsoku/>
        <w:wordWrap/>
        <w:overflowPunct/>
        <w:topLinePunct w:val="0"/>
        <w:bidi w:val="0"/>
        <w:snapToGrid/>
        <w:spacing w:line="480" w:lineRule="exact"/>
        <w:ind w:firstLine="645"/>
        <w:jc w:val="left"/>
        <w:textAlignment w:val="auto"/>
        <w:outlineLvl w:val="9"/>
        <w:rPr>
          <w:rFonts w:hint="eastAsia" w:ascii="宋体" w:hAnsi="宋体" w:eastAsia="宋体" w:cs="宋体"/>
          <w:sz w:val="24"/>
          <w:u w:val="single"/>
        </w:rPr>
      </w:pPr>
      <w:r>
        <w:rPr>
          <w:rFonts w:hint="eastAsia" w:ascii="宋体" w:hAnsi="宋体" w:eastAsia="宋体" w:cs="宋体"/>
          <w:sz w:val="24"/>
        </w:rPr>
        <w:t>关于承包人提交</w:t>
      </w:r>
      <w:r>
        <w:rPr>
          <w:rFonts w:hint="eastAsia" w:ascii="宋体" w:hAnsi="宋体" w:eastAsia="宋体" w:cs="宋体"/>
          <w:kern w:val="0"/>
          <w:sz w:val="24"/>
        </w:rPr>
        <w:t>工程开工报审表的期限：</w:t>
      </w:r>
      <w:r>
        <w:rPr>
          <w:rFonts w:hint="eastAsia" w:ascii="宋体" w:hAnsi="宋体" w:eastAsia="宋体" w:cs="宋体"/>
          <w:sz w:val="24"/>
          <w:u w:val="single"/>
        </w:rPr>
        <w:t xml:space="preserve">               </w:t>
      </w:r>
      <w:r>
        <w:rPr>
          <w:rFonts w:hint="eastAsia" w:ascii="宋体" w:hAnsi="宋体" w:eastAsia="宋体" w:cs="宋体"/>
          <w:sz w:val="24"/>
        </w:rPr>
        <w:t>。</w:t>
      </w:r>
    </w:p>
    <w:p w14:paraId="3A20CF22">
      <w:pPr>
        <w:pageBreakBefore w:val="0"/>
        <w:widowControl w:val="0"/>
        <w:kinsoku/>
        <w:wordWrap/>
        <w:overflowPunct/>
        <w:topLinePunct w:val="0"/>
        <w:bidi w:val="0"/>
        <w:snapToGrid/>
        <w:spacing w:line="480" w:lineRule="exact"/>
        <w:jc w:val="left"/>
        <w:textAlignment w:val="auto"/>
        <w:outlineLvl w:val="9"/>
        <w:rPr>
          <w:rFonts w:hint="eastAsia" w:ascii="宋体" w:hAnsi="宋体" w:eastAsia="宋体" w:cs="宋体"/>
          <w:sz w:val="24"/>
        </w:rPr>
      </w:pPr>
      <w:r>
        <w:rPr>
          <w:rFonts w:hint="eastAsia" w:ascii="宋体" w:hAnsi="宋体" w:eastAsia="宋体" w:cs="宋体"/>
          <w:sz w:val="24"/>
        </w:rPr>
        <w:t xml:space="preserve">     关于发包人应完成的其他开工准备工作及期限：</w:t>
      </w:r>
      <w:r>
        <w:rPr>
          <w:rFonts w:hint="eastAsia" w:ascii="宋体" w:hAnsi="宋体" w:eastAsia="宋体" w:cs="宋体"/>
          <w:sz w:val="24"/>
          <w:u w:val="single"/>
        </w:rPr>
        <w:t xml:space="preserve">                </w:t>
      </w:r>
      <w:r>
        <w:rPr>
          <w:rFonts w:hint="eastAsia" w:ascii="宋体" w:hAnsi="宋体" w:eastAsia="宋体" w:cs="宋体"/>
          <w:sz w:val="24"/>
        </w:rPr>
        <w:t>。</w:t>
      </w:r>
    </w:p>
    <w:p w14:paraId="31BC92A8">
      <w:pPr>
        <w:pageBreakBefore w:val="0"/>
        <w:widowControl w:val="0"/>
        <w:kinsoku/>
        <w:wordWrap/>
        <w:overflowPunct/>
        <w:topLinePunct w:val="0"/>
        <w:bidi w:val="0"/>
        <w:snapToGrid/>
        <w:spacing w:line="480" w:lineRule="exact"/>
        <w:jc w:val="left"/>
        <w:textAlignment w:val="auto"/>
        <w:outlineLvl w:val="9"/>
        <w:rPr>
          <w:rFonts w:hint="eastAsia" w:ascii="宋体" w:hAnsi="宋体" w:eastAsia="宋体" w:cs="宋体"/>
          <w:sz w:val="24"/>
        </w:rPr>
      </w:pPr>
      <w:r>
        <w:rPr>
          <w:rFonts w:hint="eastAsia" w:ascii="宋体" w:hAnsi="宋体" w:eastAsia="宋体" w:cs="宋体"/>
          <w:sz w:val="24"/>
        </w:rPr>
        <w:t>关于承包人应完成的其他开工准备工作及期限：</w:t>
      </w:r>
      <w:r>
        <w:rPr>
          <w:rFonts w:hint="eastAsia" w:ascii="宋体" w:hAnsi="宋体" w:eastAsia="宋体" w:cs="宋体"/>
          <w:sz w:val="24"/>
          <w:u w:val="single"/>
        </w:rPr>
        <w:t xml:space="preserve">                      </w:t>
      </w:r>
      <w:r>
        <w:rPr>
          <w:rFonts w:hint="eastAsia" w:ascii="宋体" w:hAnsi="宋体" w:eastAsia="宋体" w:cs="宋体"/>
          <w:sz w:val="24"/>
        </w:rPr>
        <w:t>。</w:t>
      </w:r>
    </w:p>
    <w:p w14:paraId="6199C107">
      <w:pPr>
        <w:pageBreakBefore w:val="0"/>
        <w:widowControl w:val="0"/>
        <w:kinsoku/>
        <w:wordWrap/>
        <w:overflowPunct/>
        <w:topLinePunct w:val="0"/>
        <w:bidi w:val="0"/>
        <w:snapToGrid/>
        <w:spacing w:line="480" w:lineRule="exact"/>
        <w:ind w:firstLine="480" w:firstLineChars="200"/>
        <w:jc w:val="left"/>
        <w:textAlignment w:val="auto"/>
        <w:outlineLvl w:val="9"/>
        <w:rPr>
          <w:rFonts w:hint="eastAsia" w:ascii="宋体" w:hAnsi="宋体" w:eastAsia="宋体" w:cs="宋体"/>
          <w:sz w:val="24"/>
        </w:rPr>
      </w:pPr>
      <w:r>
        <w:rPr>
          <w:rFonts w:hint="eastAsia" w:ascii="宋体" w:hAnsi="宋体" w:eastAsia="宋体" w:cs="宋体"/>
          <w:sz w:val="24"/>
        </w:rPr>
        <w:t>7.3.2开工通知</w:t>
      </w:r>
    </w:p>
    <w:p w14:paraId="3D869D80">
      <w:pPr>
        <w:pageBreakBefore w:val="0"/>
        <w:widowControl w:val="0"/>
        <w:kinsoku/>
        <w:wordWrap/>
        <w:overflowPunct/>
        <w:topLinePunct w:val="0"/>
        <w:bidi w:val="0"/>
        <w:snapToGrid/>
        <w:spacing w:line="480" w:lineRule="exact"/>
        <w:ind w:firstLine="480" w:firstLineChars="200"/>
        <w:jc w:val="left"/>
        <w:textAlignment w:val="auto"/>
        <w:outlineLvl w:val="9"/>
        <w:rPr>
          <w:rFonts w:hint="eastAsia" w:ascii="宋体" w:hAnsi="宋体" w:eastAsia="宋体" w:cs="宋体"/>
          <w:sz w:val="24"/>
        </w:rPr>
      </w:pPr>
      <w:r>
        <w:rPr>
          <w:rFonts w:hint="eastAsia" w:ascii="宋体" w:hAnsi="宋体" w:eastAsia="宋体" w:cs="宋体"/>
          <w:sz w:val="24"/>
        </w:rPr>
        <w:t>因发包人原因造成监理人未能在计划开工日期之日起</w:t>
      </w:r>
      <w:r>
        <w:rPr>
          <w:rFonts w:hint="eastAsia" w:ascii="宋体" w:hAnsi="宋体" w:eastAsia="宋体" w:cs="宋体"/>
          <w:sz w:val="24"/>
          <w:u w:val="single"/>
        </w:rPr>
        <w:t xml:space="preserve">     </w:t>
      </w:r>
      <w:r>
        <w:rPr>
          <w:rFonts w:hint="eastAsia" w:ascii="宋体" w:hAnsi="宋体" w:eastAsia="宋体" w:cs="宋体"/>
          <w:sz w:val="24"/>
        </w:rPr>
        <w:t>天内发出开工通知的，承包人有权提出价格调整要求，或者解除合同。</w:t>
      </w:r>
    </w:p>
    <w:bookmarkEnd w:id="1153"/>
    <w:bookmarkEnd w:id="1154"/>
    <w:bookmarkEnd w:id="1155"/>
    <w:bookmarkEnd w:id="1156"/>
    <w:bookmarkEnd w:id="1157"/>
    <w:bookmarkEnd w:id="1158"/>
    <w:bookmarkEnd w:id="1159"/>
    <w:p w14:paraId="2050C389">
      <w:pPr>
        <w:pageBreakBefore w:val="0"/>
        <w:widowControl w:val="0"/>
        <w:kinsoku/>
        <w:wordWrap/>
        <w:overflowPunct/>
        <w:topLinePunct w:val="0"/>
        <w:bidi w:val="0"/>
        <w:snapToGrid/>
        <w:spacing w:after="120" w:line="480" w:lineRule="exact"/>
        <w:ind w:firstLine="480" w:firstLineChars="200"/>
        <w:textAlignment w:val="auto"/>
        <w:outlineLvl w:val="9"/>
        <w:rPr>
          <w:rFonts w:hint="eastAsia" w:ascii="宋体" w:hAnsi="宋体" w:eastAsia="宋体" w:cs="宋体"/>
          <w:sz w:val="24"/>
        </w:rPr>
      </w:pPr>
      <w:r>
        <w:rPr>
          <w:rFonts w:hint="eastAsia" w:ascii="宋体" w:hAnsi="宋体" w:eastAsia="宋体" w:cs="宋体"/>
          <w:sz w:val="24"/>
        </w:rPr>
        <w:t>7.4 测量放线</w:t>
      </w:r>
    </w:p>
    <w:p w14:paraId="7CF0F49F">
      <w:pPr>
        <w:pageBreakBefore w:val="0"/>
        <w:widowControl w:val="0"/>
        <w:kinsoku/>
        <w:wordWrap/>
        <w:overflowPunct/>
        <w:topLinePunct w:val="0"/>
        <w:bidi w:val="0"/>
        <w:snapToGrid/>
        <w:spacing w:line="480" w:lineRule="exact"/>
        <w:ind w:firstLine="480" w:firstLineChars="200"/>
        <w:jc w:val="left"/>
        <w:textAlignment w:val="auto"/>
        <w:outlineLvl w:val="9"/>
        <w:rPr>
          <w:rFonts w:hint="eastAsia" w:ascii="宋体" w:hAnsi="宋体" w:eastAsia="宋体" w:cs="宋体"/>
          <w:sz w:val="24"/>
          <w:u w:val="single"/>
        </w:rPr>
      </w:pPr>
      <w:r>
        <w:rPr>
          <w:rFonts w:hint="eastAsia" w:ascii="宋体" w:hAnsi="宋体" w:eastAsia="宋体" w:cs="宋体"/>
          <w:sz w:val="24"/>
        </w:rPr>
        <w:t>7.4.1发包人通过监理人向承包人提供测量基准点、基准线和水准点及其书面资料的期限：</w:t>
      </w:r>
      <w:r>
        <w:rPr>
          <w:rFonts w:hint="eastAsia" w:ascii="宋体" w:hAnsi="宋体" w:eastAsia="宋体" w:cs="宋体"/>
          <w:sz w:val="24"/>
          <w:u w:val="single"/>
        </w:rPr>
        <w:t xml:space="preserve">                        </w:t>
      </w:r>
      <w:r>
        <w:rPr>
          <w:rFonts w:hint="eastAsia" w:ascii="宋体" w:hAnsi="宋体" w:eastAsia="宋体" w:cs="宋体"/>
          <w:sz w:val="24"/>
        </w:rPr>
        <w:t>。</w:t>
      </w:r>
    </w:p>
    <w:p w14:paraId="050A6AF1">
      <w:pPr>
        <w:pageBreakBefore w:val="0"/>
        <w:widowControl w:val="0"/>
        <w:kinsoku/>
        <w:wordWrap/>
        <w:overflowPunct/>
        <w:topLinePunct w:val="0"/>
        <w:bidi w:val="0"/>
        <w:snapToGrid/>
        <w:spacing w:after="120" w:line="480" w:lineRule="exact"/>
        <w:ind w:firstLine="480" w:firstLineChars="200"/>
        <w:textAlignment w:val="auto"/>
        <w:outlineLvl w:val="9"/>
        <w:rPr>
          <w:rFonts w:hint="eastAsia" w:ascii="宋体" w:hAnsi="宋体" w:eastAsia="宋体" w:cs="宋体"/>
          <w:sz w:val="24"/>
        </w:rPr>
      </w:pPr>
      <w:r>
        <w:rPr>
          <w:rFonts w:hint="eastAsia" w:ascii="宋体" w:hAnsi="宋体" w:eastAsia="宋体" w:cs="宋体"/>
          <w:sz w:val="24"/>
        </w:rPr>
        <w:t>7</w:t>
      </w:r>
      <w:bookmarkStart w:id="1160" w:name="_Toc297123516"/>
      <w:bookmarkStart w:id="1161" w:name="_Toc312677484"/>
      <w:bookmarkStart w:id="1162" w:name="_Toc303539125"/>
      <w:bookmarkStart w:id="1163" w:name="_Toc304295546"/>
      <w:bookmarkStart w:id="1164" w:name="_Toc300934968"/>
      <w:bookmarkStart w:id="1165" w:name="_Toc297216175"/>
      <w:bookmarkStart w:id="1166" w:name="_Toc312678010"/>
      <w:r>
        <w:rPr>
          <w:rFonts w:hint="eastAsia" w:ascii="宋体" w:hAnsi="宋体" w:eastAsia="宋体" w:cs="宋体"/>
          <w:sz w:val="24"/>
        </w:rPr>
        <w:t>.5 工期延误</w:t>
      </w:r>
    </w:p>
    <w:bookmarkEnd w:id="1160"/>
    <w:bookmarkEnd w:id="1161"/>
    <w:bookmarkEnd w:id="1162"/>
    <w:bookmarkEnd w:id="1163"/>
    <w:bookmarkEnd w:id="1164"/>
    <w:bookmarkEnd w:id="1165"/>
    <w:bookmarkEnd w:id="1166"/>
    <w:p w14:paraId="50CC370F">
      <w:pPr>
        <w:pageBreakBefore w:val="0"/>
        <w:widowControl w:val="0"/>
        <w:kinsoku/>
        <w:wordWrap/>
        <w:overflowPunct/>
        <w:topLinePunct w:val="0"/>
        <w:bidi w:val="0"/>
        <w:snapToGrid/>
        <w:spacing w:line="480" w:lineRule="exact"/>
        <w:ind w:firstLine="480" w:firstLineChars="200"/>
        <w:jc w:val="left"/>
        <w:textAlignment w:val="auto"/>
        <w:outlineLvl w:val="9"/>
        <w:rPr>
          <w:rFonts w:hint="eastAsia" w:ascii="宋体" w:hAnsi="宋体" w:eastAsia="宋体" w:cs="宋体"/>
          <w:sz w:val="24"/>
        </w:rPr>
      </w:pPr>
      <w:r>
        <w:rPr>
          <w:rFonts w:hint="eastAsia" w:ascii="宋体" w:hAnsi="宋体" w:eastAsia="宋体" w:cs="宋体"/>
          <w:sz w:val="24"/>
        </w:rPr>
        <w:t>7.5.1 因发包人原因导致工期延误</w:t>
      </w:r>
    </w:p>
    <w:p w14:paraId="7FE61D2A">
      <w:pPr>
        <w:pageBreakBefore w:val="0"/>
        <w:widowControl w:val="0"/>
        <w:kinsoku/>
        <w:wordWrap/>
        <w:overflowPunct/>
        <w:topLinePunct w:val="0"/>
        <w:bidi w:val="0"/>
        <w:snapToGrid/>
        <w:spacing w:line="480" w:lineRule="exact"/>
        <w:jc w:val="left"/>
        <w:textAlignment w:val="auto"/>
        <w:outlineLvl w:val="9"/>
        <w:rPr>
          <w:rFonts w:hint="eastAsia" w:ascii="宋体" w:hAnsi="宋体" w:eastAsia="宋体" w:cs="宋体"/>
          <w:sz w:val="24"/>
        </w:rPr>
      </w:pPr>
      <w:r>
        <w:rPr>
          <w:rFonts w:hint="eastAsia" w:ascii="宋体" w:hAnsi="宋体" w:eastAsia="宋体" w:cs="宋体"/>
          <w:sz w:val="24"/>
        </w:rPr>
        <w:t>（7）因发包人原因导致工期延误的其他情形：</w:t>
      </w:r>
      <w:r>
        <w:rPr>
          <w:rFonts w:hint="eastAsia" w:ascii="宋体" w:hAnsi="宋体" w:eastAsia="宋体" w:cs="宋体"/>
          <w:sz w:val="24"/>
          <w:u w:val="single"/>
        </w:rPr>
        <w:t xml:space="preserve">                </w:t>
      </w:r>
      <w:r>
        <w:rPr>
          <w:rFonts w:hint="eastAsia" w:ascii="宋体" w:hAnsi="宋体" w:eastAsia="宋体" w:cs="宋体"/>
          <w:sz w:val="24"/>
        </w:rPr>
        <w:t>。</w:t>
      </w:r>
    </w:p>
    <w:p w14:paraId="164E1287">
      <w:pPr>
        <w:pageBreakBefore w:val="0"/>
        <w:widowControl w:val="0"/>
        <w:kinsoku/>
        <w:wordWrap/>
        <w:overflowPunct/>
        <w:topLinePunct w:val="0"/>
        <w:bidi w:val="0"/>
        <w:snapToGrid/>
        <w:spacing w:line="480" w:lineRule="exact"/>
        <w:ind w:firstLine="480" w:firstLineChars="200"/>
        <w:jc w:val="left"/>
        <w:textAlignment w:val="auto"/>
        <w:outlineLvl w:val="9"/>
        <w:rPr>
          <w:rFonts w:hint="eastAsia" w:ascii="宋体" w:hAnsi="宋体" w:eastAsia="宋体" w:cs="宋体"/>
          <w:sz w:val="24"/>
        </w:rPr>
      </w:pPr>
      <w:r>
        <w:rPr>
          <w:rFonts w:hint="eastAsia" w:ascii="宋体" w:hAnsi="宋体" w:eastAsia="宋体" w:cs="宋体"/>
          <w:sz w:val="24"/>
        </w:rPr>
        <w:t>7</w:t>
      </w:r>
      <w:bookmarkStart w:id="1167" w:name="_Toc318581169"/>
      <w:bookmarkStart w:id="1168" w:name="_Toc312677486"/>
      <w:bookmarkStart w:id="1169" w:name="_Toc312678012"/>
      <w:bookmarkStart w:id="1170" w:name="_Toc297216177"/>
      <w:bookmarkStart w:id="1171" w:name="_Toc304295548"/>
      <w:bookmarkStart w:id="1172" w:name="_Toc297123518"/>
      <w:bookmarkStart w:id="1173" w:name="_Toc303539127"/>
      <w:bookmarkStart w:id="1174" w:name="_Toc300934970"/>
      <w:r>
        <w:rPr>
          <w:rFonts w:hint="eastAsia" w:ascii="宋体" w:hAnsi="宋体" w:eastAsia="宋体" w:cs="宋体"/>
          <w:sz w:val="24"/>
        </w:rPr>
        <w:t>.5.2 因承包人原因导致工期延误</w:t>
      </w:r>
    </w:p>
    <w:bookmarkEnd w:id="1167"/>
    <w:bookmarkEnd w:id="1168"/>
    <w:bookmarkEnd w:id="1169"/>
    <w:p w14:paraId="385073E5">
      <w:pPr>
        <w:pageBreakBefore w:val="0"/>
        <w:widowControl w:val="0"/>
        <w:kinsoku/>
        <w:wordWrap/>
        <w:overflowPunct/>
        <w:topLinePunct w:val="0"/>
        <w:bidi w:val="0"/>
        <w:snapToGrid/>
        <w:spacing w:line="480" w:lineRule="exact"/>
        <w:ind w:firstLine="480" w:firstLineChars="200"/>
        <w:jc w:val="left"/>
        <w:textAlignment w:val="auto"/>
        <w:outlineLvl w:val="9"/>
        <w:rPr>
          <w:rFonts w:hint="eastAsia" w:ascii="宋体" w:hAnsi="宋体" w:eastAsia="宋体" w:cs="宋体"/>
          <w:sz w:val="24"/>
        </w:rPr>
      </w:pPr>
      <w:r>
        <w:rPr>
          <w:rFonts w:hint="eastAsia" w:ascii="宋体" w:hAnsi="宋体" w:eastAsia="宋体" w:cs="宋体"/>
          <w:sz w:val="24"/>
        </w:rPr>
        <w:t>因</w:t>
      </w:r>
      <w:bookmarkStart w:id="1175" w:name="_Toc312678013"/>
      <w:bookmarkStart w:id="1176" w:name="_Toc312677487"/>
      <w:bookmarkStart w:id="1177" w:name="_Toc318581170"/>
      <w:r>
        <w:rPr>
          <w:rFonts w:hint="eastAsia" w:ascii="宋体" w:hAnsi="宋体" w:eastAsia="宋体" w:cs="宋体"/>
          <w:sz w:val="24"/>
        </w:rPr>
        <w:t>承包人原因造成工期延误，逾期竣工违约金的计算方法为：</w:t>
      </w:r>
      <w:r>
        <w:rPr>
          <w:rFonts w:hint="eastAsia" w:ascii="宋体" w:hAnsi="宋体" w:eastAsia="宋体" w:cs="宋体"/>
          <w:sz w:val="24"/>
          <w:u w:val="single"/>
        </w:rPr>
        <w:t xml:space="preserve">          </w:t>
      </w:r>
      <w:r>
        <w:rPr>
          <w:rFonts w:hint="eastAsia" w:ascii="宋体" w:hAnsi="宋体" w:eastAsia="宋体" w:cs="宋体"/>
          <w:sz w:val="24"/>
        </w:rPr>
        <w:t>。</w:t>
      </w:r>
      <w:bookmarkEnd w:id="1170"/>
      <w:bookmarkEnd w:id="1171"/>
      <w:bookmarkEnd w:id="1172"/>
      <w:bookmarkEnd w:id="1173"/>
      <w:bookmarkEnd w:id="1174"/>
      <w:bookmarkEnd w:id="1175"/>
      <w:bookmarkEnd w:id="1176"/>
    </w:p>
    <w:bookmarkEnd w:id="1177"/>
    <w:p w14:paraId="7510730A">
      <w:pPr>
        <w:pageBreakBefore w:val="0"/>
        <w:widowControl w:val="0"/>
        <w:kinsoku/>
        <w:wordWrap/>
        <w:overflowPunct/>
        <w:topLinePunct w:val="0"/>
        <w:bidi w:val="0"/>
        <w:snapToGrid/>
        <w:spacing w:line="480" w:lineRule="exact"/>
        <w:jc w:val="left"/>
        <w:textAlignment w:val="auto"/>
        <w:outlineLvl w:val="9"/>
        <w:rPr>
          <w:rFonts w:hint="eastAsia" w:ascii="宋体" w:hAnsi="宋体" w:eastAsia="宋体" w:cs="宋体"/>
          <w:sz w:val="24"/>
        </w:rPr>
      </w:pPr>
      <w:r>
        <w:rPr>
          <w:rFonts w:hint="eastAsia" w:ascii="宋体" w:hAnsi="宋体" w:eastAsia="宋体" w:cs="宋体"/>
          <w:sz w:val="24"/>
        </w:rPr>
        <w:t>因承包人原因造成工期延误，逾</w:t>
      </w:r>
      <w:bookmarkStart w:id="1178" w:name="_Toc312678014"/>
      <w:bookmarkStart w:id="1179" w:name="_Toc318581171"/>
      <w:r>
        <w:rPr>
          <w:rFonts w:hint="eastAsia" w:ascii="宋体" w:hAnsi="宋体" w:eastAsia="宋体" w:cs="宋体"/>
          <w:sz w:val="24"/>
        </w:rPr>
        <w:t>期竣工违约金的上限：</w:t>
      </w:r>
      <w:r>
        <w:rPr>
          <w:rFonts w:hint="eastAsia" w:ascii="宋体" w:hAnsi="宋体" w:eastAsia="宋体" w:cs="宋体"/>
          <w:sz w:val="24"/>
          <w:u w:val="single"/>
        </w:rPr>
        <w:t xml:space="preserve">                </w:t>
      </w:r>
      <w:r>
        <w:rPr>
          <w:rFonts w:hint="eastAsia" w:ascii="宋体" w:hAnsi="宋体" w:eastAsia="宋体" w:cs="宋体"/>
          <w:sz w:val="24"/>
        </w:rPr>
        <w:t>。</w:t>
      </w:r>
    </w:p>
    <w:bookmarkEnd w:id="1178"/>
    <w:bookmarkEnd w:id="1179"/>
    <w:p w14:paraId="0A4153E5">
      <w:pPr>
        <w:pageBreakBefore w:val="0"/>
        <w:widowControl w:val="0"/>
        <w:kinsoku/>
        <w:wordWrap/>
        <w:overflowPunct/>
        <w:topLinePunct w:val="0"/>
        <w:bidi w:val="0"/>
        <w:snapToGrid/>
        <w:spacing w:after="120" w:line="480" w:lineRule="exact"/>
        <w:ind w:firstLine="480" w:firstLineChars="200"/>
        <w:textAlignment w:val="auto"/>
        <w:outlineLvl w:val="9"/>
        <w:rPr>
          <w:rFonts w:hint="eastAsia" w:ascii="宋体" w:hAnsi="宋体" w:eastAsia="宋体" w:cs="宋体"/>
          <w:sz w:val="24"/>
        </w:rPr>
      </w:pPr>
      <w:r>
        <w:rPr>
          <w:rFonts w:hint="eastAsia" w:ascii="宋体" w:hAnsi="宋体" w:eastAsia="宋体" w:cs="宋体"/>
          <w:sz w:val="24"/>
        </w:rPr>
        <w:t>7</w:t>
      </w:r>
      <w:bookmarkStart w:id="1180" w:name="_Toc304295549"/>
      <w:bookmarkStart w:id="1181" w:name="_Toc300934971"/>
      <w:bookmarkStart w:id="1182" w:name="_Toc312678015"/>
      <w:bookmarkStart w:id="1183" w:name="_Toc297123519"/>
      <w:bookmarkStart w:id="1184" w:name="_Toc297216178"/>
      <w:bookmarkStart w:id="1185" w:name="_Toc303539128"/>
      <w:r>
        <w:rPr>
          <w:rFonts w:hint="eastAsia" w:ascii="宋体" w:hAnsi="宋体" w:eastAsia="宋体" w:cs="宋体"/>
          <w:sz w:val="24"/>
        </w:rPr>
        <w:t>.6 不</w:t>
      </w:r>
      <w:bookmarkEnd w:id="1180"/>
      <w:bookmarkEnd w:id="1181"/>
      <w:bookmarkEnd w:id="1182"/>
      <w:bookmarkEnd w:id="1183"/>
      <w:bookmarkEnd w:id="1184"/>
      <w:bookmarkEnd w:id="1185"/>
      <w:r>
        <w:rPr>
          <w:rFonts w:hint="eastAsia" w:ascii="宋体" w:hAnsi="宋体" w:eastAsia="宋体" w:cs="宋体"/>
          <w:sz w:val="24"/>
        </w:rPr>
        <w:t>利物质条件</w:t>
      </w:r>
    </w:p>
    <w:p w14:paraId="0F39E86A">
      <w:pPr>
        <w:pageBreakBefore w:val="0"/>
        <w:widowControl w:val="0"/>
        <w:kinsoku/>
        <w:wordWrap/>
        <w:overflowPunct/>
        <w:topLinePunct w:val="0"/>
        <w:bidi w:val="0"/>
        <w:snapToGrid/>
        <w:spacing w:line="480" w:lineRule="exact"/>
        <w:ind w:firstLine="480" w:firstLineChars="200"/>
        <w:jc w:val="left"/>
        <w:textAlignment w:val="auto"/>
        <w:outlineLvl w:val="9"/>
        <w:rPr>
          <w:rFonts w:hint="eastAsia" w:ascii="宋体" w:hAnsi="宋体" w:eastAsia="宋体" w:cs="宋体"/>
          <w:sz w:val="24"/>
        </w:rPr>
      </w:pPr>
      <w:bookmarkStart w:id="1186" w:name="_Toc312678016"/>
      <w:bookmarkStart w:id="1187" w:name="_Toc297216179"/>
      <w:bookmarkStart w:id="1188" w:name="_Toc297123520"/>
      <w:bookmarkStart w:id="1189" w:name="_Toc300934972"/>
      <w:bookmarkStart w:id="1190" w:name="_Toc303539129"/>
      <w:bookmarkStart w:id="1191" w:name="_Toc318581172"/>
      <w:bookmarkStart w:id="1192" w:name="_Toc304295550"/>
      <w:r>
        <w:rPr>
          <w:rFonts w:hint="eastAsia" w:ascii="宋体" w:hAnsi="宋体" w:eastAsia="宋体" w:cs="宋体"/>
          <w:sz w:val="24"/>
        </w:rPr>
        <w:t>不利物质条件的其他情形和有关约定：</w:t>
      </w:r>
      <w:r>
        <w:rPr>
          <w:rFonts w:hint="eastAsia" w:ascii="宋体" w:hAnsi="宋体" w:eastAsia="宋体" w:cs="宋体"/>
          <w:sz w:val="24"/>
          <w:u w:val="single"/>
        </w:rPr>
        <w:t xml:space="preserve">               </w:t>
      </w:r>
      <w:r>
        <w:rPr>
          <w:rFonts w:hint="eastAsia" w:ascii="宋体" w:hAnsi="宋体" w:eastAsia="宋体" w:cs="宋体"/>
          <w:sz w:val="24"/>
        </w:rPr>
        <w:t>。</w:t>
      </w:r>
    </w:p>
    <w:bookmarkEnd w:id="1186"/>
    <w:bookmarkEnd w:id="1187"/>
    <w:bookmarkEnd w:id="1188"/>
    <w:bookmarkEnd w:id="1189"/>
    <w:bookmarkEnd w:id="1190"/>
    <w:bookmarkEnd w:id="1191"/>
    <w:bookmarkEnd w:id="1192"/>
    <w:p w14:paraId="656C152B">
      <w:pPr>
        <w:pageBreakBefore w:val="0"/>
        <w:widowControl w:val="0"/>
        <w:kinsoku/>
        <w:wordWrap/>
        <w:overflowPunct/>
        <w:topLinePunct w:val="0"/>
        <w:bidi w:val="0"/>
        <w:snapToGrid/>
        <w:spacing w:after="120" w:line="480" w:lineRule="exact"/>
        <w:ind w:firstLine="480" w:firstLineChars="200"/>
        <w:textAlignment w:val="auto"/>
        <w:outlineLvl w:val="9"/>
        <w:rPr>
          <w:rFonts w:hint="eastAsia" w:ascii="宋体" w:hAnsi="宋体" w:eastAsia="宋体" w:cs="宋体"/>
          <w:sz w:val="24"/>
        </w:rPr>
      </w:pPr>
      <w:r>
        <w:rPr>
          <w:rFonts w:hint="eastAsia" w:ascii="宋体" w:hAnsi="宋体" w:eastAsia="宋体" w:cs="宋体"/>
          <w:sz w:val="24"/>
        </w:rPr>
        <w:t>7</w:t>
      </w:r>
      <w:bookmarkStart w:id="1193" w:name="_Toc304295551"/>
      <w:bookmarkStart w:id="1194" w:name="_Toc300934973"/>
      <w:bookmarkStart w:id="1195" w:name="_Toc297123521"/>
      <w:bookmarkStart w:id="1196" w:name="_Toc312678017"/>
      <w:bookmarkStart w:id="1197" w:name="_Toc297216180"/>
      <w:bookmarkStart w:id="1198" w:name="_Toc303539130"/>
      <w:r>
        <w:rPr>
          <w:rFonts w:hint="eastAsia" w:ascii="宋体" w:hAnsi="宋体" w:eastAsia="宋体" w:cs="宋体"/>
          <w:sz w:val="24"/>
        </w:rPr>
        <w:t>.7异常恶劣的气候条件</w:t>
      </w:r>
    </w:p>
    <w:bookmarkEnd w:id="1193"/>
    <w:bookmarkEnd w:id="1194"/>
    <w:bookmarkEnd w:id="1195"/>
    <w:bookmarkEnd w:id="1196"/>
    <w:bookmarkEnd w:id="1197"/>
    <w:bookmarkEnd w:id="1198"/>
    <w:p w14:paraId="2194D8AC">
      <w:pPr>
        <w:pageBreakBefore w:val="0"/>
        <w:widowControl w:val="0"/>
        <w:kinsoku/>
        <w:wordWrap/>
        <w:overflowPunct/>
        <w:topLinePunct w:val="0"/>
        <w:bidi w:val="0"/>
        <w:snapToGrid/>
        <w:spacing w:line="480" w:lineRule="exact"/>
        <w:ind w:firstLine="480" w:firstLineChars="200"/>
        <w:jc w:val="left"/>
        <w:textAlignment w:val="auto"/>
        <w:outlineLvl w:val="9"/>
        <w:rPr>
          <w:rFonts w:hint="eastAsia" w:ascii="宋体" w:hAnsi="宋体" w:eastAsia="宋体" w:cs="宋体"/>
          <w:sz w:val="24"/>
        </w:rPr>
      </w:pPr>
      <w:r>
        <w:rPr>
          <w:rFonts w:hint="eastAsia" w:ascii="宋体" w:hAnsi="宋体" w:eastAsia="宋体" w:cs="宋体"/>
          <w:sz w:val="24"/>
        </w:rPr>
        <w:t>发包人和承包人同意以下情形视为异常恶劣的气候条件：</w:t>
      </w:r>
    </w:p>
    <w:p w14:paraId="4B722C38">
      <w:pPr>
        <w:pageBreakBefore w:val="0"/>
        <w:widowControl w:val="0"/>
        <w:kinsoku/>
        <w:wordWrap/>
        <w:overflowPunct/>
        <w:topLinePunct w:val="0"/>
        <w:bidi w:val="0"/>
        <w:snapToGrid/>
        <w:spacing w:line="480" w:lineRule="exact"/>
        <w:ind w:firstLine="480" w:firstLineChars="200"/>
        <w:jc w:val="left"/>
        <w:textAlignment w:val="auto"/>
        <w:outlineLvl w:val="9"/>
        <w:rPr>
          <w:rFonts w:hint="eastAsia" w:ascii="宋体" w:hAnsi="宋体" w:eastAsia="宋体" w:cs="宋体"/>
          <w:sz w:val="24"/>
        </w:rPr>
      </w:pPr>
      <w:r>
        <w:rPr>
          <w:rFonts w:hint="eastAsia" w:ascii="宋体" w:hAnsi="宋体" w:eastAsia="宋体" w:cs="宋体"/>
          <w:sz w:val="24"/>
        </w:rPr>
        <w:t>（1）</w:t>
      </w:r>
      <w:r>
        <w:rPr>
          <w:rFonts w:hint="eastAsia" w:ascii="宋体" w:hAnsi="宋体" w:eastAsia="宋体" w:cs="宋体"/>
          <w:sz w:val="24"/>
          <w:u w:val="single"/>
        </w:rPr>
        <w:t xml:space="preserve">                                    </w:t>
      </w:r>
      <w:r>
        <w:rPr>
          <w:rFonts w:hint="eastAsia" w:ascii="宋体" w:hAnsi="宋体" w:eastAsia="宋体" w:cs="宋体"/>
          <w:sz w:val="24"/>
        </w:rPr>
        <w:t>；</w:t>
      </w:r>
    </w:p>
    <w:p w14:paraId="2748FA78">
      <w:pPr>
        <w:pageBreakBefore w:val="0"/>
        <w:widowControl w:val="0"/>
        <w:kinsoku/>
        <w:wordWrap/>
        <w:overflowPunct/>
        <w:topLinePunct w:val="0"/>
        <w:bidi w:val="0"/>
        <w:snapToGrid/>
        <w:spacing w:line="480" w:lineRule="exact"/>
        <w:ind w:firstLine="480" w:firstLineChars="200"/>
        <w:jc w:val="left"/>
        <w:textAlignment w:val="auto"/>
        <w:outlineLvl w:val="9"/>
        <w:rPr>
          <w:rFonts w:hint="eastAsia" w:ascii="宋体" w:hAnsi="宋体" w:eastAsia="宋体" w:cs="宋体"/>
          <w:sz w:val="24"/>
        </w:rPr>
      </w:pPr>
      <w:r>
        <w:rPr>
          <w:rFonts w:hint="eastAsia" w:ascii="宋体" w:hAnsi="宋体" w:eastAsia="宋体" w:cs="宋体"/>
          <w:sz w:val="24"/>
        </w:rPr>
        <w:t>（2）</w:t>
      </w:r>
      <w:r>
        <w:rPr>
          <w:rFonts w:hint="eastAsia" w:ascii="宋体" w:hAnsi="宋体" w:eastAsia="宋体" w:cs="宋体"/>
          <w:sz w:val="24"/>
          <w:u w:val="single"/>
        </w:rPr>
        <w:t xml:space="preserve">                                              </w:t>
      </w:r>
      <w:r>
        <w:rPr>
          <w:rFonts w:hint="eastAsia" w:ascii="宋体" w:hAnsi="宋体" w:eastAsia="宋体" w:cs="宋体"/>
          <w:sz w:val="24"/>
        </w:rPr>
        <w:t>；</w:t>
      </w:r>
    </w:p>
    <w:p w14:paraId="228A6B21">
      <w:pPr>
        <w:pageBreakBefore w:val="0"/>
        <w:widowControl w:val="0"/>
        <w:kinsoku/>
        <w:wordWrap/>
        <w:overflowPunct/>
        <w:topLinePunct w:val="0"/>
        <w:bidi w:val="0"/>
        <w:snapToGrid/>
        <w:spacing w:line="480" w:lineRule="exact"/>
        <w:ind w:firstLine="480" w:firstLineChars="200"/>
        <w:jc w:val="left"/>
        <w:textAlignment w:val="auto"/>
        <w:outlineLvl w:val="9"/>
        <w:rPr>
          <w:rFonts w:hint="eastAsia" w:ascii="宋体" w:hAnsi="宋体" w:eastAsia="宋体" w:cs="宋体"/>
          <w:sz w:val="24"/>
        </w:rPr>
      </w:pPr>
      <w:r>
        <w:rPr>
          <w:rFonts w:hint="eastAsia" w:ascii="宋体" w:hAnsi="宋体" w:eastAsia="宋体" w:cs="宋体"/>
          <w:sz w:val="24"/>
        </w:rPr>
        <w:t>（3）</w:t>
      </w:r>
      <w:r>
        <w:rPr>
          <w:rFonts w:hint="eastAsia" w:ascii="宋体" w:hAnsi="宋体" w:eastAsia="宋体" w:cs="宋体"/>
          <w:sz w:val="24"/>
          <w:u w:val="single"/>
        </w:rPr>
        <w:t xml:space="preserve">                                              </w:t>
      </w:r>
      <w:r>
        <w:rPr>
          <w:rFonts w:hint="eastAsia" w:ascii="宋体" w:hAnsi="宋体" w:eastAsia="宋体" w:cs="宋体"/>
          <w:sz w:val="24"/>
        </w:rPr>
        <w:t>。</w:t>
      </w:r>
    </w:p>
    <w:p w14:paraId="6EE1DFEF">
      <w:pPr>
        <w:pageBreakBefore w:val="0"/>
        <w:widowControl w:val="0"/>
        <w:kinsoku/>
        <w:wordWrap/>
        <w:overflowPunct/>
        <w:topLinePunct w:val="0"/>
        <w:bidi w:val="0"/>
        <w:snapToGrid/>
        <w:spacing w:after="120" w:line="480" w:lineRule="exact"/>
        <w:ind w:firstLine="480" w:firstLineChars="200"/>
        <w:textAlignment w:val="auto"/>
        <w:outlineLvl w:val="9"/>
        <w:rPr>
          <w:rFonts w:hint="eastAsia" w:ascii="宋体" w:hAnsi="宋体" w:eastAsia="宋体" w:cs="宋体"/>
          <w:sz w:val="24"/>
        </w:rPr>
      </w:pPr>
      <w:r>
        <w:rPr>
          <w:rFonts w:hint="eastAsia" w:ascii="宋体" w:hAnsi="宋体" w:eastAsia="宋体" w:cs="宋体"/>
          <w:sz w:val="24"/>
        </w:rPr>
        <w:t>7.9 提前竣工的奖励</w:t>
      </w:r>
    </w:p>
    <w:p w14:paraId="7EE26EB1">
      <w:pPr>
        <w:pageBreakBefore w:val="0"/>
        <w:widowControl w:val="0"/>
        <w:kinsoku/>
        <w:wordWrap/>
        <w:overflowPunct/>
        <w:topLinePunct w:val="0"/>
        <w:bidi w:val="0"/>
        <w:snapToGrid/>
        <w:spacing w:line="480" w:lineRule="exact"/>
        <w:ind w:firstLine="480" w:firstLineChars="200"/>
        <w:jc w:val="left"/>
        <w:textAlignment w:val="auto"/>
        <w:outlineLvl w:val="9"/>
        <w:rPr>
          <w:rFonts w:hint="eastAsia" w:ascii="宋体" w:hAnsi="宋体" w:eastAsia="宋体" w:cs="宋体"/>
          <w:sz w:val="24"/>
        </w:rPr>
      </w:pPr>
      <w:r>
        <w:rPr>
          <w:rFonts w:hint="eastAsia" w:ascii="宋体" w:hAnsi="宋体" w:eastAsia="宋体" w:cs="宋体"/>
          <w:sz w:val="24"/>
        </w:rPr>
        <w:t>7.9.2提前竣工的奖励：</w:t>
      </w:r>
      <w:r>
        <w:rPr>
          <w:rFonts w:hint="eastAsia" w:ascii="宋体" w:hAnsi="宋体" w:eastAsia="宋体" w:cs="宋体"/>
          <w:sz w:val="24"/>
          <w:u w:val="single"/>
        </w:rPr>
        <w:t xml:space="preserve">                             </w:t>
      </w:r>
      <w:r>
        <w:rPr>
          <w:rFonts w:hint="eastAsia" w:ascii="宋体" w:hAnsi="宋体" w:eastAsia="宋体" w:cs="宋体"/>
          <w:sz w:val="24"/>
        </w:rPr>
        <w:t>。</w:t>
      </w:r>
    </w:p>
    <w:p w14:paraId="693DEDB3">
      <w:pPr>
        <w:pageBreakBefore w:val="0"/>
        <w:widowControl w:val="0"/>
        <w:kinsoku/>
        <w:wordWrap/>
        <w:overflowPunct/>
        <w:topLinePunct w:val="0"/>
        <w:bidi w:val="0"/>
        <w:snapToGrid/>
        <w:spacing w:before="120" w:after="120" w:line="480" w:lineRule="exact"/>
        <w:textAlignment w:val="auto"/>
        <w:outlineLvl w:val="9"/>
        <w:rPr>
          <w:rFonts w:hint="eastAsia" w:ascii="宋体" w:hAnsi="宋体" w:eastAsia="宋体" w:cs="宋体"/>
          <w:b w:val="0"/>
          <w:sz w:val="24"/>
          <w:szCs w:val="24"/>
        </w:rPr>
      </w:pPr>
      <w:bookmarkStart w:id="1199" w:name="_Toc351203640"/>
      <w:r>
        <w:rPr>
          <w:rFonts w:hint="eastAsia" w:ascii="宋体" w:hAnsi="宋体" w:eastAsia="宋体" w:cs="宋体"/>
          <w:b w:val="0"/>
          <w:sz w:val="24"/>
          <w:szCs w:val="24"/>
        </w:rPr>
        <w:t>8. 材料与设备</w:t>
      </w:r>
      <w:bookmarkEnd w:id="1199"/>
    </w:p>
    <w:bookmarkEnd w:id="1134"/>
    <w:bookmarkEnd w:id="1135"/>
    <w:bookmarkEnd w:id="1136"/>
    <w:bookmarkEnd w:id="1137"/>
    <w:bookmarkEnd w:id="1138"/>
    <w:bookmarkEnd w:id="1139"/>
    <w:bookmarkEnd w:id="1140"/>
    <w:bookmarkEnd w:id="1141"/>
    <w:bookmarkEnd w:id="1142"/>
    <w:bookmarkEnd w:id="1143"/>
    <w:p w14:paraId="27D91D2D">
      <w:pPr>
        <w:pageBreakBefore w:val="0"/>
        <w:widowControl w:val="0"/>
        <w:kinsoku/>
        <w:wordWrap/>
        <w:overflowPunct/>
        <w:topLinePunct w:val="0"/>
        <w:bidi w:val="0"/>
        <w:snapToGrid/>
        <w:spacing w:after="120" w:line="480" w:lineRule="exact"/>
        <w:ind w:firstLine="480" w:firstLineChars="200"/>
        <w:textAlignment w:val="auto"/>
        <w:outlineLvl w:val="9"/>
        <w:rPr>
          <w:rFonts w:hint="eastAsia" w:ascii="宋体" w:hAnsi="宋体" w:eastAsia="宋体" w:cs="宋体"/>
          <w:sz w:val="24"/>
        </w:rPr>
      </w:pPr>
      <w:r>
        <w:rPr>
          <w:rFonts w:hint="eastAsia" w:ascii="宋体" w:hAnsi="宋体" w:eastAsia="宋体" w:cs="宋体"/>
          <w:sz w:val="24"/>
        </w:rPr>
        <w:t>8</w:t>
      </w:r>
      <w:bookmarkStart w:id="1200" w:name="_Toc312677493"/>
      <w:bookmarkStart w:id="1201" w:name="_Toc296503167"/>
      <w:bookmarkStart w:id="1202" w:name="_Toc292559877"/>
      <w:bookmarkStart w:id="1203" w:name="_Toc296347166"/>
      <w:bookmarkStart w:id="1204" w:name="_Toc296944506"/>
      <w:bookmarkStart w:id="1205" w:name="_Toc297216186"/>
      <w:bookmarkStart w:id="1206" w:name="_Toc292559372"/>
      <w:bookmarkStart w:id="1207" w:name="_Toc297123527"/>
      <w:bookmarkStart w:id="1208" w:name="_Toc296890995"/>
      <w:bookmarkStart w:id="1209" w:name="_Toc303539136"/>
      <w:bookmarkStart w:id="1210" w:name="_Toc280868654"/>
      <w:bookmarkStart w:id="1211" w:name="_Toc312678019"/>
      <w:bookmarkStart w:id="1212" w:name="_Toc300934979"/>
      <w:bookmarkStart w:id="1213" w:name="_Toc297048353"/>
      <w:bookmarkStart w:id="1214" w:name="_Toc296891207"/>
      <w:bookmarkStart w:id="1215" w:name="_Toc296346668"/>
      <w:bookmarkStart w:id="1216" w:name="_Toc304295556"/>
      <w:bookmarkStart w:id="1217" w:name="_Toc297120467"/>
      <w:bookmarkStart w:id="1218" w:name="_Toc267251424"/>
      <w:bookmarkStart w:id="1219" w:name="_Toc280868656"/>
      <w:bookmarkStart w:id="1220" w:name="_Toc280868655"/>
      <w:r>
        <w:rPr>
          <w:rFonts w:hint="eastAsia" w:ascii="宋体" w:hAnsi="宋体" w:eastAsia="宋体" w:cs="宋体"/>
          <w:sz w:val="24"/>
        </w:rPr>
        <w:t>.4材料与工程设备的保管与使用</w:t>
      </w:r>
    </w:p>
    <w:bookmarkEnd w:id="1200"/>
    <w:bookmarkEnd w:id="1201"/>
    <w:bookmarkEnd w:id="1202"/>
    <w:bookmarkEnd w:id="1203"/>
    <w:bookmarkEnd w:id="1204"/>
    <w:bookmarkEnd w:id="1205"/>
    <w:bookmarkEnd w:id="1206"/>
    <w:bookmarkEnd w:id="1207"/>
    <w:bookmarkEnd w:id="1208"/>
    <w:bookmarkEnd w:id="1209"/>
    <w:bookmarkEnd w:id="1210"/>
    <w:bookmarkEnd w:id="1211"/>
    <w:bookmarkEnd w:id="1212"/>
    <w:bookmarkEnd w:id="1213"/>
    <w:bookmarkEnd w:id="1214"/>
    <w:bookmarkEnd w:id="1215"/>
    <w:bookmarkEnd w:id="1216"/>
    <w:bookmarkEnd w:id="1217"/>
    <w:p w14:paraId="478C40F9">
      <w:pPr>
        <w:pageBreakBefore w:val="0"/>
        <w:widowControl w:val="0"/>
        <w:kinsoku/>
        <w:wordWrap/>
        <w:overflowPunct/>
        <w:topLinePunct w:val="0"/>
        <w:bidi w:val="0"/>
        <w:snapToGrid/>
        <w:spacing w:line="480" w:lineRule="exact"/>
        <w:ind w:firstLine="480" w:firstLineChars="200"/>
        <w:jc w:val="left"/>
        <w:textAlignment w:val="auto"/>
        <w:outlineLvl w:val="9"/>
        <w:rPr>
          <w:rFonts w:hint="eastAsia" w:ascii="宋体" w:hAnsi="宋体" w:eastAsia="宋体" w:cs="宋体"/>
          <w:sz w:val="24"/>
        </w:rPr>
      </w:pPr>
      <w:r>
        <w:rPr>
          <w:rFonts w:hint="eastAsia" w:ascii="宋体" w:hAnsi="宋体" w:eastAsia="宋体" w:cs="宋体"/>
          <w:sz w:val="24"/>
        </w:rPr>
        <w:t>8</w:t>
      </w:r>
      <w:bookmarkStart w:id="1221" w:name="_Toc292559878"/>
      <w:bookmarkStart w:id="1222" w:name="_Toc292559373"/>
      <w:bookmarkStart w:id="1223" w:name="_Toc296347167"/>
      <w:bookmarkStart w:id="1224" w:name="_Toc296890996"/>
      <w:bookmarkStart w:id="1225" w:name="_Toc297216187"/>
      <w:bookmarkStart w:id="1226" w:name="_Toc296346669"/>
      <w:bookmarkStart w:id="1227" w:name="_Toc296891208"/>
      <w:bookmarkStart w:id="1228" w:name="_Toc304295557"/>
      <w:bookmarkStart w:id="1229" w:name="_Toc297048354"/>
      <w:bookmarkStart w:id="1230" w:name="_Toc318581173"/>
      <w:bookmarkStart w:id="1231" w:name="_Toc312678020"/>
      <w:bookmarkStart w:id="1232" w:name="_Toc296503168"/>
      <w:bookmarkStart w:id="1233" w:name="_Toc300934980"/>
      <w:bookmarkStart w:id="1234" w:name="_Toc297120468"/>
      <w:bookmarkStart w:id="1235" w:name="_Toc297123528"/>
      <w:bookmarkStart w:id="1236" w:name="_Toc312677494"/>
      <w:bookmarkStart w:id="1237" w:name="_Toc303539137"/>
      <w:bookmarkStart w:id="1238" w:name="_Toc296944507"/>
      <w:r>
        <w:rPr>
          <w:rFonts w:hint="eastAsia" w:ascii="宋体" w:hAnsi="宋体" w:eastAsia="宋体" w:cs="宋体"/>
          <w:sz w:val="24"/>
        </w:rPr>
        <w:t>.4.1发包人供应的材料设备的保管费用的承担：</w:t>
      </w:r>
      <w:r>
        <w:rPr>
          <w:rFonts w:hint="eastAsia" w:ascii="宋体" w:hAnsi="宋体" w:eastAsia="宋体" w:cs="宋体"/>
          <w:sz w:val="24"/>
          <w:u w:val="single"/>
        </w:rPr>
        <w:t xml:space="preserve">            </w:t>
      </w:r>
      <w:r>
        <w:rPr>
          <w:rFonts w:hint="eastAsia" w:ascii="宋体" w:hAnsi="宋体" w:eastAsia="宋体" w:cs="宋体"/>
          <w:sz w:val="24"/>
        </w:rPr>
        <w:t>。</w:t>
      </w:r>
      <w:bookmarkEnd w:id="1221"/>
      <w:bookmarkEnd w:id="1222"/>
    </w:p>
    <w:p w14:paraId="6927CED9">
      <w:pPr>
        <w:pageBreakBefore w:val="0"/>
        <w:widowControl w:val="0"/>
        <w:kinsoku/>
        <w:wordWrap/>
        <w:overflowPunct/>
        <w:topLinePunct w:val="0"/>
        <w:bidi w:val="0"/>
        <w:snapToGrid/>
        <w:spacing w:after="120" w:line="480" w:lineRule="exact"/>
        <w:ind w:firstLine="480" w:firstLineChars="200"/>
        <w:textAlignment w:val="auto"/>
        <w:outlineLvl w:val="9"/>
        <w:rPr>
          <w:rFonts w:hint="eastAsia" w:ascii="宋体" w:hAnsi="宋体" w:eastAsia="宋体" w:cs="宋体"/>
          <w:sz w:val="24"/>
        </w:rPr>
      </w:pPr>
      <w:r>
        <w:rPr>
          <w:rFonts w:hint="eastAsia" w:ascii="宋体" w:hAnsi="宋体" w:eastAsia="宋体" w:cs="宋体"/>
          <w:sz w:val="24"/>
        </w:rPr>
        <w:t>8.6 样品</w:t>
      </w:r>
    </w:p>
    <w:p w14:paraId="4002A6AD">
      <w:pPr>
        <w:pageBreakBefore w:val="0"/>
        <w:widowControl w:val="0"/>
        <w:kinsoku/>
        <w:wordWrap/>
        <w:overflowPunct/>
        <w:topLinePunct w:val="0"/>
        <w:autoSpaceDE w:val="0"/>
        <w:autoSpaceDN w:val="0"/>
        <w:bidi w:val="0"/>
        <w:adjustRightInd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8.6.1</w:t>
      </w:r>
      <w:r>
        <w:rPr>
          <w:rFonts w:hint="eastAsia" w:ascii="宋体" w:hAnsi="宋体" w:eastAsia="宋体" w:cs="宋体"/>
          <w:kern w:val="0"/>
          <w:sz w:val="24"/>
        </w:rPr>
        <w:tab/>
      </w:r>
      <w:r>
        <w:rPr>
          <w:rFonts w:hint="eastAsia" w:ascii="宋体" w:hAnsi="宋体" w:eastAsia="宋体" w:cs="宋体"/>
          <w:kern w:val="0"/>
          <w:sz w:val="24"/>
        </w:rPr>
        <w:t>样品的报送与封存</w:t>
      </w:r>
    </w:p>
    <w:p w14:paraId="0F3D0F6E">
      <w:pPr>
        <w:pageBreakBefore w:val="0"/>
        <w:widowControl w:val="0"/>
        <w:kinsoku/>
        <w:wordWrap/>
        <w:overflowPunct/>
        <w:topLinePunct w:val="0"/>
        <w:autoSpaceDE w:val="0"/>
        <w:autoSpaceDN w:val="0"/>
        <w:bidi w:val="0"/>
        <w:adjustRightInd w:val="0"/>
        <w:snapToGrid/>
        <w:spacing w:line="480" w:lineRule="exact"/>
        <w:ind w:firstLine="480" w:firstLineChars="200"/>
        <w:jc w:val="left"/>
        <w:textAlignment w:val="auto"/>
        <w:outlineLvl w:val="9"/>
        <w:rPr>
          <w:rFonts w:hint="eastAsia" w:ascii="宋体" w:hAnsi="宋体" w:eastAsia="宋体" w:cs="宋体"/>
          <w:sz w:val="24"/>
        </w:rPr>
      </w:pPr>
      <w:r>
        <w:rPr>
          <w:rFonts w:hint="eastAsia" w:ascii="宋体" w:hAnsi="宋体" w:eastAsia="宋体" w:cs="宋体"/>
          <w:kern w:val="0"/>
          <w:sz w:val="24"/>
        </w:rPr>
        <w:t>需要承包人报送样品的材料或工程设备，样品的种类、名称、规格、数量要求：</w:t>
      </w:r>
      <w:r>
        <w:rPr>
          <w:rFonts w:hint="eastAsia" w:ascii="宋体" w:hAnsi="宋体" w:eastAsia="宋体" w:cs="宋体"/>
          <w:sz w:val="24"/>
          <w:u w:val="single"/>
        </w:rPr>
        <w:t xml:space="preserve">      </w:t>
      </w:r>
      <w:r>
        <w:rPr>
          <w:rFonts w:hint="eastAsia" w:ascii="宋体" w:hAnsi="宋体" w:eastAsia="宋体" w:cs="宋体"/>
          <w:sz w:val="24"/>
        </w:rPr>
        <w:t>。</w:t>
      </w:r>
    </w:p>
    <w:p w14:paraId="432D24E8">
      <w:pPr>
        <w:pageBreakBefore w:val="0"/>
        <w:widowControl w:val="0"/>
        <w:kinsoku/>
        <w:wordWrap/>
        <w:overflowPunct/>
        <w:topLinePunct w:val="0"/>
        <w:bidi w:val="0"/>
        <w:snapToGrid/>
        <w:spacing w:after="120" w:line="480" w:lineRule="exact"/>
        <w:ind w:firstLine="480" w:firstLineChars="200"/>
        <w:textAlignment w:val="auto"/>
        <w:outlineLvl w:val="9"/>
        <w:rPr>
          <w:rFonts w:hint="eastAsia" w:ascii="宋体" w:hAnsi="宋体" w:eastAsia="宋体" w:cs="宋体"/>
          <w:sz w:val="24"/>
        </w:rPr>
      </w:pPr>
      <w:r>
        <w:rPr>
          <w:rFonts w:hint="eastAsia" w:ascii="宋体" w:hAnsi="宋体" w:eastAsia="宋体" w:cs="宋体"/>
          <w:sz w:val="24"/>
        </w:rPr>
        <w:t>8.8 施工设备和临时设施</w:t>
      </w:r>
    </w:p>
    <w:p w14:paraId="0A743BCC">
      <w:pPr>
        <w:pageBreakBefore w:val="0"/>
        <w:widowControl w:val="0"/>
        <w:kinsoku/>
        <w:wordWrap/>
        <w:overflowPunct/>
        <w:topLinePunct w:val="0"/>
        <w:autoSpaceDE w:val="0"/>
        <w:autoSpaceDN w:val="0"/>
        <w:bidi w:val="0"/>
        <w:adjustRightInd w:val="0"/>
        <w:snapToGrid/>
        <w:spacing w:line="480" w:lineRule="exact"/>
        <w:ind w:firstLine="480" w:firstLineChars="200"/>
        <w:jc w:val="left"/>
        <w:textAlignment w:val="auto"/>
        <w:outlineLvl w:val="9"/>
        <w:rPr>
          <w:rFonts w:hint="eastAsia" w:ascii="宋体" w:hAnsi="宋体" w:eastAsia="宋体" w:cs="宋体"/>
          <w:sz w:val="24"/>
        </w:rPr>
      </w:pPr>
      <w:r>
        <w:rPr>
          <w:rFonts w:hint="eastAsia" w:ascii="宋体" w:hAnsi="宋体" w:eastAsia="宋体" w:cs="宋体"/>
          <w:sz w:val="24"/>
        </w:rPr>
        <w:t>8.8.1 承包人提供的施工设备和临时设施</w:t>
      </w:r>
    </w:p>
    <w:p w14:paraId="4EBB4368">
      <w:pPr>
        <w:pageBreakBefore w:val="0"/>
        <w:widowControl w:val="0"/>
        <w:kinsoku/>
        <w:wordWrap/>
        <w:overflowPunct/>
        <w:topLinePunct w:val="0"/>
        <w:autoSpaceDE w:val="0"/>
        <w:autoSpaceDN w:val="0"/>
        <w:bidi w:val="0"/>
        <w:adjustRightInd w:val="0"/>
        <w:snapToGrid/>
        <w:spacing w:line="480" w:lineRule="exact"/>
        <w:jc w:val="left"/>
        <w:textAlignment w:val="auto"/>
        <w:outlineLvl w:val="9"/>
        <w:rPr>
          <w:rFonts w:hint="eastAsia" w:ascii="宋体" w:hAnsi="宋体" w:eastAsia="宋体" w:cs="宋体"/>
          <w:sz w:val="24"/>
        </w:rPr>
      </w:pPr>
      <w:r>
        <w:rPr>
          <w:rFonts w:hint="eastAsia" w:ascii="宋体" w:hAnsi="宋体" w:eastAsia="宋体" w:cs="宋体"/>
          <w:sz w:val="24"/>
        </w:rPr>
        <w:t xml:space="preserve">    关于修建临时设施费用承担的约定：</w:t>
      </w:r>
      <w:r>
        <w:rPr>
          <w:rFonts w:hint="eastAsia" w:ascii="宋体" w:hAnsi="宋体" w:eastAsia="宋体" w:cs="宋体"/>
          <w:sz w:val="24"/>
          <w:u w:val="single"/>
        </w:rPr>
        <w:t xml:space="preserve">            </w:t>
      </w:r>
      <w:r>
        <w:rPr>
          <w:rFonts w:hint="eastAsia" w:ascii="宋体" w:hAnsi="宋体" w:eastAsia="宋体" w:cs="宋体"/>
          <w:sz w:val="24"/>
        </w:rPr>
        <w:t>。</w:t>
      </w:r>
    </w:p>
    <w:bookmarkEnd w:id="1223"/>
    <w:bookmarkEnd w:id="1224"/>
    <w:bookmarkEnd w:id="1225"/>
    <w:bookmarkEnd w:id="1226"/>
    <w:bookmarkEnd w:id="1227"/>
    <w:bookmarkEnd w:id="1228"/>
    <w:bookmarkEnd w:id="1229"/>
    <w:bookmarkEnd w:id="1230"/>
    <w:bookmarkEnd w:id="1231"/>
    <w:bookmarkEnd w:id="1232"/>
    <w:bookmarkEnd w:id="1233"/>
    <w:bookmarkEnd w:id="1234"/>
    <w:bookmarkEnd w:id="1235"/>
    <w:bookmarkEnd w:id="1236"/>
    <w:bookmarkEnd w:id="1237"/>
    <w:bookmarkEnd w:id="1238"/>
    <w:p w14:paraId="59E19F5B">
      <w:pPr>
        <w:pageBreakBefore w:val="0"/>
        <w:widowControl w:val="0"/>
        <w:kinsoku/>
        <w:wordWrap/>
        <w:overflowPunct/>
        <w:topLinePunct w:val="0"/>
        <w:bidi w:val="0"/>
        <w:snapToGrid/>
        <w:spacing w:before="120" w:after="120" w:line="480" w:lineRule="exact"/>
        <w:textAlignment w:val="auto"/>
        <w:outlineLvl w:val="9"/>
        <w:rPr>
          <w:rFonts w:hint="eastAsia" w:ascii="宋体" w:hAnsi="宋体" w:eastAsia="宋体" w:cs="宋体"/>
          <w:b w:val="0"/>
          <w:sz w:val="24"/>
          <w:szCs w:val="24"/>
        </w:rPr>
      </w:pPr>
      <w:bookmarkStart w:id="1239" w:name="_Toc351203641"/>
      <w:r>
        <w:rPr>
          <w:rFonts w:hint="eastAsia" w:ascii="宋体" w:hAnsi="宋体" w:eastAsia="宋体" w:cs="宋体"/>
          <w:b w:val="0"/>
          <w:sz w:val="24"/>
          <w:szCs w:val="24"/>
        </w:rPr>
        <w:t>9</w:t>
      </w:r>
      <w:bookmarkEnd w:id="1218"/>
      <w:bookmarkEnd w:id="1219"/>
      <w:bookmarkEnd w:id="1220"/>
      <w:bookmarkStart w:id="1240" w:name="_Toc312677495"/>
      <w:bookmarkStart w:id="1241" w:name="_Toc312678021"/>
      <w:bookmarkStart w:id="1242" w:name="_Toc303539139"/>
      <w:bookmarkStart w:id="1243" w:name="_Toc297216192"/>
      <w:bookmarkStart w:id="1244" w:name="_Toc304295559"/>
      <w:bookmarkStart w:id="1245" w:name="_Toc297123533"/>
      <w:bookmarkStart w:id="1246" w:name="_Toc300934982"/>
      <w:bookmarkStart w:id="1247" w:name="_Toc292559883"/>
      <w:bookmarkStart w:id="1248" w:name="_Toc296891213"/>
      <w:bookmarkStart w:id="1249" w:name="_Toc296944512"/>
      <w:bookmarkStart w:id="1250" w:name="_Toc267251427"/>
      <w:bookmarkStart w:id="1251" w:name="_Toc297120473"/>
      <w:bookmarkStart w:id="1252" w:name="_Toc292559378"/>
      <w:bookmarkStart w:id="1253" w:name="_Toc296891001"/>
      <w:bookmarkStart w:id="1254" w:name="_Toc267251428"/>
      <w:bookmarkStart w:id="1255" w:name="_Toc297048359"/>
      <w:bookmarkStart w:id="1256" w:name="_Toc296347172"/>
      <w:bookmarkStart w:id="1257" w:name="_Toc296503173"/>
      <w:bookmarkStart w:id="1258" w:name="_Toc296346674"/>
      <w:r>
        <w:rPr>
          <w:rFonts w:hint="eastAsia" w:ascii="宋体" w:hAnsi="宋体" w:eastAsia="宋体" w:cs="宋体"/>
          <w:b w:val="0"/>
          <w:sz w:val="24"/>
          <w:szCs w:val="24"/>
        </w:rPr>
        <w:t>. 试验与检验</w:t>
      </w:r>
      <w:bookmarkEnd w:id="1239"/>
    </w:p>
    <w:bookmarkEnd w:id="1240"/>
    <w:bookmarkEnd w:id="1241"/>
    <w:bookmarkEnd w:id="1242"/>
    <w:bookmarkEnd w:id="1243"/>
    <w:bookmarkEnd w:id="1244"/>
    <w:bookmarkEnd w:id="1245"/>
    <w:bookmarkEnd w:id="1246"/>
    <w:p w14:paraId="2990D25E">
      <w:pPr>
        <w:pageBreakBefore w:val="0"/>
        <w:widowControl w:val="0"/>
        <w:kinsoku/>
        <w:wordWrap/>
        <w:overflowPunct/>
        <w:topLinePunct w:val="0"/>
        <w:bidi w:val="0"/>
        <w:snapToGrid/>
        <w:spacing w:after="120" w:line="480" w:lineRule="exact"/>
        <w:ind w:firstLine="480" w:firstLineChars="200"/>
        <w:textAlignment w:val="auto"/>
        <w:outlineLvl w:val="9"/>
        <w:rPr>
          <w:rFonts w:hint="eastAsia" w:ascii="宋体" w:hAnsi="宋体" w:eastAsia="宋体" w:cs="宋体"/>
          <w:sz w:val="24"/>
        </w:rPr>
      </w:pPr>
      <w:r>
        <w:rPr>
          <w:rFonts w:hint="eastAsia" w:ascii="宋体" w:hAnsi="宋体" w:eastAsia="宋体" w:cs="宋体"/>
          <w:sz w:val="24"/>
        </w:rPr>
        <w:t>9</w:t>
      </w:r>
      <w:bookmarkStart w:id="1259" w:name="_Toc312677496"/>
      <w:bookmarkStart w:id="1260" w:name="_Toc297123534"/>
      <w:bookmarkStart w:id="1261" w:name="_Toc312678022"/>
      <w:bookmarkStart w:id="1262" w:name="_Toc304295560"/>
      <w:bookmarkStart w:id="1263" w:name="_Toc297216193"/>
      <w:bookmarkStart w:id="1264" w:name="_Toc303539140"/>
      <w:bookmarkStart w:id="1265" w:name="_Toc300934983"/>
      <w:r>
        <w:rPr>
          <w:rFonts w:hint="eastAsia" w:ascii="宋体" w:hAnsi="宋体" w:eastAsia="宋体" w:cs="宋体"/>
          <w:sz w:val="24"/>
        </w:rPr>
        <w:t>.1试验设备与试验人员</w:t>
      </w:r>
    </w:p>
    <w:bookmarkEnd w:id="1259"/>
    <w:bookmarkEnd w:id="1260"/>
    <w:bookmarkEnd w:id="1261"/>
    <w:bookmarkEnd w:id="1262"/>
    <w:bookmarkEnd w:id="1263"/>
    <w:bookmarkEnd w:id="1264"/>
    <w:bookmarkEnd w:id="1265"/>
    <w:p w14:paraId="5CFE9FD4">
      <w:pPr>
        <w:pageBreakBefore w:val="0"/>
        <w:widowControl w:val="0"/>
        <w:kinsoku/>
        <w:wordWrap/>
        <w:overflowPunct/>
        <w:topLinePunct w:val="0"/>
        <w:bidi w:val="0"/>
        <w:snapToGrid/>
        <w:spacing w:line="480" w:lineRule="exact"/>
        <w:ind w:firstLine="480" w:firstLineChars="200"/>
        <w:jc w:val="left"/>
        <w:textAlignment w:val="auto"/>
        <w:outlineLvl w:val="9"/>
        <w:rPr>
          <w:rFonts w:hint="eastAsia" w:ascii="宋体" w:hAnsi="宋体" w:eastAsia="宋体" w:cs="宋体"/>
          <w:sz w:val="24"/>
        </w:rPr>
      </w:pPr>
      <w:r>
        <w:rPr>
          <w:rFonts w:hint="eastAsia" w:ascii="宋体" w:hAnsi="宋体" w:eastAsia="宋体" w:cs="宋体"/>
          <w:sz w:val="24"/>
        </w:rPr>
        <w:t>9</w:t>
      </w:r>
      <w:bookmarkStart w:id="1266" w:name="_Toc303539141"/>
      <w:bookmarkStart w:id="1267" w:name="_Toc297123535"/>
      <w:bookmarkStart w:id="1268" w:name="_Toc304295561"/>
      <w:bookmarkStart w:id="1269" w:name="_Toc297216194"/>
      <w:bookmarkStart w:id="1270" w:name="_Toc300934984"/>
      <w:bookmarkStart w:id="1271" w:name="_Toc312677497"/>
      <w:bookmarkStart w:id="1272" w:name="_Toc312678023"/>
      <w:bookmarkStart w:id="1273" w:name="_Toc318581174"/>
      <w:r>
        <w:rPr>
          <w:rFonts w:hint="eastAsia" w:ascii="宋体" w:hAnsi="宋体" w:eastAsia="宋体" w:cs="宋体"/>
          <w:sz w:val="24"/>
        </w:rPr>
        <w:t>.1.2 试验设备</w:t>
      </w:r>
    </w:p>
    <w:p w14:paraId="743C69DF">
      <w:pPr>
        <w:pageBreakBefore w:val="0"/>
        <w:widowControl w:val="0"/>
        <w:kinsoku/>
        <w:wordWrap/>
        <w:overflowPunct/>
        <w:topLinePunct w:val="0"/>
        <w:bidi w:val="0"/>
        <w:snapToGrid/>
        <w:spacing w:line="480" w:lineRule="exact"/>
        <w:ind w:firstLine="480" w:firstLineChars="200"/>
        <w:jc w:val="left"/>
        <w:textAlignment w:val="auto"/>
        <w:outlineLvl w:val="9"/>
        <w:rPr>
          <w:rFonts w:hint="eastAsia" w:ascii="宋体" w:hAnsi="宋体" w:eastAsia="宋体" w:cs="宋体"/>
          <w:sz w:val="24"/>
        </w:rPr>
      </w:pPr>
      <w:r>
        <w:rPr>
          <w:rFonts w:hint="eastAsia" w:ascii="宋体" w:hAnsi="宋体" w:eastAsia="宋体" w:cs="宋体"/>
          <w:sz w:val="24"/>
        </w:rPr>
        <w:t>施工现场需要配置的试验场所：</w:t>
      </w:r>
      <w:bookmarkEnd w:id="1266"/>
      <w:bookmarkEnd w:id="1267"/>
      <w:bookmarkEnd w:id="1268"/>
      <w:bookmarkEnd w:id="1269"/>
      <w:bookmarkEnd w:id="1270"/>
      <w:bookmarkEnd w:id="1271"/>
      <w:bookmarkEnd w:id="1272"/>
      <w:bookmarkStart w:id="1274" w:name="_Toc297123536"/>
      <w:bookmarkStart w:id="1275" w:name="_Toc312677498"/>
      <w:bookmarkStart w:id="1276" w:name="_Toc303539142"/>
      <w:bookmarkStart w:id="1277" w:name="_Toc297216195"/>
      <w:bookmarkStart w:id="1278" w:name="_Toc312678024"/>
      <w:bookmarkStart w:id="1279" w:name="_Toc304295562"/>
      <w:bookmarkStart w:id="1280" w:name="_Toc300934985"/>
      <w:r>
        <w:rPr>
          <w:rFonts w:hint="eastAsia" w:ascii="宋体" w:hAnsi="宋体" w:eastAsia="宋体" w:cs="宋体"/>
          <w:sz w:val="24"/>
          <w:u w:val="single"/>
        </w:rPr>
        <w:t xml:space="preserve">                    </w:t>
      </w:r>
      <w:r>
        <w:rPr>
          <w:rFonts w:hint="eastAsia" w:ascii="宋体" w:hAnsi="宋体" w:eastAsia="宋体" w:cs="宋体"/>
          <w:sz w:val="24"/>
        </w:rPr>
        <w:t xml:space="preserve">。 </w:t>
      </w:r>
    </w:p>
    <w:p w14:paraId="3EEEFF77">
      <w:pPr>
        <w:pageBreakBefore w:val="0"/>
        <w:widowControl w:val="0"/>
        <w:kinsoku/>
        <w:wordWrap/>
        <w:overflowPunct/>
        <w:topLinePunct w:val="0"/>
        <w:bidi w:val="0"/>
        <w:snapToGrid/>
        <w:spacing w:line="480" w:lineRule="exact"/>
        <w:jc w:val="left"/>
        <w:textAlignment w:val="auto"/>
        <w:outlineLvl w:val="9"/>
        <w:rPr>
          <w:rFonts w:hint="eastAsia" w:ascii="宋体" w:hAnsi="宋体" w:eastAsia="宋体" w:cs="宋体"/>
          <w:sz w:val="24"/>
        </w:rPr>
      </w:pPr>
      <w:r>
        <w:rPr>
          <w:rFonts w:hint="eastAsia" w:ascii="宋体" w:hAnsi="宋体" w:eastAsia="宋体" w:cs="宋体"/>
          <w:sz w:val="24"/>
        </w:rPr>
        <w:t xml:space="preserve">   施工现场需要配备的试验设备：</w:t>
      </w:r>
      <w:r>
        <w:rPr>
          <w:rFonts w:hint="eastAsia" w:ascii="宋体" w:hAnsi="宋体" w:eastAsia="宋体" w:cs="宋体"/>
          <w:sz w:val="24"/>
          <w:u w:val="single"/>
        </w:rPr>
        <w:t xml:space="preserve">                   </w:t>
      </w:r>
      <w:r>
        <w:rPr>
          <w:rFonts w:hint="eastAsia" w:ascii="宋体" w:hAnsi="宋体" w:eastAsia="宋体" w:cs="宋体"/>
          <w:sz w:val="24"/>
        </w:rPr>
        <w:t>。</w:t>
      </w:r>
    </w:p>
    <w:p w14:paraId="7EEEFA90">
      <w:pPr>
        <w:pageBreakBefore w:val="0"/>
        <w:widowControl w:val="0"/>
        <w:kinsoku/>
        <w:wordWrap/>
        <w:overflowPunct/>
        <w:topLinePunct w:val="0"/>
        <w:bidi w:val="0"/>
        <w:snapToGrid/>
        <w:spacing w:line="480" w:lineRule="exact"/>
        <w:jc w:val="left"/>
        <w:textAlignment w:val="auto"/>
        <w:outlineLvl w:val="9"/>
        <w:rPr>
          <w:rFonts w:hint="eastAsia" w:ascii="宋体" w:hAnsi="宋体" w:eastAsia="宋体" w:cs="宋体"/>
          <w:sz w:val="24"/>
        </w:rPr>
      </w:pPr>
      <w:r>
        <w:rPr>
          <w:rFonts w:hint="eastAsia" w:ascii="宋体" w:hAnsi="宋体" w:eastAsia="宋体" w:cs="宋体"/>
          <w:sz w:val="24"/>
        </w:rPr>
        <w:t xml:space="preserve">   施工现场需要具备的其他试验条件：</w:t>
      </w:r>
      <w:r>
        <w:rPr>
          <w:rFonts w:hint="eastAsia" w:ascii="宋体" w:hAnsi="宋体" w:eastAsia="宋体" w:cs="宋体"/>
          <w:sz w:val="24"/>
          <w:u w:val="single"/>
        </w:rPr>
        <w:t xml:space="preserve">                  </w:t>
      </w:r>
      <w:r>
        <w:rPr>
          <w:rFonts w:hint="eastAsia" w:ascii="宋体" w:hAnsi="宋体" w:eastAsia="宋体" w:cs="宋体"/>
          <w:sz w:val="24"/>
        </w:rPr>
        <w:t>。</w:t>
      </w:r>
    </w:p>
    <w:p w14:paraId="772B270C">
      <w:pPr>
        <w:pageBreakBefore w:val="0"/>
        <w:widowControl w:val="0"/>
        <w:kinsoku/>
        <w:wordWrap/>
        <w:overflowPunct/>
        <w:topLinePunct w:val="0"/>
        <w:bidi w:val="0"/>
        <w:snapToGrid/>
        <w:spacing w:after="120" w:line="480" w:lineRule="exact"/>
        <w:ind w:firstLine="480" w:firstLineChars="200"/>
        <w:textAlignment w:val="auto"/>
        <w:outlineLvl w:val="9"/>
        <w:rPr>
          <w:rFonts w:hint="eastAsia" w:ascii="宋体" w:hAnsi="宋体" w:eastAsia="宋体" w:cs="宋体"/>
          <w:sz w:val="24"/>
        </w:rPr>
      </w:pPr>
      <w:r>
        <w:rPr>
          <w:rFonts w:hint="eastAsia" w:ascii="宋体" w:hAnsi="宋体" w:eastAsia="宋体" w:cs="宋体"/>
          <w:sz w:val="24"/>
        </w:rPr>
        <w:t xml:space="preserve">9.4 现场工艺试验 </w:t>
      </w:r>
    </w:p>
    <w:p w14:paraId="12216724">
      <w:pPr>
        <w:pageBreakBefore w:val="0"/>
        <w:widowControl w:val="0"/>
        <w:kinsoku/>
        <w:wordWrap/>
        <w:overflowPunct/>
        <w:topLinePunct w:val="0"/>
        <w:bidi w:val="0"/>
        <w:snapToGrid/>
        <w:spacing w:line="480" w:lineRule="exact"/>
        <w:jc w:val="left"/>
        <w:textAlignment w:val="auto"/>
        <w:outlineLvl w:val="9"/>
        <w:rPr>
          <w:rFonts w:hint="eastAsia" w:ascii="宋体" w:hAnsi="宋体" w:eastAsia="宋体" w:cs="宋体"/>
          <w:sz w:val="24"/>
        </w:rPr>
      </w:pPr>
      <w:r>
        <w:rPr>
          <w:rFonts w:hint="eastAsia" w:ascii="宋体" w:hAnsi="宋体" w:eastAsia="宋体" w:cs="宋体"/>
          <w:sz w:val="24"/>
        </w:rPr>
        <w:t xml:space="preserve">   现场工艺试验的有关约定：</w:t>
      </w:r>
      <w:r>
        <w:rPr>
          <w:rFonts w:hint="eastAsia" w:ascii="宋体" w:hAnsi="宋体" w:eastAsia="宋体" w:cs="宋体"/>
          <w:sz w:val="24"/>
          <w:u w:val="single"/>
        </w:rPr>
        <w:t xml:space="preserve">                         </w:t>
      </w:r>
      <w:r>
        <w:rPr>
          <w:rFonts w:hint="eastAsia" w:ascii="宋体" w:hAnsi="宋体" w:eastAsia="宋体" w:cs="宋体"/>
          <w:sz w:val="24"/>
        </w:rPr>
        <w:t>。</w:t>
      </w:r>
    </w:p>
    <w:bookmarkEnd w:id="1273"/>
    <w:bookmarkEnd w:id="1274"/>
    <w:bookmarkEnd w:id="1275"/>
    <w:bookmarkEnd w:id="1276"/>
    <w:bookmarkEnd w:id="1277"/>
    <w:bookmarkEnd w:id="1278"/>
    <w:bookmarkEnd w:id="1279"/>
    <w:bookmarkEnd w:id="1280"/>
    <w:p w14:paraId="67BFAB25">
      <w:pPr>
        <w:pageBreakBefore w:val="0"/>
        <w:widowControl w:val="0"/>
        <w:kinsoku/>
        <w:wordWrap/>
        <w:overflowPunct/>
        <w:topLinePunct w:val="0"/>
        <w:bidi w:val="0"/>
        <w:snapToGrid/>
        <w:spacing w:before="120" w:after="120" w:line="480" w:lineRule="exact"/>
        <w:textAlignment w:val="auto"/>
        <w:outlineLvl w:val="9"/>
        <w:rPr>
          <w:rFonts w:hint="eastAsia" w:ascii="宋体" w:hAnsi="宋体" w:eastAsia="宋体" w:cs="宋体"/>
          <w:b w:val="0"/>
          <w:sz w:val="24"/>
          <w:szCs w:val="24"/>
        </w:rPr>
      </w:pPr>
      <w:bookmarkStart w:id="1281" w:name="_Toc351203642"/>
      <w:r>
        <w:rPr>
          <w:rFonts w:hint="eastAsia" w:ascii="宋体" w:hAnsi="宋体" w:eastAsia="宋体" w:cs="宋体"/>
          <w:b w:val="0"/>
          <w:sz w:val="24"/>
          <w:szCs w:val="24"/>
        </w:rPr>
        <w:t>1</w:t>
      </w:r>
      <w:bookmarkEnd w:id="1247"/>
      <w:bookmarkEnd w:id="1248"/>
      <w:bookmarkEnd w:id="1249"/>
      <w:bookmarkEnd w:id="1250"/>
      <w:bookmarkEnd w:id="1251"/>
      <w:bookmarkEnd w:id="1252"/>
      <w:bookmarkEnd w:id="1253"/>
      <w:bookmarkEnd w:id="1254"/>
      <w:bookmarkEnd w:id="1255"/>
      <w:bookmarkEnd w:id="1256"/>
      <w:bookmarkEnd w:id="1257"/>
      <w:bookmarkEnd w:id="1258"/>
      <w:bookmarkStart w:id="1282" w:name="_Toc296891021"/>
      <w:bookmarkStart w:id="1283" w:name="_Toc300934989"/>
      <w:bookmarkStart w:id="1284" w:name="_Toc297216199"/>
      <w:bookmarkStart w:id="1285" w:name="_Toc304295566"/>
      <w:bookmarkStart w:id="1286" w:name="_Toc296346694"/>
      <w:bookmarkStart w:id="1287" w:name="_Toc303539146"/>
      <w:bookmarkStart w:id="1288" w:name="_Toc296347192"/>
      <w:bookmarkStart w:id="1289" w:name="_Toc297120493"/>
      <w:bookmarkStart w:id="1290" w:name="_Toc292559903"/>
      <w:bookmarkStart w:id="1291" w:name="_Toc297048379"/>
      <w:bookmarkStart w:id="1292" w:name="_Toc292559398"/>
      <w:bookmarkStart w:id="1293" w:name="_Toc296891233"/>
      <w:bookmarkStart w:id="1294" w:name="_Toc296944532"/>
      <w:bookmarkStart w:id="1295" w:name="_Toc296503193"/>
      <w:bookmarkStart w:id="1296" w:name="_Toc297123540"/>
      <w:bookmarkStart w:id="1297" w:name="_Toc312678025"/>
      <w:bookmarkStart w:id="1298" w:name="_Toc312677499"/>
      <w:bookmarkStart w:id="1299" w:name="_Toc267251433"/>
      <w:bookmarkStart w:id="1300" w:name="_Toc267251439"/>
      <w:bookmarkStart w:id="1301" w:name="_Toc267251441"/>
      <w:bookmarkStart w:id="1302" w:name="_Toc267251435"/>
      <w:bookmarkStart w:id="1303" w:name="_Toc267251440"/>
      <w:bookmarkStart w:id="1304" w:name="_Toc267251437"/>
      <w:r>
        <w:rPr>
          <w:rFonts w:hint="eastAsia" w:ascii="宋体" w:hAnsi="宋体" w:eastAsia="宋体" w:cs="宋体"/>
          <w:b w:val="0"/>
          <w:sz w:val="24"/>
          <w:szCs w:val="24"/>
        </w:rPr>
        <w:t>0. 变更</w:t>
      </w:r>
      <w:bookmarkEnd w:id="1281"/>
      <w:bookmarkEnd w:id="1282"/>
      <w:bookmarkEnd w:id="1283"/>
      <w:bookmarkEnd w:id="1284"/>
      <w:bookmarkEnd w:id="1285"/>
      <w:bookmarkEnd w:id="1286"/>
      <w:bookmarkEnd w:id="1287"/>
      <w:bookmarkEnd w:id="1288"/>
      <w:bookmarkEnd w:id="1289"/>
      <w:bookmarkEnd w:id="1290"/>
      <w:bookmarkEnd w:id="1291"/>
      <w:bookmarkEnd w:id="1292"/>
      <w:bookmarkEnd w:id="1293"/>
      <w:bookmarkEnd w:id="1294"/>
      <w:bookmarkEnd w:id="1295"/>
      <w:bookmarkEnd w:id="1296"/>
    </w:p>
    <w:bookmarkEnd w:id="1297"/>
    <w:bookmarkEnd w:id="1298"/>
    <w:p w14:paraId="3F4841DE">
      <w:pPr>
        <w:pageBreakBefore w:val="0"/>
        <w:widowControl w:val="0"/>
        <w:kinsoku/>
        <w:wordWrap/>
        <w:overflowPunct/>
        <w:topLinePunct w:val="0"/>
        <w:bidi w:val="0"/>
        <w:snapToGrid/>
        <w:spacing w:after="120" w:line="480" w:lineRule="exact"/>
        <w:ind w:firstLine="480" w:firstLineChars="200"/>
        <w:textAlignment w:val="auto"/>
        <w:outlineLvl w:val="9"/>
        <w:rPr>
          <w:rFonts w:hint="eastAsia" w:ascii="宋体" w:hAnsi="宋体" w:eastAsia="宋体" w:cs="宋体"/>
          <w:sz w:val="24"/>
        </w:rPr>
      </w:pPr>
      <w:r>
        <w:rPr>
          <w:rFonts w:hint="eastAsia" w:ascii="宋体" w:hAnsi="宋体" w:eastAsia="宋体" w:cs="宋体"/>
          <w:sz w:val="24"/>
        </w:rPr>
        <w:t>1</w:t>
      </w:r>
      <w:bookmarkStart w:id="1305" w:name="_Toc300934990"/>
      <w:bookmarkStart w:id="1306" w:name="_Toc303539147"/>
      <w:bookmarkStart w:id="1307" w:name="_Toc292559904"/>
      <w:bookmarkStart w:id="1308" w:name="_Toc296346695"/>
      <w:bookmarkStart w:id="1309" w:name="_Toc304295567"/>
      <w:bookmarkStart w:id="1310" w:name="_Toc297048380"/>
      <w:bookmarkStart w:id="1311" w:name="_Toc297216200"/>
      <w:bookmarkStart w:id="1312" w:name="_Toc296891234"/>
      <w:bookmarkStart w:id="1313" w:name="_Toc297123541"/>
      <w:bookmarkStart w:id="1314" w:name="_Toc296891022"/>
      <w:bookmarkStart w:id="1315" w:name="_Toc296347193"/>
      <w:bookmarkStart w:id="1316" w:name="_Toc312678026"/>
      <w:bookmarkStart w:id="1317" w:name="_Toc296944533"/>
      <w:bookmarkStart w:id="1318" w:name="_Toc296503194"/>
      <w:bookmarkStart w:id="1319" w:name="_Toc312677500"/>
      <w:bookmarkStart w:id="1320" w:name="_Toc297120494"/>
      <w:bookmarkStart w:id="1321" w:name="_Toc292559399"/>
      <w:r>
        <w:rPr>
          <w:rFonts w:hint="eastAsia" w:ascii="宋体" w:hAnsi="宋体" w:eastAsia="宋体" w:cs="宋体"/>
          <w:sz w:val="24"/>
        </w:rPr>
        <w:t>0.1变更的范围</w:t>
      </w:r>
    </w:p>
    <w:p w14:paraId="750CDCC8">
      <w:pPr>
        <w:pageBreakBefore w:val="0"/>
        <w:widowControl w:val="0"/>
        <w:kinsoku/>
        <w:wordWrap/>
        <w:overflowPunct/>
        <w:topLinePunct w:val="0"/>
        <w:bidi w:val="0"/>
        <w:snapToGrid/>
        <w:spacing w:line="480" w:lineRule="exact"/>
        <w:ind w:firstLine="600"/>
        <w:jc w:val="left"/>
        <w:textAlignment w:val="auto"/>
        <w:outlineLvl w:val="9"/>
        <w:rPr>
          <w:rFonts w:hint="eastAsia" w:ascii="宋体" w:hAnsi="宋体" w:eastAsia="宋体" w:cs="宋体"/>
          <w:sz w:val="24"/>
        </w:rPr>
      </w:pPr>
      <w:r>
        <w:rPr>
          <w:rFonts w:hint="eastAsia" w:ascii="宋体" w:hAnsi="宋体" w:eastAsia="宋体" w:cs="宋体"/>
          <w:sz w:val="24"/>
        </w:rPr>
        <w:t>关于变更的范围的约定：</w:t>
      </w:r>
      <w:r>
        <w:rPr>
          <w:rFonts w:hint="eastAsia" w:ascii="宋体" w:hAnsi="宋体" w:eastAsia="宋体" w:cs="宋体"/>
          <w:sz w:val="24"/>
          <w:u w:val="single"/>
        </w:rPr>
        <w:t xml:space="preserve">                   。</w:t>
      </w:r>
    </w:p>
    <w:p w14:paraId="59D5E18A">
      <w:pPr>
        <w:pageBreakBefore w:val="0"/>
        <w:widowControl w:val="0"/>
        <w:kinsoku/>
        <w:wordWrap/>
        <w:overflowPunct/>
        <w:topLinePunct w:val="0"/>
        <w:bidi w:val="0"/>
        <w:snapToGrid/>
        <w:spacing w:after="120" w:line="480" w:lineRule="exact"/>
        <w:ind w:firstLine="480" w:firstLineChars="200"/>
        <w:textAlignment w:val="auto"/>
        <w:outlineLvl w:val="9"/>
        <w:rPr>
          <w:rFonts w:hint="eastAsia" w:ascii="宋体" w:hAnsi="宋体" w:eastAsia="宋体" w:cs="宋体"/>
          <w:sz w:val="24"/>
        </w:rPr>
      </w:pPr>
      <w:r>
        <w:rPr>
          <w:rFonts w:hint="eastAsia" w:ascii="宋体" w:hAnsi="宋体" w:eastAsia="宋体" w:cs="宋体"/>
          <w:sz w:val="24"/>
        </w:rPr>
        <w:t>10.4 变更估价</w:t>
      </w:r>
    </w:p>
    <w:p w14:paraId="6C4AF48A">
      <w:pPr>
        <w:pageBreakBefore w:val="0"/>
        <w:widowControl w:val="0"/>
        <w:kinsoku/>
        <w:wordWrap/>
        <w:overflowPunct/>
        <w:topLinePunct w:val="0"/>
        <w:bidi w:val="0"/>
        <w:snapToGrid/>
        <w:spacing w:line="480" w:lineRule="exact"/>
        <w:ind w:firstLine="480" w:firstLineChars="200"/>
        <w:jc w:val="left"/>
        <w:textAlignment w:val="auto"/>
        <w:outlineLvl w:val="9"/>
        <w:rPr>
          <w:rFonts w:hint="eastAsia" w:ascii="宋体" w:hAnsi="宋体" w:eastAsia="宋体" w:cs="宋体"/>
          <w:sz w:val="24"/>
        </w:rPr>
      </w:pPr>
      <w:r>
        <w:rPr>
          <w:rFonts w:hint="eastAsia" w:ascii="宋体" w:hAnsi="宋体" w:eastAsia="宋体" w:cs="宋体"/>
          <w:sz w:val="24"/>
        </w:rPr>
        <w:t>10.4.1 变更估价原则</w:t>
      </w:r>
    </w:p>
    <w:p w14:paraId="4D61B17D">
      <w:pPr>
        <w:pStyle w:val="132"/>
        <w:pageBreakBefore w:val="0"/>
        <w:widowControl w:val="0"/>
        <w:kinsoku/>
        <w:wordWrap/>
        <w:overflowPunct/>
        <w:topLinePunct w:val="0"/>
        <w:bidi w:val="0"/>
        <w:snapToGrid/>
        <w:spacing w:line="480" w:lineRule="exact"/>
        <w:ind w:left="0" w:right="0" w:firstLine="475" w:firstLineChars="198"/>
        <w:textAlignment w:val="auto"/>
        <w:outlineLvl w:val="9"/>
        <w:rPr>
          <w:rFonts w:hint="eastAsia" w:ascii="宋体" w:hAnsi="宋体" w:eastAsia="宋体" w:cs="宋体"/>
          <w:szCs w:val="24"/>
          <w:u w:val="single"/>
        </w:rPr>
      </w:pPr>
      <w:r>
        <w:rPr>
          <w:rFonts w:hint="eastAsia" w:ascii="宋体" w:hAnsi="宋体" w:eastAsia="宋体" w:cs="宋体"/>
          <w:szCs w:val="24"/>
        </w:rPr>
        <w:t xml:space="preserve">关于变更估价的约定: </w:t>
      </w:r>
      <w:r>
        <w:rPr>
          <w:rFonts w:hint="eastAsia" w:ascii="宋体" w:hAnsi="宋体" w:eastAsia="宋体" w:cs="宋体"/>
          <w:szCs w:val="24"/>
          <w:u w:val="single"/>
        </w:rPr>
        <w:t xml:space="preserve">                          </w:t>
      </w:r>
    </w:p>
    <w:p w14:paraId="370420C1">
      <w:pPr>
        <w:pageBreakBefore w:val="0"/>
        <w:widowControl w:val="0"/>
        <w:kinsoku/>
        <w:wordWrap/>
        <w:overflowPunct/>
        <w:topLinePunct w:val="0"/>
        <w:bidi w:val="0"/>
        <w:snapToGrid/>
        <w:spacing w:after="120" w:line="480" w:lineRule="exact"/>
        <w:ind w:firstLine="480" w:firstLineChars="200"/>
        <w:textAlignment w:val="auto"/>
        <w:outlineLvl w:val="9"/>
        <w:rPr>
          <w:rFonts w:hint="eastAsia" w:ascii="宋体" w:hAnsi="宋体" w:eastAsia="宋体" w:cs="宋体"/>
          <w:sz w:val="24"/>
        </w:rPr>
      </w:pPr>
      <w:r>
        <w:rPr>
          <w:rFonts w:hint="eastAsia" w:ascii="宋体" w:hAnsi="宋体" w:eastAsia="宋体" w:cs="宋体"/>
          <w:sz w:val="24"/>
        </w:rPr>
        <w:t>1</w:t>
      </w:r>
      <w:bookmarkEnd w:id="1305"/>
      <w:bookmarkEnd w:id="1306"/>
      <w:bookmarkEnd w:id="1307"/>
      <w:bookmarkEnd w:id="1308"/>
      <w:bookmarkEnd w:id="1309"/>
      <w:bookmarkEnd w:id="1310"/>
      <w:bookmarkEnd w:id="1311"/>
      <w:bookmarkEnd w:id="1312"/>
      <w:bookmarkEnd w:id="1313"/>
      <w:bookmarkEnd w:id="1314"/>
      <w:bookmarkEnd w:id="1315"/>
      <w:bookmarkEnd w:id="1316"/>
      <w:bookmarkEnd w:id="1317"/>
      <w:bookmarkEnd w:id="1318"/>
      <w:bookmarkEnd w:id="1319"/>
      <w:bookmarkEnd w:id="1320"/>
      <w:bookmarkEnd w:id="1321"/>
      <w:bookmarkStart w:id="1322" w:name="_Toc296891237"/>
      <w:bookmarkStart w:id="1323" w:name="_Toc300934993"/>
      <w:bookmarkStart w:id="1324" w:name="_Toc296503197"/>
      <w:bookmarkStart w:id="1325" w:name="_Toc296346698"/>
      <w:bookmarkStart w:id="1326" w:name="_Toc297123544"/>
      <w:bookmarkStart w:id="1327" w:name="_Toc292559907"/>
      <w:bookmarkStart w:id="1328" w:name="_Toc292559402"/>
      <w:bookmarkStart w:id="1329" w:name="_Toc303539150"/>
      <w:bookmarkStart w:id="1330" w:name="_Toc297216203"/>
      <w:bookmarkStart w:id="1331" w:name="_Toc296944536"/>
      <w:bookmarkStart w:id="1332" w:name="_Toc297048383"/>
      <w:bookmarkStart w:id="1333" w:name="_Toc297120497"/>
      <w:bookmarkStart w:id="1334" w:name="_Toc296891025"/>
      <w:bookmarkStart w:id="1335" w:name="_Toc296347196"/>
      <w:bookmarkStart w:id="1336" w:name="_Toc312677503"/>
      <w:bookmarkStart w:id="1337" w:name="_Toc312678029"/>
      <w:bookmarkStart w:id="1338" w:name="_Toc304295570"/>
      <w:r>
        <w:rPr>
          <w:rFonts w:hint="eastAsia" w:ascii="宋体" w:hAnsi="宋体" w:eastAsia="宋体" w:cs="宋体"/>
          <w:sz w:val="24"/>
        </w:rPr>
        <w:t>0.5承</w:t>
      </w:r>
      <w:bookmarkEnd w:id="1322"/>
      <w:bookmarkEnd w:id="1323"/>
      <w:bookmarkEnd w:id="1324"/>
      <w:bookmarkEnd w:id="1325"/>
      <w:bookmarkEnd w:id="1326"/>
      <w:bookmarkEnd w:id="1327"/>
      <w:bookmarkEnd w:id="1328"/>
      <w:bookmarkEnd w:id="1329"/>
      <w:bookmarkEnd w:id="1330"/>
      <w:bookmarkEnd w:id="1331"/>
      <w:bookmarkEnd w:id="1332"/>
      <w:bookmarkEnd w:id="1333"/>
      <w:bookmarkEnd w:id="1334"/>
      <w:bookmarkEnd w:id="1335"/>
      <w:bookmarkStart w:id="1339" w:name="_Toc297120503"/>
      <w:bookmarkStart w:id="1340" w:name="_Toc303539151"/>
      <w:bookmarkStart w:id="1341" w:name="_Toc292559913"/>
      <w:bookmarkStart w:id="1342" w:name="_Toc297123545"/>
      <w:bookmarkStart w:id="1343" w:name="_Toc296891243"/>
      <w:bookmarkStart w:id="1344" w:name="_Toc296347202"/>
      <w:bookmarkStart w:id="1345" w:name="_Toc297216204"/>
      <w:bookmarkStart w:id="1346" w:name="_Toc292559408"/>
      <w:bookmarkStart w:id="1347" w:name="_Toc300934994"/>
      <w:bookmarkStart w:id="1348" w:name="_Toc296346704"/>
      <w:bookmarkStart w:id="1349" w:name="_Toc296891031"/>
      <w:bookmarkStart w:id="1350" w:name="_Toc296944542"/>
      <w:bookmarkStart w:id="1351" w:name="_Toc296503203"/>
      <w:bookmarkStart w:id="1352" w:name="_Toc297048389"/>
      <w:r>
        <w:rPr>
          <w:rFonts w:hint="eastAsia" w:ascii="宋体" w:hAnsi="宋体" w:eastAsia="宋体" w:cs="宋体"/>
          <w:sz w:val="24"/>
        </w:rPr>
        <w:t>包人的合理化建议</w:t>
      </w:r>
    </w:p>
    <w:bookmarkEnd w:id="1336"/>
    <w:bookmarkEnd w:id="1337"/>
    <w:bookmarkEnd w:id="1338"/>
    <w:bookmarkEnd w:id="1339"/>
    <w:bookmarkEnd w:id="1340"/>
    <w:bookmarkEnd w:id="1341"/>
    <w:bookmarkEnd w:id="1342"/>
    <w:bookmarkEnd w:id="1343"/>
    <w:bookmarkEnd w:id="1344"/>
    <w:bookmarkEnd w:id="1345"/>
    <w:bookmarkEnd w:id="1346"/>
    <w:bookmarkEnd w:id="1347"/>
    <w:bookmarkEnd w:id="1348"/>
    <w:bookmarkEnd w:id="1349"/>
    <w:bookmarkEnd w:id="1350"/>
    <w:bookmarkEnd w:id="1351"/>
    <w:bookmarkEnd w:id="1352"/>
    <w:p w14:paraId="08CCC659">
      <w:pPr>
        <w:pageBreakBefore w:val="0"/>
        <w:widowControl w:val="0"/>
        <w:kinsoku/>
        <w:wordWrap/>
        <w:overflowPunct/>
        <w:topLinePunct w:val="0"/>
        <w:bidi w:val="0"/>
        <w:snapToGrid/>
        <w:spacing w:line="480" w:lineRule="exact"/>
        <w:ind w:firstLine="480" w:firstLineChars="200"/>
        <w:jc w:val="left"/>
        <w:textAlignment w:val="auto"/>
        <w:outlineLvl w:val="9"/>
        <w:rPr>
          <w:rFonts w:hint="eastAsia" w:ascii="宋体" w:hAnsi="宋体" w:eastAsia="宋体" w:cs="宋体"/>
          <w:sz w:val="24"/>
        </w:rPr>
      </w:pPr>
      <w:r>
        <w:rPr>
          <w:rFonts w:hint="eastAsia" w:ascii="宋体" w:hAnsi="宋体" w:eastAsia="宋体" w:cs="宋体"/>
          <w:sz w:val="24"/>
        </w:rPr>
        <w:t>监理人审查承包人合理化建议的期限：</w:t>
      </w:r>
      <w:r>
        <w:rPr>
          <w:rFonts w:hint="eastAsia" w:ascii="宋体" w:hAnsi="宋体" w:eastAsia="宋体" w:cs="宋体"/>
          <w:sz w:val="24"/>
          <w:u w:val="single"/>
        </w:rPr>
        <w:t xml:space="preserve">                  </w:t>
      </w:r>
      <w:r>
        <w:rPr>
          <w:rFonts w:hint="eastAsia" w:ascii="宋体" w:hAnsi="宋体" w:eastAsia="宋体" w:cs="宋体"/>
          <w:sz w:val="24"/>
        </w:rPr>
        <w:t>。</w:t>
      </w:r>
    </w:p>
    <w:p w14:paraId="0635377B">
      <w:pPr>
        <w:pageBreakBefore w:val="0"/>
        <w:widowControl w:val="0"/>
        <w:kinsoku/>
        <w:wordWrap/>
        <w:overflowPunct/>
        <w:topLinePunct w:val="0"/>
        <w:bidi w:val="0"/>
        <w:snapToGrid/>
        <w:spacing w:line="480" w:lineRule="exact"/>
        <w:ind w:firstLine="480" w:firstLineChars="200"/>
        <w:jc w:val="left"/>
        <w:textAlignment w:val="auto"/>
        <w:outlineLvl w:val="9"/>
        <w:rPr>
          <w:rFonts w:hint="eastAsia" w:ascii="宋体" w:hAnsi="宋体" w:eastAsia="宋体" w:cs="宋体"/>
          <w:sz w:val="24"/>
        </w:rPr>
      </w:pPr>
      <w:r>
        <w:rPr>
          <w:rFonts w:hint="eastAsia" w:ascii="宋体" w:hAnsi="宋体" w:eastAsia="宋体" w:cs="宋体"/>
          <w:sz w:val="24"/>
        </w:rPr>
        <w:t>发包人审批承包人合理化建议的期限：</w:t>
      </w:r>
      <w:r>
        <w:rPr>
          <w:rFonts w:hint="eastAsia" w:ascii="宋体" w:hAnsi="宋体" w:eastAsia="宋体" w:cs="宋体"/>
          <w:sz w:val="24"/>
          <w:u w:val="single"/>
        </w:rPr>
        <w:t xml:space="preserve">                   </w:t>
      </w:r>
      <w:r>
        <w:rPr>
          <w:rFonts w:hint="eastAsia" w:ascii="宋体" w:hAnsi="宋体" w:eastAsia="宋体" w:cs="宋体"/>
          <w:sz w:val="24"/>
        </w:rPr>
        <w:t>。</w:t>
      </w:r>
    </w:p>
    <w:p w14:paraId="1CD52EF0">
      <w:pPr>
        <w:pageBreakBefore w:val="0"/>
        <w:widowControl w:val="0"/>
        <w:kinsoku/>
        <w:wordWrap/>
        <w:overflowPunct/>
        <w:topLinePunct w:val="0"/>
        <w:bidi w:val="0"/>
        <w:snapToGrid/>
        <w:spacing w:line="480" w:lineRule="exact"/>
        <w:jc w:val="left"/>
        <w:textAlignment w:val="auto"/>
        <w:outlineLvl w:val="9"/>
        <w:rPr>
          <w:rFonts w:hint="eastAsia" w:ascii="宋体" w:hAnsi="宋体" w:eastAsia="宋体" w:cs="宋体"/>
          <w:sz w:val="24"/>
          <w:u w:val="single"/>
        </w:rPr>
      </w:pPr>
      <w:r>
        <w:rPr>
          <w:rFonts w:hint="eastAsia" w:ascii="宋体" w:hAnsi="宋体" w:eastAsia="宋体" w:cs="宋体"/>
          <w:sz w:val="24"/>
        </w:rPr>
        <w:t>承</w:t>
      </w:r>
      <w:bookmarkStart w:id="1353" w:name="_Toc300934995"/>
      <w:bookmarkStart w:id="1354" w:name="_Toc296503204"/>
      <w:bookmarkStart w:id="1355" w:name="_Toc292559409"/>
      <w:bookmarkStart w:id="1356" w:name="_Toc312678030"/>
      <w:bookmarkStart w:id="1357" w:name="_Toc296347203"/>
      <w:bookmarkStart w:id="1358" w:name="_Toc296346705"/>
      <w:bookmarkStart w:id="1359" w:name="_Toc297216205"/>
      <w:bookmarkStart w:id="1360" w:name="_Toc296891244"/>
      <w:bookmarkStart w:id="1361" w:name="_Toc297123546"/>
      <w:bookmarkStart w:id="1362" w:name="_Toc304295571"/>
      <w:bookmarkStart w:id="1363" w:name="_Toc292559914"/>
      <w:bookmarkStart w:id="1364" w:name="_Toc296944543"/>
      <w:bookmarkStart w:id="1365" w:name="_Toc297120504"/>
      <w:bookmarkStart w:id="1366" w:name="_Toc318581175"/>
      <w:bookmarkStart w:id="1367" w:name="_Toc312677504"/>
      <w:bookmarkStart w:id="1368" w:name="_Toc297048390"/>
      <w:bookmarkStart w:id="1369" w:name="_Toc296891032"/>
      <w:bookmarkStart w:id="1370" w:name="_Toc303539152"/>
      <w:r>
        <w:rPr>
          <w:rFonts w:hint="eastAsia" w:ascii="宋体" w:hAnsi="宋体" w:eastAsia="宋体" w:cs="宋体"/>
          <w:sz w:val="24"/>
        </w:rPr>
        <w:t>包人提出的合理化建议降低了合同价格或者提高了工程经济效益的奖励的方法和金额为：</w:t>
      </w:r>
      <w:r>
        <w:rPr>
          <w:rFonts w:hint="eastAsia" w:ascii="宋体" w:hAnsi="宋体" w:eastAsia="宋体" w:cs="宋体"/>
          <w:sz w:val="24"/>
          <w:u w:val="single"/>
        </w:rPr>
        <w:t xml:space="preserve">              /                                </w:t>
      </w:r>
      <w:r>
        <w:rPr>
          <w:rFonts w:hint="eastAsia" w:ascii="宋体" w:hAnsi="宋体" w:eastAsia="宋体" w:cs="宋体"/>
          <w:sz w:val="24"/>
        </w:rPr>
        <w:t>。</w:t>
      </w:r>
    </w:p>
    <w:bookmarkEnd w:id="1353"/>
    <w:bookmarkEnd w:id="1354"/>
    <w:bookmarkEnd w:id="1355"/>
    <w:bookmarkEnd w:id="1356"/>
    <w:bookmarkEnd w:id="1357"/>
    <w:bookmarkEnd w:id="1358"/>
    <w:bookmarkEnd w:id="1359"/>
    <w:bookmarkEnd w:id="1360"/>
    <w:bookmarkEnd w:id="1361"/>
    <w:bookmarkEnd w:id="1362"/>
    <w:bookmarkEnd w:id="1363"/>
    <w:bookmarkEnd w:id="1364"/>
    <w:bookmarkEnd w:id="1365"/>
    <w:bookmarkEnd w:id="1366"/>
    <w:bookmarkEnd w:id="1367"/>
    <w:bookmarkEnd w:id="1368"/>
    <w:bookmarkEnd w:id="1369"/>
    <w:bookmarkEnd w:id="1370"/>
    <w:p w14:paraId="12C25885">
      <w:pPr>
        <w:pageBreakBefore w:val="0"/>
        <w:widowControl w:val="0"/>
        <w:kinsoku/>
        <w:wordWrap/>
        <w:overflowPunct/>
        <w:topLinePunct w:val="0"/>
        <w:bidi w:val="0"/>
        <w:snapToGrid/>
        <w:spacing w:after="120" w:line="480" w:lineRule="exact"/>
        <w:ind w:firstLine="480" w:firstLineChars="200"/>
        <w:textAlignment w:val="auto"/>
        <w:outlineLvl w:val="9"/>
        <w:rPr>
          <w:rFonts w:hint="eastAsia" w:ascii="宋体" w:hAnsi="宋体" w:eastAsia="宋体" w:cs="宋体"/>
          <w:sz w:val="24"/>
        </w:rPr>
      </w:pPr>
      <w:r>
        <w:rPr>
          <w:rFonts w:hint="eastAsia" w:ascii="宋体" w:hAnsi="宋体" w:eastAsia="宋体" w:cs="宋体"/>
          <w:sz w:val="24"/>
        </w:rPr>
        <w:t>1</w:t>
      </w:r>
      <w:bookmarkStart w:id="1371" w:name="_Toc304295574"/>
      <w:bookmarkStart w:id="1372" w:name="_Toc312678033"/>
      <w:bookmarkStart w:id="1373" w:name="_Toc297216207"/>
      <w:bookmarkStart w:id="1374" w:name="_Toc296347198"/>
      <w:bookmarkStart w:id="1375" w:name="_Toc297120499"/>
      <w:bookmarkStart w:id="1376" w:name="_Toc292559404"/>
      <w:bookmarkStart w:id="1377" w:name="_Toc296891239"/>
      <w:bookmarkStart w:id="1378" w:name="_Toc297048385"/>
      <w:bookmarkStart w:id="1379" w:name="_Toc296346700"/>
      <w:bookmarkStart w:id="1380" w:name="_Toc292559909"/>
      <w:bookmarkStart w:id="1381" w:name="_Toc296503199"/>
      <w:bookmarkStart w:id="1382" w:name="_Toc303539154"/>
      <w:bookmarkStart w:id="1383" w:name="_Toc312677507"/>
      <w:bookmarkStart w:id="1384" w:name="_Toc296891027"/>
      <w:bookmarkStart w:id="1385" w:name="_Toc300934997"/>
      <w:bookmarkStart w:id="1386" w:name="_Toc297123548"/>
      <w:bookmarkStart w:id="1387" w:name="_Toc296944538"/>
      <w:r>
        <w:rPr>
          <w:rFonts w:hint="eastAsia" w:ascii="宋体" w:hAnsi="宋体" w:eastAsia="宋体" w:cs="宋体"/>
          <w:sz w:val="24"/>
        </w:rPr>
        <w:t>0.7 暂估价</w:t>
      </w:r>
    </w:p>
    <w:bookmarkEnd w:id="1371"/>
    <w:bookmarkEnd w:id="1372"/>
    <w:bookmarkEnd w:id="1373"/>
    <w:bookmarkEnd w:id="1374"/>
    <w:bookmarkEnd w:id="1375"/>
    <w:bookmarkEnd w:id="1376"/>
    <w:bookmarkEnd w:id="1377"/>
    <w:bookmarkEnd w:id="1378"/>
    <w:bookmarkEnd w:id="1379"/>
    <w:bookmarkEnd w:id="1380"/>
    <w:bookmarkEnd w:id="1381"/>
    <w:bookmarkEnd w:id="1382"/>
    <w:bookmarkEnd w:id="1383"/>
    <w:bookmarkEnd w:id="1384"/>
    <w:bookmarkEnd w:id="1385"/>
    <w:bookmarkEnd w:id="1386"/>
    <w:bookmarkEnd w:id="1387"/>
    <w:p w14:paraId="057892C0">
      <w:pPr>
        <w:pageBreakBefore w:val="0"/>
        <w:widowControl w:val="0"/>
        <w:kinsoku/>
        <w:wordWrap/>
        <w:overflowPunct/>
        <w:topLinePunct w:val="0"/>
        <w:bidi w:val="0"/>
        <w:snapToGrid/>
        <w:spacing w:line="480" w:lineRule="exact"/>
        <w:ind w:firstLine="480" w:firstLineChars="200"/>
        <w:jc w:val="left"/>
        <w:textAlignment w:val="auto"/>
        <w:outlineLvl w:val="9"/>
        <w:rPr>
          <w:rFonts w:hint="eastAsia" w:ascii="宋体" w:hAnsi="宋体" w:eastAsia="宋体" w:cs="宋体"/>
          <w:sz w:val="24"/>
        </w:rPr>
      </w:pPr>
      <w:r>
        <w:rPr>
          <w:rFonts w:hint="eastAsia" w:ascii="宋体" w:hAnsi="宋体" w:eastAsia="宋体" w:cs="宋体"/>
          <w:kern w:val="0"/>
          <w:sz w:val="24"/>
        </w:rPr>
        <w:t>暂</w:t>
      </w:r>
      <w:bookmarkStart w:id="1388" w:name="_Toc312677508"/>
      <w:bookmarkStart w:id="1389" w:name="_Toc312678034"/>
      <w:bookmarkStart w:id="1390" w:name="_Toc318581176"/>
      <w:r>
        <w:rPr>
          <w:rFonts w:hint="eastAsia" w:ascii="宋体" w:hAnsi="宋体" w:eastAsia="宋体" w:cs="宋体"/>
          <w:kern w:val="0"/>
          <w:sz w:val="24"/>
        </w:rPr>
        <w:t>估价材料和工程设备的明细详见附件11：《</w:t>
      </w:r>
      <w:r>
        <w:rPr>
          <w:rFonts w:hint="eastAsia" w:ascii="宋体" w:hAnsi="宋体" w:eastAsia="宋体" w:cs="宋体"/>
          <w:sz w:val="24"/>
        </w:rPr>
        <w:t>暂估价一览表》</w:t>
      </w:r>
      <w:r>
        <w:rPr>
          <w:rFonts w:hint="eastAsia" w:ascii="宋体" w:hAnsi="宋体" w:eastAsia="宋体" w:cs="宋体"/>
          <w:kern w:val="0"/>
          <w:sz w:val="24"/>
        </w:rPr>
        <w:t>。</w:t>
      </w:r>
    </w:p>
    <w:bookmarkEnd w:id="1388"/>
    <w:bookmarkEnd w:id="1389"/>
    <w:bookmarkEnd w:id="1390"/>
    <w:p w14:paraId="596C755E">
      <w:pPr>
        <w:pageBreakBefore w:val="0"/>
        <w:widowControl w:val="0"/>
        <w:kinsoku/>
        <w:wordWrap/>
        <w:overflowPunct/>
        <w:topLinePunct w:val="0"/>
        <w:bidi w:val="0"/>
        <w:snapToGrid/>
        <w:spacing w:line="480" w:lineRule="exact"/>
        <w:ind w:firstLine="480" w:firstLineChars="200"/>
        <w:jc w:val="left"/>
        <w:textAlignment w:val="auto"/>
        <w:outlineLvl w:val="9"/>
        <w:rPr>
          <w:rFonts w:hint="eastAsia" w:ascii="宋体" w:hAnsi="宋体" w:eastAsia="宋体" w:cs="宋体"/>
          <w:sz w:val="24"/>
        </w:rPr>
      </w:pPr>
      <w:r>
        <w:rPr>
          <w:rFonts w:hint="eastAsia" w:ascii="宋体" w:hAnsi="宋体" w:eastAsia="宋体" w:cs="宋体"/>
          <w:sz w:val="24"/>
        </w:rPr>
        <w:t>暂估价项目的约定：</w:t>
      </w:r>
      <w:r>
        <w:rPr>
          <w:rFonts w:hint="eastAsia" w:ascii="宋体" w:hAnsi="宋体" w:eastAsia="宋体" w:cs="宋体"/>
          <w:sz w:val="24"/>
          <w:u w:val="single"/>
        </w:rPr>
        <w:t xml:space="preserve">                           </w:t>
      </w:r>
      <w:r>
        <w:rPr>
          <w:rFonts w:hint="eastAsia" w:ascii="宋体" w:hAnsi="宋体" w:eastAsia="宋体" w:cs="宋体"/>
          <w:sz w:val="24"/>
        </w:rPr>
        <w:t>。</w:t>
      </w:r>
    </w:p>
    <w:p w14:paraId="3345D61C">
      <w:pPr>
        <w:pageBreakBefore w:val="0"/>
        <w:widowControl w:val="0"/>
        <w:kinsoku/>
        <w:wordWrap/>
        <w:overflowPunct/>
        <w:topLinePunct w:val="0"/>
        <w:bidi w:val="0"/>
        <w:snapToGrid/>
        <w:spacing w:after="120" w:line="480" w:lineRule="exact"/>
        <w:ind w:firstLine="480" w:firstLineChars="200"/>
        <w:textAlignment w:val="auto"/>
        <w:outlineLvl w:val="9"/>
        <w:rPr>
          <w:rFonts w:hint="eastAsia" w:ascii="宋体" w:hAnsi="宋体" w:eastAsia="宋体" w:cs="宋体"/>
          <w:sz w:val="24"/>
        </w:rPr>
      </w:pPr>
      <w:r>
        <w:rPr>
          <w:rFonts w:hint="eastAsia" w:ascii="宋体" w:hAnsi="宋体" w:eastAsia="宋体" w:cs="宋体"/>
          <w:sz w:val="24"/>
        </w:rPr>
        <w:t>10.8 暂列金额</w:t>
      </w:r>
    </w:p>
    <w:p w14:paraId="5C2D76F0">
      <w:pPr>
        <w:pageBreakBefore w:val="0"/>
        <w:widowControl w:val="0"/>
        <w:kinsoku/>
        <w:wordWrap/>
        <w:overflowPunct/>
        <w:topLinePunct w:val="0"/>
        <w:autoSpaceDE w:val="0"/>
        <w:autoSpaceDN w:val="0"/>
        <w:bidi w:val="0"/>
        <w:adjustRightInd w:val="0"/>
        <w:snapToGrid/>
        <w:spacing w:line="480" w:lineRule="exact"/>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合同当事人关于暂列金额使用的约定：</w:t>
      </w:r>
      <w:r>
        <w:rPr>
          <w:rFonts w:hint="eastAsia" w:ascii="宋体" w:hAnsi="宋体" w:eastAsia="宋体" w:cs="宋体"/>
          <w:sz w:val="24"/>
          <w:u w:val="single"/>
        </w:rPr>
        <w:t xml:space="preserve">              </w:t>
      </w:r>
      <w:r>
        <w:rPr>
          <w:rFonts w:hint="eastAsia" w:ascii="宋体" w:hAnsi="宋体" w:eastAsia="宋体" w:cs="宋体"/>
          <w:kern w:val="0"/>
          <w:sz w:val="24"/>
        </w:rPr>
        <w:t>。</w:t>
      </w:r>
    </w:p>
    <w:p w14:paraId="62CA84D9">
      <w:pPr>
        <w:pageBreakBefore w:val="0"/>
        <w:widowControl w:val="0"/>
        <w:kinsoku/>
        <w:wordWrap/>
        <w:overflowPunct/>
        <w:topLinePunct w:val="0"/>
        <w:bidi w:val="0"/>
        <w:snapToGrid/>
        <w:spacing w:before="120" w:after="120" w:line="480" w:lineRule="exact"/>
        <w:textAlignment w:val="auto"/>
        <w:outlineLvl w:val="9"/>
        <w:rPr>
          <w:rFonts w:hint="eastAsia" w:ascii="宋体" w:hAnsi="宋体" w:eastAsia="宋体" w:cs="宋体"/>
          <w:b w:val="0"/>
          <w:sz w:val="24"/>
          <w:szCs w:val="24"/>
        </w:rPr>
      </w:pPr>
      <w:bookmarkStart w:id="1391" w:name="_Toc351203643"/>
      <w:r>
        <w:rPr>
          <w:rFonts w:hint="eastAsia" w:ascii="宋体" w:hAnsi="宋体" w:eastAsia="宋体" w:cs="宋体"/>
          <w:b w:val="0"/>
          <w:sz w:val="24"/>
          <w:szCs w:val="24"/>
        </w:rPr>
        <w:t>11. 价格调整</w:t>
      </w:r>
      <w:bookmarkEnd w:id="1391"/>
    </w:p>
    <w:p w14:paraId="7FDE56FF">
      <w:pPr>
        <w:pageBreakBefore w:val="0"/>
        <w:widowControl w:val="0"/>
        <w:kinsoku/>
        <w:wordWrap/>
        <w:overflowPunct/>
        <w:topLinePunct w:val="0"/>
        <w:bidi w:val="0"/>
        <w:snapToGrid/>
        <w:spacing w:after="120" w:line="480" w:lineRule="exact"/>
        <w:ind w:firstLine="480" w:firstLineChars="200"/>
        <w:textAlignment w:val="auto"/>
        <w:outlineLvl w:val="9"/>
        <w:rPr>
          <w:rFonts w:hint="eastAsia" w:ascii="宋体" w:hAnsi="宋体" w:eastAsia="宋体" w:cs="宋体"/>
          <w:sz w:val="24"/>
        </w:rPr>
      </w:pPr>
      <w:bookmarkStart w:id="1392" w:name="_Toc296944540"/>
      <w:bookmarkStart w:id="1393" w:name="_Toc296891241"/>
      <w:bookmarkStart w:id="1394" w:name="_Toc297120501"/>
      <w:bookmarkStart w:id="1395" w:name="_Toc296503201"/>
      <w:bookmarkStart w:id="1396" w:name="_Toc292559406"/>
      <w:bookmarkStart w:id="1397" w:name="_Toc312678039"/>
      <w:bookmarkStart w:id="1398" w:name="_Toc297048387"/>
      <w:bookmarkStart w:id="1399" w:name="_Toc296346702"/>
      <w:bookmarkStart w:id="1400" w:name="_Toc296891029"/>
      <w:bookmarkStart w:id="1401" w:name="_Toc304295577"/>
      <w:bookmarkStart w:id="1402" w:name="_Toc292559911"/>
      <w:bookmarkStart w:id="1403" w:name="_Toc303539157"/>
      <w:bookmarkStart w:id="1404" w:name="_Toc297216209"/>
      <w:bookmarkStart w:id="1405" w:name="_Toc296347200"/>
      <w:bookmarkStart w:id="1406" w:name="_Toc297123550"/>
      <w:bookmarkStart w:id="1407" w:name="_Toc300935000"/>
      <w:r>
        <w:rPr>
          <w:rFonts w:hint="eastAsia" w:ascii="宋体" w:hAnsi="宋体" w:eastAsia="宋体" w:cs="宋体"/>
          <w:sz w:val="24"/>
        </w:rPr>
        <w:t>11.1 市场价格波动引起的调整</w:t>
      </w:r>
    </w:p>
    <w:bookmarkEnd w:id="1392"/>
    <w:bookmarkEnd w:id="1393"/>
    <w:bookmarkEnd w:id="1394"/>
    <w:bookmarkEnd w:id="1395"/>
    <w:bookmarkEnd w:id="1396"/>
    <w:bookmarkEnd w:id="1397"/>
    <w:bookmarkEnd w:id="1398"/>
    <w:bookmarkEnd w:id="1399"/>
    <w:bookmarkEnd w:id="1400"/>
    <w:bookmarkEnd w:id="1401"/>
    <w:bookmarkEnd w:id="1402"/>
    <w:bookmarkEnd w:id="1403"/>
    <w:bookmarkEnd w:id="1404"/>
    <w:bookmarkEnd w:id="1405"/>
    <w:bookmarkEnd w:id="1406"/>
    <w:bookmarkEnd w:id="1407"/>
    <w:p w14:paraId="1D9E5CB6">
      <w:pPr>
        <w:pageBreakBefore w:val="0"/>
        <w:widowControl w:val="0"/>
        <w:kinsoku/>
        <w:wordWrap/>
        <w:overflowPunct/>
        <w:topLinePunct w:val="0"/>
        <w:bidi w:val="0"/>
        <w:snapToGrid/>
        <w:spacing w:line="480" w:lineRule="exact"/>
        <w:textAlignment w:val="auto"/>
        <w:outlineLvl w:val="9"/>
        <w:rPr>
          <w:rFonts w:hint="eastAsia" w:ascii="宋体" w:hAnsi="宋体" w:eastAsia="宋体" w:cs="宋体"/>
          <w:sz w:val="24"/>
          <w:u w:val="single"/>
        </w:rPr>
      </w:pPr>
      <w:r>
        <w:rPr>
          <w:rFonts w:hint="eastAsia" w:ascii="宋体" w:hAnsi="宋体" w:eastAsia="宋体" w:cs="宋体"/>
          <w:kern w:val="0"/>
          <w:sz w:val="24"/>
        </w:rPr>
        <w:t>市场价格波动是否调整合同价格的约定：1</w:t>
      </w:r>
      <w:r>
        <w:rPr>
          <w:rFonts w:hint="eastAsia" w:ascii="宋体" w:hAnsi="宋体" w:eastAsia="宋体" w:cs="宋体"/>
          <w:kern w:val="0"/>
          <w:sz w:val="24"/>
          <w:u w:val="single"/>
        </w:rPr>
        <w:t xml:space="preserve">. </w:t>
      </w:r>
      <w:r>
        <w:rPr>
          <w:rFonts w:hint="eastAsia" w:ascii="宋体" w:hAnsi="宋体" w:eastAsia="宋体" w:cs="宋体"/>
          <w:sz w:val="24"/>
          <w:u w:val="single"/>
        </w:rPr>
        <w:t xml:space="preserve">               </w:t>
      </w:r>
      <w:r>
        <w:rPr>
          <w:rFonts w:hint="eastAsia" w:ascii="宋体" w:hAnsi="宋体" w:eastAsia="宋体" w:cs="宋体"/>
          <w:sz w:val="24"/>
        </w:rPr>
        <w:t>。</w:t>
      </w:r>
    </w:p>
    <w:p w14:paraId="575F8471">
      <w:pPr>
        <w:pageBreakBefore w:val="0"/>
        <w:widowControl w:val="0"/>
        <w:kinsoku/>
        <w:wordWrap/>
        <w:overflowPunct/>
        <w:topLinePunct w:val="0"/>
        <w:bidi w:val="0"/>
        <w:snapToGrid/>
        <w:spacing w:line="480" w:lineRule="exact"/>
        <w:textAlignment w:val="auto"/>
        <w:outlineLvl w:val="9"/>
        <w:rPr>
          <w:rFonts w:hint="eastAsia" w:ascii="宋体" w:hAnsi="宋体" w:eastAsia="宋体" w:cs="宋体"/>
          <w:sz w:val="24"/>
        </w:rPr>
      </w:pPr>
      <w:r>
        <w:rPr>
          <w:rFonts w:hint="eastAsia" w:ascii="宋体" w:hAnsi="宋体" w:eastAsia="宋体" w:cs="宋体"/>
          <w:sz w:val="24"/>
        </w:rPr>
        <w:t>2.</w:t>
      </w:r>
      <w:r>
        <w:rPr>
          <w:rFonts w:hint="eastAsia" w:ascii="宋体" w:hAnsi="宋体" w:eastAsia="宋体" w:cs="宋体"/>
          <w:sz w:val="24"/>
          <w:u w:val="single"/>
        </w:rPr>
        <w:t xml:space="preserve">                              </w:t>
      </w:r>
      <w:r>
        <w:rPr>
          <w:rFonts w:hint="eastAsia" w:ascii="宋体" w:hAnsi="宋体" w:eastAsia="宋体" w:cs="宋体"/>
          <w:sz w:val="24"/>
        </w:rPr>
        <w:t>。</w:t>
      </w:r>
    </w:p>
    <w:p w14:paraId="57C65FA7">
      <w:pPr>
        <w:pageBreakBefore w:val="0"/>
        <w:widowControl w:val="0"/>
        <w:kinsoku/>
        <w:wordWrap/>
        <w:overflowPunct/>
        <w:topLinePunct w:val="0"/>
        <w:bidi w:val="0"/>
        <w:snapToGrid/>
        <w:spacing w:line="480" w:lineRule="exact"/>
        <w:ind w:firstLine="480" w:firstLineChars="200"/>
        <w:jc w:val="left"/>
        <w:textAlignment w:val="auto"/>
        <w:outlineLvl w:val="9"/>
        <w:rPr>
          <w:rFonts w:hint="eastAsia" w:ascii="宋体" w:hAnsi="宋体" w:eastAsia="宋体" w:cs="宋体"/>
          <w:sz w:val="24"/>
        </w:rPr>
      </w:pPr>
      <w:r>
        <w:rPr>
          <w:rFonts w:hint="eastAsia" w:ascii="宋体" w:hAnsi="宋体" w:eastAsia="宋体" w:cs="宋体"/>
          <w:sz w:val="24"/>
        </w:rPr>
        <w:t>因市场价格波动调整合同价格，采用以下第</w:t>
      </w:r>
      <w:r>
        <w:rPr>
          <w:rFonts w:hint="eastAsia" w:ascii="宋体" w:hAnsi="宋体" w:eastAsia="宋体" w:cs="宋体"/>
          <w:sz w:val="24"/>
          <w:u w:val="single"/>
        </w:rPr>
        <w:t xml:space="preserve">      </w:t>
      </w:r>
      <w:r>
        <w:rPr>
          <w:rFonts w:hint="eastAsia" w:ascii="宋体" w:hAnsi="宋体" w:eastAsia="宋体" w:cs="宋体"/>
          <w:sz w:val="24"/>
        </w:rPr>
        <w:t>种方式对合同价格进行调整：</w:t>
      </w:r>
    </w:p>
    <w:p w14:paraId="58C5390D">
      <w:pPr>
        <w:pageBreakBefore w:val="0"/>
        <w:widowControl w:val="0"/>
        <w:kinsoku/>
        <w:wordWrap/>
        <w:overflowPunct/>
        <w:topLinePunct w:val="0"/>
        <w:bidi w:val="0"/>
        <w:snapToGrid/>
        <w:spacing w:line="480" w:lineRule="exact"/>
        <w:ind w:firstLine="480" w:firstLineChars="200"/>
        <w:jc w:val="left"/>
        <w:textAlignment w:val="auto"/>
        <w:outlineLvl w:val="9"/>
        <w:rPr>
          <w:rFonts w:hint="eastAsia" w:ascii="宋体" w:hAnsi="宋体" w:eastAsia="宋体" w:cs="宋体"/>
          <w:sz w:val="24"/>
        </w:rPr>
      </w:pPr>
      <w:r>
        <w:rPr>
          <w:rFonts w:hint="eastAsia" w:ascii="宋体" w:hAnsi="宋体" w:eastAsia="宋体" w:cs="宋体"/>
          <w:sz w:val="24"/>
        </w:rPr>
        <w:t>第1种方式：采用价格指数进行价格调整。</w:t>
      </w:r>
    </w:p>
    <w:p w14:paraId="62477740">
      <w:pPr>
        <w:pageBreakBefore w:val="0"/>
        <w:widowControl w:val="0"/>
        <w:kinsoku/>
        <w:wordWrap/>
        <w:overflowPunct/>
        <w:topLinePunct w:val="0"/>
        <w:bidi w:val="0"/>
        <w:snapToGrid/>
        <w:spacing w:line="480" w:lineRule="exact"/>
        <w:ind w:firstLine="480" w:firstLineChars="200"/>
        <w:jc w:val="left"/>
        <w:textAlignment w:val="auto"/>
        <w:outlineLvl w:val="9"/>
        <w:rPr>
          <w:rFonts w:hint="eastAsia" w:ascii="宋体" w:hAnsi="宋体" w:eastAsia="宋体" w:cs="宋体"/>
          <w:sz w:val="24"/>
          <w:u w:val="single"/>
        </w:rPr>
      </w:pPr>
      <w:r>
        <w:rPr>
          <w:rFonts w:hint="eastAsia" w:ascii="宋体" w:hAnsi="宋体" w:eastAsia="宋体" w:cs="宋体"/>
          <w:sz w:val="24"/>
        </w:rPr>
        <w:t>关于各可调因子、定值和变值权重，以及基本价格指数及其来源的约定：</w:t>
      </w:r>
      <w:r>
        <w:rPr>
          <w:rFonts w:hint="eastAsia" w:ascii="宋体" w:hAnsi="宋体" w:eastAsia="宋体" w:cs="宋体"/>
          <w:sz w:val="24"/>
          <w:u w:val="single"/>
        </w:rPr>
        <w:t xml:space="preserve">       </w:t>
      </w:r>
      <w:r>
        <w:rPr>
          <w:rFonts w:hint="eastAsia" w:ascii="宋体" w:hAnsi="宋体" w:eastAsia="宋体" w:cs="宋体"/>
          <w:sz w:val="24"/>
        </w:rPr>
        <w:t xml:space="preserve">；  </w:t>
      </w:r>
    </w:p>
    <w:p w14:paraId="48973A68">
      <w:pPr>
        <w:pageBreakBefore w:val="0"/>
        <w:widowControl w:val="0"/>
        <w:kinsoku/>
        <w:wordWrap/>
        <w:overflowPunct/>
        <w:topLinePunct w:val="0"/>
        <w:bidi w:val="0"/>
        <w:snapToGrid/>
        <w:spacing w:line="480" w:lineRule="exact"/>
        <w:ind w:firstLine="480" w:firstLineChars="200"/>
        <w:jc w:val="left"/>
        <w:textAlignment w:val="auto"/>
        <w:outlineLvl w:val="9"/>
        <w:rPr>
          <w:rFonts w:hint="eastAsia" w:ascii="宋体" w:hAnsi="宋体" w:eastAsia="宋体" w:cs="宋体"/>
          <w:sz w:val="24"/>
        </w:rPr>
      </w:pPr>
      <w:r>
        <w:rPr>
          <w:rFonts w:hint="eastAsia" w:ascii="宋体" w:hAnsi="宋体" w:eastAsia="宋体" w:cs="宋体"/>
          <w:sz w:val="24"/>
        </w:rPr>
        <w:t>第2种方式：采用造价信息进行价格调整。</w:t>
      </w:r>
    </w:p>
    <w:p w14:paraId="52A81DD7">
      <w:pPr>
        <w:pageBreakBefore w:val="0"/>
        <w:widowControl w:val="0"/>
        <w:kinsoku/>
        <w:wordWrap/>
        <w:overflowPunct/>
        <w:topLinePunct w:val="0"/>
        <w:bidi w:val="0"/>
        <w:snapToGrid/>
        <w:spacing w:line="480" w:lineRule="exact"/>
        <w:ind w:firstLine="480" w:firstLineChars="200"/>
        <w:jc w:val="left"/>
        <w:textAlignment w:val="auto"/>
        <w:outlineLvl w:val="9"/>
        <w:rPr>
          <w:rFonts w:hint="eastAsia" w:ascii="宋体" w:hAnsi="宋体" w:eastAsia="宋体" w:cs="宋体"/>
          <w:sz w:val="24"/>
        </w:rPr>
      </w:pPr>
      <w:r>
        <w:rPr>
          <w:rFonts w:hint="eastAsia" w:ascii="宋体" w:hAnsi="宋体" w:eastAsia="宋体" w:cs="宋体"/>
          <w:sz w:val="24"/>
        </w:rPr>
        <w:t>（2）关于基准价格的约定：以招标控制价价格信息为基准，调整依据为：控制价中材料价格和施工期间平均信息价差价</w:t>
      </w:r>
    </w:p>
    <w:p w14:paraId="3216825B">
      <w:pPr>
        <w:pageBreakBefore w:val="0"/>
        <w:widowControl w:val="0"/>
        <w:kinsoku/>
        <w:wordWrap/>
        <w:overflowPunct/>
        <w:topLinePunct w:val="0"/>
        <w:bidi w:val="0"/>
        <w:snapToGrid/>
        <w:spacing w:line="480" w:lineRule="exact"/>
        <w:ind w:firstLine="480" w:firstLineChars="200"/>
        <w:textAlignment w:val="auto"/>
        <w:outlineLvl w:val="9"/>
        <w:rPr>
          <w:rFonts w:hint="eastAsia" w:ascii="宋体" w:hAnsi="宋体" w:eastAsia="宋体" w:cs="宋体"/>
          <w:sz w:val="24"/>
        </w:rPr>
      </w:pPr>
      <w:r>
        <w:rPr>
          <w:rFonts w:hint="eastAsia" w:ascii="宋体" w:hAnsi="宋体" w:eastAsia="宋体" w:cs="宋体"/>
          <w:sz w:val="24"/>
        </w:rPr>
        <w:t>专用合同条款①承包人在已标价工程量清单或预算书中载明的材料单价低于基准价格的：合同履行期间材料单价涨幅以基准价格为基础超过</w:t>
      </w:r>
      <w:r>
        <w:rPr>
          <w:rFonts w:hint="eastAsia" w:ascii="宋体" w:hAnsi="宋体" w:eastAsia="宋体" w:cs="宋体"/>
          <w:sz w:val="24"/>
          <w:u w:val="single"/>
        </w:rPr>
        <w:t>5%</w:t>
      </w:r>
      <w:r>
        <w:rPr>
          <w:rFonts w:hint="eastAsia" w:ascii="宋体" w:hAnsi="宋体" w:eastAsia="宋体" w:cs="宋体"/>
          <w:sz w:val="24"/>
        </w:rPr>
        <w:t>时，其超过部分据实调整。或材料单价跌幅以在已标价工程量清单或预算书中载明材料单价为基础超过</w:t>
      </w:r>
      <w:r>
        <w:rPr>
          <w:rFonts w:hint="eastAsia" w:ascii="宋体" w:hAnsi="宋体" w:eastAsia="宋体" w:cs="宋体"/>
          <w:sz w:val="24"/>
          <w:u w:val="single"/>
        </w:rPr>
        <w:t>5%</w:t>
      </w:r>
      <w:r>
        <w:rPr>
          <w:rFonts w:hint="eastAsia" w:ascii="宋体" w:hAnsi="宋体" w:eastAsia="宋体" w:cs="宋体"/>
          <w:sz w:val="24"/>
        </w:rPr>
        <w:t>时，其超过部分据实调整。</w:t>
      </w:r>
    </w:p>
    <w:p w14:paraId="4A17B9F3">
      <w:pPr>
        <w:pageBreakBefore w:val="0"/>
        <w:widowControl w:val="0"/>
        <w:kinsoku/>
        <w:wordWrap/>
        <w:overflowPunct/>
        <w:topLinePunct w:val="0"/>
        <w:bidi w:val="0"/>
        <w:snapToGrid/>
        <w:spacing w:line="480" w:lineRule="exact"/>
        <w:ind w:firstLine="480" w:firstLineChars="200"/>
        <w:jc w:val="left"/>
        <w:textAlignment w:val="auto"/>
        <w:outlineLvl w:val="9"/>
        <w:rPr>
          <w:rFonts w:hint="eastAsia" w:ascii="宋体" w:hAnsi="宋体" w:eastAsia="宋体" w:cs="宋体"/>
          <w:sz w:val="24"/>
        </w:rPr>
      </w:pPr>
      <w:r>
        <w:rPr>
          <w:rFonts w:hint="eastAsia" w:ascii="宋体" w:hAnsi="宋体" w:eastAsia="宋体" w:cs="宋体"/>
          <w:sz w:val="24"/>
        </w:rPr>
        <w:t>②承包人在已标价工程量清单或预算书中载明的材料单价高于基准价格的：专用合同条款合同履行期间材料单价跌幅以基准价格为基础超过</w:t>
      </w:r>
      <w:r>
        <w:rPr>
          <w:rFonts w:hint="eastAsia" w:ascii="宋体" w:hAnsi="宋体" w:eastAsia="宋体" w:cs="宋体"/>
          <w:sz w:val="24"/>
          <w:u w:val="single"/>
        </w:rPr>
        <w:t xml:space="preserve"> 5</w:t>
      </w:r>
      <w:r>
        <w:rPr>
          <w:rFonts w:hint="eastAsia" w:ascii="宋体" w:hAnsi="宋体" w:eastAsia="宋体" w:cs="宋体"/>
          <w:sz w:val="24"/>
        </w:rPr>
        <w:t>%时，材料单价涨幅以已标价工程量清单或预算书中载明材料单价为基础超过</w:t>
      </w:r>
      <w:r>
        <w:rPr>
          <w:rFonts w:hint="eastAsia" w:ascii="宋体" w:hAnsi="宋体" w:eastAsia="宋体" w:cs="宋体"/>
          <w:sz w:val="24"/>
          <w:u w:val="single"/>
        </w:rPr>
        <w:t xml:space="preserve"> 5</w:t>
      </w:r>
      <w:r>
        <w:rPr>
          <w:rFonts w:hint="eastAsia" w:ascii="宋体" w:hAnsi="宋体" w:eastAsia="宋体" w:cs="宋体"/>
          <w:sz w:val="24"/>
        </w:rPr>
        <w:t>%时，其超过部分据实调整。</w:t>
      </w:r>
    </w:p>
    <w:p w14:paraId="4875F958">
      <w:pPr>
        <w:pageBreakBefore w:val="0"/>
        <w:widowControl w:val="0"/>
        <w:kinsoku/>
        <w:wordWrap/>
        <w:overflowPunct/>
        <w:topLinePunct w:val="0"/>
        <w:bidi w:val="0"/>
        <w:snapToGrid/>
        <w:spacing w:line="480" w:lineRule="exact"/>
        <w:ind w:firstLine="645"/>
        <w:jc w:val="left"/>
        <w:textAlignment w:val="auto"/>
        <w:outlineLvl w:val="9"/>
        <w:rPr>
          <w:rFonts w:hint="eastAsia" w:ascii="宋体" w:hAnsi="宋体" w:eastAsia="宋体" w:cs="宋体"/>
          <w:sz w:val="24"/>
        </w:rPr>
      </w:pPr>
      <w:r>
        <w:rPr>
          <w:rFonts w:hint="eastAsia" w:ascii="宋体" w:hAnsi="宋体" w:eastAsia="宋体" w:cs="宋体"/>
          <w:sz w:val="24"/>
        </w:rPr>
        <w:t>③承包人在已标价工程量清单或预算书中载明的材料单价等于基准单价的：专用合同条款合同履行期间材料单价涨跌幅以基准单价为基础超过</w:t>
      </w:r>
      <w:r>
        <w:rPr>
          <w:rFonts w:hint="eastAsia" w:ascii="宋体" w:hAnsi="宋体" w:eastAsia="宋体" w:cs="宋体"/>
          <w:sz w:val="24"/>
          <w:u w:val="single"/>
        </w:rPr>
        <w:t xml:space="preserve"> ±5</w:t>
      </w:r>
      <w:r>
        <w:rPr>
          <w:rFonts w:hint="eastAsia" w:ascii="宋体" w:hAnsi="宋体" w:eastAsia="宋体" w:cs="宋体"/>
          <w:sz w:val="24"/>
        </w:rPr>
        <w:t>%时，其超过部分据实调整。</w:t>
      </w:r>
    </w:p>
    <w:p w14:paraId="2083F640">
      <w:pPr>
        <w:pageBreakBefore w:val="0"/>
        <w:widowControl w:val="0"/>
        <w:kinsoku/>
        <w:wordWrap/>
        <w:overflowPunct/>
        <w:topLinePunct w:val="0"/>
        <w:bidi w:val="0"/>
        <w:snapToGrid/>
        <w:spacing w:line="480" w:lineRule="exact"/>
        <w:jc w:val="left"/>
        <w:textAlignment w:val="auto"/>
        <w:outlineLvl w:val="9"/>
        <w:rPr>
          <w:rFonts w:hint="eastAsia" w:ascii="宋体" w:hAnsi="宋体" w:eastAsia="宋体" w:cs="宋体"/>
          <w:sz w:val="24"/>
        </w:rPr>
      </w:pPr>
      <w:r>
        <w:rPr>
          <w:rFonts w:hint="eastAsia" w:ascii="宋体" w:hAnsi="宋体" w:eastAsia="宋体" w:cs="宋体"/>
          <w:sz w:val="24"/>
        </w:rPr>
        <w:t xml:space="preserve">     第3种方式：其他价格调整方式：</w:t>
      </w:r>
      <w:r>
        <w:rPr>
          <w:rFonts w:hint="eastAsia" w:ascii="宋体" w:hAnsi="宋体" w:eastAsia="宋体" w:cs="宋体"/>
          <w:sz w:val="24"/>
          <w:u w:val="single"/>
        </w:rPr>
        <w:t xml:space="preserve">                    </w:t>
      </w:r>
      <w:r>
        <w:rPr>
          <w:rFonts w:hint="eastAsia" w:ascii="宋体" w:hAnsi="宋体" w:eastAsia="宋体" w:cs="宋体"/>
          <w:sz w:val="24"/>
        </w:rPr>
        <w:t>。</w:t>
      </w:r>
    </w:p>
    <w:bookmarkEnd w:id="1299"/>
    <w:bookmarkEnd w:id="1300"/>
    <w:bookmarkEnd w:id="1301"/>
    <w:bookmarkEnd w:id="1302"/>
    <w:bookmarkEnd w:id="1303"/>
    <w:bookmarkEnd w:id="1304"/>
    <w:p w14:paraId="5D9C1344">
      <w:pPr>
        <w:pageBreakBefore w:val="0"/>
        <w:widowControl w:val="0"/>
        <w:kinsoku/>
        <w:wordWrap/>
        <w:overflowPunct/>
        <w:topLinePunct w:val="0"/>
        <w:bidi w:val="0"/>
        <w:snapToGrid/>
        <w:spacing w:before="120" w:after="120" w:line="480" w:lineRule="exact"/>
        <w:textAlignment w:val="auto"/>
        <w:outlineLvl w:val="9"/>
        <w:rPr>
          <w:rFonts w:hint="eastAsia" w:ascii="宋体" w:hAnsi="宋体" w:eastAsia="宋体" w:cs="宋体"/>
          <w:b w:val="0"/>
          <w:sz w:val="24"/>
          <w:szCs w:val="24"/>
        </w:rPr>
      </w:pPr>
      <w:bookmarkStart w:id="1408" w:name="_Toc297048391"/>
      <w:bookmarkStart w:id="1409" w:name="_Toc296347204"/>
      <w:bookmarkStart w:id="1410" w:name="_Toc296891245"/>
      <w:bookmarkStart w:id="1411" w:name="_Toc296346706"/>
      <w:bookmarkStart w:id="1412" w:name="_Toc296891033"/>
      <w:bookmarkStart w:id="1413" w:name="_Toc296944544"/>
      <w:bookmarkStart w:id="1414" w:name="_Toc297120505"/>
      <w:bookmarkStart w:id="1415" w:name="_Toc296503205"/>
      <w:bookmarkStart w:id="1416" w:name="_Toc292559915"/>
      <w:bookmarkStart w:id="1417" w:name="_Toc292559410"/>
      <w:bookmarkStart w:id="1418" w:name="_Toc351203644"/>
      <w:bookmarkStart w:id="1419" w:name="_Toc297123552"/>
      <w:bookmarkStart w:id="1420" w:name="_Toc303539159"/>
      <w:bookmarkStart w:id="1421" w:name="_Toc304295579"/>
      <w:bookmarkStart w:id="1422" w:name="_Toc297216211"/>
      <w:bookmarkStart w:id="1423" w:name="_Toc300935002"/>
      <w:bookmarkStart w:id="1424" w:name="_Toc312678040"/>
      <w:r>
        <w:rPr>
          <w:rFonts w:hint="eastAsia" w:ascii="宋体" w:hAnsi="宋体" w:eastAsia="宋体" w:cs="宋体"/>
          <w:b w:val="0"/>
          <w:sz w:val="24"/>
          <w:szCs w:val="24"/>
        </w:rPr>
        <w:t xml:space="preserve">12. </w:t>
      </w:r>
      <w:bookmarkEnd w:id="1408"/>
      <w:bookmarkEnd w:id="1409"/>
      <w:bookmarkEnd w:id="1410"/>
      <w:bookmarkEnd w:id="1411"/>
      <w:bookmarkEnd w:id="1412"/>
      <w:bookmarkEnd w:id="1413"/>
      <w:bookmarkEnd w:id="1414"/>
      <w:bookmarkEnd w:id="1415"/>
      <w:bookmarkEnd w:id="1416"/>
      <w:bookmarkEnd w:id="1417"/>
      <w:r>
        <w:rPr>
          <w:rFonts w:hint="eastAsia" w:ascii="宋体" w:hAnsi="宋体" w:eastAsia="宋体" w:cs="宋体"/>
          <w:b w:val="0"/>
          <w:sz w:val="24"/>
          <w:szCs w:val="24"/>
        </w:rPr>
        <w:t>合同价格、计量与支付</w:t>
      </w:r>
      <w:bookmarkEnd w:id="1418"/>
    </w:p>
    <w:bookmarkEnd w:id="1419"/>
    <w:bookmarkEnd w:id="1420"/>
    <w:bookmarkEnd w:id="1421"/>
    <w:bookmarkEnd w:id="1422"/>
    <w:bookmarkEnd w:id="1423"/>
    <w:bookmarkEnd w:id="1424"/>
    <w:p w14:paraId="1B2F3766">
      <w:pPr>
        <w:pageBreakBefore w:val="0"/>
        <w:widowControl w:val="0"/>
        <w:kinsoku/>
        <w:wordWrap/>
        <w:overflowPunct/>
        <w:topLinePunct w:val="0"/>
        <w:bidi w:val="0"/>
        <w:snapToGrid/>
        <w:spacing w:after="120" w:line="480" w:lineRule="exact"/>
        <w:ind w:firstLine="480" w:firstLineChars="200"/>
        <w:textAlignment w:val="auto"/>
        <w:outlineLvl w:val="9"/>
        <w:rPr>
          <w:rFonts w:hint="eastAsia" w:ascii="宋体" w:hAnsi="宋体" w:eastAsia="宋体" w:cs="宋体"/>
          <w:sz w:val="24"/>
        </w:rPr>
      </w:pPr>
      <w:bookmarkStart w:id="1425" w:name="_Toc267251461"/>
      <w:bookmarkStart w:id="1426" w:name="_Toc292559411"/>
      <w:bookmarkStart w:id="1427" w:name="_Toc292559916"/>
      <w:bookmarkStart w:id="1428" w:name="_Toc296503206"/>
      <w:bookmarkStart w:id="1429" w:name="_Toc296891034"/>
      <w:bookmarkStart w:id="1430" w:name="_Toc297048392"/>
      <w:bookmarkStart w:id="1431" w:name="_Toc296944545"/>
      <w:bookmarkStart w:id="1432" w:name="_Toc297120506"/>
      <w:bookmarkStart w:id="1433" w:name="_Toc296347205"/>
      <w:bookmarkStart w:id="1434" w:name="_Toc296891246"/>
      <w:bookmarkStart w:id="1435" w:name="_Toc296346707"/>
      <w:bookmarkStart w:id="1436" w:name="_Toc297216212"/>
      <w:bookmarkStart w:id="1437" w:name="_Toc297123553"/>
      <w:bookmarkStart w:id="1438" w:name="_Toc303539160"/>
      <w:bookmarkStart w:id="1439" w:name="_Toc300935003"/>
      <w:bookmarkStart w:id="1440" w:name="_Toc312678041"/>
      <w:bookmarkStart w:id="1441" w:name="_Toc304295580"/>
      <w:r>
        <w:rPr>
          <w:rFonts w:hint="eastAsia" w:ascii="宋体" w:hAnsi="宋体" w:eastAsia="宋体" w:cs="宋体"/>
          <w:sz w:val="24"/>
        </w:rPr>
        <w:t>12.1 合</w:t>
      </w:r>
      <w:bookmarkEnd w:id="1425"/>
      <w:bookmarkEnd w:id="1426"/>
      <w:bookmarkEnd w:id="1427"/>
      <w:r>
        <w:rPr>
          <w:rFonts w:hint="eastAsia" w:ascii="宋体" w:hAnsi="宋体" w:eastAsia="宋体" w:cs="宋体"/>
          <w:sz w:val="24"/>
        </w:rPr>
        <w:t>同价</w:t>
      </w:r>
      <w:bookmarkEnd w:id="1428"/>
      <w:bookmarkEnd w:id="1429"/>
      <w:bookmarkEnd w:id="1430"/>
      <w:bookmarkEnd w:id="1431"/>
      <w:bookmarkEnd w:id="1432"/>
      <w:bookmarkEnd w:id="1433"/>
      <w:bookmarkEnd w:id="1434"/>
      <w:bookmarkEnd w:id="1435"/>
      <w:r>
        <w:rPr>
          <w:rFonts w:hint="eastAsia" w:ascii="宋体" w:hAnsi="宋体" w:eastAsia="宋体" w:cs="宋体"/>
          <w:sz w:val="24"/>
        </w:rPr>
        <w:t>格形式</w:t>
      </w:r>
    </w:p>
    <w:bookmarkEnd w:id="1436"/>
    <w:bookmarkEnd w:id="1437"/>
    <w:bookmarkEnd w:id="1438"/>
    <w:bookmarkEnd w:id="1439"/>
    <w:bookmarkEnd w:id="1440"/>
    <w:bookmarkEnd w:id="1441"/>
    <w:p w14:paraId="43403551">
      <w:pPr>
        <w:pageBreakBefore w:val="0"/>
        <w:widowControl w:val="0"/>
        <w:kinsoku/>
        <w:wordWrap/>
        <w:overflowPunct/>
        <w:topLinePunct w:val="0"/>
        <w:bidi w:val="0"/>
        <w:snapToGrid/>
        <w:spacing w:line="480" w:lineRule="exact"/>
        <w:ind w:firstLine="480" w:firstLineChars="200"/>
        <w:jc w:val="left"/>
        <w:textAlignment w:val="auto"/>
        <w:outlineLvl w:val="9"/>
        <w:rPr>
          <w:rFonts w:hint="eastAsia" w:ascii="宋体" w:hAnsi="宋体" w:eastAsia="宋体" w:cs="宋体"/>
          <w:sz w:val="24"/>
        </w:rPr>
      </w:pPr>
      <w:r>
        <w:rPr>
          <w:rFonts w:hint="eastAsia" w:ascii="宋体" w:hAnsi="宋体" w:eastAsia="宋体" w:cs="宋体"/>
          <w:sz w:val="24"/>
        </w:rPr>
        <w:t>1、单价合同。</w:t>
      </w:r>
    </w:p>
    <w:p w14:paraId="2E9ACFA1">
      <w:pPr>
        <w:pageBreakBefore w:val="0"/>
        <w:widowControl w:val="0"/>
        <w:kinsoku/>
        <w:wordWrap/>
        <w:overflowPunct/>
        <w:topLinePunct w:val="0"/>
        <w:bidi w:val="0"/>
        <w:snapToGrid/>
        <w:spacing w:line="480" w:lineRule="exact"/>
        <w:jc w:val="left"/>
        <w:textAlignment w:val="auto"/>
        <w:outlineLvl w:val="9"/>
        <w:rPr>
          <w:rFonts w:hint="eastAsia" w:ascii="宋体" w:hAnsi="宋体" w:eastAsia="宋体" w:cs="宋体"/>
          <w:sz w:val="24"/>
        </w:rPr>
      </w:pPr>
      <w:r>
        <w:rPr>
          <w:rFonts w:hint="eastAsia" w:ascii="宋体" w:hAnsi="宋体" w:eastAsia="宋体" w:cs="宋体"/>
          <w:sz w:val="24"/>
        </w:rPr>
        <w:t xml:space="preserve">   综合单价包含的风险范围：</w:t>
      </w:r>
      <w:r>
        <w:rPr>
          <w:rFonts w:hint="eastAsia" w:ascii="宋体" w:hAnsi="宋体" w:eastAsia="宋体" w:cs="宋体"/>
          <w:sz w:val="24"/>
          <w:u w:val="single"/>
        </w:rPr>
        <w:t xml:space="preserve">                           </w:t>
      </w:r>
      <w:r>
        <w:rPr>
          <w:rFonts w:hint="eastAsia" w:ascii="宋体" w:hAnsi="宋体" w:eastAsia="宋体" w:cs="宋体"/>
          <w:sz w:val="24"/>
        </w:rPr>
        <w:t>。</w:t>
      </w:r>
    </w:p>
    <w:p w14:paraId="601CF4BF">
      <w:pPr>
        <w:pageBreakBefore w:val="0"/>
        <w:widowControl w:val="0"/>
        <w:kinsoku/>
        <w:wordWrap/>
        <w:overflowPunct/>
        <w:topLinePunct w:val="0"/>
        <w:bidi w:val="0"/>
        <w:snapToGrid/>
        <w:spacing w:line="480" w:lineRule="exact"/>
        <w:jc w:val="left"/>
        <w:textAlignment w:val="auto"/>
        <w:outlineLvl w:val="9"/>
        <w:rPr>
          <w:rFonts w:hint="eastAsia" w:ascii="宋体" w:hAnsi="宋体" w:eastAsia="宋体" w:cs="宋体"/>
          <w:sz w:val="24"/>
        </w:rPr>
      </w:pPr>
      <w:r>
        <w:rPr>
          <w:rFonts w:hint="eastAsia" w:ascii="宋体" w:hAnsi="宋体" w:eastAsia="宋体" w:cs="宋体"/>
          <w:sz w:val="24"/>
        </w:rPr>
        <w:t xml:space="preserve">   风险费用的计算方法：</w:t>
      </w:r>
      <w:r>
        <w:rPr>
          <w:rFonts w:hint="eastAsia" w:ascii="宋体" w:hAnsi="宋体" w:eastAsia="宋体" w:cs="宋体"/>
          <w:sz w:val="24"/>
          <w:u w:val="single"/>
        </w:rPr>
        <w:t xml:space="preserve">                              </w:t>
      </w:r>
      <w:r>
        <w:rPr>
          <w:rFonts w:hint="eastAsia" w:ascii="宋体" w:hAnsi="宋体" w:eastAsia="宋体" w:cs="宋体"/>
          <w:sz w:val="24"/>
        </w:rPr>
        <w:t>。</w:t>
      </w:r>
    </w:p>
    <w:p w14:paraId="5A15D5ED">
      <w:pPr>
        <w:pageBreakBefore w:val="0"/>
        <w:widowControl w:val="0"/>
        <w:kinsoku/>
        <w:wordWrap/>
        <w:overflowPunct/>
        <w:topLinePunct w:val="0"/>
        <w:bidi w:val="0"/>
        <w:snapToGrid/>
        <w:spacing w:line="480" w:lineRule="exact"/>
        <w:ind w:firstLine="480" w:firstLineChars="200"/>
        <w:jc w:val="left"/>
        <w:textAlignment w:val="auto"/>
        <w:outlineLvl w:val="9"/>
        <w:rPr>
          <w:rFonts w:hint="eastAsia" w:ascii="宋体" w:hAnsi="宋体" w:eastAsia="宋体" w:cs="宋体"/>
          <w:sz w:val="24"/>
        </w:rPr>
      </w:pPr>
      <w:r>
        <w:rPr>
          <w:rFonts w:hint="eastAsia" w:ascii="宋体" w:hAnsi="宋体" w:eastAsia="宋体" w:cs="宋体"/>
          <w:sz w:val="24"/>
        </w:rPr>
        <w:t>风险范围以外合同价格的调整方法：</w:t>
      </w:r>
      <w:r>
        <w:rPr>
          <w:rFonts w:hint="eastAsia" w:ascii="宋体" w:hAnsi="宋体" w:eastAsia="宋体" w:cs="宋体"/>
          <w:sz w:val="24"/>
          <w:u w:val="single"/>
        </w:rPr>
        <w:t xml:space="preserve">                          </w:t>
      </w:r>
      <w:r>
        <w:rPr>
          <w:rFonts w:hint="eastAsia" w:ascii="宋体" w:hAnsi="宋体" w:eastAsia="宋体" w:cs="宋体"/>
          <w:sz w:val="24"/>
        </w:rPr>
        <w:t>。</w:t>
      </w:r>
    </w:p>
    <w:p w14:paraId="0F26DC8A">
      <w:pPr>
        <w:pageBreakBefore w:val="0"/>
        <w:widowControl w:val="0"/>
        <w:kinsoku/>
        <w:wordWrap/>
        <w:overflowPunct/>
        <w:topLinePunct w:val="0"/>
        <w:bidi w:val="0"/>
        <w:snapToGrid/>
        <w:spacing w:line="480" w:lineRule="exact"/>
        <w:ind w:firstLine="480" w:firstLineChars="200"/>
        <w:jc w:val="left"/>
        <w:textAlignment w:val="auto"/>
        <w:outlineLvl w:val="9"/>
        <w:rPr>
          <w:rFonts w:hint="eastAsia" w:ascii="宋体" w:hAnsi="宋体" w:eastAsia="宋体" w:cs="宋体"/>
          <w:sz w:val="24"/>
        </w:rPr>
      </w:pPr>
      <w:r>
        <w:rPr>
          <w:rFonts w:hint="eastAsia" w:ascii="宋体" w:hAnsi="宋体" w:eastAsia="宋体" w:cs="宋体"/>
          <w:sz w:val="24"/>
        </w:rPr>
        <w:t>2、总价合同。</w:t>
      </w:r>
    </w:p>
    <w:p w14:paraId="5171E5E4">
      <w:pPr>
        <w:pageBreakBefore w:val="0"/>
        <w:widowControl w:val="0"/>
        <w:kinsoku/>
        <w:wordWrap/>
        <w:overflowPunct/>
        <w:topLinePunct w:val="0"/>
        <w:bidi w:val="0"/>
        <w:snapToGrid/>
        <w:spacing w:line="480" w:lineRule="exact"/>
        <w:jc w:val="left"/>
        <w:textAlignment w:val="auto"/>
        <w:outlineLvl w:val="9"/>
        <w:rPr>
          <w:rFonts w:hint="eastAsia" w:ascii="宋体" w:hAnsi="宋体" w:eastAsia="宋体" w:cs="宋体"/>
          <w:sz w:val="24"/>
        </w:rPr>
      </w:pPr>
      <w:r>
        <w:rPr>
          <w:rFonts w:hint="eastAsia" w:ascii="宋体" w:hAnsi="宋体" w:eastAsia="宋体" w:cs="宋体"/>
          <w:sz w:val="24"/>
        </w:rPr>
        <w:t xml:space="preserve">   总价包含的风险范围：</w:t>
      </w:r>
      <w:r>
        <w:rPr>
          <w:rFonts w:hint="eastAsia" w:ascii="宋体" w:hAnsi="宋体" w:eastAsia="宋体" w:cs="宋体"/>
          <w:sz w:val="24"/>
          <w:u w:val="single"/>
        </w:rPr>
        <w:t xml:space="preserve">                                </w:t>
      </w:r>
      <w:r>
        <w:rPr>
          <w:rFonts w:hint="eastAsia" w:ascii="宋体" w:hAnsi="宋体" w:eastAsia="宋体" w:cs="宋体"/>
          <w:sz w:val="24"/>
        </w:rPr>
        <w:t>。</w:t>
      </w:r>
    </w:p>
    <w:p w14:paraId="1FC232EC">
      <w:pPr>
        <w:pageBreakBefore w:val="0"/>
        <w:widowControl w:val="0"/>
        <w:kinsoku/>
        <w:wordWrap/>
        <w:overflowPunct/>
        <w:topLinePunct w:val="0"/>
        <w:bidi w:val="0"/>
        <w:snapToGrid/>
        <w:spacing w:line="480" w:lineRule="exact"/>
        <w:jc w:val="left"/>
        <w:textAlignment w:val="auto"/>
        <w:outlineLvl w:val="9"/>
        <w:rPr>
          <w:rFonts w:hint="eastAsia" w:ascii="宋体" w:hAnsi="宋体" w:eastAsia="宋体" w:cs="宋体"/>
          <w:sz w:val="24"/>
        </w:rPr>
      </w:pPr>
      <w:r>
        <w:rPr>
          <w:rFonts w:hint="eastAsia" w:ascii="宋体" w:hAnsi="宋体" w:eastAsia="宋体" w:cs="宋体"/>
          <w:sz w:val="24"/>
        </w:rPr>
        <w:t xml:space="preserve">   风险费用的计算方法：</w:t>
      </w:r>
      <w:r>
        <w:rPr>
          <w:rFonts w:hint="eastAsia" w:ascii="宋体" w:hAnsi="宋体" w:eastAsia="宋体" w:cs="宋体"/>
          <w:sz w:val="24"/>
          <w:u w:val="single"/>
        </w:rPr>
        <w:t xml:space="preserve">                                </w:t>
      </w:r>
      <w:r>
        <w:rPr>
          <w:rFonts w:hint="eastAsia" w:ascii="宋体" w:hAnsi="宋体" w:eastAsia="宋体" w:cs="宋体"/>
          <w:sz w:val="24"/>
        </w:rPr>
        <w:t>。</w:t>
      </w:r>
    </w:p>
    <w:p w14:paraId="456B1974">
      <w:pPr>
        <w:pageBreakBefore w:val="0"/>
        <w:widowControl w:val="0"/>
        <w:kinsoku/>
        <w:wordWrap/>
        <w:overflowPunct/>
        <w:topLinePunct w:val="0"/>
        <w:bidi w:val="0"/>
        <w:snapToGrid/>
        <w:spacing w:line="480" w:lineRule="exact"/>
        <w:jc w:val="left"/>
        <w:textAlignment w:val="auto"/>
        <w:outlineLvl w:val="9"/>
        <w:rPr>
          <w:rFonts w:hint="eastAsia" w:ascii="宋体" w:hAnsi="宋体" w:eastAsia="宋体" w:cs="宋体"/>
          <w:sz w:val="24"/>
        </w:rPr>
      </w:pPr>
      <w:r>
        <w:rPr>
          <w:rFonts w:hint="eastAsia" w:ascii="宋体" w:hAnsi="宋体" w:eastAsia="宋体" w:cs="宋体"/>
          <w:sz w:val="24"/>
        </w:rPr>
        <w:t xml:space="preserve">   风险范围以外合同价格的调整方法：</w:t>
      </w:r>
      <w:r>
        <w:rPr>
          <w:rFonts w:hint="eastAsia" w:ascii="宋体" w:hAnsi="宋体" w:eastAsia="宋体" w:cs="宋体"/>
          <w:sz w:val="24"/>
          <w:u w:val="single"/>
        </w:rPr>
        <w:t xml:space="preserve">                   </w:t>
      </w:r>
      <w:r>
        <w:rPr>
          <w:rFonts w:hint="eastAsia" w:ascii="宋体" w:hAnsi="宋体" w:eastAsia="宋体" w:cs="宋体"/>
          <w:sz w:val="24"/>
        </w:rPr>
        <w:t>。</w:t>
      </w:r>
    </w:p>
    <w:p w14:paraId="264A30AC">
      <w:pPr>
        <w:pageBreakBefore w:val="0"/>
        <w:widowControl w:val="0"/>
        <w:kinsoku/>
        <w:wordWrap/>
        <w:overflowPunct/>
        <w:topLinePunct w:val="0"/>
        <w:bidi w:val="0"/>
        <w:snapToGrid/>
        <w:spacing w:line="480" w:lineRule="exact"/>
        <w:jc w:val="left"/>
        <w:textAlignment w:val="auto"/>
        <w:outlineLvl w:val="9"/>
        <w:rPr>
          <w:rFonts w:hint="eastAsia" w:ascii="宋体" w:hAnsi="宋体" w:eastAsia="宋体" w:cs="宋体"/>
          <w:sz w:val="24"/>
        </w:rPr>
      </w:pPr>
      <w:r>
        <w:rPr>
          <w:rFonts w:hint="eastAsia" w:ascii="宋体" w:hAnsi="宋体" w:eastAsia="宋体" w:cs="宋体"/>
          <w:sz w:val="24"/>
        </w:rPr>
        <w:t>3、其他价格方式：</w:t>
      </w:r>
      <w:r>
        <w:rPr>
          <w:rFonts w:hint="eastAsia" w:ascii="宋体" w:hAnsi="宋体" w:eastAsia="宋体" w:cs="宋体"/>
          <w:sz w:val="24"/>
          <w:u w:val="single"/>
        </w:rPr>
        <w:t xml:space="preserve">                                  </w:t>
      </w:r>
      <w:r>
        <w:rPr>
          <w:rFonts w:hint="eastAsia" w:ascii="宋体" w:hAnsi="宋体" w:eastAsia="宋体" w:cs="宋体"/>
          <w:sz w:val="24"/>
        </w:rPr>
        <w:t>。</w:t>
      </w:r>
    </w:p>
    <w:p w14:paraId="7985F26F">
      <w:pPr>
        <w:pageBreakBefore w:val="0"/>
        <w:widowControl w:val="0"/>
        <w:kinsoku/>
        <w:wordWrap/>
        <w:overflowPunct/>
        <w:topLinePunct w:val="0"/>
        <w:bidi w:val="0"/>
        <w:snapToGrid/>
        <w:spacing w:after="120" w:line="480" w:lineRule="exact"/>
        <w:ind w:firstLine="480" w:firstLineChars="200"/>
        <w:textAlignment w:val="auto"/>
        <w:outlineLvl w:val="9"/>
        <w:rPr>
          <w:rFonts w:hint="eastAsia" w:ascii="宋体" w:hAnsi="宋体" w:eastAsia="宋体" w:cs="宋体"/>
          <w:sz w:val="24"/>
        </w:rPr>
      </w:pPr>
      <w:bookmarkStart w:id="1442" w:name="_Toc297123554"/>
      <w:bookmarkStart w:id="1443" w:name="_Toc297216213"/>
      <w:bookmarkStart w:id="1444" w:name="_Toc300935004"/>
      <w:bookmarkStart w:id="1445" w:name="_Toc303539161"/>
      <w:bookmarkStart w:id="1446" w:name="_Toc312678042"/>
      <w:bookmarkStart w:id="1447" w:name="_Toc304295581"/>
      <w:bookmarkStart w:id="1448" w:name="_Toc296944546"/>
      <w:bookmarkStart w:id="1449" w:name="_Toc292559917"/>
      <w:bookmarkStart w:id="1450" w:name="_Toc292559412"/>
      <w:bookmarkStart w:id="1451" w:name="_Toc296891035"/>
      <w:bookmarkStart w:id="1452" w:name="_Toc296891247"/>
      <w:bookmarkStart w:id="1453" w:name="_Toc297120507"/>
      <w:bookmarkStart w:id="1454" w:name="_Toc297048393"/>
      <w:bookmarkStart w:id="1455" w:name="_Toc296346708"/>
      <w:bookmarkStart w:id="1456" w:name="_Toc296503207"/>
      <w:bookmarkStart w:id="1457" w:name="_Toc296347206"/>
      <w:r>
        <w:rPr>
          <w:rFonts w:hint="eastAsia" w:ascii="宋体" w:hAnsi="宋体" w:eastAsia="宋体" w:cs="宋体"/>
          <w:sz w:val="24"/>
        </w:rPr>
        <w:t>12.2 预付款</w:t>
      </w:r>
    </w:p>
    <w:bookmarkEnd w:id="1442"/>
    <w:bookmarkEnd w:id="1443"/>
    <w:bookmarkEnd w:id="1444"/>
    <w:bookmarkEnd w:id="1445"/>
    <w:bookmarkEnd w:id="1446"/>
    <w:bookmarkEnd w:id="1447"/>
    <w:p w14:paraId="652EE49C">
      <w:pPr>
        <w:pageBreakBefore w:val="0"/>
        <w:widowControl w:val="0"/>
        <w:kinsoku/>
        <w:wordWrap/>
        <w:overflowPunct/>
        <w:topLinePunct w:val="0"/>
        <w:bidi w:val="0"/>
        <w:snapToGrid/>
        <w:spacing w:line="480" w:lineRule="exact"/>
        <w:ind w:firstLine="480" w:firstLineChars="200"/>
        <w:jc w:val="left"/>
        <w:textAlignment w:val="auto"/>
        <w:outlineLvl w:val="9"/>
        <w:rPr>
          <w:rFonts w:hint="eastAsia" w:ascii="宋体" w:hAnsi="宋体" w:eastAsia="宋体" w:cs="宋体"/>
          <w:sz w:val="24"/>
        </w:rPr>
      </w:pPr>
      <w:r>
        <w:rPr>
          <w:rFonts w:hint="eastAsia" w:ascii="宋体" w:hAnsi="宋体" w:eastAsia="宋体" w:cs="宋体"/>
          <w:sz w:val="24"/>
        </w:rPr>
        <w:t>12.2.1 预付款的支付</w:t>
      </w:r>
    </w:p>
    <w:p w14:paraId="4A403BCE">
      <w:pPr>
        <w:pageBreakBefore w:val="0"/>
        <w:widowControl w:val="0"/>
        <w:kinsoku/>
        <w:wordWrap/>
        <w:overflowPunct/>
        <w:topLinePunct w:val="0"/>
        <w:bidi w:val="0"/>
        <w:snapToGrid/>
        <w:spacing w:line="480" w:lineRule="exact"/>
        <w:ind w:firstLine="480" w:firstLineChars="200"/>
        <w:jc w:val="left"/>
        <w:textAlignment w:val="auto"/>
        <w:outlineLvl w:val="9"/>
        <w:rPr>
          <w:rFonts w:hint="eastAsia" w:ascii="宋体" w:hAnsi="宋体" w:eastAsia="宋体" w:cs="宋体"/>
          <w:sz w:val="24"/>
        </w:rPr>
      </w:pPr>
      <w:r>
        <w:rPr>
          <w:rFonts w:hint="eastAsia" w:ascii="宋体" w:hAnsi="宋体" w:eastAsia="宋体" w:cs="宋体"/>
          <w:sz w:val="24"/>
        </w:rPr>
        <w:t>预付款支付比例或金额：</w:t>
      </w:r>
      <w:r>
        <w:rPr>
          <w:rFonts w:hint="eastAsia" w:ascii="宋体" w:hAnsi="宋体" w:eastAsia="宋体" w:cs="宋体"/>
          <w:sz w:val="24"/>
          <w:u w:val="single"/>
        </w:rPr>
        <w:t xml:space="preserve">                                 </w:t>
      </w:r>
      <w:r>
        <w:rPr>
          <w:rFonts w:hint="eastAsia" w:ascii="宋体" w:hAnsi="宋体" w:eastAsia="宋体" w:cs="宋体"/>
          <w:sz w:val="24"/>
        </w:rPr>
        <w:t>。</w:t>
      </w:r>
    </w:p>
    <w:p w14:paraId="33DA1DB0">
      <w:pPr>
        <w:pageBreakBefore w:val="0"/>
        <w:widowControl w:val="0"/>
        <w:kinsoku/>
        <w:wordWrap/>
        <w:overflowPunct/>
        <w:topLinePunct w:val="0"/>
        <w:bidi w:val="0"/>
        <w:snapToGrid/>
        <w:spacing w:line="480" w:lineRule="exact"/>
        <w:ind w:firstLine="480" w:firstLineChars="200"/>
        <w:jc w:val="left"/>
        <w:textAlignment w:val="auto"/>
        <w:outlineLvl w:val="9"/>
        <w:rPr>
          <w:rFonts w:hint="eastAsia" w:ascii="宋体" w:hAnsi="宋体" w:eastAsia="宋体" w:cs="宋体"/>
          <w:sz w:val="24"/>
        </w:rPr>
      </w:pPr>
      <w:r>
        <w:rPr>
          <w:rFonts w:hint="eastAsia" w:ascii="宋体" w:hAnsi="宋体" w:eastAsia="宋体" w:cs="宋体"/>
          <w:sz w:val="24"/>
        </w:rPr>
        <w:t>预付款支付期限：</w:t>
      </w:r>
      <w:r>
        <w:rPr>
          <w:rFonts w:hint="eastAsia" w:ascii="宋体" w:hAnsi="宋体" w:eastAsia="宋体" w:cs="宋体"/>
          <w:sz w:val="24"/>
          <w:u w:val="single"/>
        </w:rPr>
        <w:t xml:space="preserve">                                       </w:t>
      </w:r>
      <w:r>
        <w:rPr>
          <w:rFonts w:hint="eastAsia" w:ascii="宋体" w:hAnsi="宋体" w:eastAsia="宋体" w:cs="宋体"/>
          <w:sz w:val="24"/>
        </w:rPr>
        <w:t>。</w:t>
      </w:r>
    </w:p>
    <w:p w14:paraId="27CDF5E1">
      <w:pPr>
        <w:pageBreakBefore w:val="0"/>
        <w:widowControl w:val="0"/>
        <w:kinsoku/>
        <w:wordWrap/>
        <w:overflowPunct/>
        <w:topLinePunct w:val="0"/>
        <w:bidi w:val="0"/>
        <w:snapToGrid/>
        <w:spacing w:line="480" w:lineRule="exact"/>
        <w:ind w:firstLine="480" w:firstLineChars="200"/>
        <w:jc w:val="left"/>
        <w:textAlignment w:val="auto"/>
        <w:outlineLvl w:val="9"/>
        <w:rPr>
          <w:rFonts w:hint="eastAsia" w:ascii="宋体" w:hAnsi="宋体" w:eastAsia="宋体" w:cs="宋体"/>
          <w:sz w:val="24"/>
        </w:rPr>
      </w:pPr>
      <w:r>
        <w:rPr>
          <w:rFonts w:hint="eastAsia" w:ascii="宋体" w:hAnsi="宋体" w:eastAsia="宋体" w:cs="宋体"/>
          <w:sz w:val="24"/>
        </w:rPr>
        <w:t>预付款扣回的方式：</w:t>
      </w:r>
      <w:r>
        <w:rPr>
          <w:rFonts w:hint="eastAsia" w:ascii="宋体" w:hAnsi="宋体" w:eastAsia="宋体" w:cs="宋体"/>
          <w:sz w:val="24"/>
          <w:u w:val="single"/>
        </w:rPr>
        <w:t xml:space="preserve">                                    </w:t>
      </w:r>
      <w:r>
        <w:rPr>
          <w:rFonts w:hint="eastAsia" w:ascii="宋体" w:hAnsi="宋体" w:eastAsia="宋体" w:cs="宋体"/>
          <w:sz w:val="24"/>
        </w:rPr>
        <w:t>。</w:t>
      </w:r>
    </w:p>
    <w:p w14:paraId="34D42B72">
      <w:pPr>
        <w:pageBreakBefore w:val="0"/>
        <w:widowControl w:val="0"/>
        <w:kinsoku/>
        <w:wordWrap/>
        <w:overflowPunct/>
        <w:topLinePunct w:val="0"/>
        <w:bidi w:val="0"/>
        <w:snapToGrid/>
        <w:spacing w:line="480" w:lineRule="exact"/>
        <w:ind w:firstLine="480" w:firstLineChars="200"/>
        <w:jc w:val="left"/>
        <w:textAlignment w:val="auto"/>
        <w:outlineLvl w:val="9"/>
        <w:rPr>
          <w:rFonts w:hint="eastAsia" w:ascii="宋体" w:hAnsi="宋体" w:eastAsia="宋体" w:cs="宋体"/>
          <w:sz w:val="24"/>
        </w:rPr>
      </w:pPr>
      <w:r>
        <w:rPr>
          <w:rFonts w:hint="eastAsia" w:ascii="宋体" w:hAnsi="宋体" w:eastAsia="宋体" w:cs="宋体"/>
          <w:sz w:val="24"/>
        </w:rPr>
        <w:t>12.2.2 预付款担保</w:t>
      </w:r>
    </w:p>
    <w:p w14:paraId="05D6B648">
      <w:pPr>
        <w:pageBreakBefore w:val="0"/>
        <w:widowControl w:val="0"/>
        <w:kinsoku/>
        <w:wordWrap/>
        <w:overflowPunct/>
        <w:topLinePunct w:val="0"/>
        <w:bidi w:val="0"/>
        <w:snapToGrid/>
        <w:spacing w:line="480" w:lineRule="exact"/>
        <w:ind w:firstLine="480" w:firstLineChars="200"/>
        <w:jc w:val="left"/>
        <w:textAlignment w:val="auto"/>
        <w:outlineLvl w:val="9"/>
        <w:rPr>
          <w:rFonts w:hint="eastAsia" w:ascii="宋体" w:hAnsi="宋体" w:eastAsia="宋体" w:cs="宋体"/>
          <w:sz w:val="24"/>
        </w:rPr>
      </w:pPr>
      <w:r>
        <w:rPr>
          <w:rFonts w:hint="eastAsia" w:ascii="宋体" w:hAnsi="宋体" w:eastAsia="宋体" w:cs="宋体"/>
          <w:sz w:val="24"/>
        </w:rPr>
        <w:t>承包人提交预付款担保的期限：</w:t>
      </w:r>
      <w:r>
        <w:rPr>
          <w:rFonts w:hint="eastAsia" w:ascii="宋体" w:hAnsi="宋体" w:eastAsia="宋体" w:cs="宋体"/>
          <w:sz w:val="24"/>
          <w:u w:val="single"/>
        </w:rPr>
        <w:t xml:space="preserve">                          </w:t>
      </w:r>
      <w:r>
        <w:rPr>
          <w:rFonts w:hint="eastAsia" w:ascii="宋体" w:hAnsi="宋体" w:eastAsia="宋体" w:cs="宋体"/>
          <w:sz w:val="24"/>
        </w:rPr>
        <w:t>。</w:t>
      </w:r>
    </w:p>
    <w:p w14:paraId="741F8574">
      <w:pPr>
        <w:pageBreakBefore w:val="0"/>
        <w:widowControl w:val="0"/>
        <w:kinsoku/>
        <w:wordWrap/>
        <w:overflowPunct/>
        <w:topLinePunct w:val="0"/>
        <w:bidi w:val="0"/>
        <w:snapToGrid/>
        <w:spacing w:line="480" w:lineRule="exact"/>
        <w:ind w:firstLine="480" w:firstLineChars="200"/>
        <w:jc w:val="left"/>
        <w:textAlignment w:val="auto"/>
        <w:outlineLvl w:val="9"/>
        <w:rPr>
          <w:rFonts w:hint="eastAsia" w:ascii="宋体" w:hAnsi="宋体" w:eastAsia="宋体" w:cs="宋体"/>
          <w:sz w:val="24"/>
        </w:rPr>
      </w:pPr>
      <w:r>
        <w:rPr>
          <w:rFonts w:hint="eastAsia" w:ascii="宋体" w:hAnsi="宋体" w:eastAsia="宋体" w:cs="宋体"/>
          <w:sz w:val="24"/>
        </w:rPr>
        <w:t>预付款担保的形式为：</w:t>
      </w:r>
      <w:r>
        <w:rPr>
          <w:rFonts w:hint="eastAsia" w:ascii="宋体" w:hAnsi="宋体" w:eastAsia="宋体" w:cs="宋体"/>
          <w:sz w:val="24"/>
          <w:u w:val="single"/>
        </w:rPr>
        <w:t xml:space="preserve">                                  </w:t>
      </w:r>
      <w:r>
        <w:rPr>
          <w:rFonts w:hint="eastAsia" w:ascii="宋体" w:hAnsi="宋体" w:eastAsia="宋体" w:cs="宋体"/>
          <w:sz w:val="24"/>
        </w:rPr>
        <w:t>。</w:t>
      </w:r>
    </w:p>
    <w:bookmarkEnd w:id="1448"/>
    <w:bookmarkEnd w:id="1449"/>
    <w:bookmarkEnd w:id="1450"/>
    <w:bookmarkEnd w:id="1451"/>
    <w:bookmarkEnd w:id="1452"/>
    <w:bookmarkEnd w:id="1453"/>
    <w:bookmarkEnd w:id="1454"/>
    <w:bookmarkEnd w:id="1455"/>
    <w:bookmarkEnd w:id="1456"/>
    <w:bookmarkEnd w:id="1457"/>
    <w:p w14:paraId="6DE45EA7">
      <w:pPr>
        <w:pageBreakBefore w:val="0"/>
        <w:widowControl w:val="0"/>
        <w:kinsoku/>
        <w:wordWrap/>
        <w:overflowPunct/>
        <w:topLinePunct w:val="0"/>
        <w:bidi w:val="0"/>
        <w:snapToGrid/>
        <w:spacing w:after="120" w:line="480" w:lineRule="exact"/>
        <w:ind w:firstLine="480" w:firstLineChars="200"/>
        <w:textAlignment w:val="auto"/>
        <w:outlineLvl w:val="9"/>
        <w:rPr>
          <w:rFonts w:hint="eastAsia" w:ascii="宋体" w:hAnsi="宋体" w:eastAsia="宋体" w:cs="宋体"/>
          <w:sz w:val="24"/>
        </w:rPr>
      </w:pPr>
      <w:r>
        <w:rPr>
          <w:rFonts w:hint="eastAsia" w:ascii="宋体" w:hAnsi="宋体" w:eastAsia="宋体" w:cs="宋体"/>
          <w:sz w:val="24"/>
        </w:rPr>
        <w:t>12.3 计量</w:t>
      </w:r>
    </w:p>
    <w:p w14:paraId="0897D10C">
      <w:pPr>
        <w:pageBreakBefore w:val="0"/>
        <w:widowControl w:val="0"/>
        <w:kinsoku/>
        <w:wordWrap/>
        <w:overflowPunct/>
        <w:topLinePunct w:val="0"/>
        <w:bidi w:val="0"/>
        <w:snapToGrid/>
        <w:spacing w:line="480" w:lineRule="exact"/>
        <w:ind w:firstLine="480" w:firstLineChars="200"/>
        <w:jc w:val="left"/>
        <w:textAlignment w:val="auto"/>
        <w:outlineLvl w:val="9"/>
        <w:rPr>
          <w:rFonts w:hint="eastAsia" w:ascii="宋体" w:hAnsi="宋体" w:eastAsia="宋体" w:cs="宋体"/>
          <w:sz w:val="24"/>
        </w:rPr>
      </w:pPr>
      <w:r>
        <w:rPr>
          <w:rFonts w:hint="eastAsia" w:ascii="宋体" w:hAnsi="宋体" w:eastAsia="宋体" w:cs="宋体"/>
          <w:sz w:val="24"/>
        </w:rPr>
        <w:t>12.3.1 计量原则</w:t>
      </w:r>
    </w:p>
    <w:p w14:paraId="3D50E904">
      <w:pPr>
        <w:pageBreakBefore w:val="0"/>
        <w:widowControl w:val="0"/>
        <w:kinsoku/>
        <w:wordWrap/>
        <w:overflowPunct/>
        <w:topLinePunct w:val="0"/>
        <w:bidi w:val="0"/>
        <w:snapToGrid/>
        <w:spacing w:line="480" w:lineRule="exact"/>
        <w:ind w:firstLine="480" w:firstLineChars="200"/>
        <w:jc w:val="left"/>
        <w:textAlignment w:val="auto"/>
        <w:outlineLvl w:val="9"/>
        <w:rPr>
          <w:rFonts w:hint="eastAsia" w:ascii="宋体" w:hAnsi="宋体" w:eastAsia="宋体" w:cs="宋体"/>
          <w:sz w:val="24"/>
        </w:rPr>
      </w:pPr>
      <w:r>
        <w:rPr>
          <w:rFonts w:hint="eastAsia" w:ascii="宋体" w:hAnsi="宋体" w:eastAsia="宋体" w:cs="宋体"/>
          <w:sz w:val="24"/>
        </w:rPr>
        <w:t>工程量计算规则：</w:t>
      </w:r>
      <w:r>
        <w:rPr>
          <w:rFonts w:hint="eastAsia" w:ascii="宋体" w:hAnsi="宋体" w:eastAsia="宋体" w:cs="宋体"/>
          <w:sz w:val="24"/>
          <w:u w:val="single"/>
        </w:rPr>
        <w:t xml:space="preserve">                          </w:t>
      </w:r>
      <w:r>
        <w:rPr>
          <w:rFonts w:hint="eastAsia" w:ascii="宋体" w:hAnsi="宋体" w:eastAsia="宋体" w:cs="宋体"/>
          <w:sz w:val="24"/>
        </w:rPr>
        <w:t>。</w:t>
      </w:r>
    </w:p>
    <w:p w14:paraId="36EF2DBD">
      <w:pPr>
        <w:pageBreakBefore w:val="0"/>
        <w:widowControl w:val="0"/>
        <w:kinsoku/>
        <w:wordWrap/>
        <w:overflowPunct/>
        <w:topLinePunct w:val="0"/>
        <w:bidi w:val="0"/>
        <w:snapToGrid/>
        <w:spacing w:line="480" w:lineRule="exact"/>
        <w:ind w:firstLine="480" w:firstLineChars="200"/>
        <w:jc w:val="left"/>
        <w:textAlignment w:val="auto"/>
        <w:outlineLvl w:val="9"/>
        <w:rPr>
          <w:rFonts w:hint="eastAsia" w:ascii="宋体" w:hAnsi="宋体" w:eastAsia="宋体" w:cs="宋体"/>
          <w:sz w:val="24"/>
        </w:rPr>
      </w:pPr>
      <w:r>
        <w:rPr>
          <w:rFonts w:hint="eastAsia" w:ascii="宋体" w:hAnsi="宋体" w:eastAsia="宋体" w:cs="宋体"/>
          <w:sz w:val="24"/>
        </w:rPr>
        <w:t>12.3.2 计量周期</w:t>
      </w:r>
    </w:p>
    <w:p w14:paraId="50F4FD3D">
      <w:pPr>
        <w:pageBreakBefore w:val="0"/>
        <w:widowControl w:val="0"/>
        <w:kinsoku/>
        <w:wordWrap/>
        <w:overflowPunct/>
        <w:topLinePunct w:val="0"/>
        <w:bidi w:val="0"/>
        <w:snapToGrid/>
        <w:spacing w:line="480" w:lineRule="exact"/>
        <w:ind w:firstLine="480" w:firstLineChars="200"/>
        <w:jc w:val="left"/>
        <w:textAlignment w:val="auto"/>
        <w:outlineLvl w:val="9"/>
        <w:rPr>
          <w:rFonts w:hint="eastAsia" w:ascii="宋体" w:hAnsi="宋体" w:eastAsia="宋体" w:cs="宋体"/>
          <w:sz w:val="24"/>
        </w:rPr>
      </w:pPr>
      <w:r>
        <w:rPr>
          <w:rFonts w:hint="eastAsia" w:ascii="宋体" w:hAnsi="宋体" w:eastAsia="宋体" w:cs="宋体"/>
          <w:sz w:val="24"/>
        </w:rPr>
        <w:t>关于计量周期的约定：</w:t>
      </w:r>
      <w:r>
        <w:rPr>
          <w:rFonts w:hint="eastAsia" w:ascii="宋体" w:hAnsi="宋体" w:eastAsia="宋体" w:cs="宋体"/>
          <w:sz w:val="24"/>
          <w:u w:val="single"/>
        </w:rPr>
        <w:t xml:space="preserve">                             </w:t>
      </w:r>
      <w:r>
        <w:rPr>
          <w:rFonts w:hint="eastAsia" w:ascii="宋体" w:hAnsi="宋体" w:eastAsia="宋体" w:cs="宋体"/>
          <w:sz w:val="24"/>
        </w:rPr>
        <w:t>。</w:t>
      </w:r>
    </w:p>
    <w:p w14:paraId="071F734F">
      <w:pPr>
        <w:pageBreakBefore w:val="0"/>
        <w:widowControl w:val="0"/>
        <w:kinsoku/>
        <w:wordWrap/>
        <w:overflowPunct/>
        <w:topLinePunct w:val="0"/>
        <w:bidi w:val="0"/>
        <w:snapToGrid/>
        <w:spacing w:line="480" w:lineRule="exact"/>
        <w:ind w:firstLine="480" w:firstLineChars="200"/>
        <w:jc w:val="left"/>
        <w:textAlignment w:val="auto"/>
        <w:outlineLvl w:val="9"/>
        <w:rPr>
          <w:rFonts w:hint="eastAsia" w:ascii="宋体" w:hAnsi="宋体" w:eastAsia="宋体" w:cs="宋体"/>
          <w:sz w:val="24"/>
        </w:rPr>
      </w:pPr>
      <w:r>
        <w:rPr>
          <w:rFonts w:hint="eastAsia" w:ascii="宋体" w:hAnsi="宋体" w:eastAsia="宋体" w:cs="宋体"/>
          <w:sz w:val="24"/>
        </w:rPr>
        <w:t>12.3.3 单价合同的计量</w:t>
      </w:r>
    </w:p>
    <w:p w14:paraId="139BEA6A">
      <w:pPr>
        <w:pageBreakBefore w:val="0"/>
        <w:widowControl w:val="0"/>
        <w:kinsoku/>
        <w:wordWrap/>
        <w:overflowPunct/>
        <w:topLinePunct w:val="0"/>
        <w:bidi w:val="0"/>
        <w:snapToGrid/>
        <w:spacing w:line="480" w:lineRule="exact"/>
        <w:ind w:firstLine="480" w:firstLineChars="200"/>
        <w:jc w:val="left"/>
        <w:textAlignment w:val="auto"/>
        <w:outlineLvl w:val="9"/>
        <w:rPr>
          <w:rFonts w:hint="eastAsia" w:ascii="宋体" w:hAnsi="宋体" w:eastAsia="宋体" w:cs="宋体"/>
          <w:sz w:val="24"/>
        </w:rPr>
      </w:pPr>
      <w:r>
        <w:rPr>
          <w:rFonts w:hint="eastAsia" w:ascii="宋体" w:hAnsi="宋体" w:eastAsia="宋体" w:cs="宋体"/>
          <w:sz w:val="24"/>
        </w:rPr>
        <w:t>关于单价合同计量的约定：</w:t>
      </w:r>
      <w:r>
        <w:rPr>
          <w:rFonts w:hint="eastAsia" w:ascii="宋体" w:hAnsi="宋体" w:eastAsia="宋体" w:cs="宋体"/>
          <w:sz w:val="24"/>
          <w:u w:val="single"/>
        </w:rPr>
        <w:t xml:space="preserve">                  </w:t>
      </w:r>
      <w:r>
        <w:rPr>
          <w:rFonts w:hint="eastAsia" w:ascii="宋体" w:hAnsi="宋体" w:eastAsia="宋体" w:cs="宋体"/>
          <w:sz w:val="24"/>
        </w:rPr>
        <w:t>。</w:t>
      </w:r>
    </w:p>
    <w:p w14:paraId="0DCB8D43">
      <w:pPr>
        <w:pageBreakBefore w:val="0"/>
        <w:widowControl w:val="0"/>
        <w:kinsoku/>
        <w:wordWrap/>
        <w:overflowPunct/>
        <w:topLinePunct w:val="0"/>
        <w:bidi w:val="0"/>
        <w:snapToGrid/>
        <w:spacing w:line="480" w:lineRule="exact"/>
        <w:ind w:firstLine="480" w:firstLineChars="200"/>
        <w:jc w:val="left"/>
        <w:textAlignment w:val="auto"/>
        <w:outlineLvl w:val="9"/>
        <w:rPr>
          <w:rFonts w:hint="eastAsia" w:ascii="宋体" w:hAnsi="宋体" w:eastAsia="宋体" w:cs="宋体"/>
          <w:sz w:val="24"/>
        </w:rPr>
      </w:pPr>
      <w:r>
        <w:rPr>
          <w:rFonts w:hint="eastAsia" w:ascii="宋体" w:hAnsi="宋体" w:eastAsia="宋体" w:cs="宋体"/>
          <w:sz w:val="24"/>
        </w:rPr>
        <w:t>12.3.4 总价合同的计量</w:t>
      </w:r>
    </w:p>
    <w:p w14:paraId="783EF83C">
      <w:pPr>
        <w:pageBreakBefore w:val="0"/>
        <w:widowControl w:val="0"/>
        <w:kinsoku/>
        <w:wordWrap/>
        <w:overflowPunct/>
        <w:topLinePunct w:val="0"/>
        <w:bidi w:val="0"/>
        <w:snapToGrid/>
        <w:spacing w:line="480" w:lineRule="exact"/>
        <w:ind w:firstLine="480" w:firstLineChars="200"/>
        <w:jc w:val="left"/>
        <w:textAlignment w:val="auto"/>
        <w:outlineLvl w:val="9"/>
        <w:rPr>
          <w:rFonts w:hint="eastAsia" w:ascii="宋体" w:hAnsi="宋体" w:eastAsia="宋体" w:cs="宋体"/>
          <w:sz w:val="24"/>
        </w:rPr>
      </w:pPr>
      <w:r>
        <w:rPr>
          <w:rFonts w:hint="eastAsia" w:ascii="宋体" w:hAnsi="宋体" w:eastAsia="宋体" w:cs="宋体"/>
          <w:sz w:val="24"/>
        </w:rPr>
        <w:t>关于总价合同计量的约定：</w:t>
      </w:r>
      <w:r>
        <w:rPr>
          <w:rFonts w:hint="eastAsia" w:ascii="宋体" w:hAnsi="宋体" w:eastAsia="宋体" w:cs="宋体"/>
          <w:sz w:val="24"/>
          <w:u w:val="single"/>
        </w:rPr>
        <w:t xml:space="preserve">                           </w:t>
      </w:r>
      <w:r>
        <w:rPr>
          <w:rFonts w:hint="eastAsia" w:ascii="宋体" w:hAnsi="宋体" w:eastAsia="宋体" w:cs="宋体"/>
          <w:sz w:val="24"/>
        </w:rPr>
        <w:t>。</w:t>
      </w:r>
    </w:p>
    <w:p w14:paraId="4FF96820">
      <w:pPr>
        <w:pageBreakBefore w:val="0"/>
        <w:widowControl w:val="0"/>
        <w:kinsoku/>
        <w:wordWrap/>
        <w:overflowPunct/>
        <w:topLinePunct w:val="0"/>
        <w:bidi w:val="0"/>
        <w:snapToGrid/>
        <w:spacing w:line="480" w:lineRule="exact"/>
        <w:ind w:firstLine="480" w:firstLineChars="200"/>
        <w:jc w:val="left"/>
        <w:textAlignment w:val="auto"/>
        <w:outlineLvl w:val="9"/>
        <w:rPr>
          <w:rFonts w:hint="eastAsia" w:ascii="宋体" w:hAnsi="宋体" w:eastAsia="宋体" w:cs="宋体"/>
          <w:sz w:val="24"/>
        </w:rPr>
      </w:pPr>
      <w:r>
        <w:rPr>
          <w:rFonts w:hint="eastAsia" w:ascii="宋体" w:hAnsi="宋体" w:eastAsia="宋体" w:cs="宋体"/>
          <w:sz w:val="24"/>
        </w:rPr>
        <w:t>12.3.5总价合同采用支付分解表计量支付的，是否适用第</w:t>
      </w:r>
      <w:r>
        <w:rPr>
          <w:rFonts w:hint="eastAsia" w:ascii="宋体" w:hAnsi="宋体" w:eastAsia="宋体" w:cs="宋体"/>
          <w:kern w:val="0"/>
          <w:sz w:val="24"/>
        </w:rPr>
        <w:t xml:space="preserve">12.3.4 </w:t>
      </w:r>
      <w:r>
        <w:rPr>
          <w:rFonts w:hint="eastAsia" w:ascii="宋体" w:hAnsi="宋体" w:eastAsia="宋体" w:cs="宋体"/>
          <w:sz w:val="24"/>
        </w:rPr>
        <w:t>项</w:t>
      </w:r>
      <w:r>
        <w:rPr>
          <w:rFonts w:hint="eastAsia" w:ascii="宋体" w:hAnsi="宋体" w:eastAsia="宋体" w:cs="宋体"/>
          <w:kern w:val="0"/>
          <w:sz w:val="24"/>
        </w:rPr>
        <w:t>〔总价合同的计量〕</w:t>
      </w:r>
      <w:r>
        <w:rPr>
          <w:rFonts w:hint="eastAsia" w:ascii="宋体" w:hAnsi="宋体" w:eastAsia="宋体" w:cs="宋体"/>
          <w:sz w:val="24"/>
        </w:rPr>
        <w:t>约定进行计量：</w:t>
      </w:r>
      <w:r>
        <w:rPr>
          <w:rFonts w:hint="eastAsia" w:ascii="宋体" w:hAnsi="宋体" w:eastAsia="宋体" w:cs="宋体"/>
          <w:sz w:val="24"/>
          <w:u w:val="single"/>
        </w:rPr>
        <w:t xml:space="preserve">                    </w:t>
      </w:r>
      <w:r>
        <w:rPr>
          <w:rFonts w:hint="eastAsia" w:ascii="宋体" w:hAnsi="宋体" w:eastAsia="宋体" w:cs="宋体"/>
          <w:sz w:val="24"/>
        </w:rPr>
        <w:t>。</w:t>
      </w:r>
    </w:p>
    <w:p w14:paraId="7AC06374">
      <w:pPr>
        <w:pageBreakBefore w:val="0"/>
        <w:widowControl w:val="0"/>
        <w:kinsoku/>
        <w:wordWrap/>
        <w:overflowPunct/>
        <w:topLinePunct w:val="0"/>
        <w:bidi w:val="0"/>
        <w:snapToGrid/>
        <w:spacing w:line="480" w:lineRule="exact"/>
        <w:ind w:firstLine="480" w:firstLineChars="200"/>
        <w:jc w:val="left"/>
        <w:textAlignment w:val="auto"/>
        <w:outlineLvl w:val="9"/>
        <w:rPr>
          <w:rFonts w:hint="eastAsia" w:ascii="宋体" w:hAnsi="宋体" w:eastAsia="宋体" w:cs="宋体"/>
          <w:sz w:val="24"/>
        </w:rPr>
      </w:pPr>
      <w:r>
        <w:rPr>
          <w:rFonts w:hint="eastAsia" w:ascii="宋体" w:hAnsi="宋体" w:eastAsia="宋体" w:cs="宋体"/>
          <w:sz w:val="24"/>
        </w:rPr>
        <w:t>12.3.6 其他价格形式合同的计量</w:t>
      </w:r>
    </w:p>
    <w:p w14:paraId="1B186E3B">
      <w:pPr>
        <w:pageBreakBefore w:val="0"/>
        <w:widowControl w:val="0"/>
        <w:kinsoku/>
        <w:wordWrap/>
        <w:overflowPunct/>
        <w:topLinePunct w:val="0"/>
        <w:bidi w:val="0"/>
        <w:snapToGrid/>
        <w:spacing w:line="480" w:lineRule="exact"/>
        <w:ind w:firstLine="480" w:firstLineChars="200"/>
        <w:jc w:val="left"/>
        <w:textAlignment w:val="auto"/>
        <w:outlineLvl w:val="9"/>
        <w:rPr>
          <w:rFonts w:hint="eastAsia" w:ascii="宋体" w:hAnsi="宋体" w:eastAsia="宋体" w:cs="宋体"/>
          <w:sz w:val="24"/>
          <w:u w:val="single"/>
        </w:rPr>
      </w:pPr>
      <w:r>
        <w:rPr>
          <w:rFonts w:hint="eastAsia" w:ascii="宋体" w:hAnsi="宋体" w:eastAsia="宋体" w:cs="宋体"/>
          <w:sz w:val="24"/>
        </w:rPr>
        <w:t>其他价格形式的计量方式和程序：</w:t>
      </w:r>
      <w:r>
        <w:rPr>
          <w:rFonts w:hint="eastAsia" w:ascii="宋体" w:hAnsi="宋体" w:eastAsia="宋体" w:cs="宋体"/>
          <w:sz w:val="24"/>
          <w:u w:val="single"/>
        </w:rPr>
        <w:t xml:space="preserve">                         </w:t>
      </w:r>
    </w:p>
    <w:p w14:paraId="3ACA15E0">
      <w:pPr>
        <w:pageBreakBefore w:val="0"/>
        <w:widowControl w:val="0"/>
        <w:kinsoku/>
        <w:wordWrap/>
        <w:overflowPunct/>
        <w:topLinePunct w:val="0"/>
        <w:bidi w:val="0"/>
        <w:snapToGrid/>
        <w:spacing w:line="480" w:lineRule="exact"/>
        <w:jc w:val="left"/>
        <w:textAlignment w:val="auto"/>
        <w:outlineLvl w:val="9"/>
        <w:rPr>
          <w:rFonts w:hint="eastAsia" w:ascii="宋体" w:hAnsi="宋体" w:eastAsia="宋体" w:cs="宋体"/>
          <w:sz w:val="24"/>
        </w:rPr>
      </w:pPr>
      <w:r>
        <w:rPr>
          <w:rFonts w:hint="eastAsia" w:ascii="宋体" w:hAnsi="宋体" w:eastAsia="宋体" w:cs="宋体"/>
          <w:sz w:val="24"/>
          <w:u w:val="single"/>
        </w:rPr>
        <w:t xml:space="preserve">                                                         </w:t>
      </w:r>
      <w:r>
        <w:rPr>
          <w:rFonts w:hint="eastAsia" w:ascii="宋体" w:hAnsi="宋体" w:eastAsia="宋体" w:cs="宋体"/>
          <w:sz w:val="24"/>
        </w:rPr>
        <w:t>。</w:t>
      </w:r>
    </w:p>
    <w:p w14:paraId="4BD16FD5">
      <w:pPr>
        <w:pageBreakBefore w:val="0"/>
        <w:widowControl w:val="0"/>
        <w:kinsoku/>
        <w:wordWrap/>
        <w:overflowPunct/>
        <w:topLinePunct w:val="0"/>
        <w:bidi w:val="0"/>
        <w:snapToGrid/>
        <w:spacing w:after="120" w:line="480" w:lineRule="exact"/>
        <w:ind w:firstLine="480" w:firstLineChars="200"/>
        <w:textAlignment w:val="auto"/>
        <w:outlineLvl w:val="9"/>
        <w:rPr>
          <w:rFonts w:hint="eastAsia" w:ascii="宋体" w:hAnsi="宋体" w:eastAsia="宋体" w:cs="宋体"/>
          <w:sz w:val="24"/>
        </w:rPr>
      </w:pPr>
      <w:r>
        <w:rPr>
          <w:rFonts w:hint="eastAsia" w:ascii="宋体" w:hAnsi="宋体" w:eastAsia="宋体" w:cs="宋体"/>
          <w:sz w:val="24"/>
        </w:rPr>
        <w:t>12.4 工程进度款支付</w:t>
      </w:r>
    </w:p>
    <w:p w14:paraId="7C4D2B44">
      <w:pPr>
        <w:pageBreakBefore w:val="0"/>
        <w:widowControl w:val="0"/>
        <w:kinsoku/>
        <w:wordWrap/>
        <w:overflowPunct/>
        <w:topLinePunct w:val="0"/>
        <w:bidi w:val="0"/>
        <w:snapToGrid/>
        <w:spacing w:line="480" w:lineRule="exact"/>
        <w:ind w:firstLine="480" w:firstLineChars="200"/>
        <w:jc w:val="left"/>
        <w:textAlignment w:val="auto"/>
        <w:outlineLvl w:val="9"/>
        <w:rPr>
          <w:rFonts w:hint="eastAsia" w:ascii="宋体" w:hAnsi="宋体" w:eastAsia="宋体" w:cs="宋体"/>
          <w:sz w:val="24"/>
          <w:u w:val="single"/>
        </w:rPr>
      </w:pPr>
      <w:r>
        <w:rPr>
          <w:rFonts w:hint="eastAsia" w:ascii="宋体" w:hAnsi="宋体" w:eastAsia="宋体" w:cs="宋体"/>
          <w:sz w:val="24"/>
          <w:u w:val="single"/>
        </w:rPr>
        <w:t xml:space="preserve">12.4.1 </w:t>
      </w:r>
    </w:p>
    <w:p w14:paraId="1E4932ED">
      <w:pPr>
        <w:pageBreakBefore w:val="0"/>
        <w:widowControl w:val="0"/>
        <w:kinsoku/>
        <w:wordWrap/>
        <w:overflowPunct/>
        <w:topLinePunct w:val="0"/>
        <w:bidi w:val="0"/>
        <w:snapToGrid/>
        <w:spacing w:line="480" w:lineRule="exact"/>
        <w:ind w:firstLine="600" w:firstLineChars="250"/>
        <w:jc w:val="left"/>
        <w:textAlignment w:val="auto"/>
        <w:outlineLvl w:val="9"/>
        <w:rPr>
          <w:rFonts w:hint="eastAsia" w:ascii="宋体" w:hAnsi="宋体" w:eastAsia="宋体" w:cs="宋体"/>
          <w:sz w:val="24"/>
          <w:u w:val="single"/>
        </w:rPr>
      </w:pPr>
      <w:r>
        <w:rPr>
          <w:rFonts w:hint="eastAsia" w:ascii="宋体" w:hAnsi="宋体" w:eastAsia="宋体" w:cs="宋体"/>
          <w:sz w:val="24"/>
          <w:u w:val="single"/>
        </w:rPr>
        <w:t>甲乙双方约定。</w:t>
      </w:r>
    </w:p>
    <w:p w14:paraId="3B69CAA0">
      <w:pPr>
        <w:pageBreakBefore w:val="0"/>
        <w:widowControl w:val="0"/>
        <w:kinsoku/>
        <w:wordWrap/>
        <w:overflowPunct/>
        <w:topLinePunct w:val="0"/>
        <w:bidi w:val="0"/>
        <w:snapToGrid/>
        <w:spacing w:line="480" w:lineRule="exact"/>
        <w:ind w:firstLine="480" w:firstLineChars="200"/>
        <w:jc w:val="left"/>
        <w:textAlignment w:val="auto"/>
        <w:outlineLvl w:val="9"/>
        <w:rPr>
          <w:rFonts w:hint="eastAsia" w:ascii="宋体" w:hAnsi="宋体" w:eastAsia="宋体" w:cs="宋体"/>
          <w:sz w:val="24"/>
        </w:rPr>
      </w:pPr>
      <w:r>
        <w:rPr>
          <w:rFonts w:hint="eastAsia" w:ascii="宋体" w:hAnsi="宋体" w:eastAsia="宋体" w:cs="宋体"/>
          <w:sz w:val="24"/>
        </w:rPr>
        <w:t>12.4.2 进度付款申请单的编制</w:t>
      </w:r>
    </w:p>
    <w:p w14:paraId="3495175B">
      <w:pPr>
        <w:pageBreakBefore w:val="0"/>
        <w:widowControl w:val="0"/>
        <w:kinsoku/>
        <w:wordWrap/>
        <w:overflowPunct/>
        <w:topLinePunct w:val="0"/>
        <w:bidi w:val="0"/>
        <w:snapToGrid/>
        <w:spacing w:line="480" w:lineRule="exact"/>
        <w:ind w:firstLine="480" w:firstLineChars="200"/>
        <w:jc w:val="left"/>
        <w:textAlignment w:val="auto"/>
        <w:outlineLvl w:val="9"/>
        <w:rPr>
          <w:rFonts w:hint="eastAsia" w:ascii="宋体" w:hAnsi="宋体" w:eastAsia="宋体" w:cs="宋体"/>
          <w:sz w:val="24"/>
        </w:rPr>
      </w:pPr>
      <w:r>
        <w:rPr>
          <w:rFonts w:hint="eastAsia" w:ascii="宋体" w:hAnsi="宋体" w:eastAsia="宋体" w:cs="宋体"/>
          <w:sz w:val="24"/>
        </w:rPr>
        <w:t>关于进度付款申请单编制的约定：</w:t>
      </w:r>
      <w:r>
        <w:rPr>
          <w:rFonts w:hint="eastAsia" w:ascii="宋体" w:hAnsi="宋体" w:eastAsia="宋体" w:cs="宋体"/>
          <w:sz w:val="24"/>
          <w:u w:val="single"/>
        </w:rPr>
        <w:t xml:space="preserve">                    </w:t>
      </w:r>
      <w:r>
        <w:rPr>
          <w:rFonts w:hint="eastAsia" w:ascii="宋体" w:hAnsi="宋体" w:eastAsia="宋体" w:cs="宋体"/>
          <w:sz w:val="24"/>
        </w:rPr>
        <w:t>。</w:t>
      </w:r>
    </w:p>
    <w:p w14:paraId="32611EDB">
      <w:pPr>
        <w:pageBreakBefore w:val="0"/>
        <w:widowControl w:val="0"/>
        <w:kinsoku/>
        <w:wordWrap/>
        <w:overflowPunct/>
        <w:topLinePunct w:val="0"/>
        <w:bidi w:val="0"/>
        <w:snapToGrid/>
        <w:spacing w:line="480" w:lineRule="exact"/>
        <w:ind w:firstLine="480" w:firstLineChars="200"/>
        <w:jc w:val="left"/>
        <w:textAlignment w:val="auto"/>
        <w:outlineLvl w:val="9"/>
        <w:rPr>
          <w:rFonts w:hint="eastAsia" w:ascii="宋体" w:hAnsi="宋体" w:eastAsia="宋体" w:cs="宋体"/>
          <w:sz w:val="24"/>
        </w:rPr>
      </w:pPr>
      <w:r>
        <w:rPr>
          <w:rFonts w:hint="eastAsia" w:ascii="宋体" w:hAnsi="宋体" w:eastAsia="宋体" w:cs="宋体"/>
          <w:sz w:val="24"/>
        </w:rPr>
        <w:t>12.4.3 进度付款申请单的提交</w:t>
      </w:r>
    </w:p>
    <w:p w14:paraId="2E31B456">
      <w:pPr>
        <w:pageBreakBefore w:val="0"/>
        <w:widowControl w:val="0"/>
        <w:kinsoku/>
        <w:wordWrap/>
        <w:overflowPunct/>
        <w:topLinePunct w:val="0"/>
        <w:bidi w:val="0"/>
        <w:snapToGrid/>
        <w:spacing w:line="480" w:lineRule="exact"/>
        <w:ind w:firstLine="480" w:firstLineChars="200"/>
        <w:jc w:val="left"/>
        <w:textAlignment w:val="auto"/>
        <w:outlineLvl w:val="9"/>
        <w:rPr>
          <w:rFonts w:hint="eastAsia" w:ascii="宋体" w:hAnsi="宋体" w:eastAsia="宋体" w:cs="宋体"/>
          <w:sz w:val="24"/>
        </w:rPr>
      </w:pPr>
      <w:r>
        <w:rPr>
          <w:rFonts w:hint="eastAsia" w:ascii="宋体" w:hAnsi="宋体" w:eastAsia="宋体" w:cs="宋体"/>
          <w:sz w:val="24"/>
        </w:rPr>
        <w:t>（1）单价合同进度付款申请单提交的约定：</w:t>
      </w:r>
      <w:r>
        <w:rPr>
          <w:rFonts w:hint="eastAsia" w:ascii="宋体" w:hAnsi="宋体" w:eastAsia="宋体" w:cs="宋体"/>
          <w:sz w:val="24"/>
          <w:u w:val="single"/>
        </w:rPr>
        <w:t xml:space="preserve">               </w:t>
      </w:r>
      <w:r>
        <w:rPr>
          <w:rFonts w:hint="eastAsia" w:ascii="宋体" w:hAnsi="宋体" w:eastAsia="宋体" w:cs="宋体"/>
          <w:sz w:val="24"/>
        </w:rPr>
        <w:t>。</w:t>
      </w:r>
    </w:p>
    <w:p w14:paraId="1147BC2C">
      <w:pPr>
        <w:pageBreakBefore w:val="0"/>
        <w:widowControl w:val="0"/>
        <w:kinsoku/>
        <w:wordWrap/>
        <w:overflowPunct/>
        <w:topLinePunct w:val="0"/>
        <w:bidi w:val="0"/>
        <w:snapToGrid/>
        <w:spacing w:line="480" w:lineRule="exact"/>
        <w:ind w:firstLine="480" w:firstLineChars="200"/>
        <w:jc w:val="left"/>
        <w:textAlignment w:val="auto"/>
        <w:outlineLvl w:val="9"/>
        <w:rPr>
          <w:rFonts w:hint="eastAsia" w:ascii="宋体" w:hAnsi="宋体" w:eastAsia="宋体" w:cs="宋体"/>
          <w:sz w:val="24"/>
        </w:rPr>
      </w:pPr>
      <w:r>
        <w:rPr>
          <w:rFonts w:hint="eastAsia" w:ascii="宋体" w:hAnsi="宋体" w:eastAsia="宋体" w:cs="宋体"/>
          <w:sz w:val="24"/>
        </w:rPr>
        <w:t>（2）总价合同进度付款申请单提交的约定：</w:t>
      </w:r>
      <w:r>
        <w:rPr>
          <w:rFonts w:hint="eastAsia" w:ascii="宋体" w:hAnsi="宋体" w:eastAsia="宋体" w:cs="宋体"/>
          <w:sz w:val="24"/>
          <w:u w:val="single"/>
        </w:rPr>
        <w:t xml:space="preserve">              </w:t>
      </w:r>
      <w:r>
        <w:rPr>
          <w:rFonts w:hint="eastAsia" w:ascii="宋体" w:hAnsi="宋体" w:eastAsia="宋体" w:cs="宋体"/>
          <w:sz w:val="24"/>
        </w:rPr>
        <w:t>。</w:t>
      </w:r>
    </w:p>
    <w:p w14:paraId="2A1852A6">
      <w:pPr>
        <w:pageBreakBefore w:val="0"/>
        <w:widowControl w:val="0"/>
        <w:kinsoku/>
        <w:wordWrap/>
        <w:overflowPunct/>
        <w:topLinePunct w:val="0"/>
        <w:bidi w:val="0"/>
        <w:snapToGrid/>
        <w:spacing w:line="480" w:lineRule="exact"/>
        <w:jc w:val="left"/>
        <w:textAlignment w:val="auto"/>
        <w:outlineLvl w:val="9"/>
        <w:rPr>
          <w:rFonts w:hint="eastAsia" w:ascii="宋体" w:hAnsi="宋体" w:eastAsia="宋体" w:cs="宋体"/>
          <w:sz w:val="24"/>
        </w:rPr>
      </w:pPr>
      <w:r>
        <w:rPr>
          <w:rFonts w:hint="eastAsia" w:ascii="宋体" w:hAnsi="宋体" w:eastAsia="宋体" w:cs="宋体"/>
          <w:sz w:val="24"/>
        </w:rPr>
        <w:t>（3）其他价格形式合同进度付款申请单提交的约定：</w:t>
      </w:r>
      <w:r>
        <w:rPr>
          <w:rFonts w:hint="eastAsia" w:ascii="宋体" w:hAnsi="宋体" w:eastAsia="宋体" w:cs="宋体"/>
          <w:sz w:val="24"/>
          <w:u w:val="single"/>
        </w:rPr>
        <w:t xml:space="preserve">                     </w:t>
      </w:r>
      <w:r>
        <w:rPr>
          <w:rFonts w:hint="eastAsia" w:ascii="宋体" w:hAnsi="宋体" w:eastAsia="宋体" w:cs="宋体"/>
          <w:sz w:val="24"/>
        </w:rPr>
        <w:t>。</w:t>
      </w:r>
    </w:p>
    <w:p w14:paraId="433D93EB">
      <w:pPr>
        <w:pageBreakBefore w:val="0"/>
        <w:widowControl w:val="0"/>
        <w:kinsoku/>
        <w:wordWrap/>
        <w:overflowPunct/>
        <w:topLinePunct w:val="0"/>
        <w:bidi w:val="0"/>
        <w:snapToGrid/>
        <w:spacing w:line="480" w:lineRule="exact"/>
        <w:ind w:firstLine="480" w:firstLineChars="200"/>
        <w:jc w:val="left"/>
        <w:textAlignment w:val="auto"/>
        <w:outlineLvl w:val="9"/>
        <w:rPr>
          <w:rFonts w:hint="eastAsia" w:ascii="宋体" w:hAnsi="宋体" w:eastAsia="宋体" w:cs="宋体"/>
          <w:sz w:val="24"/>
        </w:rPr>
      </w:pPr>
      <w:r>
        <w:rPr>
          <w:rFonts w:hint="eastAsia" w:ascii="宋体" w:hAnsi="宋体" w:eastAsia="宋体" w:cs="宋体"/>
          <w:sz w:val="24"/>
        </w:rPr>
        <w:t>12.4.4 进度款审核和支付</w:t>
      </w:r>
    </w:p>
    <w:p w14:paraId="330EE46D">
      <w:pPr>
        <w:pageBreakBefore w:val="0"/>
        <w:widowControl w:val="0"/>
        <w:kinsoku/>
        <w:wordWrap/>
        <w:overflowPunct/>
        <w:topLinePunct w:val="0"/>
        <w:bidi w:val="0"/>
        <w:snapToGrid/>
        <w:spacing w:line="480" w:lineRule="exact"/>
        <w:ind w:firstLine="480" w:firstLineChars="200"/>
        <w:jc w:val="left"/>
        <w:textAlignment w:val="auto"/>
        <w:outlineLvl w:val="9"/>
        <w:rPr>
          <w:rFonts w:hint="eastAsia" w:ascii="宋体" w:hAnsi="宋体" w:eastAsia="宋体" w:cs="宋体"/>
          <w:sz w:val="24"/>
          <w:u w:val="single"/>
        </w:rPr>
      </w:pPr>
      <w:r>
        <w:rPr>
          <w:rFonts w:hint="eastAsia" w:ascii="宋体" w:hAnsi="宋体" w:eastAsia="宋体" w:cs="宋体"/>
          <w:sz w:val="24"/>
        </w:rPr>
        <w:t>（1）监理人审查并报送发包人的期限：</w:t>
      </w:r>
      <w:r>
        <w:rPr>
          <w:rFonts w:hint="eastAsia" w:ascii="宋体" w:hAnsi="宋体" w:eastAsia="宋体" w:cs="宋体"/>
          <w:sz w:val="24"/>
          <w:u w:val="single"/>
        </w:rPr>
        <w:t xml:space="preserve">            </w:t>
      </w:r>
      <w:r>
        <w:rPr>
          <w:rFonts w:hint="eastAsia" w:ascii="宋体" w:hAnsi="宋体" w:eastAsia="宋体" w:cs="宋体"/>
          <w:sz w:val="24"/>
        </w:rPr>
        <w:t>。</w:t>
      </w:r>
    </w:p>
    <w:p w14:paraId="17126898">
      <w:pPr>
        <w:pageBreakBefore w:val="0"/>
        <w:widowControl w:val="0"/>
        <w:kinsoku/>
        <w:wordWrap/>
        <w:overflowPunct/>
        <w:topLinePunct w:val="0"/>
        <w:bidi w:val="0"/>
        <w:snapToGrid/>
        <w:spacing w:line="480" w:lineRule="exact"/>
        <w:jc w:val="left"/>
        <w:textAlignment w:val="auto"/>
        <w:outlineLvl w:val="9"/>
        <w:rPr>
          <w:rFonts w:hint="eastAsia" w:ascii="宋体" w:hAnsi="宋体" w:eastAsia="宋体" w:cs="宋体"/>
          <w:sz w:val="24"/>
        </w:rPr>
      </w:pPr>
      <w:r>
        <w:rPr>
          <w:rFonts w:hint="eastAsia" w:ascii="宋体" w:hAnsi="宋体" w:eastAsia="宋体" w:cs="宋体"/>
          <w:sz w:val="24"/>
        </w:rPr>
        <w:t>发包人完成审批并签发进度款支付证书的期限：</w:t>
      </w:r>
      <w:r>
        <w:rPr>
          <w:rFonts w:hint="eastAsia" w:ascii="宋体" w:hAnsi="宋体" w:eastAsia="宋体" w:cs="宋体"/>
          <w:sz w:val="24"/>
          <w:u w:val="single"/>
        </w:rPr>
        <w:t xml:space="preserve">         </w:t>
      </w:r>
      <w:r>
        <w:rPr>
          <w:rFonts w:hint="eastAsia" w:ascii="宋体" w:hAnsi="宋体" w:eastAsia="宋体" w:cs="宋体"/>
          <w:sz w:val="24"/>
        </w:rPr>
        <w:t>。</w:t>
      </w:r>
    </w:p>
    <w:p w14:paraId="459B1DEB">
      <w:pPr>
        <w:pageBreakBefore w:val="0"/>
        <w:widowControl w:val="0"/>
        <w:kinsoku/>
        <w:wordWrap/>
        <w:overflowPunct/>
        <w:topLinePunct w:val="0"/>
        <w:bidi w:val="0"/>
        <w:snapToGrid/>
        <w:spacing w:line="480" w:lineRule="exact"/>
        <w:ind w:firstLine="480" w:firstLineChars="200"/>
        <w:jc w:val="left"/>
        <w:textAlignment w:val="auto"/>
        <w:outlineLvl w:val="9"/>
        <w:rPr>
          <w:rFonts w:hint="eastAsia" w:ascii="宋体" w:hAnsi="宋体" w:eastAsia="宋体" w:cs="宋体"/>
          <w:sz w:val="24"/>
        </w:rPr>
      </w:pPr>
      <w:r>
        <w:rPr>
          <w:rFonts w:hint="eastAsia" w:ascii="宋体" w:hAnsi="宋体" w:eastAsia="宋体" w:cs="宋体"/>
          <w:sz w:val="24"/>
        </w:rPr>
        <w:t>（2）发包人支付进度款的期限：</w:t>
      </w:r>
      <w:r>
        <w:rPr>
          <w:rFonts w:hint="eastAsia" w:ascii="宋体" w:hAnsi="宋体" w:eastAsia="宋体" w:cs="宋体"/>
          <w:sz w:val="24"/>
          <w:u w:val="single"/>
        </w:rPr>
        <w:t xml:space="preserve">                  </w:t>
      </w:r>
      <w:r>
        <w:rPr>
          <w:rFonts w:hint="eastAsia" w:ascii="宋体" w:hAnsi="宋体" w:eastAsia="宋体" w:cs="宋体"/>
          <w:sz w:val="24"/>
        </w:rPr>
        <w:t>。</w:t>
      </w:r>
    </w:p>
    <w:p w14:paraId="3DA6F365">
      <w:pPr>
        <w:pageBreakBefore w:val="0"/>
        <w:widowControl w:val="0"/>
        <w:kinsoku/>
        <w:wordWrap/>
        <w:overflowPunct/>
        <w:topLinePunct w:val="0"/>
        <w:bidi w:val="0"/>
        <w:snapToGrid/>
        <w:spacing w:line="480" w:lineRule="exact"/>
        <w:ind w:firstLine="600" w:firstLineChars="250"/>
        <w:jc w:val="left"/>
        <w:textAlignment w:val="auto"/>
        <w:outlineLvl w:val="9"/>
        <w:rPr>
          <w:rFonts w:hint="eastAsia" w:ascii="宋体" w:hAnsi="宋体" w:eastAsia="宋体" w:cs="宋体"/>
          <w:sz w:val="24"/>
        </w:rPr>
      </w:pPr>
      <w:r>
        <w:rPr>
          <w:rFonts w:hint="eastAsia" w:ascii="宋体" w:hAnsi="宋体" w:eastAsia="宋体" w:cs="宋体"/>
          <w:sz w:val="24"/>
        </w:rPr>
        <w:t>发包人逾期支付进度款的违约金的计算方式：</w:t>
      </w:r>
      <w:r>
        <w:rPr>
          <w:rFonts w:hint="eastAsia" w:ascii="宋体" w:hAnsi="宋体" w:eastAsia="宋体" w:cs="宋体"/>
          <w:sz w:val="24"/>
          <w:u w:val="single"/>
        </w:rPr>
        <w:t xml:space="preserve">    </w:t>
      </w:r>
      <w:r>
        <w:rPr>
          <w:rFonts w:hint="eastAsia" w:ascii="宋体" w:hAnsi="宋体" w:eastAsia="宋体" w:cs="宋体"/>
          <w:sz w:val="24"/>
        </w:rPr>
        <w:t>。</w:t>
      </w:r>
    </w:p>
    <w:p w14:paraId="4DBC3B82">
      <w:pPr>
        <w:pageBreakBefore w:val="0"/>
        <w:widowControl w:val="0"/>
        <w:kinsoku/>
        <w:wordWrap/>
        <w:overflowPunct/>
        <w:topLinePunct w:val="0"/>
        <w:bidi w:val="0"/>
        <w:snapToGrid/>
        <w:spacing w:line="480" w:lineRule="exact"/>
        <w:ind w:firstLine="600" w:firstLineChars="250"/>
        <w:jc w:val="left"/>
        <w:textAlignment w:val="auto"/>
        <w:outlineLvl w:val="9"/>
        <w:rPr>
          <w:rFonts w:hint="eastAsia" w:ascii="宋体" w:hAnsi="宋体" w:eastAsia="宋体" w:cs="宋体"/>
          <w:sz w:val="24"/>
        </w:rPr>
      </w:pPr>
      <w:r>
        <w:rPr>
          <w:rFonts w:hint="eastAsia" w:ascii="宋体" w:hAnsi="宋体" w:eastAsia="宋体" w:cs="宋体"/>
          <w:sz w:val="24"/>
        </w:rPr>
        <w:t>12.4.6 支付分解表的编制</w:t>
      </w:r>
    </w:p>
    <w:p w14:paraId="68E64BD3">
      <w:pPr>
        <w:pageBreakBefore w:val="0"/>
        <w:widowControl w:val="0"/>
        <w:kinsoku/>
        <w:wordWrap/>
        <w:overflowPunct/>
        <w:topLinePunct w:val="0"/>
        <w:bidi w:val="0"/>
        <w:snapToGrid/>
        <w:spacing w:line="480" w:lineRule="exact"/>
        <w:ind w:left="4800" w:hanging="4800" w:hangingChars="2000"/>
        <w:jc w:val="left"/>
        <w:textAlignment w:val="auto"/>
        <w:outlineLvl w:val="9"/>
        <w:rPr>
          <w:rFonts w:hint="eastAsia" w:ascii="宋体" w:hAnsi="宋体" w:eastAsia="宋体" w:cs="宋体"/>
          <w:sz w:val="24"/>
        </w:rPr>
      </w:pPr>
      <w:r>
        <w:rPr>
          <w:rFonts w:hint="eastAsia" w:ascii="宋体" w:hAnsi="宋体" w:eastAsia="宋体" w:cs="宋体"/>
          <w:sz w:val="24"/>
        </w:rPr>
        <w:t>2、总价合同支付分解表的编制与审批：</w:t>
      </w:r>
      <w:r>
        <w:rPr>
          <w:rFonts w:hint="eastAsia" w:ascii="宋体" w:hAnsi="宋体" w:eastAsia="宋体" w:cs="宋体"/>
          <w:sz w:val="24"/>
          <w:u w:val="single"/>
        </w:rPr>
        <w:t xml:space="preserve">                        </w:t>
      </w:r>
      <w:r>
        <w:rPr>
          <w:rFonts w:hint="eastAsia" w:ascii="宋体" w:hAnsi="宋体" w:eastAsia="宋体" w:cs="宋体"/>
          <w:sz w:val="24"/>
        </w:rPr>
        <w:t>。</w:t>
      </w:r>
    </w:p>
    <w:p w14:paraId="6A36F8E1">
      <w:pPr>
        <w:pageBreakBefore w:val="0"/>
        <w:widowControl w:val="0"/>
        <w:kinsoku/>
        <w:wordWrap/>
        <w:overflowPunct/>
        <w:topLinePunct w:val="0"/>
        <w:bidi w:val="0"/>
        <w:snapToGrid/>
        <w:spacing w:line="480" w:lineRule="exact"/>
        <w:jc w:val="left"/>
        <w:textAlignment w:val="auto"/>
        <w:outlineLvl w:val="9"/>
        <w:rPr>
          <w:rFonts w:hint="eastAsia" w:ascii="宋体" w:hAnsi="宋体" w:eastAsia="宋体" w:cs="宋体"/>
          <w:sz w:val="24"/>
        </w:rPr>
      </w:pPr>
      <w:r>
        <w:rPr>
          <w:rFonts w:hint="eastAsia" w:ascii="宋体" w:hAnsi="宋体" w:eastAsia="宋体" w:cs="宋体"/>
          <w:sz w:val="24"/>
        </w:rPr>
        <w:t>3、单价合同的总价项目支付分解表的编制与审批：</w:t>
      </w:r>
      <w:r>
        <w:rPr>
          <w:rFonts w:hint="eastAsia" w:ascii="宋体" w:hAnsi="宋体" w:eastAsia="宋体" w:cs="宋体"/>
          <w:sz w:val="24"/>
          <w:u w:val="single"/>
        </w:rPr>
        <w:t xml:space="preserve">              </w:t>
      </w:r>
      <w:r>
        <w:rPr>
          <w:rFonts w:hint="eastAsia" w:ascii="宋体" w:hAnsi="宋体" w:eastAsia="宋体" w:cs="宋体"/>
          <w:sz w:val="24"/>
        </w:rPr>
        <w:t>。</w:t>
      </w:r>
    </w:p>
    <w:p w14:paraId="34D5656F">
      <w:pPr>
        <w:pageBreakBefore w:val="0"/>
        <w:widowControl w:val="0"/>
        <w:kinsoku/>
        <w:wordWrap/>
        <w:overflowPunct/>
        <w:topLinePunct w:val="0"/>
        <w:bidi w:val="0"/>
        <w:snapToGrid/>
        <w:spacing w:before="120" w:after="120" w:line="480" w:lineRule="exact"/>
        <w:textAlignment w:val="auto"/>
        <w:outlineLvl w:val="9"/>
        <w:rPr>
          <w:rFonts w:hint="eastAsia" w:ascii="宋体" w:hAnsi="宋体" w:eastAsia="宋体" w:cs="宋体"/>
          <w:b w:val="0"/>
          <w:sz w:val="24"/>
          <w:szCs w:val="24"/>
        </w:rPr>
      </w:pPr>
      <w:bookmarkStart w:id="1458" w:name="_Toc351203645"/>
      <w:bookmarkStart w:id="1459" w:name="_Toc300935015"/>
      <w:bookmarkStart w:id="1460" w:name="_Toc296891259"/>
      <w:bookmarkStart w:id="1461" w:name="_Toc297123564"/>
      <w:bookmarkStart w:id="1462" w:name="_Toc292559929"/>
      <w:bookmarkStart w:id="1463" w:name="_Toc296503219"/>
      <w:bookmarkStart w:id="1464" w:name="_Toc297048405"/>
      <w:bookmarkStart w:id="1465" w:name="_Toc296891047"/>
      <w:bookmarkStart w:id="1466" w:name="_Toc297120519"/>
      <w:bookmarkStart w:id="1467" w:name="_Toc292559424"/>
      <w:bookmarkStart w:id="1468" w:name="_Toc296346720"/>
      <w:bookmarkStart w:id="1469" w:name="_Toc304295593"/>
      <w:bookmarkStart w:id="1470" w:name="_Toc303539172"/>
      <w:bookmarkStart w:id="1471" w:name="_Toc296944558"/>
      <w:bookmarkStart w:id="1472" w:name="_Toc297216223"/>
      <w:bookmarkStart w:id="1473" w:name="_Toc296347218"/>
      <w:bookmarkStart w:id="1474" w:name="_Toc312678053"/>
      <w:r>
        <w:rPr>
          <w:rFonts w:hint="eastAsia" w:ascii="宋体" w:hAnsi="宋体" w:eastAsia="宋体" w:cs="宋体"/>
          <w:b w:val="0"/>
          <w:sz w:val="24"/>
          <w:szCs w:val="24"/>
        </w:rPr>
        <w:t>13. 验收和工程试车</w:t>
      </w:r>
      <w:bookmarkEnd w:id="1458"/>
    </w:p>
    <w:bookmarkEnd w:id="1459"/>
    <w:bookmarkEnd w:id="1460"/>
    <w:bookmarkEnd w:id="1461"/>
    <w:bookmarkEnd w:id="1462"/>
    <w:bookmarkEnd w:id="1463"/>
    <w:bookmarkEnd w:id="1464"/>
    <w:bookmarkEnd w:id="1465"/>
    <w:bookmarkEnd w:id="1466"/>
    <w:bookmarkEnd w:id="1467"/>
    <w:bookmarkEnd w:id="1468"/>
    <w:bookmarkEnd w:id="1469"/>
    <w:bookmarkEnd w:id="1470"/>
    <w:bookmarkEnd w:id="1471"/>
    <w:bookmarkEnd w:id="1472"/>
    <w:bookmarkEnd w:id="1473"/>
    <w:bookmarkEnd w:id="1474"/>
    <w:p w14:paraId="5C460B87">
      <w:pPr>
        <w:pageBreakBefore w:val="0"/>
        <w:widowControl w:val="0"/>
        <w:kinsoku/>
        <w:wordWrap/>
        <w:overflowPunct/>
        <w:topLinePunct w:val="0"/>
        <w:bidi w:val="0"/>
        <w:snapToGrid/>
        <w:spacing w:after="120" w:line="480" w:lineRule="exact"/>
        <w:ind w:firstLine="480" w:firstLineChars="200"/>
        <w:textAlignment w:val="auto"/>
        <w:outlineLvl w:val="9"/>
        <w:rPr>
          <w:rFonts w:hint="eastAsia" w:ascii="宋体" w:hAnsi="宋体" w:eastAsia="宋体" w:cs="宋体"/>
          <w:sz w:val="24"/>
        </w:rPr>
      </w:pPr>
      <w:r>
        <w:rPr>
          <w:rFonts w:hint="eastAsia" w:ascii="宋体" w:hAnsi="宋体" w:eastAsia="宋体" w:cs="宋体"/>
          <w:sz w:val="24"/>
        </w:rPr>
        <w:t>13.1 分部分项工程验收</w:t>
      </w:r>
    </w:p>
    <w:p w14:paraId="4F8E6F10">
      <w:pPr>
        <w:pageBreakBefore w:val="0"/>
        <w:widowControl w:val="0"/>
        <w:kinsoku/>
        <w:wordWrap/>
        <w:overflowPunct/>
        <w:topLinePunct w:val="0"/>
        <w:bidi w:val="0"/>
        <w:snapToGrid/>
        <w:spacing w:line="480" w:lineRule="exact"/>
        <w:ind w:firstLine="480" w:firstLineChars="200"/>
        <w:jc w:val="left"/>
        <w:textAlignment w:val="auto"/>
        <w:outlineLvl w:val="9"/>
        <w:rPr>
          <w:rFonts w:hint="eastAsia" w:ascii="宋体" w:hAnsi="宋体" w:eastAsia="宋体" w:cs="宋体"/>
          <w:sz w:val="24"/>
        </w:rPr>
      </w:pPr>
      <w:r>
        <w:rPr>
          <w:rFonts w:hint="eastAsia" w:ascii="宋体" w:hAnsi="宋体" w:eastAsia="宋体" w:cs="宋体"/>
          <w:sz w:val="24"/>
        </w:rPr>
        <w:t>13.1.2监理人不能按时进行验收时，应提前</w:t>
      </w:r>
      <w:r>
        <w:rPr>
          <w:rFonts w:hint="eastAsia" w:ascii="宋体" w:hAnsi="宋体" w:eastAsia="宋体" w:cs="宋体"/>
          <w:sz w:val="24"/>
          <w:u w:val="single"/>
        </w:rPr>
        <w:t xml:space="preserve">      </w:t>
      </w:r>
      <w:r>
        <w:rPr>
          <w:rFonts w:hint="eastAsia" w:ascii="宋体" w:hAnsi="宋体" w:eastAsia="宋体" w:cs="宋体"/>
          <w:sz w:val="24"/>
        </w:rPr>
        <w:t>小时提交书面延期要求。</w:t>
      </w:r>
    </w:p>
    <w:p w14:paraId="5C945FF9">
      <w:pPr>
        <w:pageBreakBefore w:val="0"/>
        <w:widowControl w:val="0"/>
        <w:kinsoku/>
        <w:wordWrap/>
        <w:overflowPunct/>
        <w:topLinePunct w:val="0"/>
        <w:bidi w:val="0"/>
        <w:snapToGrid/>
        <w:spacing w:line="480" w:lineRule="exact"/>
        <w:ind w:firstLine="480" w:firstLineChars="200"/>
        <w:jc w:val="left"/>
        <w:textAlignment w:val="auto"/>
        <w:outlineLvl w:val="9"/>
        <w:rPr>
          <w:rFonts w:hint="eastAsia" w:ascii="宋体" w:hAnsi="宋体" w:eastAsia="宋体" w:cs="宋体"/>
          <w:b/>
          <w:sz w:val="24"/>
        </w:rPr>
      </w:pPr>
      <w:r>
        <w:rPr>
          <w:rFonts w:hint="eastAsia" w:ascii="宋体" w:hAnsi="宋体" w:eastAsia="宋体" w:cs="宋体"/>
          <w:sz w:val="24"/>
        </w:rPr>
        <w:t>关于延期最长不得超过：</w:t>
      </w:r>
      <w:r>
        <w:rPr>
          <w:rFonts w:hint="eastAsia" w:ascii="宋体" w:hAnsi="宋体" w:eastAsia="宋体" w:cs="宋体"/>
          <w:sz w:val="24"/>
          <w:u w:val="single"/>
        </w:rPr>
        <w:t xml:space="preserve">     </w:t>
      </w:r>
      <w:r>
        <w:rPr>
          <w:rFonts w:hint="eastAsia" w:ascii="宋体" w:hAnsi="宋体" w:eastAsia="宋体" w:cs="宋体"/>
          <w:sz w:val="24"/>
        </w:rPr>
        <w:t>小时。</w:t>
      </w:r>
    </w:p>
    <w:p w14:paraId="1057C816">
      <w:pPr>
        <w:pageBreakBefore w:val="0"/>
        <w:widowControl w:val="0"/>
        <w:kinsoku/>
        <w:wordWrap/>
        <w:overflowPunct/>
        <w:topLinePunct w:val="0"/>
        <w:bidi w:val="0"/>
        <w:snapToGrid/>
        <w:spacing w:after="120" w:line="480" w:lineRule="exact"/>
        <w:ind w:firstLine="480" w:firstLineChars="200"/>
        <w:textAlignment w:val="auto"/>
        <w:outlineLvl w:val="9"/>
        <w:rPr>
          <w:rFonts w:hint="eastAsia" w:ascii="宋体" w:hAnsi="宋体" w:eastAsia="宋体" w:cs="宋体"/>
          <w:sz w:val="24"/>
        </w:rPr>
      </w:pPr>
      <w:bookmarkStart w:id="1475" w:name="_Toc292559933"/>
      <w:bookmarkStart w:id="1476" w:name="_Toc297120523"/>
      <w:bookmarkStart w:id="1477" w:name="_Toc292559428"/>
      <w:bookmarkStart w:id="1478" w:name="_Toc296347222"/>
      <w:bookmarkStart w:id="1479" w:name="_Toc297123565"/>
      <w:bookmarkStart w:id="1480" w:name="_Toc312678056"/>
      <w:bookmarkStart w:id="1481" w:name="_Toc296346724"/>
      <w:bookmarkStart w:id="1482" w:name="_Toc296891263"/>
      <w:bookmarkStart w:id="1483" w:name="_Toc304295596"/>
      <w:bookmarkStart w:id="1484" w:name="_Toc296944562"/>
      <w:bookmarkStart w:id="1485" w:name="_Toc296503223"/>
      <w:bookmarkStart w:id="1486" w:name="_Toc296891051"/>
      <w:bookmarkStart w:id="1487" w:name="_Toc300935016"/>
      <w:bookmarkStart w:id="1488" w:name="_Toc297048409"/>
      <w:bookmarkStart w:id="1489" w:name="_Toc303539173"/>
      <w:bookmarkStart w:id="1490" w:name="_Toc297216224"/>
      <w:bookmarkStart w:id="1491" w:name="_Toc267251474"/>
      <w:bookmarkStart w:id="1492" w:name="_Toc267251476"/>
      <w:bookmarkStart w:id="1493" w:name="_Toc267251471"/>
      <w:bookmarkStart w:id="1494" w:name="_Toc267251473"/>
      <w:bookmarkStart w:id="1495" w:name="_Toc267251472"/>
      <w:bookmarkStart w:id="1496" w:name="_Toc267251470"/>
      <w:bookmarkStart w:id="1497" w:name="_Toc267251475"/>
      <w:r>
        <w:rPr>
          <w:rFonts w:hint="eastAsia" w:ascii="宋体" w:hAnsi="宋体" w:eastAsia="宋体" w:cs="宋体"/>
          <w:sz w:val="24"/>
        </w:rPr>
        <w:t>13.2 竣工验收</w:t>
      </w:r>
    </w:p>
    <w:bookmarkEnd w:id="1475"/>
    <w:bookmarkEnd w:id="1476"/>
    <w:bookmarkEnd w:id="1477"/>
    <w:bookmarkEnd w:id="1478"/>
    <w:bookmarkEnd w:id="1479"/>
    <w:bookmarkEnd w:id="1480"/>
    <w:bookmarkEnd w:id="1481"/>
    <w:bookmarkEnd w:id="1482"/>
    <w:bookmarkEnd w:id="1483"/>
    <w:bookmarkEnd w:id="1484"/>
    <w:bookmarkEnd w:id="1485"/>
    <w:bookmarkEnd w:id="1486"/>
    <w:bookmarkEnd w:id="1487"/>
    <w:bookmarkEnd w:id="1488"/>
    <w:bookmarkEnd w:id="1489"/>
    <w:bookmarkEnd w:id="1490"/>
    <w:p w14:paraId="0E126ADE">
      <w:pPr>
        <w:pageBreakBefore w:val="0"/>
        <w:widowControl w:val="0"/>
        <w:kinsoku/>
        <w:wordWrap/>
        <w:overflowPunct/>
        <w:topLinePunct w:val="0"/>
        <w:bidi w:val="0"/>
        <w:snapToGrid/>
        <w:spacing w:line="480" w:lineRule="exact"/>
        <w:ind w:firstLine="480" w:firstLineChars="200"/>
        <w:jc w:val="left"/>
        <w:textAlignment w:val="auto"/>
        <w:outlineLvl w:val="9"/>
        <w:rPr>
          <w:rFonts w:hint="eastAsia" w:ascii="宋体" w:hAnsi="宋体" w:eastAsia="宋体" w:cs="宋体"/>
          <w:sz w:val="24"/>
        </w:rPr>
      </w:pPr>
      <w:bookmarkStart w:id="1498" w:name="_Toc280868704"/>
      <w:bookmarkStart w:id="1499" w:name="_Toc280868705"/>
      <w:bookmarkStart w:id="1500" w:name="_Toc280868706"/>
      <w:bookmarkStart w:id="1501" w:name="_Toc280868707"/>
      <w:bookmarkStart w:id="1502" w:name="_Toc280868708"/>
      <w:bookmarkStart w:id="1503" w:name="_Toc280868709"/>
      <w:r>
        <w:rPr>
          <w:rFonts w:hint="eastAsia" w:ascii="宋体" w:hAnsi="宋体" w:eastAsia="宋体" w:cs="宋体"/>
          <w:sz w:val="24"/>
        </w:rPr>
        <w:t>13.2.2竣工验收程序</w:t>
      </w:r>
    </w:p>
    <w:bookmarkEnd w:id="1498"/>
    <w:p w14:paraId="68BDA86B">
      <w:pPr>
        <w:pageBreakBefore w:val="0"/>
        <w:widowControl w:val="0"/>
        <w:kinsoku/>
        <w:wordWrap/>
        <w:overflowPunct/>
        <w:topLinePunct w:val="0"/>
        <w:bidi w:val="0"/>
        <w:snapToGrid/>
        <w:spacing w:line="480" w:lineRule="exact"/>
        <w:ind w:firstLine="480" w:firstLineChars="200"/>
        <w:jc w:val="left"/>
        <w:textAlignment w:val="auto"/>
        <w:outlineLvl w:val="9"/>
        <w:rPr>
          <w:rFonts w:hint="eastAsia" w:ascii="宋体" w:hAnsi="宋体" w:eastAsia="宋体" w:cs="宋体"/>
          <w:sz w:val="24"/>
        </w:rPr>
      </w:pPr>
      <w:r>
        <w:rPr>
          <w:rFonts w:hint="eastAsia" w:ascii="宋体" w:hAnsi="宋体" w:eastAsia="宋体" w:cs="宋体"/>
          <w:kern w:val="0"/>
          <w:sz w:val="24"/>
        </w:rPr>
        <w:t>关于竣工验收程序的约定：</w:t>
      </w:r>
      <w:r>
        <w:rPr>
          <w:rFonts w:hint="eastAsia" w:ascii="宋体" w:hAnsi="宋体" w:eastAsia="宋体" w:cs="宋体"/>
          <w:sz w:val="24"/>
          <w:u w:val="single"/>
        </w:rPr>
        <w:t xml:space="preserve">                         </w:t>
      </w:r>
      <w:r>
        <w:rPr>
          <w:rFonts w:hint="eastAsia" w:ascii="宋体" w:hAnsi="宋体" w:eastAsia="宋体" w:cs="宋体"/>
          <w:sz w:val="24"/>
        </w:rPr>
        <w:t>。</w:t>
      </w:r>
    </w:p>
    <w:p w14:paraId="0128DCA5">
      <w:pPr>
        <w:pageBreakBefore w:val="0"/>
        <w:widowControl w:val="0"/>
        <w:kinsoku/>
        <w:wordWrap/>
        <w:overflowPunct/>
        <w:topLinePunct w:val="0"/>
        <w:bidi w:val="0"/>
        <w:snapToGrid/>
        <w:spacing w:line="480" w:lineRule="exact"/>
        <w:ind w:firstLine="480" w:firstLineChars="200"/>
        <w:jc w:val="left"/>
        <w:textAlignment w:val="auto"/>
        <w:outlineLvl w:val="9"/>
        <w:rPr>
          <w:rFonts w:hint="eastAsia" w:ascii="宋体" w:hAnsi="宋体" w:eastAsia="宋体" w:cs="宋体"/>
          <w:sz w:val="24"/>
          <w:u w:val="single"/>
        </w:rPr>
      </w:pPr>
      <w:r>
        <w:rPr>
          <w:rFonts w:hint="eastAsia" w:ascii="宋体" w:hAnsi="宋体" w:eastAsia="宋体" w:cs="宋体"/>
          <w:kern w:val="0"/>
          <w:sz w:val="24"/>
        </w:rPr>
        <w:t>发包人不按照本项约定组织竣工验收、颁发工程接收证书的违约金的计算方法：</w:t>
      </w:r>
      <w:r>
        <w:rPr>
          <w:rFonts w:hint="eastAsia" w:ascii="宋体" w:hAnsi="宋体" w:eastAsia="宋体" w:cs="宋体"/>
          <w:sz w:val="24"/>
          <w:u w:val="single"/>
        </w:rPr>
        <w:t xml:space="preserve">              </w:t>
      </w:r>
      <w:r>
        <w:rPr>
          <w:rFonts w:hint="eastAsia" w:ascii="宋体" w:hAnsi="宋体" w:eastAsia="宋体" w:cs="宋体"/>
          <w:sz w:val="24"/>
        </w:rPr>
        <w:t>。</w:t>
      </w:r>
    </w:p>
    <w:bookmarkEnd w:id="1499"/>
    <w:p w14:paraId="60E9DF59">
      <w:pPr>
        <w:pageBreakBefore w:val="0"/>
        <w:widowControl w:val="0"/>
        <w:kinsoku/>
        <w:wordWrap/>
        <w:overflowPunct/>
        <w:topLinePunct w:val="0"/>
        <w:bidi w:val="0"/>
        <w:snapToGrid/>
        <w:spacing w:line="480" w:lineRule="exact"/>
        <w:ind w:firstLine="480" w:firstLineChars="200"/>
        <w:jc w:val="left"/>
        <w:textAlignment w:val="auto"/>
        <w:outlineLvl w:val="9"/>
        <w:rPr>
          <w:rFonts w:hint="eastAsia" w:ascii="宋体" w:hAnsi="宋体" w:eastAsia="宋体" w:cs="宋体"/>
          <w:sz w:val="24"/>
        </w:rPr>
      </w:pPr>
      <w:r>
        <w:rPr>
          <w:rFonts w:hint="eastAsia" w:ascii="宋体" w:hAnsi="宋体" w:eastAsia="宋体" w:cs="宋体"/>
          <w:sz w:val="24"/>
        </w:rPr>
        <w:t>13.2.5移交、接收全部与部分工程</w:t>
      </w:r>
    </w:p>
    <w:bookmarkEnd w:id="1500"/>
    <w:p w14:paraId="09012E4D">
      <w:pPr>
        <w:pageBreakBefore w:val="0"/>
        <w:widowControl w:val="0"/>
        <w:kinsoku/>
        <w:wordWrap/>
        <w:overflowPunct/>
        <w:topLinePunct w:val="0"/>
        <w:bidi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承包人向发包人移交工程的期限：</w:t>
      </w:r>
      <w:r>
        <w:rPr>
          <w:rFonts w:hint="eastAsia" w:ascii="宋体" w:hAnsi="宋体" w:eastAsia="宋体" w:cs="宋体"/>
          <w:sz w:val="24"/>
          <w:u w:val="single"/>
        </w:rPr>
        <w:t xml:space="preserve">             </w:t>
      </w:r>
      <w:r>
        <w:rPr>
          <w:rFonts w:hint="eastAsia" w:ascii="宋体" w:hAnsi="宋体" w:eastAsia="宋体" w:cs="宋体"/>
          <w:sz w:val="24"/>
        </w:rPr>
        <w:t>。</w:t>
      </w:r>
    </w:p>
    <w:p w14:paraId="17D9E550">
      <w:pPr>
        <w:pageBreakBefore w:val="0"/>
        <w:widowControl w:val="0"/>
        <w:kinsoku/>
        <w:wordWrap/>
        <w:overflowPunct/>
        <w:topLinePunct w:val="0"/>
        <w:bidi w:val="0"/>
        <w:snapToGrid/>
        <w:spacing w:line="480" w:lineRule="exact"/>
        <w:ind w:firstLine="480" w:firstLineChars="200"/>
        <w:jc w:val="left"/>
        <w:textAlignment w:val="auto"/>
        <w:outlineLvl w:val="9"/>
        <w:rPr>
          <w:rFonts w:hint="eastAsia" w:ascii="宋体" w:hAnsi="宋体" w:eastAsia="宋体" w:cs="宋体"/>
          <w:sz w:val="24"/>
          <w:u w:val="single"/>
        </w:rPr>
      </w:pPr>
      <w:r>
        <w:rPr>
          <w:rFonts w:hint="eastAsia" w:ascii="宋体" w:hAnsi="宋体" w:eastAsia="宋体" w:cs="宋体"/>
          <w:kern w:val="0"/>
          <w:sz w:val="24"/>
        </w:rPr>
        <w:t>发包人未按本合同约定接收全部或部分工程的，违约金的计算方法为：</w:t>
      </w:r>
      <w:r>
        <w:rPr>
          <w:rFonts w:hint="eastAsia" w:ascii="宋体" w:hAnsi="宋体" w:eastAsia="宋体" w:cs="宋体"/>
          <w:sz w:val="24"/>
          <w:u w:val="single"/>
        </w:rPr>
        <w:t xml:space="preserve">         </w:t>
      </w:r>
      <w:r>
        <w:rPr>
          <w:rFonts w:hint="eastAsia" w:ascii="宋体" w:hAnsi="宋体" w:eastAsia="宋体" w:cs="宋体"/>
          <w:sz w:val="24"/>
        </w:rPr>
        <w:t>。</w:t>
      </w:r>
    </w:p>
    <w:bookmarkEnd w:id="1501"/>
    <w:p w14:paraId="1B89EB6E">
      <w:pPr>
        <w:pageBreakBefore w:val="0"/>
        <w:widowControl w:val="0"/>
        <w:kinsoku/>
        <w:wordWrap/>
        <w:overflowPunct/>
        <w:topLinePunct w:val="0"/>
        <w:bidi w:val="0"/>
        <w:snapToGrid/>
        <w:spacing w:line="480" w:lineRule="exact"/>
        <w:jc w:val="left"/>
        <w:textAlignment w:val="auto"/>
        <w:outlineLvl w:val="9"/>
        <w:rPr>
          <w:rFonts w:hint="eastAsia" w:ascii="宋体" w:hAnsi="宋体" w:eastAsia="宋体" w:cs="宋体"/>
          <w:sz w:val="24"/>
        </w:rPr>
      </w:pPr>
      <w:r>
        <w:rPr>
          <w:rFonts w:hint="eastAsia" w:ascii="宋体" w:hAnsi="宋体" w:eastAsia="宋体" w:cs="宋体"/>
          <w:sz w:val="24"/>
        </w:rPr>
        <w:t>承包人未按时移交工程的，违约金的计算方法为：</w:t>
      </w:r>
      <w:r>
        <w:rPr>
          <w:rFonts w:hint="eastAsia" w:ascii="宋体" w:hAnsi="宋体" w:eastAsia="宋体" w:cs="宋体"/>
          <w:sz w:val="24"/>
          <w:u w:val="single"/>
        </w:rPr>
        <w:t xml:space="preserve">         </w:t>
      </w:r>
      <w:r>
        <w:rPr>
          <w:rFonts w:hint="eastAsia" w:ascii="宋体" w:hAnsi="宋体" w:eastAsia="宋体" w:cs="宋体"/>
          <w:sz w:val="24"/>
        </w:rPr>
        <w:t>。</w:t>
      </w:r>
    </w:p>
    <w:p w14:paraId="5A6BF395">
      <w:pPr>
        <w:pageBreakBefore w:val="0"/>
        <w:widowControl w:val="0"/>
        <w:kinsoku/>
        <w:wordWrap/>
        <w:overflowPunct/>
        <w:topLinePunct w:val="0"/>
        <w:bidi w:val="0"/>
        <w:snapToGrid/>
        <w:spacing w:after="120" w:line="480" w:lineRule="exact"/>
        <w:ind w:firstLine="480" w:firstLineChars="200"/>
        <w:textAlignment w:val="auto"/>
        <w:outlineLvl w:val="9"/>
        <w:rPr>
          <w:rFonts w:hint="eastAsia" w:ascii="宋体" w:hAnsi="宋体" w:eastAsia="宋体" w:cs="宋体"/>
          <w:sz w:val="24"/>
        </w:rPr>
      </w:pPr>
      <w:r>
        <w:rPr>
          <w:rFonts w:hint="eastAsia" w:ascii="宋体" w:hAnsi="宋体" w:eastAsia="宋体" w:cs="宋体"/>
          <w:sz w:val="24"/>
        </w:rPr>
        <w:t>13.3 工程试车</w:t>
      </w:r>
    </w:p>
    <w:bookmarkEnd w:id="1502"/>
    <w:p w14:paraId="0C8EE2EA">
      <w:pPr>
        <w:pageBreakBefore w:val="0"/>
        <w:widowControl w:val="0"/>
        <w:kinsoku/>
        <w:wordWrap/>
        <w:overflowPunct/>
        <w:topLinePunct w:val="0"/>
        <w:bidi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13.3.1 试车程序</w:t>
      </w:r>
    </w:p>
    <w:p w14:paraId="77EA3374">
      <w:pPr>
        <w:pageBreakBefore w:val="0"/>
        <w:widowControl w:val="0"/>
        <w:kinsoku/>
        <w:wordWrap/>
        <w:overflowPunct/>
        <w:topLinePunct w:val="0"/>
        <w:bidi w:val="0"/>
        <w:snapToGrid/>
        <w:spacing w:line="480" w:lineRule="exact"/>
        <w:ind w:firstLine="480" w:firstLineChars="200"/>
        <w:jc w:val="left"/>
        <w:textAlignment w:val="auto"/>
        <w:outlineLvl w:val="9"/>
        <w:rPr>
          <w:rFonts w:hint="eastAsia" w:ascii="宋体" w:hAnsi="宋体" w:eastAsia="宋体" w:cs="宋体"/>
          <w:sz w:val="24"/>
          <w:u w:val="single"/>
        </w:rPr>
      </w:pPr>
      <w:r>
        <w:rPr>
          <w:rFonts w:hint="eastAsia" w:ascii="宋体" w:hAnsi="宋体" w:eastAsia="宋体" w:cs="宋体"/>
          <w:kern w:val="0"/>
          <w:sz w:val="24"/>
        </w:rPr>
        <w:t>工程试车内容：</w:t>
      </w:r>
      <w:r>
        <w:rPr>
          <w:rFonts w:hint="eastAsia" w:ascii="宋体" w:hAnsi="宋体" w:eastAsia="宋体" w:cs="宋体"/>
          <w:sz w:val="24"/>
          <w:u w:val="single"/>
        </w:rPr>
        <w:t xml:space="preserve">                          </w:t>
      </w:r>
      <w:r>
        <w:rPr>
          <w:rFonts w:hint="eastAsia" w:ascii="宋体" w:hAnsi="宋体" w:eastAsia="宋体" w:cs="宋体"/>
          <w:sz w:val="24"/>
        </w:rPr>
        <w:t>。</w:t>
      </w:r>
    </w:p>
    <w:p w14:paraId="31654D0E">
      <w:pPr>
        <w:pageBreakBefore w:val="0"/>
        <w:widowControl w:val="0"/>
        <w:kinsoku/>
        <w:wordWrap/>
        <w:overflowPunct/>
        <w:topLinePunct w:val="0"/>
        <w:bidi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（1）单机无负荷试车费用由</w:t>
      </w:r>
      <w:r>
        <w:rPr>
          <w:rFonts w:hint="eastAsia" w:ascii="宋体" w:hAnsi="宋体" w:eastAsia="宋体" w:cs="宋体"/>
          <w:sz w:val="24"/>
          <w:u w:val="single"/>
        </w:rPr>
        <w:t xml:space="preserve">            </w:t>
      </w:r>
      <w:r>
        <w:rPr>
          <w:rFonts w:hint="eastAsia" w:ascii="宋体" w:hAnsi="宋体" w:eastAsia="宋体" w:cs="宋体"/>
          <w:kern w:val="0"/>
          <w:sz w:val="24"/>
        </w:rPr>
        <w:t>承担；</w:t>
      </w:r>
    </w:p>
    <w:p w14:paraId="4F5AD955">
      <w:pPr>
        <w:pageBreakBefore w:val="0"/>
        <w:widowControl w:val="0"/>
        <w:kinsoku/>
        <w:wordWrap/>
        <w:overflowPunct/>
        <w:topLinePunct w:val="0"/>
        <w:bidi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（2）无负荷联动试车费用由</w:t>
      </w:r>
      <w:r>
        <w:rPr>
          <w:rFonts w:hint="eastAsia" w:ascii="宋体" w:hAnsi="宋体" w:eastAsia="宋体" w:cs="宋体"/>
          <w:sz w:val="24"/>
          <w:u w:val="single"/>
        </w:rPr>
        <w:t xml:space="preserve">             </w:t>
      </w:r>
      <w:r>
        <w:rPr>
          <w:rFonts w:hint="eastAsia" w:ascii="宋体" w:hAnsi="宋体" w:eastAsia="宋体" w:cs="宋体"/>
          <w:kern w:val="0"/>
          <w:sz w:val="24"/>
        </w:rPr>
        <w:t>承担。</w:t>
      </w:r>
    </w:p>
    <w:p w14:paraId="4BC853F8">
      <w:pPr>
        <w:pageBreakBefore w:val="0"/>
        <w:widowControl w:val="0"/>
        <w:kinsoku/>
        <w:wordWrap/>
        <w:overflowPunct/>
        <w:topLinePunct w:val="0"/>
        <w:bidi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13.3.3 投料试车</w:t>
      </w:r>
    </w:p>
    <w:p w14:paraId="576DDC6A">
      <w:pPr>
        <w:pageBreakBefore w:val="0"/>
        <w:widowControl w:val="0"/>
        <w:kinsoku/>
        <w:wordWrap/>
        <w:overflowPunct/>
        <w:topLinePunct w:val="0"/>
        <w:bidi w:val="0"/>
        <w:snapToGrid/>
        <w:spacing w:line="480" w:lineRule="exact"/>
        <w:ind w:firstLine="480" w:firstLineChars="200"/>
        <w:jc w:val="left"/>
        <w:textAlignment w:val="auto"/>
        <w:outlineLvl w:val="9"/>
        <w:rPr>
          <w:rFonts w:hint="eastAsia" w:ascii="宋体" w:hAnsi="宋体" w:eastAsia="宋体" w:cs="宋体"/>
          <w:sz w:val="24"/>
          <w:u w:val="single"/>
        </w:rPr>
      </w:pPr>
      <w:r>
        <w:rPr>
          <w:rFonts w:hint="eastAsia" w:ascii="宋体" w:hAnsi="宋体" w:eastAsia="宋体" w:cs="宋体"/>
          <w:kern w:val="0"/>
          <w:sz w:val="24"/>
        </w:rPr>
        <w:t>关于投料试车相关事项的约定：</w:t>
      </w:r>
      <w:r>
        <w:rPr>
          <w:rFonts w:hint="eastAsia" w:ascii="宋体" w:hAnsi="宋体" w:eastAsia="宋体" w:cs="宋体"/>
          <w:sz w:val="24"/>
          <w:u w:val="single"/>
        </w:rPr>
        <w:t xml:space="preserve">                        </w:t>
      </w:r>
      <w:r>
        <w:rPr>
          <w:rFonts w:hint="eastAsia" w:ascii="宋体" w:hAnsi="宋体" w:eastAsia="宋体" w:cs="宋体"/>
          <w:sz w:val="24"/>
        </w:rPr>
        <w:t>。</w:t>
      </w:r>
    </w:p>
    <w:p w14:paraId="04C106FA">
      <w:pPr>
        <w:pageBreakBefore w:val="0"/>
        <w:widowControl w:val="0"/>
        <w:kinsoku/>
        <w:wordWrap/>
        <w:overflowPunct/>
        <w:topLinePunct w:val="0"/>
        <w:bidi w:val="0"/>
        <w:snapToGrid/>
        <w:spacing w:after="120" w:line="480" w:lineRule="exact"/>
        <w:ind w:firstLine="480" w:firstLineChars="200"/>
        <w:textAlignment w:val="auto"/>
        <w:outlineLvl w:val="9"/>
        <w:rPr>
          <w:rFonts w:hint="eastAsia" w:ascii="宋体" w:hAnsi="宋体" w:eastAsia="宋体" w:cs="宋体"/>
          <w:sz w:val="24"/>
        </w:rPr>
      </w:pPr>
      <w:r>
        <w:rPr>
          <w:rFonts w:hint="eastAsia" w:ascii="宋体" w:hAnsi="宋体" w:eastAsia="宋体" w:cs="宋体"/>
          <w:sz w:val="24"/>
        </w:rPr>
        <w:t>13.6 竣工退场</w:t>
      </w:r>
    </w:p>
    <w:p w14:paraId="1FAFD474">
      <w:pPr>
        <w:pageBreakBefore w:val="0"/>
        <w:widowControl w:val="0"/>
        <w:kinsoku/>
        <w:wordWrap/>
        <w:overflowPunct/>
        <w:topLinePunct w:val="0"/>
        <w:bidi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13.6.1 竣工退场</w:t>
      </w:r>
    </w:p>
    <w:p w14:paraId="111E2FDF">
      <w:pPr>
        <w:pageBreakBefore w:val="0"/>
        <w:widowControl w:val="0"/>
        <w:kinsoku/>
        <w:wordWrap/>
        <w:overflowPunct/>
        <w:topLinePunct w:val="0"/>
        <w:bidi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承包人完成竣工退场的期限：</w:t>
      </w:r>
      <w:r>
        <w:rPr>
          <w:rFonts w:hint="eastAsia" w:ascii="宋体" w:hAnsi="宋体" w:eastAsia="宋体" w:cs="宋体"/>
          <w:sz w:val="24"/>
          <w:u w:val="single"/>
        </w:rPr>
        <w:t xml:space="preserve">                          </w:t>
      </w:r>
      <w:r>
        <w:rPr>
          <w:rFonts w:hint="eastAsia" w:ascii="宋体" w:hAnsi="宋体" w:eastAsia="宋体" w:cs="宋体"/>
          <w:kern w:val="0"/>
          <w:sz w:val="24"/>
        </w:rPr>
        <w:t>。</w:t>
      </w:r>
    </w:p>
    <w:p w14:paraId="12D908C0">
      <w:pPr>
        <w:pageBreakBefore w:val="0"/>
        <w:widowControl w:val="0"/>
        <w:kinsoku/>
        <w:wordWrap/>
        <w:overflowPunct/>
        <w:topLinePunct w:val="0"/>
        <w:bidi w:val="0"/>
        <w:snapToGrid/>
        <w:spacing w:before="120" w:after="120" w:line="480" w:lineRule="exact"/>
        <w:textAlignment w:val="auto"/>
        <w:outlineLvl w:val="9"/>
        <w:rPr>
          <w:rFonts w:hint="eastAsia" w:ascii="宋体" w:hAnsi="宋体" w:eastAsia="宋体" w:cs="宋体"/>
          <w:b w:val="0"/>
          <w:sz w:val="24"/>
          <w:szCs w:val="24"/>
        </w:rPr>
      </w:pPr>
      <w:bookmarkStart w:id="1504" w:name="_Toc351203646"/>
      <w:r>
        <w:rPr>
          <w:rFonts w:hint="eastAsia" w:ascii="宋体" w:hAnsi="宋体" w:eastAsia="宋体" w:cs="宋体"/>
          <w:b w:val="0"/>
          <w:sz w:val="24"/>
          <w:szCs w:val="24"/>
        </w:rPr>
        <w:t>14. 竣工结算</w:t>
      </w:r>
      <w:bookmarkEnd w:id="1504"/>
    </w:p>
    <w:p w14:paraId="28E3AF29">
      <w:pPr>
        <w:pageBreakBefore w:val="0"/>
        <w:widowControl w:val="0"/>
        <w:kinsoku/>
        <w:wordWrap/>
        <w:overflowPunct/>
        <w:topLinePunct w:val="0"/>
        <w:bidi w:val="0"/>
        <w:snapToGrid/>
        <w:spacing w:after="120" w:line="480" w:lineRule="exact"/>
        <w:ind w:firstLine="480" w:firstLineChars="200"/>
        <w:textAlignment w:val="auto"/>
        <w:outlineLvl w:val="9"/>
        <w:rPr>
          <w:rFonts w:hint="eastAsia" w:ascii="宋体" w:hAnsi="宋体" w:eastAsia="宋体" w:cs="宋体"/>
          <w:sz w:val="24"/>
        </w:rPr>
      </w:pPr>
      <w:r>
        <w:rPr>
          <w:rFonts w:hint="eastAsia" w:ascii="宋体" w:hAnsi="宋体" w:eastAsia="宋体" w:cs="宋体"/>
          <w:sz w:val="24"/>
        </w:rPr>
        <w:t>14.1 竣工结算申请</w:t>
      </w:r>
    </w:p>
    <w:p w14:paraId="5E62E5D7">
      <w:pPr>
        <w:pageBreakBefore w:val="0"/>
        <w:widowControl w:val="0"/>
        <w:kinsoku/>
        <w:wordWrap/>
        <w:overflowPunct/>
        <w:topLinePunct w:val="0"/>
        <w:bidi w:val="0"/>
        <w:snapToGrid/>
        <w:spacing w:line="480" w:lineRule="exact"/>
        <w:ind w:firstLine="480" w:firstLineChars="200"/>
        <w:jc w:val="left"/>
        <w:textAlignment w:val="auto"/>
        <w:outlineLvl w:val="9"/>
        <w:rPr>
          <w:rFonts w:hint="eastAsia" w:ascii="宋体" w:hAnsi="宋体" w:eastAsia="宋体" w:cs="宋体"/>
          <w:sz w:val="24"/>
        </w:rPr>
      </w:pPr>
      <w:r>
        <w:rPr>
          <w:rFonts w:hint="eastAsia" w:ascii="宋体" w:hAnsi="宋体" w:eastAsia="宋体" w:cs="宋体"/>
          <w:sz w:val="24"/>
        </w:rPr>
        <w:t>承包人提交竣工结算申请单的期限：</w:t>
      </w:r>
      <w:r>
        <w:rPr>
          <w:rFonts w:hint="eastAsia" w:ascii="宋体" w:hAnsi="宋体" w:eastAsia="宋体" w:cs="宋体"/>
          <w:sz w:val="24"/>
          <w:u w:val="single"/>
        </w:rPr>
        <w:t xml:space="preserve">        </w:t>
      </w:r>
      <w:r>
        <w:rPr>
          <w:rFonts w:hint="eastAsia" w:ascii="宋体" w:hAnsi="宋体" w:eastAsia="宋体" w:cs="宋体"/>
          <w:sz w:val="24"/>
        </w:rPr>
        <w:t>。</w:t>
      </w:r>
    </w:p>
    <w:p w14:paraId="21C45641">
      <w:pPr>
        <w:pageBreakBefore w:val="0"/>
        <w:widowControl w:val="0"/>
        <w:kinsoku/>
        <w:wordWrap/>
        <w:overflowPunct/>
        <w:topLinePunct w:val="0"/>
        <w:bidi w:val="0"/>
        <w:snapToGrid/>
        <w:spacing w:after="120" w:line="480" w:lineRule="exact"/>
        <w:ind w:firstLine="480" w:firstLineChars="200"/>
        <w:textAlignment w:val="auto"/>
        <w:outlineLvl w:val="9"/>
        <w:rPr>
          <w:rFonts w:hint="eastAsia" w:ascii="宋体" w:hAnsi="宋体" w:eastAsia="宋体" w:cs="宋体"/>
          <w:sz w:val="24"/>
        </w:rPr>
      </w:pPr>
      <w:r>
        <w:rPr>
          <w:rFonts w:hint="eastAsia" w:ascii="宋体" w:hAnsi="宋体" w:eastAsia="宋体" w:cs="宋体"/>
          <w:sz w:val="24"/>
        </w:rPr>
        <w:t>14.2 竣工结算审核</w:t>
      </w:r>
    </w:p>
    <w:p w14:paraId="45528810">
      <w:pPr>
        <w:pageBreakBefore w:val="0"/>
        <w:widowControl w:val="0"/>
        <w:kinsoku/>
        <w:wordWrap/>
        <w:overflowPunct/>
        <w:topLinePunct w:val="0"/>
        <w:bidi w:val="0"/>
        <w:snapToGrid/>
        <w:spacing w:line="480" w:lineRule="exact"/>
        <w:ind w:firstLine="480" w:firstLineChars="200"/>
        <w:jc w:val="left"/>
        <w:textAlignment w:val="auto"/>
        <w:outlineLvl w:val="9"/>
        <w:rPr>
          <w:rFonts w:hint="eastAsia" w:ascii="宋体" w:hAnsi="宋体" w:eastAsia="宋体" w:cs="宋体"/>
          <w:sz w:val="24"/>
        </w:rPr>
      </w:pPr>
      <w:r>
        <w:rPr>
          <w:rFonts w:hint="eastAsia" w:ascii="宋体" w:hAnsi="宋体" w:eastAsia="宋体" w:cs="宋体"/>
          <w:sz w:val="24"/>
        </w:rPr>
        <w:t>发包人审批竣工付款申请单的期限：</w:t>
      </w:r>
      <w:r>
        <w:rPr>
          <w:rFonts w:hint="eastAsia" w:ascii="宋体" w:hAnsi="宋体" w:eastAsia="宋体" w:cs="宋体"/>
          <w:sz w:val="24"/>
          <w:u w:val="single"/>
        </w:rPr>
        <w:t xml:space="preserve">      </w:t>
      </w:r>
      <w:r>
        <w:rPr>
          <w:rFonts w:hint="eastAsia" w:ascii="宋体" w:hAnsi="宋体" w:eastAsia="宋体" w:cs="宋体"/>
          <w:sz w:val="24"/>
        </w:rPr>
        <w:t>。</w:t>
      </w:r>
    </w:p>
    <w:p w14:paraId="575658C8">
      <w:pPr>
        <w:pageBreakBefore w:val="0"/>
        <w:widowControl w:val="0"/>
        <w:kinsoku/>
        <w:wordWrap/>
        <w:overflowPunct/>
        <w:topLinePunct w:val="0"/>
        <w:bidi w:val="0"/>
        <w:snapToGrid/>
        <w:spacing w:line="480" w:lineRule="exact"/>
        <w:ind w:firstLine="480" w:firstLineChars="200"/>
        <w:jc w:val="left"/>
        <w:textAlignment w:val="auto"/>
        <w:outlineLvl w:val="9"/>
        <w:rPr>
          <w:rFonts w:hint="eastAsia" w:ascii="宋体" w:hAnsi="宋体" w:eastAsia="宋体" w:cs="宋体"/>
          <w:sz w:val="24"/>
        </w:rPr>
      </w:pPr>
      <w:r>
        <w:rPr>
          <w:rFonts w:hint="eastAsia" w:ascii="宋体" w:hAnsi="宋体" w:eastAsia="宋体" w:cs="宋体"/>
          <w:sz w:val="24"/>
        </w:rPr>
        <w:t>发包人完成竣工付款的期限：</w:t>
      </w:r>
      <w:r>
        <w:rPr>
          <w:rFonts w:hint="eastAsia" w:ascii="宋体" w:hAnsi="宋体" w:eastAsia="宋体" w:cs="宋体"/>
          <w:sz w:val="24"/>
          <w:u w:val="single"/>
        </w:rPr>
        <w:t xml:space="preserve">       </w:t>
      </w:r>
      <w:r>
        <w:rPr>
          <w:rFonts w:hint="eastAsia" w:ascii="宋体" w:hAnsi="宋体" w:eastAsia="宋体" w:cs="宋体"/>
          <w:sz w:val="24"/>
        </w:rPr>
        <w:t>。</w:t>
      </w:r>
    </w:p>
    <w:p w14:paraId="6DA23119">
      <w:pPr>
        <w:pageBreakBefore w:val="0"/>
        <w:widowControl w:val="0"/>
        <w:kinsoku/>
        <w:wordWrap/>
        <w:overflowPunct/>
        <w:topLinePunct w:val="0"/>
        <w:bidi w:val="0"/>
        <w:snapToGrid/>
        <w:spacing w:line="480" w:lineRule="exact"/>
        <w:jc w:val="left"/>
        <w:textAlignment w:val="auto"/>
        <w:outlineLvl w:val="9"/>
        <w:rPr>
          <w:rFonts w:hint="eastAsia" w:ascii="宋体" w:hAnsi="宋体" w:eastAsia="宋体" w:cs="宋体"/>
          <w:sz w:val="24"/>
        </w:rPr>
      </w:pPr>
      <w:r>
        <w:rPr>
          <w:rFonts w:hint="eastAsia" w:ascii="宋体" w:hAnsi="宋体" w:eastAsia="宋体" w:cs="宋体"/>
          <w:sz w:val="24"/>
        </w:rPr>
        <w:t>关于竣工付款证书异议部分复核的方式和程序：</w:t>
      </w:r>
      <w:r>
        <w:rPr>
          <w:rFonts w:hint="eastAsia" w:ascii="宋体" w:hAnsi="宋体" w:eastAsia="宋体" w:cs="宋体"/>
          <w:sz w:val="24"/>
          <w:u w:val="single"/>
        </w:rPr>
        <w:t xml:space="preserve">   </w:t>
      </w:r>
      <w:r>
        <w:rPr>
          <w:rFonts w:hint="eastAsia" w:ascii="宋体" w:hAnsi="宋体" w:eastAsia="宋体" w:cs="宋体"/>
          <w:sz w:val="24"/>
        </w:rPr>
        <w:t>。</w:t>
      </w:r>
    </w:p>
    <w:p w14:paraId="2FC948A3">
      <w:pPr>
        <w:pageBreakBefore w:val="0"/>
        <w:widowControl w:val="0"/>
        <w:kinsoku/>
        <w:wordWrap/>
        <w:overflowPunct/>
        <w:topLinePunct w:val="0"/>
        <w:bidi w:val="0"/>
        <w:snapToGrid/>
        <w:spacing w:after="120" w:line="480" w:lineRule="exact"/>
        <w:ind w:firstLine="480" w:firstLineChars="200"/>
        <w:textAlignment w:val="auto"/>
        <w:outlineLvl w:val="9"/>
        <w:rPr>
          <w:rFonts w:hint="eastAsia" w:ascii="宋体" w:hAnsi="宋体" w:eastAsia="宋体" w:cs="宋体"/>
          <w:sz w:val="24"/>
        </w:rPr>
      </w:pPr>
      <w:r>
        <w:rPr>
          <w:rFonts w:hint="eastAsia" w:ascii="宋体" w:hAnsi="宋体" w:eastAsia="宋体" w:cs="宋体"/>
          <w:sz w:val="24"/>
        </w:rPr>
        <w:t>14.4 最终结清</w:t>
      </w:r>
    </w:p>
    <w:p w14:paraId="3E8D58A9">
      <w:pPr>
        <w:pageBreakBefore w:val="0"/>
        <w:widowControl w:val="0"/>
        <w:kinsoku/>
        <w:wordWrap/>
        <w:overflowPunct/>
        <w:topLinePunct w:val="0"/>
        <w:bidi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14.4.1 最终结清申请单</w:t>
      </w:r>
    </w:p>
    <w:p w14:paraId="614EC49F">
      <w:pPr>
        <w:pageBreakBefore w:val="0"/>
        <w:widowControl w:val="0"/>
        <w:kinsoku/>
        <w:wordWrap/>
        <w:overflowPunct/>
        <w:topLinePunct w:val="0"/>
        <w:bidi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承包人提交最终结清申请单的份数：</w:t>
      </w:r>
      <w:r>
        <w:rPr>
          <w:rFonts w:hint="eastAsia" w:ascii="宋体" w:hAnsi="宋体" w:eastAsia="宋体" w:cs="宋体"/>
          <w:sz w:val="24"/>
          <w:u w:val="single"/>
        </w:rPr>
        <w:t xml:space="preserve">           </w:t>
      </w:r>
      <w:r>
        <w:rPr>
          <w:rFonts w:hint="eastAsia" w:ascii="宋体" w:hAnsi="宋体" w:eastAsia="宋体" w:cs="宋体"/>
          <w:sz w:val="24"/>
        </w:rPr>
        <w:t>。</w:t>
      </w:r>
    </w:p>
    <w:p w14:paraId="21A824EF">
      <w:pPr>
        <w:pageBreakBefore w:val="0"/>
        <w:widowControl w:val="0"/>
        <w:kinsoku/>
        <w:wordWrap/>
        <w:overflowPunct/>
        <w:topLinePunct w:val="0"/>
        <w:bidi w:val="0"/>
        <w:snapToGrid/>
        <w:spacing w:line="480" w:lineRule="exact"/>
        <w:ind w:firstLine="480" w:firstLineChars="200"/>
        <w:jc w:val="left"/>
        <w:textAlignment w:val="auto"/>
        <w:outlineLvl w:val="9"/>
        <w:rPr>
          <w:rFonts w:hint="eastAsia" w:ascii="宋体" w:hAnsi="宋体" w:eastAsia="宋体" w:cs="宋体"/>
          <w:sz w:val="24"/>
        </w:rPr>
      </w:pPr>
      <w:r>
        <w:rPr>
          <w:rFonts w:hint="eastAsia" w:ascii="宋体" w:hAnsi="宋体" w:eastAsia="宋体" w:cs="宋体"/>
          <w:kern w:val="0"/>
          <w:sz w:val="24"/>
        </w:rPr>
        <w:t>承包人提交最终结算申请单的期限：</w:t>
      </w:r>
      <w:r>
        <w:rPr>
          <w:rFonts w:hint="eastAsia" w:ascii="宋体" w:hAnsi="宋体" w:eastAsia="宋体" w:cs="宋体"/>
          <w:sz w:val="24"/>
          <w:u w:val="single"/>
        </w:rPr>
        <w:t xml:space="preserve">           </w:t>
      </w:r>
      <w:r>
        <w:rPr>
          <w:rFonts w:hint="eastAsia" w:ascii="宋体" w:hAnsi="宋体" w:eastAsia="宋体" w:cs="宋体"/>
          <w:sz w:val="24"/>
        </w:rPr>
        <w:t xml:space="preserve">。 </w:t>
      </w:r>
    </w:p>
    <w:p w14:paraId="638742F4">
      <w:pPr>
        <w:pageBreakBefore w:val="0"/>
        <w:widowControl w:val="0"/>
        <w:kinsoku/>
        <w:wordWrap/>
        <w:overflowPunct/>
        <w:topLinePunct w:val="0"/>
        <w:bidi w:val="0"/>
        <w:snapToGrid/>
        <w:spacing w:line="480" w:lineRule="exact"/>
        <w:ind w:firstLine="480" w:firstLineChars="200"/>
        <w:jc w:val="left"/>
        <w:textAlignment w:val="auto"/>
        <w:outlineLvl w:val="9"/>
        <w:rPr>
          <w:rFonts w:hint="eastAsia" w:ascii="宋体" w:hAnsi="宋体" w:eastAsia="宋体" w:cs="宋体"/>
          <w:sz w:val="24"/>
        </w:rPr>
      </w:pPr>
      <w:r>
        <w:rPr>
          <w:rFonts w:hint="eastAsia" w:ascii="宋体" w:hAnsi="宋体" w:eastAsia="宋体" w:cs="宋体"/>
          <w:sz w:val="24"/>
        </w:rPr>
        <w:t>14.4.2 最终结清证书和支付</w:t>
      </w:r>
    </w:p>
    <w:p w14:paraId="680E453E">
      <w:pPr>
        <w:pageBreakBefore w:val="0"/>
        <w:widowControl w:val="0"/>
        <w:kinsoku/>
        <w:wordWrap/>
        <w:overflowPunct/>
        <w:topLinePunct w:val="0"/>
        <w:bidi w:val="0"/>
        <w:snapToGrid/>
        <w:spacing w:line="480" w:lineRule="exact"/>
        <w:ind w:firstLine="480" w:firstLineChars="200"/>
        <w:jc w:val="left"/>
        <w:textAlignment w:val="auto"/>
        <w:outlineLvl w:val="9"/>
        <w:rPr>
          <w:rFonts w:hint="eastAsia" w:ascii="宋体" w:hAnsi="宋体" w:eastAsia="宋体" w:cs="宋体"/>
          <w:sz w:val="24"/>
        </w:rPr>
      </w:pPr>
      <w:r>
        <w:rPr>
          <w:rFonts w:hint="eastAsia" w:ascii="宋体" w:hAnsi="宋体" w:eastAsia="宋体" w:cs="宋体"/>
          <w:sz w:val="24"/>
        </w:rPr>
        <w:t>（1）发包人完成最终结清申请单的审批并颁发最终结清证书的期限：</w:t>
      </w:r>
      <w:r>
        <w:rPr>
          <w:rFonts w:hint="eastAsia" w:ascii="宋体" w:hAnsi="宋体" w:eastAsia="宋体" w:cs="宋体"/>
          <w:sz w:val="24"/>
          <w:u w:val="single"/>
        </w:rPr>
        <w:t xml:space="preserve">        </w:t>
      </w:r>
      <w:r>
        <w:rPr>
          <w:rFonts w:hint="eastAsia" w:ascii="宋体" w:hAnsi="宋体" w:eastAsia="宋体" w:cs="宋体"/>
          <w:sz w:val="24"/>
        </w:rPr>
        <w:t>。</w:t>
      </w:r>
    </w:p>
    <w:p w14:paraId="2FAA95AD">
      <w:pPr>
        <w:pageBreakBefore w:val="0"/>
        <w:widowControl w:val="0"/>
        <w:kinsoku/>
        <w:wordWrap/>
        <w:overflowPunct/>
        <w:topLinePunct w:val="0"/>
        <w:bidi w:val="0"/>
        <w:snapToGrid/>
        <w:spacing w:line="480" w:lineRule="exact"/>
        <w:ind w:firstLine="480" w:firstLineChars="200"/>
        <w:jc w:val="left"/>
        <w:textAlignment w:val="auto"/>
        <w:outlineLvl w:val="9"/>
        <w:rPr>
          <w:rFonts w:hint="eastAsia" w:ascii="宋体" w:hAnsi="宋体" w:eastAsia="宋体" w:cs="宋体"/>
          <w:sz w:val="24"/>
        </w:rPr>
      </w:pPr>
      <w:r>
        <w:rPr>
          <w:rFonts w:hint="eastAsia" w:ascii="宋体" w:hAnsi="宋体" w:eastAsia="宋体" w:cs="宋体"/>
          <w:sz w:val="24"/>
        </w:rPr>
        <w:t>（2）发包人完成支付的期限：</w:t>
      </w:r>
      <w:r>
        <w:rPr>
          <w:rFonts w:hint="eastAsia" w:ascii="宋体" w:hAnsi="宋体" w:eastAsia="宋体" w:cs="宋体"/>
          <w:sz w:val="24"/>
          <w:u w:val="single"/>
        </w:rPr>
        <w:t xml:space="preserve">     </w:t>
      </w:r>
      <w:r>
        <w:rPr>
          <w:rFonts w:hint="eastAsia" w:ascii="宋体" w:hAnsi="宋体" w:eastAsia="宋体" w:cs="宋体"/>
          <w:sz w:val="24"/>
        </w:rPr>
        <w:t>。</w:t>
      </w:r>
    </w:p>
    <w:bookmarkEnd w:id="1491"/>
    <w:bookmarkEnd w:id="1492"/>
    <w:bookmarkEnd w:id="1493"/>
    <w:bookmarkEnd w:id="1494"/>
    <w:bookmarkEnd w:id="1495"/>
    <w:bookmarkEnd w:id="1496"/>
    <w:bookmarkEnd w:id="1497"/>
    <w:bookmarkEnd w:id="1503"/>
    <w:p w14:paraId="461C659E">
      <w:pPr>
        <w:pageBreakBefore w:val="0"/>
        <w:widowControl w:val="0"/>
        <w:kinsoku/>
        <w:wordWrap/>
        <w:overflowPunct/>
        <w:topLinePunct w:val="0"/>
        <w:bidi w:val="0"/>
        <w:snapToGrid/>
        <w:spacing w:before="120" w:after="120" w:line="480" w:lineRule="exact"/>
        <w:textAlignment w:val="auto"/>
        <w:outlineLvl w:val="9"/>
        <w:rPr>
          <w:rFonts w:hint="eastAsia" w:ascii="宋体" w:hAnsi="宋体" w:eastAsia="宋体" w:cs="宋体"/>
          <w:b w:val="0"/>
          <w:sz w:val="24"/>
          <w:szCs w:val="24"/>
        </w:rPr>
      </w:pPr>
      <w:bookmarkStart w:id="1505" w:name="_Toc351203647"/>
      <w:bookmarkStart w:id="1506" w:name="_Toc267251483"/>
      <w:bookmarkStart w:id="1507" w:name="_Toc267251484"/>
      <w:bookmarkStart w:id="1508" w:name="_Toc267251482"/>
      <w:bookmarkStart w:id="1509" w:name="_Toc267251485"/>
      <w:bookmarkStart w:id="1510" w:name="_Toc267251490"/>
      <w:bookmarkStart w:id="1511" w:name="_Toc267251488"/>
      <w:bookmarkStart w:id="1512" w:name="_Toc267251486"/>
      <w:bookmarkStart w:id="1513" w:name="_Toc267251489"/>
      <w:bookmarkStart w:id="1514" w:name="_Toc267251491"/>
      <w:bookmarkStart w:id="1515" w:name="_Toc267251501"/>
      <w:bookmarkStart w:id="1516" w:name="_Toc267251493"/>
      <w:bookmarkStart w:id="1517" w:name="_Toc267251499"/>
      <w:bookmarkStart w:id="1518" w:name="_Toc267251492"/>
      <w:bookmarkStart w:id="1519" w:name="_Toc267251497"/>
      <w:bookmarkStart w:id="1520" w:name="_Toc267251495"/>
      <w:bookmarkStart w:id="1521" w:name="_Toc267251496"/>
      <w:bookmarkStart w:id="1522" w:name="_Toc267251494"/>
      <w:bookmarkStart w:id="1523" w:name="_Toc267251498"/>
      <w:bookmarkStart w:id="1524" w:name="_Toc267251503"/>
      <w:bookmarkStart w:id="1525" w:name="_Toc267251502"/>
      <w:bookmarkStart w:id="1526" w:name="_Toc267251507"/>
      <w:bookmarkStart w:id="1527" w:name="_Toc267251504"/>
      <w:bookmarkStart w:id="1528" w:name="_Toc267251506"/>
      <w:bookmarkStart w:id="1529" w:name="_Toc267251508"/>
      <w:bookmarkStart w:id="1530" w:name="_Toc267251511"/>
      <w:bookmarkStart w:id="1531" w:name="_Toc267251514"/>
      <w:bookmarkStart w:id="1532" w:name="_Toc267251515"/>
      <w:bookmarkStart w:id="1533" w:name="_Toc267251513"/>
      <w:bookmarkStart w:id="1534" w:name="_Toc267251509"/>
      <w:bookmarkStart w:id="1535" w:name="_Toc267251510"/>
      <w:r>
        <w:rPr>
          <w:rFonts w:hint="eastAsia" w:ascii="宋体" w:hAnsi="宋体" w:eastAsia="宋体" w:cs="宋体"/>
          <w:b w:val="0"/>
          <w:sz w:val="24"/>
          <w:szCs w:val="24"/>
        </w:rPr>
        <w:t>15. 缺陷责任期与保修</w:t>
      </w:r>
      <w:bookmarkEnd w:id="1505"/>
    </w:p>
    <w:p w14:paraId="54629368">
      <w:pPr>
        <w:pageBreakBefore w:val="0"/>
        <w:widowControl w:val="0"/>
        <w:kinsoku/>
        <w:wordWrap/>
        <w:overflowPunct/>
        <w:topLinePunct w:val="0"/>
        <w:bidi w:val="0"/>
        <w:snapToGrid/>
        <w:spacing w:after="120" w:line="480" w:lineRule="exact"/>
        <w:ind w:firstLine="480" w:firstLineChars="200"/>
        <w:textAlignment w:val="auto"/>
        <w:outlineLvl w:val="9"/>
        <w:rPr>
          <w:rFonts w:hint="eastAsia" w:ascii="宋体" w:hAnsi="宋体" w:eastAsia="宋体" w:cs="宋体"/>
          <w:sz w:val="24"/>
        </w:rPr>
      </w:pPr>
      <w:r>
        <w:rPr>
          <w:rFonts w:hint="eastAsia" w:ascii="宋体" w:hAnsi="宋体" w:eastAsia="宋体" w:cs="宋体"/>
          <w:sz w:val="24"/>
        </w:rPr>
        <w:t>15.2缺陷责任期</w:t>
      </w:r>
      <w:bookmarkEnd w:id="1506"/>
    </w:p>
    <w:p w14:paraId="5B76E59D">
      <w:pPr>
        <w:pageBreakBefore w:val="0"/>
        <w:widowControl w:val="0"/>
        <w:kinsoku/>
        <w:wordWrap/>
        <w:overflowPunct/>
        <w:topLinePunct w:val="0"/>
        <w:bidi w:val="0"/>
        <w:snapToGrid/>
        <w:spacing w:line="480" w:lineRule="exact"/>
        <w:jc w:val="left"/>
        <w:textAlignment w:val="auto"/>
        <w:outlineLvl w:val="9"/>
        <w:rPr>
          <w:rFonts w:hint="eastAsia" w:ascii="宋体" w:hAnsi="宋体" w:eastAsia="宋体" w:cs="宋体"/>
          <w:sz w:val="24"/>
        </w:rPr>
      </w:pPr>
      <w:r>
        <w:rPr>
          <w:rFonts w:hint="eastAsia" w:ascii="宋体" w:hAnsi="宋体" w:eastAsia="宋体" w:cs="宋体"/>
          <w:sz w:val="24"/>
        </w:rPr>
        <w:t>缺陷责任期的具体期限：</w:t>
      </w:r>
      <w:r>
        <w:rPr>
          <w:rFonts w:hint="eastAsia" w:ascii="宋体" w:hAnsi="宋体" w:eastAsia="宋体" w:cs="宋体"/>
          <w:sz w:val="24"/>
          <w:u w:val="single"/>
        </w:rPr>
        <w:t xml:space="preserve">           </w:t>
      </w:r>
      <w:r>
        <w:rPr>
          <w:rFonts w:hint="eastAsia" w:ascii="宋体" w:hAnsi="宋体" w:eastAsia="宋体" w:cs="宋体"/>
          <w:sz w:val="24"/>
        </w:rPr>
        <w:t>。</w:t>
      </w:r>
    </w:p>
    <w:p w14:paraId="0D70E94C">
      <w:pPr>
        <w:pageBreakBefore w:val="0"/>
        <w:widowControl w:val="0"/>
        <w:kinsoku/>
        <w:wordWrap/>
        <w:overflowPunct/>
        <w:topLinePunct w:val="0"/>
        <w:bidi w:val="0"/>
        <w:snapToGrid/>
        <w:spacing w:after="120" w:line="480" w:lineRule="exact"/>
        <w:ind w:firstLine="480" w:firstLineChars="200"/>
        <w:textAlignment w:val="auto"/>
        <w:outlineLvl w:val="9"/>
        <w:rPr>
          <w:rFonts w:hint="eastAsia" w:ascii="宋体" w:hAnsi="宋体" w:eastAsia="宋体" w:cs="宋体"/>
          <w:sz w:val="24"/>
        </w:rPr>
      </w:pPr>
      <w:r>
        <w:rPr>
          <w:rFonts w:hint="eastAsia" w:ascii="宋体" w:hAnsi="宋体" w:eastAsia="宋体" w:cs="宋体"/>
          <w:sz w:val="24"/>
        </w:rPr>
        <w:t>15.3 质量保证金</w:t>
      </w:r>
    </w:p>
    <w:p w14:paraId="5AB44B2F">
      <w:pPr>
        <w:pageBreakBefore w:val="0"/>
        <w:widowControl w:val="0"/>
        <w:kinsoku/>
        <w:wordWrap/>
        <w:overflowPunct/>
        <w:topLinePunct w:val="0"/>
        <w:bidi w:val="0"/>
        <w:snapToGrid/>
        <w:spacing w:line="480" w:lineRule="exact"/>
        <w:ind w:firstLine="480" w:firstLineChars="200"/>
        <w:jc w:val="left"/>
        <w:textAlignment w:val="auto"/>
        <w:outlineLvl w:val="9"/>
        <w:rPr>
          <w:rFonts w:hint="eastAsia" w:ascii="宋体" w:hAnsi="宋体" w:eastAsia="宋体" w:cs="宋体"/>
          <w:sz w:val="24"/>
        </w:rPr>
      </w:pPr>
      <w:r>
        <w:rPr>
          <w:rFonts w:hint="eastAsia" w:ascii="宋体" w:hAnsi="宋体" w:eastAsia="宋体" w:cs="宋体"/>
          <w:sz w:val="24"/>
        </w:rPr>
        <w:t>关于是否扣留质量保证金的约定：</w:t>
      </w:r>
      <w:r>
        <w:rPr>
          <w:rFonts w:hint="eastAsia" w:ascii="宋体" w:hAnsi="宋体" w:eastAsia="宋体" w:cs="宋体"/>
          <w:sz w:val="24"/>
          <w:u w:val="single"/>
        </w:rPr>
        <w:t xml:space="preserve">       </w:t>
      </w:r>
      <w:r>
        <w:rPr>
          <w:rFonts w:hint="eastAsia" w:ascii="宋体" w:hAnsi="宋体" w:eastAsia="宋体" w:cs="宋体"/>
          <w:sz w:val="24"/>
        </w:rPr>
        <w:t>。</w:t>
      </w:r>
    </w:p>
    <w:p w14:paraId="6D273667">
      <w:pPr>
        <w:pageBreakBefore w:val="0"/>
        <w:widowControl w:val="0"/>
        <w:kinsoku/>
        <w:wordWrap/>
        <w:overflowPunct/>
        <w:topLinePunct w:val="0"/>
        <w:bidi w:val="0"/>
        <w:snapToGrid/>
        <w:spacing w:line="480" w:lineRule="exact"/>
        <w:ind w:firstLine="480" w:firstLineChars="200"/>
        <w:jc w:val="left"/>
        <w:textAlignment w:val="auto"/>
        <w:outlineLvl w:val="9"/>
        <w:rPr>
          <w:rFonts w:hint="eastAsia" w:ascii="宋体" w:hAnsi="宋体" w:eastAsia="宋体" w:cs="宋体"/>
          <w:sz w:val="24"/>
        </w:rPr>
      </w:pPr>
      <w:r>
        <w:rPr>
          <w:rFonts w:hint="eastAsia" w:ascii="宋体" w:hAnsi="宋体" w:eastAsia="宋体" w:cs="宋体"/>
          <w:sz w:val="24"/>
        </w:rPr>
        <w:t>15.3.1 承包人提供质量保证金的方式</w:t>
      </w:r>
    </w:p>
    <w:p w14:paraId="7F55C3A0">
      <w:pPr>
        <w:pageBreakBefore w:val="0"/>
        <w:widowControl w:val="0"/>
        <w:kinsoku/>
        <w:wordWrap/>
        <w:overflowPunct/>
        <w:topLinePunct w:val="0"/>
        <w:bidi w:val="0"/>
        <w:snapToGrid/>
        <w:spacing w:line="480" w:lineRule="exact"/>
        <w:ind w:firstLine="480" w:firstLineChars="200"/>
        <w:jc w:val="left"/>
        <w:textAlignment w:val="auto"/>
        <w:outlineLvl w:val="9"/>
        <w:rPr>
          <w:rFonts w:hint="eastAsia" w:ascii="宋体" w:hAnsi="宋体" w:eastAsia="宋体" w:cs="宋体"/>
          <w:sz w:val="24"/>
        </w:rPr>
      </w:pPr>
      <w:r>
        <w:rPr>
          <w:rFonts w:hint="eastAsia" w:ascii="宋体" w:hAnsi="宋体" w:eastAsia="宋体" w:cs="宋体"/>
          <w:sz w:val="24"/>
        </w:rPr>
        <w:t>质量保证金采用以下第</w:t>
      </w:r>
      <w:r>
        <w:rPr>
          <w:rFonts w:hint="eastAsia" w:ascii="宋体" w:hAnsi="宋体" w:eastAsia="宋体" w:cs="宋体"/>
          <w:sz w:val="24"/>
          <w:u w:val="single"/>
        </w:rPr>
        <w:t xml:space="preserve">    </w:t>
      </w:r>
      <w:r>
        <w:rPr>
          <w:rFonts w:hint="eastAsia" w:ascii="宋体" w:hAnsi="宋体" w:eastAsia="宋体" w:cs="宋体"/>
          <w:sz w:val="24"/>
        </w:rPr>
        <w:t>种方式：</w:t>
      </w:r>
    </w:p>
    <w:p w14:paraId="0203B5B5">
      <w:pPr>
        <w:pageBreakBefore w:val="0"/>
        <w:widowControl w:val="0"/>
        <w:kinsoku/>
        <w:wordWrap/>
        <w:overflowPunct/>
        <w:topLinePunct w:val="0"/>
        <w:autoSpaceDE w:val="0"/>
        <w:autoSpaceDN w:val="0"/>
        <w:bidi w:val="0"/>
        <w:adjustRightInd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（1）质量保证金保函，保证金额为：</w:t>
      </w:r>
      <w:r>
        <w:rPr>
          <w:rFonts w:hint="eastAsia" w:ascii="宋体" w:hAnsi="宋体" w:eastAsia="宋体" w:cs="宋体"/>
          <w:kern w:val="0"/>
          <w:sz w:val="24"/>
          <w:u w:val="single"/>
        </w:rPr>
        <w:t xml:space="preserve">            </w:t>
      </w:r>
      <w:r>
        <w:rPr>
          <w:rFonts w:hint="eastAsia" w:ascii="宋体" w:hAnsi="宋体" w:eastAsia="宋体" w:cs="宋体"/>
          <w:kern w:val="0"/>
          <w:sz w:val="24"/>
        </w:rPr>
        <w:t xml:space="preserve">； </w:t>
      </w:r>
    </w:p>
    <w:p w14:paraId="4E650632">
      <w:pPr>
        <w:pageBreakBefore w:val="0"/>
        <w:widowControl w:val="0"/>
        <w:kinsoku/>
        <w:wordWrap/>
        <w:overflowPunct/>
        <w:topLinePunct w:val="0"/>
        <w:autoSpaceDE w:val="0"/>
        <w:autoSpaceDN w:val="0"/>
        <w:bidi w:val="0"/>
        <w:adjustRightInd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（2）</w:t>
      </w:r>
      <w:r>
        <w:rPr>
          <w:rFonts w:hint="eastAsia" w:ascii="宋体" w:hAnsi="宋体" w:eastAsia="宋体" w:cs="宋体"/>
          <w:kern w:val="0"/>
          <w:sz w:val="24"/>
          <w:u w:val="single"/>
        </w:rPr>
        <w:t xml:space="preserve">    %</w:t>
      </w:r>
      <w:r>
        <w:rPr>
          <w:rFonts w:hint="eastAsia" w:ascii="宋体" w:hAnsi="宋体" w:eastAsia="宋体" w:cs="宋体"/>
          <w:kern w:val="0"/>
          <w:sz w:val="24"/>
        </w:rPr>
        <w:t xml:space="preserve">的工程款； </w:t>
      </w:r>
    </w:p>
    <w:p w14:paraId="55AA424A">
      <w:pPr>
        <w:pageBreakBefore w:val="0"/>
        <w:widowControl w:val="0"/>
        <w:kinsoku/>
        <w:wordWrap/>
        <w:overflowPunct/>
        <w:topLinePunct w:val="0"/>
        <w:autoSpaceDE w:val="0"/>
        <w:autoSpaceDN w:val="0"/>
        <w:bidi w:val="0"/>
        <w:adjustRightInd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（3）其他方式:</w:t>
      </w:r>
      <w:r>
        <w:rPr>
          <w:rFonts w:hint="eastAsia" w:ascii="宋体" w:hAnsi="宋体" w:eastAsia="宋体" w:cs="宋体"/>
          <w:kern w:val="0"/>
          <w:sz w:val="24"/>
          <w:u w:val="single"/>
        </w:rPr>
        <w:t xml:space="preserve">              </w:t>
      </w:r>
      <w:r>
        <w:rPr>
          <w:rFonts w:hint="eastAsia" w:ascii="宋体" w:hAnsi="宋体" w:eastAsia="宋体" w:cs="宋体"/>
          <w:kern w:val="0"/>
          <w:sz w:val="24"/>
        </w:rPr>
        <w:t>。</w:t>
      </w:r>
    </w:p>
    <w:p w14:paraId="79EA338C">
      <w:pPr>
        <w:pageBreakBefore w:val="0"/>
        <w:widowControl w:val="0"/>
        <w:kinsoku/>
        <w:wordWrap/>
        <w:overflowPunct/>
        <w:topLinePunct w:val="0"/>
        <w:bidi w:val="0"/>
        <w:snapToGrid/>
        <w:spacing w:line="480" w:lineRule="exact"/>
        <w:ind w:firstLine="480" w:firstLineChars="200"/>
        <w:jc w:val="left"/>
        <w:textAlignment w:val="auto"/>
        <w:outlineLvl w:val="9"/>
        <w:rPr>
          <w:rFonts w:hint="eastAsia" w:ascii="宋体" w:hAnsi="宋体" w:eastAsia="宋体" w:cs="宋体"/>
          <w:sz w:val="24"/>
        </w:rPr>
      </w:pPr>
      <w:r>
        <w:rPr>
          <w:rFonts w:hint="eastAsia" w:ascii="宋体" w:hAnsi="宋体" w:eastAsia="宋体" w:cs="宋体"/>
          <w:sz w:val="24"/>
        </w:rPr>
        <w:t xml:space="preserve">15.3.2 质量保证金的扣留 </w:t>
      </w:r>
    </w:p>
    <w:p w14:paraId="283DCF61">
      <w:pPr>
        <w:pageBreakBefore w:val="0"/>
        <w:widowControl w:val="0"/>
        <w:kinsoku/>
        <w:wordWrap/>
        <w:overflowPunct/>
        <w:topLinePunct w:val="0"/>
        <w:bidi w:val="0"/>
        <w:snapToGrid/>
        <w:spacing w:line="480" w:lineRule="exact"/>
        <w:ind w:firstLine="480" w:firstLineChars="200"/>
        <w:jc w:val="left"/>
        <w:textAlignment w:val="auto"/>
        <w:outlineLvl w:val="9"/>
        <w:rPr>
          <w:rFonts w:hint="eastAsia" w:ascii="宋体" w:hAnsi="宋体" w:eastAsia="宋体" w:cs="宋体"/>
          <w:sz w:val="24"/>
        </w:rPr>
      </w:pPr>
      <w:r>
        <w:rPr>
          <w:rFonts w:hint="eastAsia" w:ascii="宋体" w:hAnsi="宋体" w:eastAsia="宋体" w:cs="宋体"/>
          <w:sz w:val="24"/>
        </w:rPr>
        <w:t>质量保证金的扣留采取以下第</w:t>
      </w:r>
      <w:r>
        <w:rPr>
          <w:rFonts w:hint="eastAsia" w:ascii="宋体" w:hAnsi="宋体" w:eastAsia="宋体" w:cs="宋体"/>
          <w:sz w:val="24"/>
          <w:u w:val="single"/>
        </w:rPr>
        <w:t xml:space="preserve">    </w:t>
      </w:r>
      <w:r>
        <w:rPr>
          <w:rFonts w:hint="eastAsia" w:ascii="宋体" w:hAnsi="宋体" w:eastAsia="宋体" w:cs="宋体"/>
          <w:sz w:val="24"/>
        </w:rPr>
        <w:t>种方式：</w:t>
      </w:r>
    </w:p>
    <w:p w14:paraId="26B38C42">
      <w:pPr>
        <w:pageBreakBefore w:val="0"/>
        <w:widowControl w:val="0"/>
        <w:kinsoku/>
        <w:wordWrap/>
        <w:overflowPunct/>
        <w:topLinePunct w:val="0"/>
        <w:autoSpaceDE w:val="0"/>
        <w:autoSpaceDN w:val="0"/>
        <w:bidi w:val="0"/>
        <w:adjustRightInd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（1）在支付工程进度款时逐次扣留，在此情形下，质量保证金的计算基数不包括预付款的支付、扣回以及价格调整的金额；</w:t>
      </w:r>
    </w:p>
    <w:p w14:paraId="2CA78A2C">
      <w:pPr>
        <w:pageBreakBefore w:val="0"/>
        <w:widowControl w:val="0"/>
        <w:kinsoku/>
        <w:wordWrap/>
        <w:overflowPunct/>
        <w:topLinePunct w:val="0"/>
        <w:autoSpaceDE w:val="0"/>
        <w:autoSpaceDN w:val="0"/>
        <w:bidi w:val="0"/>
        <w:adjustRightInd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（2）工程竣工结算时一次性扣留质量保证金；</w:t>
      </w:r>
    </w:p>
    <w:p w14:paraId="70EB41D0">
      <w:pPr>
        <w:pageBreakBefore w:val="0"/>
        <w:widowControl w:val="0"/>
        <w:kinsoku/>
        <w:wordWrap/>
        <w:overflowPunct/>
        <w:topLinePunct w:val="0"/>
        <w:autoSpaceDE w:val="0"/>
        <w:autoSpaceDN w:val="0"/>
        <w:bidi w:val="0"/>
        <w:adjustRightInd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（3）其他扣留方式:</w:t>
      </w:r>
      <w:r>
        <w:rPr>
          <w:rFonts w:hint="eastAsia" w:ascii="宋体" w:hAnsi="宋体" w:eastAsia="宋体" w:cs="宋体"/>
          <w:kern w:val="0"/>
          <w:sz w:val="24"/>
          <w:u w:val="single"/>
        </w:rPr>
        <w:t xml:space="preserve">                      </w:t>
      </w:r>
      <w:r>
        <w:rPr>
          <w:rFonts w:hint="eastAsia" w:ascii="宋体" w:hAnsi="宋体" w:eastAsia="宋体" w:cs="宋体"/>
          <w:kern w:val="0"/>
          <w:sz w:val="24"/>
        </w:rPr>
        <w:t>。</w:t>
      </w:r>
    </w:p>
    <w:p w14:paraId="40941276">
      <w:pPr>
        <w:pageBreakBefore w:val="0"/>
        <w:widowControl w:val="0"/>
        <w:kinsoku/>
        <w:wordWrap/>
        <w:overflowPunct/>
        <w:topLinePunct w:val="0"/>
        <w:bidi w:val="0"/>
        <w:snapToGrid/>
        <w:spacing w:line="480" w:lineRule="exact"/>
        <w:ind w:firstLine="480" w:firstLineChars="200"/>
        <w:jc w:val="left"/>
        <w:textAlignment w:val="auto"/>
        <w:outlineLvl w:val="9"/>
        <w:rPr>
          <w:rFonts w:hint="eastAsia" w:ascii="宋体" w:hAnsi="宋体" w:eastAsia="宋体" w:cs="宋体"/>
          <w:sz w:val="24"/>
        </w:rPr>
      </w:pPr>
      <w:r>
        <w:rPr>
          <w:rFonts w:hint="eastAsia" w:ascii="宋体" w:hAnsi="宋体" w:eastAsia="宋体" w:cs="宋体"/>
          <w:sz w:val="24"/>
        </w:rPr>
        <w:t>关于质量保证金的补充约定：</w:t>
      </w:r>
      <w:r>
        <w:rPr>
          <w:rFonts w:hint="eastAsia" w:ascii="宋体" w:hAnsi="宋体" w:eastAsia="宋体" w:cs="宋体"/>
          <w:kern w:val="0"/>
          <w:sz w:val="24"/>
          <w:u w:val="single"/>
        </w:rPr>
        <w:t xml:space="preserve">               </w:t>
      </w:r>
      <w:r>
        <w:rPr>
          <w:rFonts w:hint="eastAsia" w:ascii="宋体" w:hAnsi="宋体" w:eastAsia="宋体" w:cs="宋体"/>
          <w:kern w:val="0"/>
          <w:sz w:val="24"/>
        </w:rPr>
        <w:t>。</w:t>
      </w:r>
    </w:p>
    <w:bookmarkEnd w:id="1507"/>
    <w:bookmarkEnd w:id="1508"/>
    <w:p w14:paraId="736504DC">
      <w:pPr>
        <w:pageBreakBefore w:val="0"/>
        <w:widowControl w:val="0"/>
        <w:kinsoku/>
        <w:wordWrap/>
        <w:overflowPunct/>
        <w:topLinePunct w:val="0"/>
        <w:bidi w:val="0"/>
        <w:snapToGrid/>
        <w:spacing w:after="120" w:line="480" w:lineRule="exact"/>
        <w:ind w:firstLine="480" w:firstLineChars="200"/>
        <w:textAlignment w:val="auto"/>
        <w:outlineLvl w:val="9"/>
        <w:rPr>
          <w:rFonts w:hint="eastAsia" w:ascii="宋体" w:hAnsi="宋体" w:eastAsia="宋体" w:cs="宋体"/>
          <w:sz w:val="24"/>
        </w:rPr>
      </w:pPr>
      <w:r>
        <w:rPr>
          <w:rFonts w:hint="eastAsia" w:ascii="宋体" w:hAnsi="宋体" w:eastAsia="宋体" w:cs="宋体"/>
          <w:sz w:val="24"/>
        </w:rPr>
        <w:t>15.4保修</w:t>
      </w:r>
    </w:p>
    <w:bookmarkEnd w:id="1509"/>
    <w:p w14:paraId="723D8B17">
      <w:pPr>
        <w:pageBreakBefore w:val="0"/>
        <w:widowControl w:val="0"/>
        <w:kinsoku/>
        <w:wordWrap/>
        <w:overflowPunct/>
        <w:topLinePunct w:val="0"/>
        <w:bidi w:val="0"/>
        <w:snapToGrid/>
        <w:spacing w:line="480" w:lineRule="exact"/>
        <w:ind w:firstLine="468" w:firstLineChars="195"/>
        <w:jc w:val="left"/>
        <w:textAlignment w:val="auto"/>
        <w:outlineLvl w:val="9"/>
        <w:rPr>
          <w:rFonts w:hint="eastAsia" w:ascii="宋体" w:hAnsi="宋体" w:eastAsia="宋体" w:cs="宋体"/>
          <w:sz w:val="24"/>
        </w:rPr>
      </w:pPr>
      <w:r>
        <w:rPr>
          <w:rFonts w:hint="eastAsia" w:ascii="宋体" w:hAnsi="宋体" w:eastAsia="宋体" w:cs="宋体"/>
          <w:sz w:val="24"/>
        </w:rPr>
        <w:t>15.4.1 保修责任</w:t>
      </w:r>
    </w:p>
    <w:p w14:paraId="542BD39E">
      <w:pPr>
        <w:pageBreakBefore w:val="0"/>
        <w:widowControl w:val="0"/>
        <w:kinsoku/>
        <w:wordWrap/>
        <w:overflowPunct/>
        <w:topLinePunct w:val="0"/>
        <w:bidi w:val="0"/>
        <w:snapToGrid/>
        <w:spacing w:line="480" w:lineRule="exact"/>
        <w:ind w:firstLine="468" w:firstLineChars="195"/>
        <w:jc w:val="left"/>
        <w:textAlignment w:val="auto"/>
        <w:outlineLvl w:val="9"/>
        <w:rPr>
          <w:rFonts w:hint="eastAsia" w:ascii="宋体" w:hAnsi="宋体" w:eastAsia="宋体" w:cs="宋体"/>
          <w:kern w:val="0"/>
          <w:sz w:val="24"/>
        </w:rPr>
      </w:pPr>
      <w:r>
        <w:rPr>
          <w:rFonts w:hint="eastAsia" w:ascii="宋体" w:hAnsi="宋体" w:eastAsia="宋体" w:cs="宋体"/>
          <w:sz w:val="24"/>
        </w:rPr>
        <w:t>工程保修期为：</w:t>
      </w:r>
      <w:r>
        <w:rPr>
          <w:rFonts w:hint="eastAsia" w:ascii="宋体" w:hAnsi="宋体" w:eastAsia="宋体" w:cs="宋体"/>
          <w:kern w:val="0"/>
          <w:sz w:val="24"/>
          <w:u w:val="single"/>
        </w:rPr>
        <w:t>按照《房屋建筑工程质量保修办法》执行</w:t>
      </w:r>
      <w:r>
        <w:rPr>
          <w:rFonts w:hint="eastAsia" w:ascii="宋体" w:hAnsi="宋体" w:eastAsia="宋体" w:cs="宋体"/>
          <w:kern w:val="0"/>
          <w:sz w:val="24"/>
        </w:rPr>
        <w:t>。</w:t>
      </w:r>
    </w:p>
    <w:p w14:paraId="3C1FA2BC">
      <w:pPr>
        <w:pageBreakBefore w:val="0"/>
        <w:widowControl w:val="0"/>
        <w:kinsoku/>
        <w:wordWrap/>
        <w:overflowPunct/>
        <w:topLinePunct w:val="0"/>
        <w:bidi w:val="0"/>
        <w:snapToGrid/>
        <w:spacing w:line="480" w:lineRule="exact"/>
        <w:ind w:firstLine="468" w:firstLineChars="195"/>
        <w:jc w:val="left"/>
        <w:textAlignment w:val="auto"/>
        <w:outlineLvl w:val="9"/>
        <w:rPr>
          <w:rFonts w:hint="eastAsia" w:ascii="宋体" w:hAnsi="宋体" w:eastAsia="宋体" w:cs="宋体"/>
          <w:sz w:val="24"/>
        </w:rPr>
      </w:pPr>
      <w:r>
        <w:rPr>
          <w:rFonts w:hint="eastAsia" w:ascii="宋体" w:hAnsi="宋体" w:eastAsia="宋体" w:cs="宋体"/>
          <w:sz w:val="24"/>
        </w:rPr>
        <w:t>15.4.3 修复通知</w:t>
      </w:r>
    </w:p>
    <w:p w14:paraId="3E95040B">
      <w:pPr>
        <w:pageBreakBefore w:val="0"/>
        <w:widowControl w:val="0"/>
        <w:kinsoku/>
        <w:wordWrap/>
        <w:overflowPunct/>
        <w:topLinePunct w:val="0"/>
        <w:bidi w:val="0"/>
        <w:snapToGrid/>
        <w:spacing w:line="480" w:lineRule="exact"/>
        <w:ind w:firstLine="468" w:firstLineChars="195"/>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承包人收到保修通知并到达工程现场的合理时间：</w:t>
      </w:r>
      <w:r>
        <w:rPr>
          <w:rFonts w:hint="eastAsia" w:ascii="宋体" w:hAnsi="宋体" w:eastAsia="宋体" w:cs="宋体"/>
          <w:kern w:val="0"/>
          <w:sz w:val="24"/>
          <w:u w:val="single"/>
        </w:rPr>
        <w:t xml:space="preserve">                </w:t>
      </w:r>
      <w:r>
        <w:rPr>
          <w:rFonts w:hint="eastAsia" w:ascii="宋体" w:hAnsi="宋体" w:eastAsia="宋体" w:cs="宋体"/>
          <w:kern w:val="0"/>
          <w:sz w:val="24"/>
        </w:rPr>
        <w:t>。</w:t>
      </w:r>
    </w:p>
    <w:bookmarkEnd w:id="1510"/>
    <w:bookmarkEnd w:id="1511"/>
    <w:bookmarkEnd w:id="1512"/>
    <w:bookmarkEnd w:id="1513"/>
    <w:p w14:paraId="42DC377D">
      <w:pPr>
        <w:pageBreakBefore w:val="0"/>
        <w:widowControl w:val="0"/>
        <w:kinsoku/>
        <w:wordWrap/>
        <w:overflowPunct/>
        <w:topLinePunct w:val="0"/>
        <w:bidi w:val="0"/>
        <w:snapToGrid/>
        <w:spacing w:before="120" w:after="120" w:line="480" w:lineRule="exact"/>
        <w:textAlignment w:val="auto"/>
        <w:outlineLvl w:val="9"/>
        <w:rPr>
          <w:rFonts w:hint="eastAsia" w:ascii="宋体" w:hAnsi="宋体" w:eastAsia="宋体" w:cs="宋体"/>
          <w:b w:val="0"/>
          <w:sz w:val="24"/>
          <w:szCs w:val="24"/>
        </w:rPr>
      </w:pPr>
      <w:bookmarkStart w:id="1536" w:name="_Toc351203648"/>
      <w:bookmarkStart w:id="1537" w:name="_Toc280868717"/>
      <w:bookmarkStart w:id="1538" w:name="_Toc280868718"/>
      <w:r>
        <w:rPr>
          <w:rFonts w:hint="eastAsia" w:ascii="宋体" w:hAnsi="宋体" w:eastAsia="宋体" w:cs="宋体"/>
          <w:b w:val="0"/>
          <w:sz w:val="24"/>
          <w:szCs w:val="24"/>
        </w:rPr>
        <w:t>16. 违约</w:t>
      </w:r>
      <w:bookmarkEnd w:id="1536"/>
    </w:p>
    <w:p w14:paraId="7FC11C98">
      <w:pPr>
        <w:pageBreakBefore w:val="0"/>
        <w:widowControl w:val="0"/>
        <w:kinsoku/>
        <w:wordWrap/>
        <w:overflowPunct/>
        <w:topLinePunct w:val="0"/>
        <w:bidi w:val="0"/>
        <w:snapToGrid/>
        <w:spacing w:after="120" w:line="480" w:lineRule="exact"/>
        <w:ind w:firstLine="480" w:firstLineChars="200"/>
        <w:textAlignment w:val="auto"/>
        <w:outlineLvl w:val="9"/>
        <w:rPr>
          <w:rFonts w:hint="eastAsia" w:ascii="宋体" w:hAnsi="宋体" w:eastAsia="宋体" w:cs="宋体"/>
          <w:sz w:val="24"/>
        </w:rPr>
      </w:pPr>
      <w:r>
        <w:rPr>
          <w:rFonts w:hint="eastAsia" w:ascii="宋体" w:hAnsi="宋体" w:eastAsia="宋体" w:cs="宋体"/>
          <w:sz w:val="24"/>
        </w:rPr>
        <w:t>16.1 发包人违约</w:t>
      </w:r>
    </w:p>
    <w:p w14:paraId="08C625AF">
      <w:pPr>
        <w:pageBreakBefore w:val="0"/>
        <w:widowControl w:val="0"/>
        <w:kinsoku/>
        <w:wordWrap/>
        <w:overflowPunct/>
        <w:topLinePunct w:val="0"/>
        <w:bidi w:val="0"/>
        <w:snapToGrid/>
        <w:spacing w:line="480" w:lineRule="exact"/>
        <w:ind w:firstLine="480" w:firstLineChars="200"/>
        <w:jc w:val="left"/>
        <w:textAlignment w:val="auto"/>
        <w:outlineLvl w:val="9"/>
        <w:rPr>
          <w:rFonts w:hint="eastAsia" w:ascii="宋体" w:hAnsi="宋体" w:eastAsia="宋体" w:cs="宋体"/>
          <w:sz w:val="24"/>
        </w:rPr>
      </w:pPr>
      <w:r>
        <w:rPr>
          <w:rFonts w:hint="eastAsia" w:ascii="宋体" w:hAnsi="宋体" w:eastAsia="宋体" w:cs="宋体"/>
          <w:sz w:val="24"/>
        </w:rPr>
        <w:t>16.1.1发包人违约的情形</w:t>
      </w:r>
    </w:p>
    <w:p w14:paraId="4A142D85">
      <w:pPr>
        <w:pageBreakBefore w:val="0"/>
        <w:widowControl w:val="0"/>
        <w:kinsoku/>
        <w:wordWrap/>
        <w:overflowPunct/>
        <w:topLinePunct w:val="0"/>
        <w:bidi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发包人违约的其他情形：</w:t>
      </w:r>
      <w:r>
        <w:rPr>
          <w:rFonts w:hint="eastAsia" w:ascii="宋体" w:hAnsi="宋体" w:eastAsia="宋体" w:cs="宋体"/>
          <w:sz w:val="24"/>
          <w:u w:val="single"/>
        </w:rPr>
        <w:t xml:space="preserve">                  </w:t>
      </w:r>
      <w:r>
        <w:rPr>
          <w:rFonts w:hint="eastAsia" w:ascii="宋体" w:hAnsi="宋体" w:eastAsia="宋体" w:cs="宋体"/>
          <w:kern w:val="0"/>
          <w:sz w:val="24"/>
        </w:rPr>
        <w:t>。</w:t>
      </w:r>
    </w:p>
    <w:p w14:paraId="7F37C3C1">
      <w:pPr>
        <w:pageBreakBefore w:val="0"/>
        <w:widowControl w:val="0"/>
        <w:kinsoku/>
        <w:wordWrap/>
        <w:overflowPunct/>
        <w:topLinePunct w:val="0"/>
        <w:bidi w:val="0"/>
        <w:snapToGrid/>
        <w:spacing w:line="480" w:lineRule="exact"/>
        <w:ind w:left="1200" w:hanging="1200" w:hangingChars="5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 xml:space="preserve">    16.1.2 发包人违约的责任</w:t>
      </w:r>
    </w:p>
    <w:p w14:paraId="5DB9296A">
      <w:pPr>
        <w:pageBreakBefore w:val="0"/>
        <w:widowControl w:val="0"/>
        <w:kinsoku/>
        <w:wordWrap/>
        <w:overflowPunct/>
        <w:topLinePunct w:val="0"/>
        <w:bidi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发包人违约责任的承担方式和计算方法：</w:t>
      </w:r>
    </w:p>
    <w:p w14:paraId="024B33AD">
      <w:pPr>
        <w:pageBreakBefore w:val="0"/>
        <w:widowControl w:val="0"/>
        <w:kinsoku/>
        <w:wordWrap/>
        <w:overflowPunct/>
        <w:topLinePunct w:val="0"/>
        <w:bidi w:val="0"/>
        <w:snapToGrid/>
        <w:spacing w:line="480" w:lineRule="exact"/>
        <w:ind w:firstLine="480" w:firstLineChars="200"/>
        <w:jc w:val="left"/>
        <w:textAlignment w:val="auto"/>
        <w:outlineLvl w:val="9"/>
        <w:rPr>
          <w:rFonts w:hint="eastAsia" w:ascii="宋体" w:hAnsi="宋体" w:eastAsia="宋体" w:cs="宋体"/>
          <w:kern w:val="0"/>
          <w:sz w:val="24"/>
          <w:u w:val="single"/>
        </w:rPr>
      </w:pPr>
      <w:r>
        <w:rPr>
          <w:rFonts w:hint="eastAsia" w:ascii="宋体" w:hAnsi="宋体" w:eastAsia="宋体" w:cs="宋体"/>
          <w:kern w:val="0"/>
          <w:sz w:val="24"/>
        </w:rPr>
        <w:t>（1）因发包人原因未能在计划开工日期前7天内下达开工通知的违约责任：</w:t>
      </w:r>
      <w:r>
        <w:rPr>
          <w:rFonts w:hint="eastAsia" w:ascii="宋体" w:hAnsi="宋体" w:eastAsia="宋体" w:cs="宋体"/>
          <w:kern w:val="0"/>
          <w:sz w:val="24"/>
          <w:u w:val="single"/>
        </w:rPr>
        <w:t xml:space="preserve">         </w:t>
      </w:r>
      <w:r>
        <w:rPr>
          <w:rFonts w:hint="eastAsia" w:ascii="宋体" w:hAnsi="宋体" w:eastAsia="宋体" w:cs="宋体"/>
          <w:sz w:val="24"/>
          <w:u w:val="single"/>
        </w:rPr>
        <w:t xml:space="preserve"> </w:t>
      </w:r>
      <w:r>
        <w:rPr>
          <w:rFonts w:hint="eastAsia" w:ascii="宋体" w:hAnsi="宋体" w:eastAsia="宋体" w:cs="宋体"/>
          <w:kern w:val="0"/>
          <w:sz w:val="24"/>
          <w:u w:val="single"/>
        </w:rPr>
        <w:t xml:space="preserve">                    </w:t>
      </w:r>
      <w:r>
        <w:rPr>
          <w:rFonts w:hint="eastAsia" w:ascii="宋体" w:hAnsi="宋体" w:eastAsia="宋体" w:cs="宋体"/>
          <w:kern w:val="0"/>
          <w:sz w:val="24"/>
        </w:rPr>
        <w:t>。</w:t>
      </w:r>
    </w:p>
    <w:p w14:paraId="7D5DDD3B">
      <w:pPr>
        <w:pageBreakBefore w:val="0"/>
        <w:widowControl w:val="0"/>
        <w:kinsoku/>
        <w:wordWrap/>
        <w:overflowPunct/>
        <w:topLinePunct w:val="0"/>
        <w:bidi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（2）因发包人原因未能按合同约定支付合同价款的违约责任：</w:t>
      </w:r>
      <w:r>
        <w:rPr>
          <w:rFonts w:hint="eastAsia" w:ascii="宋体" w:hAnsi="宋体" w:eastAsia="宋体" w:cs="宋体"/>
          <w:kern w:val="0"/>
          <w:sz w:val="24"/>
          <w:u w:val="single"/>
        </w:rPr>
        <w:t xml:space="preserve">  </w:t>
      </w:r>
      <w:r>
        <w:rPr>
          <w:rFonts w:hint="eastAsia" w:ascii="宋体" w:hAnsi="宋体" w:eastAsia="宋体" w:cs="宋体"/>
          <w:sz w:val="24"/>
          <w:u w:val="single"/>
        </w:rPr>
        <w:t xml:space="preserve"> </w:t>
      </w:r>
      <w:r>
        <w:rPr>
          <w:rFonts w:hint="eastAsia" w:ascii="宋体" w:hAnsi="宋体" w:eastAsia="宋体" w:cs="宋体"/>
          <w:kern w:val="0"/>
          <w:sz w:val="24"/>
          <w:u w:val="single"/>
        </w:rPr>
        <w:t xml:space="preserve">  </w:t>
      </w:r>
      <w:r>
        <w:rPr>
          <w:rFonts w:hint="eastAsia" w:ascii="宋体" w:hAnsi="宋体" w:eastAsia="宋体" w:cs="宋体"/>
          <w:kern w:val="0"/>
          <w:sz w:val="24"/>
        </w:rPr>
        <w:t>。</w:t>
      </w:r>
    </w:p>
    <w:p w14:paraId="31F5E777">
      <w:pPr>
        <w:pageBreakBefore w:val="0"/>
        <w:widowControl w:val="0"/>
        <w:kinsoku/>
        <w:wordWrap/>
        <w:overflowPunct/>
        <w:topLinePunct w:val="0"/>
        <w:bidi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（3）发包人违反第10.1款〔变更的范围〕第（2）项约定，自行实施被取消的工作或转由他人实施的违约责任：</w:t>
      </w:r>
      <w:r>
        <w:rPr>
          <w:rFonts w:hint="eastAsia" w:ascii="宋体" w:hAnsi="宋体" w:eastAsia="宋体" w:cs="宋体"/>
          <w:sz w:val="24"/>
          <w:u w:val="single"/>
        </w:rPr>
        <w:t xml:space="preserve">   </w:t>
      </w:r>
      <w:r>
        <w:rPr>
          <w:rFonts w:hint="eastAsia" w:ascii="宋体" w:hAnsi="宋体" w:eastAsia="宋体" w:cs="宋体"/>
          <w:kern w:val="0"/>
          <w:sz w:val="24"/>
        </w:rPr>
        <w:t>。</w:t>
      </w:r>
    </w:p>
    <w:p w14:paraId="5B9A7974">
      <w:pPr>
        <w:pageBreakBefore w:val="0"/>
        <w:widowControl w:val="0"/>
        <w:kinsoku/>
        <w:wordWrap/>
        <w:overflowPunct/>
        <w:topLinePunct w:val="0"/>
        <w:bidi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（4）发包人提供的材料、工程设备的规格、数量或质量不符合合同约定，或因发包人原因导致交货日期延误或交货地点变更等情况的违约责任：</w:t>
      </w:r>
      <w:r>
        <w:rPr>
          <w:rFonts w:hint="eastAsia" w:ascii="宋体" w:hAnsi="宋体" w:eastAsia="宋体" w:cs="宋体"/>
          <w:kern w:val="0"/>
          <w:sz w:val="24"/>
          <w:u w:val="single"/>
        </w:rPr>
        <w:t xml:space="preserve">          </w:t>
      </w:r>
      <w:r>
        <w:rPr>
          <w:rFonts w:hint="eastAsia" w:ascii="宋体" w:hAnsi="宋体" w:eastAsia="宋体" w:cs="宋体"/>
          <w:kern w:val="0"/>
          <w:sz w:val="24"/>
        </w:rPr>
        <w:t>。</w:t>
      </w:r>
    </w:p>
    <w:p w14:paraId="76974857">
      <w:pPr>
        <w:pageBreakBefore w:val="0"/>
        <w:widowControl w:val="0"/>
        <w:kinsoku/>
        <w:wordWrap/>
        <w:overflowPunct/>
        <w:topLinePunct w:val="0"/>
        <w:bidi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（5）因发包人违反合同约定造成暂停施工的违约责任：</w:t>
      </w:r>
      <w:r>
        <w:rPr>
          <w:rFonts w:hint="eastAsia" w:ascii="宋体" w:hAnsi="宋体" w:eastAsia="宋体" w:cs="宋体"/>
          <w:kern w:val="0"/>
          <w:sz w:val="24"/>
          <w:u w:val="single"/>
        </w:rPr>
        <w:t xml:space="preserve">  </w:t>
      </w:r>
      <w:r>
        <w:rPr>
          <w:rFonts w:hint="eastAsia" w:ascii="宋体" w:hAnsi="宋体" w:eastAsia="宋体" w:cs="宋体"/>
          <w:sz w:val="24"/>
          <w:u w:val="single"/>
        </w:rPr>
        <w:t xml:space="preserve"> </w:t>
      </w:r>
      <w:r>
        <w:rPr>
          <w:rFonts w:hint="eastAsia" w:ascii="宋体" w:hAnsi="宋体" w:eastAsia="宋体" w:cs="宋体"/>
          <w:kern w:val="0"/>
          <w:sz w:val="24"/>
          <w:u w:val="single"/>
        </w:rPr>
        <w:t xml:space="preserve">      </w:t>
      </w:r>
      <w:r>
        <w:rPr>
          <w:rFonts w:hint="eastAsia" w:ascii="宋体" w:hAnsi="宋体" w:eastAsia="宋体" w:cs="宋体"/>
          <w:kern w:val="0"/>
          <w:sz w:val="24"/>
        </w:rPr>
        <w:t>。</w:t>
      </w:r>
    </w:p>
    <w:p w14:paraId="6E6CB19C">
      <w:pPr>
        <w:pageBreakBefore w:val="0"/>
        <w:widowControl w:val="0"/>
        <w:kinsoku/>
        <w:wordWrap/>
        <w:overflowPunct/>
        <w:topLinePunct w:val="0"/>
        <w:bidi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（6）发包人无正当理由没有在约定期限内发出复工指示，导致承包人无法复工的违约责任：</w:t>
      </w:r>
      <w:r>
        <w:rPr>
          <w:rFonts w:hint="eastAsia" w:ascii="宋体" w:hAnsi="宋体" w:eastAsia="宋体" w:cs="宋体"/>
          <w:kern w:val="0"/>
          <w:sz w:val="24"/>
          <w:u w:val="single"/>
        </w:rPr>
        <w:t xml:space="preserve">      </w:t>
      </w:r>
      <w:r>
        <w:rPr>
          <w:rFonts w:hint="eastAsia" w:ascii="宋体" w:hAnsi="宋体" w:eastAsia="宋体" w:cs="宋体"/>
          <w:sz w:val="24"/>
          <w:u w:val="single"/>
        </w:rPr>
        <w:t xml:space="preserve"> </w:t>
      </w:r>
      <w:r>
        <w:rPr>
          <w:rFonts w:hint="eastAsia" w:ascii="宋体" w:hAnsi="宋体" w:eastAsia="宋体" w:cs="宋体"/>
          <w:kern w:val="0"/>
          <w:sz w:val="24"/>
          <w:u w:val="single"/>
        </w:rPr>
        <w:t xml:space="preserve">         </w:t>
      </w:r>
      <w:r>
        <w:rPr>
          <w:rFonts w:hint="eastAsia" w:ascii="宋体" w:hAnsi="宋体" w:eastAsia="宋体" w:cs="宋体"/>
          <w:kern w:val="0"/>
          <w:sz w:val="24"/>
        </w:rPr>
        <w:t>。</w:t>
      </w:r>
    </w:p>
    <w:p w14:paraId="15B04416">
      <w:pPr>
        <w:pageBreakBefore w:val="0"/>
        <w:widowControl w:val="0"/>
        <w:kinsoku/>
        <w:wordWrap/>
        <w:overflowPunct/>
        <w:topLinePunct w:val="0"/>
        <w:bidi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（7）其他：</w:t>
      </w:r>
      <w:r>
        <w:rPr>
          <w:rFonts w:hint="eastAsia" w:ascii="宋体" w:hAnsi="宋体" w:eastAsia="宋体" w:cs="宋体"/>
          <w:kern w:val="0"/>
          <w:sz w:val="24"/>
          <w:u w:val="single"/>
        </w:rPr>
        <w:t xml:space="preserve">              </w:t>
      </w:r>
      <w:r>
        <w:rPr>
          <w:rFonts w:hint="eastAsia" w:ascii="宋体" w:hAnsi="宋体" w:eastAsia="宋体" w:cs="宋体"/>
          <w:kern w:val="0"/>
          <w:sz w:val="24"/>
        </w:rPr>
        <w:t>。</w:t>
      </w:r>
    </w:p>
    <w:p w14:paraId="7EB2AB41">
      <w:pPr>
        <w:pageBreakBefore w:val="0"/>
        <w:widowControl w:val="0"/>
        <w:kinsoku/>
        <w:wordWrap/>
        <w:overflowPunct/>
        <w:topLinePunct w:val="0"/>
        <w:bidi w:val="0"/>
        <w:snapToGrid/>
        <w:spacing w:line="480" w:lineRule="exact"/>
        <w:ind w:firstLine="480" w:firstLineChars="200"/>
        <w:jc w:val="left"/>
        <w:textAlignment w:val="auto"/>
        <w:outlineLvl w:val="9"/>
        <w:rPr>
          <w:rFonts w:hint="eastAsia" w:ascii="宋体" w:hAnsi="宋体" w:eastAsia="宋体" w:cs="宋体"/>
          <w:sz w:val="24"/>
        </w:rPr>
      </w:pPr>
      <w:r>
        <w:rPr>
          <w:rFonts w:hint="eastAsia" w:ascii="宋体" w:hAnsi="宋体" w:eastAsia="宋体" w:cs="宋体"/>
          <w:sz w:val="24"/>
        </w:rPr>
        <w:t>16.1.3 因发包人违约解除合同</w:t>
      </w:r>
    </w:p>
    <w:p w14:paraId="2714BE8A">
      <w:pPr>
        <w:pageBreakBefore w:val="0"/>
        <w:widowControl w:val="0"/>
        <w:kinsoku/>
        <w:wordWrap/>
        <w:overflowPunct/>
        <w:topLinePunct w:val="0"/>
        <w:autoSpaceDE w:val="0"/>
        <w:autoSpaceDN w:val="0"/>
        <w:bidi w:val="0"/>
        <w:adjustRightInd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承包人按16.1.1项〔发包人违约的情形〕约定暂停施工满</w:t>
      </w:r>
      <w:r>
        <w:rPr>
          <w:rFonts w:hint="eastAsia" w:ascii="宋体" w:hAnsi="宋体" w:eastAsia="宋体" w:cs="宋体"/>
          <w:kern w:val="0"/>
          <w:sz w:val="24"/>
          <w:u w:val="single"/>
        </w:rPr>
        <w:t xml:space="preserve">   </w:t>
      </w:r>
      <w:r>
        <w:rPr>
          <w:rFonts w:hint="eastAsia" w:ascii="宋体" w:hAnsi="宋体" w:eastAsia="宋体" w:cs="宋体"/>
          <w:kern w:val="0"/>
          <w:sz w:val="24"/>
        </w:rPr>
        <w:t>天后发包人仍不纠正其违约行为并致使合同目的不能实现的，承包人有权解除合同。</w:t>
      </w:r>
    </w:p>
    <w:p w14:paraId="72E421EF">
      <w:pPr>
        <w:pageBreakBefore w:val="0"/>
        <w:widowControl w:val="0"/>
        <w:kinsoku/>
        <w:wordWrap/>
        <w:overflowPunct/>
        <w:topLinePunct w:val="0"/>
        <w:bidi w:val="0"/>
        <w:snapToGrid/>
        <w:spacing w:after="120" w:line="480" w:lineRule="exact"/>
        <w:ind w:firstLine="480" w:firstLineChars="200"/>
        <w:textAlignment w:val="auto"/>
        <w:outlineLvl w:val="9"/>
        <w:rPr>
          <w:rFonts w:hint="eastAsia" w:ascii="宋体" w:hAnsi="宋体" w:eastAsia="宋体" w:cs="宋体"/>
          <w:sz w:val="24"/>
        </w:rPr>
      </w:pPr>
      <w:r>
        <w:rPr>
          <w:rFonts w:hint="eastAsia" w:ascii="宋体" w:hAnsi="宋体" w:eastAsia="宋体" w:cs="宋体"/>
          <w:sz w:val="24"/>
        </w:rPr>
        <w:t>16.2 承包人违约</w:t>
      </w:r>
    </w:p>
    <w:p w14:paraId="7E3AB570">
      <w:pPr>
        <w:pageBreakBefore w:val="0"/>
        <w:widowControl w:val="0"/>
        <w:kinsoku/>
        <w:wordWrap/>
        <w:overflowPunct/>
        <w:topLinePunct w:val="0"/>
        <w:bidi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16.2.1 承包人违约的情形</w:t>
      </w:r>
    </w:p>
    <w:p w14:paraId="3AEAE433">
      <w:pPr>
        <w:pageBreakBefore w:val="0"/>
        <w:widowControl w:val="0"/>
        <w:kinsoku/>
        <w:wordWrap/>
        <w:overflowPunct/>
        <w:topLinePunct w:val="0"/>
        <w:bidi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承包人违约的其他情形：</w:t>
      </w:r>
      <w:r>
        <w:rPr>
          <w:rFonts w:hint="eastAsia" w:ascii="宋体" w:hAnsi="宋体" w:eastAsia="宋体" w:cs="宋体"/>
          <w:kern w:val="0"/>
          <w:sz w:val="24"/>
          <w:u w:val="single"/>
        </w:rPr>
        <w:t xml:space="preserve">      </w:t>
      </w:r>
      <w:r>
        <w:rPr>
          <w:rFonts w:hint="eastAsia" w:ascii="宋体" w:hAnsi="宋体" w:eastAsia="宋体" w:cs="宋体"/>
          <w:sz w:val="24"/>
          <w:u w:val="single"/>
        </w:rPr>
        <w:t xml:space="preserve"> </w:t>
      </w:r>
      <w:r>
        <w:rPr>
          <w:rFonts w:hint="eastAsia" w:ascii="宋体" w:hAnsi="宋体" w:eastAsia="宋体" w:cs="宋体"/>
          <w:kern w:val="0"/>
          <w:sz w:val="24"/>
          <w:u w:val="single"/>
        </w:rPr>
        <w:t xml:space="preserve">           </w:t>
      </w:r>
      <w:r>
        <w:rPr>
          <w:rFonts w:hint="eastAsia" w:ascii="宋体" w:hAnsi="宋体" w:eastAsia="宋体" w:cs="宋体"/>
          <w:kern w:val="0"/>
          <w:sz w:val="24"/>
        </w:rPr>
        <w:t>。</w:t>
      </w:r>
    </w:p>
    <w:p w14:paraId="39A284AF">
      <w:pPr>
        <w:pageBreakBefore w:val="0"/>
        <w:widowControl w:val="0"/>
        <w:kinsoku/>
        <w:wordWrap/>
        <w:overflowPunct/>
        <w:topLinePunct w:val="0"/>
        <w:bidi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kern w:val="0"/>
          <w:sz w:val="24"/>
        </w:rPr>
        <w:t>16.2.2承包人违约的责任</w:t>
      </w:r>
    </w:p>
    <w:p w14:paraId="4E7019C7">
      <w:pPr>
        <w:pageBreakBefore w:val="0"/>
        <w:widowControl w:val="0"/>
        <w:kinsoku/>
        <w:wordWrap/>
        <w:overflowPunct/>
        <w:topLinePunct w:val="0"/>
        <w:bidi w:val="0"/>
        <w:snapToGrid/>
        <w:spacing w:line="480" w:lineRule="exact"/>
        <w:ind w:firstLine="480" w:firstLineChars="200"/>
        <w:jc w:val="left"/>
        <w:textAlignment w:val="auto"/>
        <w:outlineLvl w:val="9"/>
        <w:rPr>
          <w:rFonts w:hint="eastAsia" w:ascii="宋体" w:hAnsi="宋体" w:eastAsia="宋体" w:cs="宋体"/>
          <w:kern w:val="0"/>
          <w:sz w:val="24"/>
          <w:u w:val="single"/>
        </w:rPr>
      </w:pPr>
      <w:r>
        <w:rPr>
          <w:rFonts w:hint="eastAsia" w:ascii="宋体" w:hAnsi="宋体" w:eastAsia="宋体" w:cs="宋体"/>
          <w:kern w:val="0"/>
          <w:sz w:val="24"/>
        </w:rPr>
        <w:t>承包人违约责任的承担方式和计算方法：</w:t>
      </w:r>
      <w:r>
        <w:rPr>
          <w:rFonts w:hint="eastAsia" w:ascii="宋体" w:hAnsi="宋体" w:eastAsia="宋体" w:cs="宋体"/>
          <w:kern w:val="0"/>
          <w:sz w:val="24"/>
          <w:u w:val="single"/>
        </w:rPr>
        <w:t xml:space="preserve">    </w:t>
      </w:r>
      <w:r>
        <w:rPr>
          <w:rFonts w:hint="eastAsia" w:ascii="宋体" w:hAnsi="宋体" w:eastAsia="宋体" w:cs="宋体"/>
          <w:sz w:val="24"/>
          <w:u w:val="single"/>
        </w:rPr>
        <w:t xml:space="preserve"> </w:t>
      </w:r>
      <w:r>
        <w:rPr>
          <w:rFonts w:hint="eastAsia" w:ascii="宋体" w:hAnsi="宋体" w:eastAsia="宋体" w:cs="宋体"/>
          <w:kern w:val="0"/>
          <w:sz w:val="24"/>
          <w:u w:val="single"/>
        </w:rPr>
        <w:t xml:space="preserve">  </w:t>
      </w:r>
      <w:r>
        <w:rPr>
          <w:rFonts w:hint="eastAsia" w:ascii="宋体" w:hAnsi="宋体" w:eastAsia="宋体" w:cs="宋体"/>
          <w:kern w:val="0"/>
          <w:sz w:val="24"/>
        </w:rPr>
        <w:t>。</w:t>
      </w:r>
      <w:r>
        <w:rPr>
          <w:rFonts w:hint="eastAsia" w:ascii="宋体" w:hAnsi="宋体" w:eastAsia="宋体" w:cs="宋体"/>
          <w:sz w:val="24"/>
        </w:rPr>
        <w:t xml:space="preserve">    </w:t>
      </w:r>
    </w:p>
    <w:p w14:paraId="1C55AC3C">
      <w:pPr>
        <w:pageBreakBefore w:val="0"/>
        <w:widowControl w:val="0"/>
        <w:kinsoku/>
        <w:wordWrap/>
        <w:overflowPunct/>
        <w:topLinePunct w:val="0"/>
        <w:bidi w:val="0"/>
        <w:snapToGrid/>
        <w:spacing w:line="480" w:lineRule="exact"/>
        <w:ind w:firstLine="480" w:firstLineChars="200"/>
        <w:jc w:val="left"/>
        <w:textAlignment w:val="auto"/>
        <w:outlineLvl w:val="9"/>
        <w:rPr>
          <w:rFonts w:hint="eastAsia" w:ascii="宋体" w:hAnsi="宋体" w:eastAsia="宋体" w:cs="宋体"/>
          <w:sz w:val="24"/>
        </w:rPr>
      </w:pPr>
      <w:r>
        <w:rPr>
          <w:rFonts w:hint="eastAsia" w:ascii="宋体" w:hAnsi="宋体" w:eastAsia="宋体" w:cs="宋体"/>
          <w:sz w:val="24"/>
        </w:rPr>
        <w:t>16.2.3 因承包人违约解除合同</w:t>
      </w:r>
    </w:p>
    <w:p w14:paraId="2DC3D3FE">
      <w:pPr>
        <w:pageBreakBefore w:val="0"/>
        <w:widowControl w:val="0"/>
        <w:kinsoku/>
        <w:wordWrap/>
        <w:overflowPunct/>
        <w:topLinePunct w:val="0"/>
        <w:bidi w:val="0"/>
        <w:snapToGrid/>
        <w:spacing w:before="120" w:after="120" w:line="480" w:lineRule="exact"/>
        <w:ind w:firstLine="480" w:firstLineChars="200"/>
        <w:textAlignment w:val="auto"/>
        <w:outlineLvl w:val="9"/>
        <w:rPr>
          <w:rFonts w:hint="eastAsia" w:ascii="宋体" w:hAnsi="宋体" w:eastAsia="宋体" w:cs="宋体"/>
          <w:kern w:val="0"/>
          <w:sz w:val="24"/>
        </w:rPr>
      </w:pPr>
      <w:r>
        <w:rPr>
          <w:rFonts w:hint="eastAsia" w:ascii="宋体" w:hAnsi="宋体" w:eastAsia="宋体" w:cs="宋体"/>
          <w:kern w:val="0"/>
          <w:sz w:val="24"/>
        </w:rPr>
        <w:t>关于承包人违约解除合同的特别约定：</w:t>
      </w:r>
      <w:r>
        <w:rPr>
          <w:rFonts w:hint="eastAsia" w:ascii="宋体" w:hAnsi="宋体" w:eastAsia="宋体" w:cs="宋体"/>
          <w:kern w:val="0"/>
          <w:sz w:val="24"/>
          <w:u w:val="single"/>
        </w:rPr>
        <w:t xml:space="preserve">  </w:t>
      </w:r>
      <w:r>
        <w:rPr>
          <w:rFonts w:hint="eastAsia" w:ascii="宋体" w:hAnsi="宋体" w:eastAsia="宋体" w:cs="宋体"/>
          <w:sz w:val="24"/>
          <w:u w:val="single"/>
        </w:rPr>
        <w:t xml:space="preserve"> </w:t>
      </w:r>
      <w:r>
        <w:rPr>
          <w:rFonts w:hint="eastAsia" w:ascii="宋体" w:hAnsi="宋体" w:eastAsia="宋体" w:cs="宋体"/>
          <w:kern w:val="0"/>
          <w:sz w:val="24"/>
          <w:u w:val="single"/>
        </w:rPr>
        <w:t xml:space="preserve">     </w:t>
      </w:r>
      <w:r>
        <w:rPr>
          <w:rFonts w:hint="eastAsia" w:ascii="宋体" w:hAnsi="宋体" w:eastAsia="宋体" w:cs="宋体"/>
          <w:kern w:val="0"/>
          <w:sz w:val="24"/>
        </w:rPr>
        <w:t>。</w:t>
      </w:r>
    </w:p>
    <w:p w14:paraId="08B8D928">
      <w:pPr>
        <w:pageBreakBefore w:val="0"/>
        <w:widowControl w:val="0"/>
        <w:kinsoku/>
        <w:wordWrap/>
        <w:overflowPunct/>
        <w:topLinePunct w:val="0"/>
        <w:bidi w:val="0"/>
        <w:snapToGrid/>
        <w:spacing w:before="120" w:after="120" w:line="480" w:lineRule="exact"/>
        <w:ind w:firstLine="480" w:firstLineChars="200"/>
        <w:textAlignment w:val="auto"/>
        <w:outlineLvl w:val="9"/>
        <w:rPr>
          <w:rFonts w:hint="eastAsia" w:ascii="宋体" w:hAnsi="宋体" w:eastAsia="宋体" w:cs="宋体"/>
          <w:kern w:val="0"/>
          <w:sz w:val="24"/>
        </w:rPr>
      </w:pPr>
      <w:r>
        <w:rPr>
          <w:rFonts w:hint="eastAsia" w:ascii="宋体" w:hAnsi="宋体" w:eastAsia="宋体" w:cs="宋体"/>
          <w:kern w:val="0"/>
          <w:sz w:val="24"/>
        </w:rPr>
        <w:t>发包人继续使用承包人在施工现场的材料、设备、临时工程、承包人文件和由承包人或以其名义编制的其他文件的费用承担方式：</w:t>
      </w:r>
      <w:r>
        <w:rPr>
          <w:rFonts w:hint="eastAsia" w:ascii="宋体" w:hAnsi="宋体" w:eastAsia="宋体" w:cs="宋体"/>
          <w:kern w:val="0"/>
          <w:sz w:val="24"/>
          <w:u w:val="single"/>
        </w:rPr>
        <w:t xml:space="preserve">  </w:t>
      </w:r>
      <w:r>
        <w:rPr>
          <w:rFonts w:hint="eastAsia" w:ascii="宋体" w:hAnsi="宋体" w:eastAsia="宋体" w:cs="宋体"/>
          <w:sz w:val="24"/>
          <w:u w:val="single"/>
        </w:rPr>
        <w:t xml:space="preserve">  </w:t>
      </w:r>
      <w:r>
        <w:rPr>
          <w:rFonts w:hint="eastAsia" w:ascii="宋体" w:hAnsi="宋体" w:eastAsia="宋体" w:cs="宋体"/>
          <w:kern w:val="0"/>
          <w:sz w:val="24"/>
          <w:u w:val="single"/>
        </w:rPr>
        <w:t xml:space="preserve">  </w:t>
      </w:r>
      <w:r>
        <w:rPr>
          <w:rFonts w:hint="eastAsia" w:ascii="宋体" w:hAnsi="宋体" w:eastAsia="宋体" w:cs="宋体"/>
          <w:kern w:val="0"/>
          <w:sz w:val="24"/>
        </w:rPr>
        <w:t>。</w:t>
      </w:r>
    </w:p>
    <w:p w14:paraId="10585DA9">
      <w:pPr>
        <w:pageBreakBefore w:val="0"/>
        <w:widowControl w:val="0"/>
        <w:kinsoku/>
        <w:wordWrap/>
        <w:overflowPunct/>
        <w:topLinePunct w:val="0"/>
        <w:bidi w:val="0"/>
        <w:snapToGrid/>
        <w:spacing w:before="120" w:after="120" w:line="480" w:lineRule="exact"/>
        <w:textAlignment w:val="auto"/>
        <w:outlineLvl w:val="9"/>
        <w:rPr>
          <w:rFonts w:hint="eastAsia" w:ascii="宋体" w:hAnsi="宋体" w:eastAsia="宋体" w:cs="宋体"/>
          <w:b w:val="0"/>
          <w:sz w:val="24"/>
          <w:szCs w:val="24"/>
        </w:rPr>
      </w:pPr>
      <w:bookmarkStart w:id="1539" w:name="_Toc351203649"/>
      <w:r>
        <w:rPr>
          <w:rFonts w:hint="eastAsia" w:ascii="宋体" w:hAnsi="宋体" w:eastAsia="宋体" w:cs="宋体"/>
          <w:b w:val="0"/>
          <w:sz w:val="24"/>
          <w:szCs w:val="24"/>
        </w:rPr>
        <w:t>17. 不可抗力</w:t>
      </w:r>
      <w:bookmarkEnd w:id="1539"/>
      <w:r>
        <w:rPr>
          <w:rFonts w:hint="eastAsia" w:ascii="宋体" w:hAnsi="宋体" w:eastAsia="宋体" w:cs="宋体"/>
          <w:b w:val="0"/>
          <w:sz w:val="24"/>
          <w:szCs w:val="24"/>
        </w:rPr>
        <w:t xml:space="preserve"> </w:t>
      </w:r>
      <w:bookmarkEnd w:id="1537"/>
    </w:p>
    <w:p w14:paraId="445AB6F2">
      <w:pPr>
        <w:pageBreakBefore w:val="0"/>
        <w:widowControl w:val="0"/>
        <w:kinsoku/>
        <w:wordWrap/>
        <w:overflowPunct/>
        <w:topLinePunct w:val="0"/>
        <w:bidi w:val="0"/>
        <w:snapToGrid/>
        <w:spacing w:after="120" w:line="480" w:lineRule="exact"/>
        <w:ind w:firstLine="480" w:firstLineChars="200"/>
        <w:textAlignment w:val="auto"/>
        <w:outlineLvl w:val="9"/>
        <w:rPr>
          <w:rFonts w:hint="eastAsia" w:ascii="宋体" w:hAnsi="宋体" w:eastAsia="宋体" w:cs="宋体"/>
          <w:sz w:val="24"/>
        </w:rPr>
      </w:pPr>
      <w:r>
        <w:rPr>
          <w:rFonts w:hint="eastAsia" w:ascii="宋体" w:hAnsi="宋体" w:eastAsia="宋体" w:cs="宋体"/>
          <w:sz w:val="24"/>
        </w:rPr>
        <w:t>17.1 不可抗力的确认</w:t>
      </w:r>
    </w:p>
    <w:p w14:paraId="082F790F">
      <w:pPr>
        <w:pageBreakBefore w:val="0"/>
        <w:widowControl w:val="0"/>
        <w:kinsoku/>
        <w:wordWrap/>
        <w:overflowPunct/>
        <w:topLinePunct w:val="0"/>
        <w:bidi w:val="0"/>
        <w:snapToGrid/>
        <w:spacing w:line="480" w:lineRule="exact"/>
        <w:ind w:firstLine="480" w:firstLineChars="200"/>
        <w:jc w:val="left"/>
        <w:textAlignment w:val="auto"/>
        <w:outlineLvl w:val="9"/>
        <w:rPr>
          <w:rFonts w:hint="eastAsia" w:ascii="宋体" w:hAnsi="宋体" w:eastAsia="宋体" w:cs="宋体"/>
          <w:kern w:val="0"/>
          <w:sz w:val="24"/>
          <w:u w:val="single"/>
        </w:rPr>
      </w:pPr>
      <w:r>
        <w:rPr>
          <w:rFonts w:hint="eastAsia" w:ascii="宋体" w:hAnsi="宋体" w:eastAsia="宋体" w:cs="宋体"/>
          <w:sz w:val="24"/>
        </w:rPr>
        <w:t>除通用合同条款约定的不可抗力事件之外，视为不可抗力的其他情形：</w:t>
      </w:r>
      <w:r>
        <w:rPr>
          <w:rFonts w:hint="eastAsia" w:ascii="宋体" w:hAnsi="宋体" w:eastAsia="宋体" w:cs="宋体"/>
          <w:kern w:val="0"/>
          <w:sz w:val="24"/>
          <w:u w:val="single"/>
        </w:rPr>
        <w:t xml:space="preserve">     </w:t>
      </w:r>
      <w:r>
        <w:rPr>
          <w:rFonts w:hint="eastAsia" w:ascii="宋体" w:hAnsi="宋体" w:eastAsia="宋体" w:cs="宋体"/>
          <w:sz w:val="24"/>
          <w:u w:val="single"/>
        </w:rPr>
        <w:t xml:space="preserve"> </w:t>
      </w:r>
      <w:r>
        <w:rPr>
          <w:rFonts w:hint="eastAsia" w:ascii="宋体" w:hAnsi="宋体" w:eastAsia="宋体" w:cs="宋体"/>
          <w:kern w:val="0"/>
          <w:sz w:val="24"/>
          <w:u w:val="single"/>
        </w:rPr>
        <w:t xml:space="preserve">      </w:t>
      </w:r>
      <w:r>
        <w:rPr>
          <w:rFonts w:hint="eastAsia" w:ascii="宋体" w:hAnsi="宋体" w:eastAsia="宋体" w:cs="宋体"/>
          <w:kern w:val="0"/>
          <w:sz w:val="24"/>
        </w:rPr>
        <w:t>。</w:t>
      </w:r>
    </w:p>
    <w:p w14:paraId="72BFB817">
      <w:pPr>
        <w:pageBreakBefore w:val="0"/>
        <w:widowControl w:val="0"/>
        <w:kinsoku/>
        <w:wordWrap/>
        <w:overflowPunct/>
        <w:topLinePunct w:val="0"/>
        <w:bidi w:val="0"/>
        <w:snapToGrid/>
        <w:spacing w:after="120" w:line="480" w:lineRule="exact"/>
        <w:ind w:firstLine="480" w:firstLineChars="200"/>
        <w:textAlignment w:val="auto"/>
        <w:outlineLvl w:val="9"/>
        <w:rPr>
          <w:rFonts w:hint="eastAsia" w:ascii="宋体" w:hAnsi="宋体" w:eastAsia="宋体" w:cs="宋体"/>
          <w:sz w:val="24"/>
        </w:rPr>
      </w:pPr>
      <w:r>
        <w:rPr>
          <w:rFonts w:hint="eastAsia" w:ascii="宋体" w:hAnsi="宋体" w:eastAsia="宋体" w:cs="宋体"/>
          <w:sz w:val="24"/>
        </w:rPr>
        <w:t>17.4 因不可抗力解除合同</w:t>
      </w:r>
    </w:p>
    <w:p w14:paraId="6878C323">
      <w:pPr>
        <w:pageBreakBefore w:val="0"/>
        <w:widowControl w:val="0"/>
        <w:kinsoku/>
        <w:wordWrap/>
        <w:overflowPunct/>
        <w:topLinePunct w:val="0"/>
        <w:bidi w:val="0"/>
        <w:snapToGrid/>
        <w:spacing w:line="480" w:lineRule="exact"/>
        <w:ind w:firstLine="480" w:firstLineChars="200"/>
        <w:jc w:val="left"/>
        <w:textAlignment w:val="auto"/>
        <w:outlineLvl w:val="9"/>
        <w:rPr>
          <w:rFonts w:hint="eastAsia" w:ascii="宋体" w:hAnsi="宋体" w:eastAsia="宋体" w:cs="宋体"/>
          <w:sz w:val="24"/>
        </w:rPr>
      </w:pPr>
      <w:r>
        <w:rPr>
          <w:rFonts w:hint="eastAsia" w:ascii="宋体" w:hAnsi="宋体" w:eastAsia="宋体" w:cs="宋体"/>
          <w:sz w:val="24"/>
        </w:rPr>
        <w:t>合同解除后，发包人应在商定或确定发包人应支付款项后</w:t>
      </w:r>
      <w:r>
        <w:rPr>
          <w:rFonts w:hint="eastAsia" w:ascii="宋体" w:hAnsi="宋体" w:eastAsia="宋体" w:cs="宋体"/>
          <w:sz w:val="24"/>
          <w:u w:val="single"/>
        </w:rPr>
        <w:t xml:space="preserve">  </w:t>
      </w:r>
      <w:r>
        <w:rPr>
          <w:rFonts w:hint="eastAsia" w:ascii="宋体" w:hAnsi="宋体" w:eastAsia="宋体" w:cs="宋体"/>
          <w:sz w:val="24"/>
        </w:rPr>
        <w:t>天内完成款项的支付。</w:t>
      </w:r>
    </w:p>
    <w:p w14:paraId="38552ECC">
      <w:pPr>
        <w:pageBreakBefore w:val="0"/>
        <w:widowControl w:val="0"/>
        <w:kinsoku/>
        <w:wordWrap/>
        <w:overflowPunct/>
        <w:topLinePunct w:val="0"/>
        <w:bidi w:val="0"/>
        <w:snapToGrid/>
        <w:spacing w:before="120" w:after="120" w:line="480" w:lineRule="exact"/>
        <w:textAlignment w:val="auto"/>
        <w:outlineLvl w:val="9"/>
        <w:rPr>
          <w:rFonts w:hint="eastAsia" w:ascii="宋体" w:hAnsi="宋体" w:eastAsia="宋体" w:cs="宋体"/>
          <w:b w:val="0"/>
          <w:sz w:val="24"/>
          <w:szCs w:val="24"/>
        </w:rPr>
      </w:pPr>
      <w:bookmarkStart w:id="1540" w:name="_Toc351203650"/>
      <w:r>
        <w:rPr>
          <w:rFonts w:hint="eastAsia" w:ascii="宋体" w:hAnsi="宋体" w:eastAsia="宋体" w:cs="宋体"/>
          <w:b w:val="0"/>
          <w:sz w:val="24"/>
          <w:szCs w:val="24"/>
        </w:rPr>
        <w:t>18. 保险</w:t>
      </w:r>
      <w:bookmarkEnd w:id="1540"/>
    </w:p>
    <w:bookmarkEnd w:id="1538"/>
    <w:p w14:paraId="6DCC2463">
      <w:pPr>
        <w:pageBreakBefore w:val="0"/>
        <w:widowControl w:val="0"/>
        <w:kinsoku/>
        <w:wordWrap/>
        <w:overflowPunct/>
        <w:topLinePunct w:val="0"/>
        <w:bidi w:val="0"/>
        <w:snapToGrid/>
        <w:spacing w:after="120" w:line="480" w:lineRule="exact"/>
        <w:ind w:firstLine="480" w:firstLineChars="200"/>
        <w:textAlignment w:val="auto"/>
        <w:outlineLvl w:val="9"/>
        <w:rPr>
          <w:rFonts w:hint="eastAsia" w:ascii="宋体" w:hAnsi="宋体" w:eastAsia="宋体" w:cs="宋体"/>
          <w:sz w:val="24"/>
        </w:rPr>
      </w:pPr>
      <w:r>
        <w:rPr>
          <w:rFonts w:hint="eastAsia" w:ascii="宋体" w:hAnsi="宋体" w:eastAsia="宋体" w:cs="宋体"/>
          <w:sz w:val="24"/>
        </w:rPr>
        <w:t>18.1 工程保险</w:t>
      </w:r>
    </w:p>
    <w:p w14:paraId="127C8FB2">
      <w:pPr>
        <w:pageBreakBefore w:val="0"/>
        <w:widowControl w:val="0"/>
        <w:kinsoku/>
        <w:wordWrap/>
        <w:overflowPunct/>
        <w:topLinePunct w:val="0"/>
        <w:bidi w:val="0"/>
        <w:snapToGrid/>
        <w:spacing w:line="480" w:lineRule="exact"/>
        <w:ind w:firstLine="480" w:firstLineChars="200"/>
        <w:jc w:val="left"/>
        <w:textAlignment w:val="auto"/>
        <w:outlineLvl w:val="9"/>
        <w:rPr>
          <w:rFonts w:hint="eastAsia" w:ascii="宋体" w:hAnsi="宋体" w:eastAsia="宋体" w:cs="宋体"/>
          <w:sz w:val="24"/>
        </w:rPr>
      </w:pPr>
      <w:r>
        <w:rPr>
          <w:rFonts w:hint="eastAsia" w:ascii="宋体" w:hAnsi="宋体" w:eastAsia="宋体" w:cs="宋体"/>
          <w:sz w:val="24"/>
        </w:rPr>
        <w:t>关于工程保险的特别约定：</w:t>
      </w:r>
      <w:r>
        <w:rPr>
          <w:rFonts w:hint="eastAsia" w:ascii="宋体" w:hAnsi="宋体" w:eastAsia="宋体" w:cs="宋体"/>
          <w:kern w:val="0"/>
          <w:sz w:val="24"/>
          <w:u w:val="single"/>
        </w:rPr>
        <w:t xml:space="preserve">        </w:t>
      </w:r>
      <w:r>
        <w:rPr>
          <w:rFonts w:hint="eastAsia" w:ascii="宋体" w:hAnsi="宋体" w:eastAsia="宋体" w:cs="宋体"/>
          <w:kern w:val="0"/>
          <w:sz w:val="24"/>
        </w:rPr>
        <w:t>。</w:t>
      </w:r>
    </w:p>
    <w:p w14:paraId="4DACD937">
      <w:pPr>
        <w:pageBreakBefore w:val="0"/>
        <w:widowControl w:val="0"/>
        <w:kinsoku/>
        <w:wordWrap/>
        <w:overflowPunct/>
        <w:topLinePunct w:val="0"/>
        <w:bidi w:val="0"/>
        <w:snapToGrid/>
        <w:spacing w:after="120" w:line="480" w:lineRule="exact"/>
        <w:ind w:firstLine="480" w:firstLineChars="200"/>
        <w:textAlignment w:val="auto"/>
        <w:outlineLvl w:val="9"/>
        <w:rPr>
          <w:rFonts w:hint="eastAsia" w:ascii="宋体" w:hAnsi="宋体" w:eastAsia="宋体" w:cs="宋体"/>
          <w:sz w:val="24"/>
        </w:rPr>
      </w:pPr>
      <w:r>
        <w:rPr>
          <w:rFonts w:hint="eastAsia" w:ascii="宋体" w:hAnsi="宋体" w:eastAsia="宋体" w:cs="宋体"/>
          <w:sz w:val="24"/>
        </w:rPr>
        <w:t>18.3 其他保险</w:t>
      </w:r>
    </w:p>
    <w:p w14:paraId="1A956F58">
      <w:pPr>
        <w:pageBreakBefore w:val="0"/>
        <w:widowControl w:val="0"/>
        <w:kinsoku/>
        <w:wordWrap/>
        <w:overflowPunct/>
        <w:topLinePunct w:val="0"/>
        <w:bidi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sz w:val="24"/>
        </w:rPr>
        <w:t>关于其他保险的约定：</w:t>
      </w:r>
      <w:r>
        <w:rPr>
          <w:rFonts w:hint="eastAsia" w:ascii="宋体" w:hAnsi="宋体" w:eastAsia="宋体" w:cs="宋体"/>
          <w:kern w:val="0"/>
          <w:sz w:val="24"/>
          <w:u w:val="single"/>
        </w:rPr>
        <w:t xml:space="preserve">                       </w:t>
      </w:r>
      <w:r>
        <w:rPr>
          <w:rFonts w:hint="eastAsia" w:ascii="宋体" w:hAnsi="宋体" w:eastAsia="宋体" w:cs="宋体"/>
          <w:kern w:val="0"/>
          <w:sz w:val="24"/>
        </w:rPr>
        <w:t>。</w:t>
      </w:r>
    </w:p>
    <w:p w14:paraId="2FD0E403">
      <w:pPr>
        <w:pageBreakBefore w:val="0"/>
        <w:widowControl w:val="0"/>
        <w:kinsoku/>
        <w:wordWrap/>
        <w:overflowPunct/>
        <w:topLinePunct w:val="0"/>
        <w:bidi w:val="0"/>
        <w:snapToGrid/>
        <w:spacing w:line="480" w:lineRule="exact"/>
        <w:ind w:firstLine="480" w:firstLineChars="200"/>
        <w:jc w:val="left"/>
        <w:textAlignment w:val="auto"/>
        <w:outlineLvl w:val="9"/>
        <w:rPr>
          <w:rFonts w:hint="eastAsia" w:ascii="宋体" w:hAnsi="宋体" w:eastAsia="宋体" w:cs="宋体"/>
          <w:kern w:val="0"/>
          <w:sz w:val="24"/>
        </w:rPr>
      </w:pPr>
      <w:r>
        <w:rPr>
          <w:rFonts w:hint="eastAsia" w:ascii="宋体" w:hAnsi="宋体" w:eastAsia="宋体" w:cs="宋体"/>
          <w:sz w:val="24"/>
        </w:rPr>
        <w:t>承包人是否应为其施工设备等办理财产保险：</w:t>
      </w:r>
      <w:r>
        <w:rPr>
          <w:rFonts w:hint="eastAsia" w:ascii="宋体" w:hAnsi="宋体" w:eastAsia="宋体" w:cs="宋体"/>
          <w:sz w:val="24"/>
          <w:u w:val="single"/>
        </w:rPr>
        <w:t xml:space="preserve">              </w:t>
      </w:r>
      <w:r>
        <w:rPr>
          <w:rFonts w:hint="eastAsia" w:ascii="宋体" w:hAnsi="宋体" w:eastAsia="宋体" w:cs="宋体"/>
          <w:sz w:val="24"/>
        </w:rPr>
        <w:t>。</w:t>
      </w:r>
    </w:p>
    <w:p w14:paraId="535C682E">
      <w:pPr>
        <w:pageBreakBefore w:val="0"/>
        <w:widowControl w:val="0"/>
        <w:kinsoku/>
        <w:wordWrap/>
        <w:overflowPunct/>
        <w:topLinePunct w:val="0"/>
        <w:bidi w:val="0"/>
        <w:snapToGrid/>
        <w:spacing w:after="120" w:line="480" w:lineRule="exact"/>
        <w:ind w:firstLine="480" w:firstLineChars="200"/>
        <w:textAlignment w:val="auto"/>
        <w:outlineLvl w:val="9"/>
        <w:rPr>
          <w:rFonts w:hint="eastAsia" w:ascii="宋体" w:hAnsi="宋体" w:eastAsia="宋体" w:cs="宋体"/>
          <w:sz w:val="24"/>
        </w:rPr>
      </w:pPr>
      <w:r>
        <w:rPr>
          <w:rFonts w:hint="eastAsia" w:ascii="宋体" w:hAnsi="宋体" w:eastAsia="宋体" w:cs="宋体"/>
          <w:sz w:val="24"/>
        </w:rPr>
        <w:t>18.7 通知义务</w:t>
      </w:r>
    </w:p>
    <w:p w14:paraId="489B1A4C">
      <w:pPr>
        <w:pageBreakBefore w:val="0"/>
        <w:widowControl w:val="0"/>
        <w:kinsoku/>
        <w:wordWrap/>
        <w:overflowPunct/>
        <w:topLinePunct w:val="0"/>
        <w:bidi w:val="0"/>
        <w:snapToGrid/>
        <w:spacing w:line="480" w:lineRule="exact"/>
        <w:ind w:firstLine="480" w:firstLineChars="200"/>
        <w:jc w:val="left"/>
        <w:textAlignment w:val="auto"/>
        <w:outlineLvl w:val="9"/>
        <w:rPr>
          <w:rFonts w:hint="eastAsia" w:ascii="宋体" w:hAnsi="宋体" w:eastAsia="宋体" w:cs="宋体"/>
          <w:sz w:val="24"/>
        </w:rPr>
      </w:pPr>
      <w:r>
        <w:rPr>
          <w:rFonts w:hint="eastAsia" w:ascii="宋体" w:hAnsi="宋体" w:eastAsia="宋体" w:cs="宋体"/>
          <w:kern w:val="0"/>
          <w:sz w:val="24"/>
        </w:rPr>
        <w:t>关于变更保险合同时的通知义务的约定：</w:t>
      </w:r>
      <w:r>
        <w:rPr>
          <w:rFonts w:hint="eastAsia" w:ascii="宋体" w:hAnsi="宋体" w:eastAsia="宋体" w:cs="宋体"/>
          <w:sz w:val="24"/>
          <w:u w:val="single"/>
        </w:rPr>
        <w:t xml:space="preserve">                   </w:t>
      </w:r>
      <w:r>
        <w:rPr>
          <w:rFonts w:hint="eastAsia" w:ascii="宋体" w:hAnsi="宋体" w:eastAsia="宋体" w:cs="宋体"/>
          <w:sz w:val="24"/>
        </w:rPr>
        <w:t>。</w:t>
      </w:r>
    </w:p>
    <w:bookmarkEnd w:id="1514"/>
    <w:bookmarkEnd w:id="1515"/>
    <w:bookmarkEnd w:id="1516"/>
    <w:bookmarkEnd w:id="1517"/>
    <w:bookmarkEnd w:id="1518"/>
    <w:bookmarkEnd w:id="1519"/>
    <w:bookmarkEnd w:id="1520"/>
    <w:bookmarkEnd w:id="1521"/>
    <w:bookmarkEnd w:id="1522"/>
    <w:bookmarkEnd w:id="1523"/>
    <w:bookmarkEnd w:id="1524"/>
    <w:bookmarkEnd w:id="1525"/>
    <w:p w14:paraId="17B3D455">
      <w:pPr>
        <w:pageBreakBefore w:val="0"/>
        <w:widowControl w:val="0"/>
        <w:kinsoku/>
        <w:wordWrap/>
        <w:overflowPunct/>
        <w:topLinePunct w:val="0"/>
        <w:bidi w:val="0"/>
        <w:snapToGrid/>
        <w:spacing w:before="120" w:after="120" w:line="480" w:lineRule="exact"/>
        <w:textAlignment w:val="auto"/>
        <w:outlineLvl w:val="9"/>
        <w:rPr>
          <w:rFonts w:hint="eastAsia" w:ascii="宋体" w:hAnsi="宋体" w:eastAsia="宋体" w:cs="宋体"/>
          <w:b w:val="0"/>
          <w:sz w:val="24"/>
          <w:szCs w:val="24"/>
        </w:rPr>
      </w:pPr>
      <w:bookmarkStart w:id="1541" w:name="_Toc351203651"/>
      <w:r>
        <w:rPr>
          <w:rFonts w:hint="eastAsia" w:ascii="宋体" w:hAnsi="宋体" w:eastAsia="宋体" w:cs="宋体"/>
          <w:b w:val="0"/>
          <w:sz w:val="24"/>
          <w:szCs w:val="24"/>
        </w:rPr>
        <w:t>20. 争议解决</w:t>
      </w:r>
      <w:bookmarkEnd w:id="1541"/>
    </w:p>
    <w:bookmarkEnd w:id="1526"/>
    <w:bookmarkEnd w:id="1527"/>
    <w:bookmarkEnd w:id="1528"/>
    <w:p w14:paraId="29169D3D">
      <w:pPr>
        <w:pageBreakBefore w:val="0"/>
        <w:widowControl w:val="0"/>
        <w:kinsoku/>
        <w:wordWrap/>
        <w:overflowPunct/>
        <w:topLinePunct w:val="0"/>
        <w:bidi w:val="0"/>
        <w:snapToGrid/>
        <w:spacing w:after="120" w:line="480" w:lineRule="exact"/>
        <w:ind w:firstLine="480" w:firstLineChars="200"/>
        <w:textAlignment w:val="auto"/>
        <w:outlineLvl w:val="9"/>
        <w:rPr>
          <w:rFonts w:hint="eastAsia" w:ascii="宋体" w:hAnsi="宋体" w:eastAsia="宋体" w:cs="宋体"/>
          <w:sz w:val="24"/>
        </w:rPr>
      </w:pPr>
      <w:r>
        <w:rPr>
          <w:rFonts w:hint="eastAsia" w:ascii="宋体" w:hAnsi="宋体" w:eastAsia="宋体" w:cs="宋体"/>
          <w:sz w:val="24"/>
        </w:rPr>
        <w:t>20.4仲裁或诉讼</w:t>
      </w:r>
      <w:bookmarkEnd w:id="1529"/>
    </w:p>
    <w:p w14:paraId="390DB2F2">
      <w:pPr>
        <w:pageBreakBefore w:val="0"/>
        <w:widowControl w:val="0"/>
        <w:kinsoku/>
        <w:wordWrap/>
        <w:overflowPunct/>
        <w:topLinePunct w:val="0"/>
        <w:bidi w:val="0"/>
        <w:snapToGrid/>
        <w:spacing w:after="120" w:line="480" w:lineRule="exact"/>
        <w:ind w:firstLine="480" w:firstLineChars="200"/>
        <w:textAlignment w:val="auto"/>
        <w:outlineLvl w:val="9"/>
        <w:rPr>
          <w:rFonts w:hint="eastAsia" w:ascii="宋体" w:hAnsi="宋体" w:eastAsia="宋体" w:cs="宋体"/>
          <w:sz w:val="24"/>
        </w:rPr>
      </w:pPr>
      <w:r>
        <w:rPr>
          <w:rFonts w:hint="eastAsia" w:ascii="宋体" w:hAnsi="宋体" w:eastAsia="宋体" w:cs="宋体"/>
          <w:sz w:val="24"/>
        </w:rPr>
        <w:t>因合同及合同有关事项发生的争议，按下列第</w:t>
      </w:r>
      <w:r>
        <w:rPr>
          <w:rFonts w:hint="eastAsia" w:ascii="宋体" w:hAnsi="宋体" w:eastAsia="宋体" w:cs="宋体"/>
          <w:sz w:val="24"/>
          <w:u w:val="single"/>
        </w:rPr>
        <w:t xml:space="preserve">      </w:t>
      </w:r>
      <w:r>
        <w:rPr>
          <w:rFonts w:hint="eastAsia" w:ascii="宋体" w:hAnsi="宋体" w:eastAsia="宋体" w:cs="宋体"/>
          <w:sz w:val="24"/>
        </w:rPr>
        <w:t>种方式解决：</w:t>
      </w:r>
    </w:p>
    <w:p w14:paraId="69868BFD">
      <w:pPr>
        <w:pageBreakBefore w:val="0"/>
        <w:widowControl w:val="0"/>
        <w:kinsoku/>
        <w:wordWrap/>
        <w:overflowPunct/>
        <w:topLinePunct w:val="0"/>
        <w:bidi w:val="0"/>
        <w:snapToGrid/>
        <w:spacing w:line="480" w:lineRule="exact"/>
        <w:ind w:firstLine="480" w:firstLineChars="200"/>
        <w:jc w:val="left"/>
        <w:textAlignment w:val="auto"/>
        <w:outlineLvl w:val="9"/>
        <w:rPr>
          <w:rFonts w:hint="eastAsia" w:ascii="宋体" w:hAnsi="宋体" w:eastAsia="宋体" w:cs="宋体"/>
          <w:sz w:val="24"/>
        </w:rPr>
      </w:pPr>
      <w:r>
        <w:rPr>
          <w:rFonts w:hint="eastAsia" w:ascii="宋体" w:hAnsi="宋体" w:eastAsia="宋体" w:cs="宋体"/>
          <w:sz w:val="24"/>
        </w:rPr>
        <w:t>（1）向</w:t>
      </w:r>
      <w:r>
        <w:rPr>
          <w:rFonts w:hint="eastAsia" w:ascii="宋体" w:hAnsi="宋体" w:eastAsia="宋体" w:cs="宋体"/>
          <w:sz w:val="24"/>
          <w:u w:val="single"/>
        </w:rPr>
        <w:t xml:space="preserve">           </w:t>
      </w:r>
      <w:r>
        <w:rPr>
          <w:rFonts w:hint="eastAsia" w:ascii="宋体" w:hAnsi="宋体" w:eastAsia="宋体" w:cs="宋体"/>
          <w:sz w:val="24"/>
        </w:rPr>
        <w:t>仲裁委员会申请仲裁；</w:t>
      </w:r>
    </w:p>
    <w:p w14:paraId="17B2A0FE">
      <w:pPr>
        <w:pageBreakBefore w:val="0"/>
        <w:widowControl w:val="0"/>
        <w:kinsoku/>
        <w:wordWrap/>
        <w:overflowPunct/>
        <w:topLinePunct w:val="0"/>
        <w:bidi w:val="0"/>
        <w:snapToGrid/>
        <w:spacing w:line="480" w:lineRule="exact"/>
        <w:ind w:firstLine="480" w:firstLineChars="200"/>
        <w:jc w:val="left"/>
        <w:textAlignment w:val="auto"/>
        <w:outlineLvl w:val="9"/>
        <w:rPr>
          <w:rFonts w:hint="eastAsia" w:ascii="宋体" w:hAnsi="宋体" w:eastAsia="宋体" w:cs="宋体"/>
          <w:sz w:val="24"/>
        </w:rPr>
      </w:pPr>
      <w:r>
        <w:rPr>
          <w:rFonts w:hint="eastAsia" w:ascii="宋体" w:hAnsi="宋体" w:eastAsia="宋体" w:cs="宋体"/>
          <w:sz w:val="24"/>
        </w:rPr>
        <w:t>（2）向</w:t>
      </w:r>
      <w:r>
        <w:rPr>
          <w:rFonts w:hint="eastAsia" w:ascii="宋体" w:hAnsi="宋体" w:eastAsia="宋体" w:cs="宋体"/>
          <w:sz w:val="24"/>
          <w:u w:val="single"/>
        </w:rPr>
        <w:t xml:space="preserve">                      </w:t>
      </w:r>
      <w:r>
        <w:rPr>
          <w:rFonts w:hint="eastAsia" w:ascii="宋体" w:hAnsi="宋体" w:eastAsia="宋体" w:cs="宋体"/>
          <w:sz w:val="24"/>
        </w:rPr>
        <w:t>人民法院起诉。</w:t>
      </w:r>
      <w:bookmarkEnd w:id="1530"/>
      <w:bookmarkEnd w:id="1531"/>
      <w:bookmarkEnd w:id="1532"/>
      <w:bookmarkEnd w:id="1533"/>
      <w:bookmarkEnd w:id="1534"/>
      <w:bookmarkEnd w:id="1535"/>
    </w:p>
    <w:p w14:paraId="75A2B9AA">
      <w:pPr>
        <w:spacing w:line="480" w:lineRule="exact"/>
        <w:jc w:val="center"/>
        <w:rPr>
          <w:rFonts w:hint="eastAsia" w:ascii="宋体" w:hAnsi="宋体" w:eastAsia="宋体" w:cs="宋体"/>
          <w:b/>
          <w:bCs/>
          <w:sz w:val="28"/>
          <w:szCs w:val="28"/>
        </w:rPr>
      </w:pPr>
    </w:p>
    <w:p w14:paraId="4A049932">
      <w:pPr>
        <w:rPr>
          <w:rFonts w:hint="eastAsia" w:ascii="黑体" w:hAnsi="黑体" w:eastAsia="黑体"/>
          <w:b w:val="0"/>
          <w:bCs w:val="0"/>
          <w:sz w:val="32"/>
        </w:rPr>
      </w:pPr>
      <w:r>
        <w:rPr>
          <w:rFonts w:hint="eastAsia" w:ascii="黑体" w:hAnsi="黑体" w:eastAsia="黑体"/>
          <w:b w:val="0"/>
          <w:bCs w:val="0"/>
          <w:sz w:val="32"/>
        </w:rPr>
        <w:br w:type="page"/>
      </w:r>
    </w:p>
    <w:p w14:paraId="00431A0C">
      <w:pPr>
        <w:pStyle w:val="3"/>
        <w:spacing w:before="120" w:after="120" w:line="400" w:lineRule="exact"/>
        <w:jc w:val="center"/>
        <w:rPr>
          <w:rFonts w:hint="eastAsia" w:ascii="黑体" w:hAnsi="黑体" w:eastAsia="黑体"/>
          <w:b w:val="0"/>
          <w:bCs w:val="0"/>
          <w:sz w:val="32"/>
        </w:rPr>
      </w:pPr>
    </w:p>
    <w:p w14:paraId="71428414">
      <w:pPr>
        <w:pStyle w:val="3"/>
        <w:spacing w:before="120" w:after="120" w:line="400" w:lineRule="exact"/>
        <w:jc w:val="center"/>
        <w:rPr>
          <w:rFonts w:hint="eastAsia" w:ascii="黑体" w:hAnsi="黑体" w:eastAsia="黑体"/>
          <w:b w:val="0"/>
          <w:bCs w:val="0"/>
          <w:sz w:val="32"/>
        </w:rPr>
      </w:pPr>
    </w:p>
    <w:p w14:paraId="3D902DE6">
      <w:pPr>
        <w:pStyle w:val="3"/>
        <w:spacing w:before="120" w:after="120" w:line="400" w:lineRule="exact"/>
        <w:jc w:val="center"/>
        <w:rPr>
          <w:rFonts w:hint="eastAsia" w:ascii="黑体" w:hAnsi="黑体" w:eastAsia="黑体"/>
          <w:b w:val="0"/>
          <w:bCs w:val="0"/>
          <w:sz w:val="32"/>
        </w:rPr>
      </w:pPr>
    </w:p>
    <w:p w14:paraId="718494CF">
      <w:pPr>
        <w:pStyle w:val="3"/>
        <w:spacing w:before="120" w:after="120" w:line="400" w:lineRule="exact"/>
        <w:jc w:val="center"/>
        <w:rPr>
          <w:rFonts w:hint="eastAsia" w:ascii="黑体" w:hAnsi="黑体" w:eastAsia="黑体"/>
          <w:b w:val="0"/>
          <w:bCs w:val="0"/>
          <w:sz w:val="32"/>
        </w:rPr>
      </w:pPr>
      <w:r>
        <w:rPr>
          <w:rFonts w:hint="eastAsia" w:ascii="黑体" w:hAnsi="黑体" w:eastAsia="黑体"/>
          <w:b w:val="0"/>
          <w:bCs w:val="0"/>
          <w:sz w:val="32"/>
        </w:rPr>
        <w:t xml:space="preserve">第五章  </w:t>
      </w:r>
      <w:bookmarkEnd w:id="574"/>
      <w:bookmarkEnd w:id="575"/>
      <w:bookmarkEnd w:id="576"/>
      <w:r>
        <w:rPr>
          <w:rFonts w:hint="eastAsia" w:ascii="黑体" w:hAnsi="黑体" w:eastAsia="黑体"/>
          <w:b w:val="0"/>
          <w:bCs w:val="0"/>
          <w:sz w:val="32"/>
        </w:rPr>
        <w:t>工程量清单</w:t>
      </w:r>
      <w:bookmarkEnd w:id="577"/>
    </w:p>
    <w:p w14:paraId="22B86BC9">
      <w:pPr>
        <w:spacing w:line="400" w:lineRule="exact"/>
      </w:pPr>
    </w:p>
    <w:p w14:paraId="4C6421AF">
      <w:pPr>
        <w:tabs>
          <w:tab w:val="left" w:pos="2520"/>
        </w:tabs>
        <w:topLinePunct/>
        <w:spacing w:line="440" w:lineRule="exact"/>
        <w:rPr>
          <w:rFonts w:hint="eastAsia"/>
          <w:b/>
          <w:sz w:val="32"/>
          <w:szCs w:val="32"/>
        </w:rPr>
      </w:pPr>
    </w:p>
    <w:p w14:paraId="306484CC">
      <w:pPr>
        <w:topLinePunct/>
        <w:spacing w:line="440" w:lineRule="exact"/>
        <w:jc w:val="center"/>
        <w:rPr>
          <w:rFonts w:hint="eastAsia"/>
          <w:b/>
          <w:sz w:val="32"/>
          <w:szCs w:val="32"/>
        </w:rPr>
      </w:pPr>
    </w:p>
    <w:p w14:paraId="5FAE062F">
      <w:pPr>
        <w:spacing w:line="400" w:lineRule="exact"/>
        <w:jc w:val="center"/>
        <w:rPr>
          <w:rFonts w:hint="eastAsia" w:ascii="黑体" w:hAnsi="黑体" w:eastAsia="黑体"/>
          <w:b/>
          <w:bCs/>
          <w:sz w:val="32"/>
        </w:rPr>
      </w:pPr>
      <w:r>
        <w:br w:type="page"/>
      </w:r>
      <w:bookmarkStart w:id="1542" w:name="_Toc144974854"/>
      <w:bookmarkStart w:id="1543" w:name="_Toc152042574"/>
      <w:bookmarkStart w:id="1544" w:name="_Toc152045785"/>
    </w:p>
    <w:p w14:paraId="362711E6">
      <w:pPr>
        <w:pStyle w:val="3"/>
        <w:spacing w:before="120" w:after="120" w:line="400" w:lineRule="exact"/>
        <w:jc w:val="center"/>
        <w:rPr>
          <w:rFonts w:hint="eastAsia" w:ascii="黑体" w:hAnsi="黑体" w:eastAsia="黑体"/>
          <w:b w:val="0"/>
          <w:bCs w:val="0"/>
          <w:sz w:val="32"/>
        </w:rPr>
      </w:pPr>
      <w:bookmarkStart w:id="1545" w:name="_Toc100487588"/>
      <w:r>
        <w:rPr>
          <w:rFonts w:hint="eastAsia" w:ascii="黑体" w:hAnsi="黑体" w:eastAsia="黑体"/>
          <w:b w:val="0"/>
          <w:bCs w:val="0"/>
          <w:sz w:val="32"/>
        </w:rPr>
        <w:t>第六章  技术标准和要求</w:t>
      </w:r>
      <w:bookmarkEnd w:id="1542"/>
      <w:bookmarkEnd w:id="1543"/>
      <w:bookmarkEnd w:id="1544"/>
      <w:bookmarkEnd w:id="1545"/>
    </w:p>
    <w:p w14:paraId="219230CC">
      <w:pPr>
        <w:spacing w:line="400" w:lineRule="exact"/>
        <w:jc w:val="center"/>
        <w:rPr>
          <w:rFonts w:hint="eastAsia" w:ascii="黑体" w:hAnsi="黑体" w:eastAsia="黑体"/>
          <w:b/>
          <w:bCs/>
          <w:sz w:val="32"/>
        </w:rPr>
      </w:pPr>
    </w:p>
    <w:p w14:paraId="4C8CBB22">
      <w:pPr>
        <w:pStyle w:val="23"/>
        <w:spacing w:line="520" w:lineRule="exact"/>
        <w:ind w:left="-90"/>
        <w:rPr>
          <w:rFonts w:ascii="Times New Roman" w:hAnsi="Times New Roman"/>
          <w:b/>
          <w:bCs/>
          <w:sz w:val="24"/>
        </w:rPr>
      </w:pPr>
      <w:r>
        <w:rPr>
          <w:rFonts w:ascii="Times New Roman" w:hAnsi="Times New Roman"/>
          <w:b/>
          <w:bCs/>
          <w:sz w:val="24"/>
        </w:rPr>
        <w:t>一、适用范围</w:t>
      </w:r>
    </w:p>
    <w:p w14:paraId="38DC33E4">
      <w:pPr>
        <w:pStyle w:val="23"/>
        <w:spacing w:line="520" w:lineRule="exact"/>
        <w:ind w:firstLine="480" w:firstLineChars="200"/>
        <w:rPr>
          <w:rFonts w:ascii="Times New Roman" w:hAnsi="Times New Roman"/>
          <w:sz w:val="24"/>
        </w:rPr>
      </w:pPr>
      <w:r>
        <w:rPr>
          <w:rFonts w:ascii="Times New Roman" w:hAnsi="Times New Roman"/>
          <w:sz w:val="24"/>
        </w:rPr>
        <w:t>本规范适用于</w:t>
      </w:r>
      <w:r>
        <w:rPr>
          <w:rFonts w:hAnsi="宋体"/>
          <w:sz w:val="24"/>
        </w:rPr>
        <w:t>本</w:t>
      </w:r>
      <w:r>
        <w:rPr>
          <w:rFonts w:ascii="Times New Roman" w:hAnsi="Times New Roman"/>
          <w:sz w:val="24"/>
        </w:rPr>
        <w:t xml:space="preserve">工程施工，详细内容均已注明于有关文件之中。 </w:t>
      </w:r>
    </w:p>
    <w:p w14:paraId="583F25D8">
      <w:pPr>
        <w:spacing w:line="520" w:lineRule="exact"/>
        <w:rPr>
          <w:b/>
          <w:bCs/>
          <w:sz w:val="24"/>
        </w:rPr>
      </w:pPr>
      <w:r>
        <w:rPr>
          <w:rFonts w:hint="eastAsia"/>
          <w:b/>
          <w:bCs/>
          <w:sz w:val="24"/>
        </w:rPr>
        <w:t>二、</w:t>
      </w:r>
      <w:r>
        <w:rPr>
          <w:b/>
          <w:bCs/>
          <w:sz w:val="24"/>
        </w:rPr>
        <w:t>实施的有关标准与法规</w:t>
      </w:r>
    </w:p>
    <w:p w14:paraId="758CC18A">
      <w:pPr>
        <w:spacing w:line="520" w:lineRule="exact"/>
        <w:ind w:firstLine="600" w:firstLineChars="250"/>
        <w:rPr>
          <w:sz w:val="24"/>
        </w:rPr>
      </w:pPr>
      <w:r>
        <w:rPr>
          <w:sz w:val="24"/>
        </w:rPr>
        <w:t>规范中指定的标准或法规为工程实施中实际采用的标准和法规，承包人提出采用的其它标准及规范，如能保证其达到与本规范所规定的标准及规范相同的质量或更高的质量，经</w:t>
      </w:r>
      <w:r>
        <w:rPr>
          <w:rFonts w:hint="eastAsia"/>
          <w:sz w:val="24"/>
        </w:rPr>
        <w:t>监理</w:t>
      </w:r>
      <w:r>
        <w:rPr>
          <w:sz w:val="24"/>
        </w:rPr>
        <w:t>工程师事先审阅和书面批准即可采用。</w:t>
      </w:r>
    </w:p>
    <w:p w14:paraId="712C99F0">
      <w:pPr>
        <w:spacing w:line="520" w:lineRule="exact"/>
        <w:ind w:firstLine="480" w:firstLineChars="200"/>
        <w:rPr>
          <w:sz w:val="24"/>
        </w:rPr>
      </w:pPr>
      <w:r>
        <w:rPr>
          <w:sz w:val="24"/>
        </w:rPr>
        <w:t>本规范与图纸中明显地未提到的任何细节，或在涉及任何条款的细节说明中有明显的遗漏，都应被认为指的是采用令人满意的</w:t>
      </w:r>
      <w:r>
        <w:rPr>
          <w:rFonts w:hint="eastAsia"/>
          <w:sz w:val="24"/>
        </w:rPr>
        <w:t>施工</w:t>
      </w:r>
      <w:r>
        <w:rPr>
          <w:sz w:val="24"/>
        </w:rPr>
        <w:t>工程的习惯作法。</w:t>
      </w:r>
    </w:p>
    <w:p w14:paraId="1462F288">
      <w:pPr>
        <w:spacing w:line="520" w:lineRule="exact"/>
        <w:ind w:firstLine="480" w:firstLineChars="200"/>
        <w:rPr>
          <w:sz w:val="24"/>
        </w:rPr>
      </w:pPr>
      <w:r>
        <w:rPr>
          <w:sz w:val="24"/>
        </w:rPr>
        <w:t>本工程实施中所采用的材料、设备和工艺应在各方面符合引用的标准规范。</w:t>
      </w:r>
    </w:p>
    <w:p w14:paraId="5A552EC2">
      <w:pPr>
        <w:spacing w:line="520" w:lineRule="exact"/>
        <w:ind w:firstLine="480" w:firstLineChars="200"/>
        <w:rPr>
          <w:rFonts w:hint="eastAsia"/>
          <w:sz w:val="24"/>
        </w:rPr>
      </w:pPr>
      <w:r>
        <w:rPr>
          <w:sz w:val="24"/>
        </w:rPr>
        <w:t>本工程实施中采用图纸中指定的技术规范和标准</w:t>
      </w:r>
      <w:r>
        <w:rPr>
          <w:rFonts w:hint="eastAsia"/>
          <w:sz w:val="24"/>
        </w:rPr>
        <w:t>，所用</w:t>
      </w:r>
      <w:r>
        <w:rPr>
          <w:sz w:val="24"/>
        </w:rPr>
        <w:t>技术规范</w:t>
      </w:r>
      <w:r>
        <w:rPr>
          <w:rFonts w:hint="eastAsia"/>
          <w:sz w:val="24"/>
        </w:rPr>
        <w:t>和</w:t>
      </w:r>
      <w:r>
        <w:rPr>
          <w:sz w:val="24"/>
        </w:rPr>
        <w:t>标准与新技术规范</w:t>
      </w:r>
      <w:r>
        <w:rPr>
          <w:rFonts w:hint="eastAsia"/>
          <w:sz w:val="24"/>
        </w:rPr>
        <w:t>和</w:t>
      </w:r>
      <w:r>
        <w:rPr>
          <w:sz w:val="24"/>
        </w:rPr>
        <w:t>标准不一致时，以新技术规范</w:t>
      </w:r>
      <w:r>
        <w:rPr>
          <w:rFonts w:hint="eastAsia"/>
          <w:sz w:val="24"/>
        </w:rPr>
        <w:t>和</w:t>
      </w:r>
      <w:r>
        <w:rPr>
          <w:sz w:val="24"/>
        </w:rPr>
        <w:t>标准为准。</w:t>
      </w:r>
    </w:p>
    <w:p w14:paraId="130719CD">
      <w:pPr>
        <w:pStyle w:val="23"/>
        <w:spacing w:line="520" w:lineRule="exact"/>
        <w:rPr>
          <w:rFonts w:hint="eastAsia" w:hAnsi="宋体"/>
          <w:b/>
          <w:bCs/>
          <w:sz w:val="24"/>
          <w:szCs w:val="24"/>
        </w:rPr>
      </w:pPr>
      <w:r>
        <w:rPr>
          <w:rFonts w:hint="eastAsia" w:hAnsi="宋体"/>
          <w:b/>
          <w:sz w:val="24"/>
          <w:szCs w:val="24"/>
        </w:rPr>
        <w:t>三、</w:t>
      </w:r>
      <w:r>
        <w:rPr>
          <w:rFonts w:hint="eastAsia" w:hAnsi="宋体"/>
          <w:b/>
          <w:bCs/>
          <w:sz w:val="24"/>
          <w:szCs w:val="24"/>
        </w:rPr>
        <w:t>工程验收：</w:t>
      </w:r>
    </w:p>
    <w:p w14:paraId="2137E573">
      <w:pPr>
        <w:pStyle w:val="23"/>
        <w:spacing w:line="520" w:lineRule="exact"/>
        <w:ind w:firstLine="480" w:firstLineChars="200"/>
        <w:rPr>
          <w:rFonts w:hAnsi="宋体"/>
          <w:sz w:val="28"/>
        </w:rPr>
      </w:pPr>
      <w:r>
        <w:rPr>
          <w:rFonts w:hint="eastAsia" w:hAnsi="宋体"/>
          <w:sz w:val="24"/>
          <w:szCs w:val="24"/>
        </w:rPr>
        <w:t>工程验收按照国家现行有关规范、标准、规定执行。</w:t>
      </w:r>
    </w:p>
    <w:p w14:paraId="5094C844">
      <w:pPr>
        <w:spacing w:line="400" w:lineRule="exact"/>
        <w:jc w:val="center"/>
        <w:rPr>
          <w:rFonts w:hint="eastAsia"/>
          <w:sz w:val="28"/>
          <w:szCs w:val="28"/>
        </w:rPr>
      </w:pPr>
    </w:p>
    <w:p w14:paraId="230D31F2">
      <w:pPr>
        <w:spacing w:line="400" w:lineRule="exact"/>
        <w:jc w:val="center"/>
        <w:rPr>
          <w:rFonts w:hint="eastAsia"/>
          <w:sz w:val="28"/>
          <w:szCs w:val="28"/>
        </w:rPr>
      </w:pPr>
    </w:p>
    <w:p w14:paraId="64CC8E4E">
      <w:pPr>
        <w:spacing w:line="400" w:lineRule="exact"/>
        <w:jc w:val="center"/>
        <w:rPr>
          <w:rFonts w:hint="eastAsia"/>
          <w:sz w:val="28"/>
          <w:szCs w:val="28"/>
        </w:rPr>
      </w:pPr>
    </w:p>
    <w:p w14:paraId="1FA81E99">
      <w:pPr>
        <w:spacing w:line="400" w:lineRule="exact"/>
        <w:jc w:val="center"/>
        <w:rPr>
          <w:rFonts w:hint="eastAsia" w:ascii="黑体" w:hAnsi="黑体" w:eastAsia="黑体"/>
          <w:b/>
          <w:bCs/>
          <w:sz w:val="32"/>
        </w:rPr>
      </w:pPr>
    </w:p>
    <w:p w14:paraId="67D2A4C6">
      <w:pPr>
        <w:pStyle w:val="3"/>
        <w:spacing w:before="120" w:after="120" w:line="400" w:lineRule="exact"/>
        <w:jc w:val="center"/>
        <w:rPr>
          <w:rFonts w:hint="eastAsia" w:ascii="黑体" w:hAnsi="黑体" w:eastAsia="黑体"/>
          <w:b w:val="0"/>
          <w:bCs w:val="0"/>
          <w:sz w:val="32"/>
        </w:rPr>
      </w:pPr>
      <w:r>
        <w:br w:type="page"/>
      </w:r>
      <w:bookmarkStart w:id="1546" w:name="_Toc100487589"/>
      <w:bookmarkStart w:id="1547" w:name="_Toc152042575"/>
      <w:bookmarkStart w:id="1548" w:name="_Toc152045786"/>
      <w:bookmarkStart w:id="1549" w:name="_Toc144974855"/>
      <w:r>
        <w:rPr>
          <w:rFonts w:hint="eastAsia" w:ascii="黑体" w:hAnsi="黑体" w:eastAsia="黑体"/>
          <w:b w:val="0"/>
          <w:bCs w:val="0"/>
          <w:sz w:val="32"/>
        </w:rPr>
        <w:t>第七章  投标文件格式</w:t>
      </w:r>
      <w:bookmarkEnd w:id="1546"/>
      <w:bookmarkEnd w:id="1547"/>
      <w:bookmarkEnd w:id="1548"/>
      <w:bookmarkEnd w:id="1549"/>
    </w:p>
    <w:p w14:paraId="4A7D9EE5">
      <w:pPr>
        <w:spacing w:line="400" w:lineRule="exact"/>
        <w:rPr>
          <w:rFonts w:hint="eastAsia"/>
        </w:rPr>
      </w:pPr>
    </w:p>
    <w:p w14:paraId="3E97926A">
      <w:pPr>
        <w:spacing w:line="400" w:lineRule="exact"/>
        <w:rPr>
          <w:rFonts w:hint="eastAsia"/>
        </w:rPr>
      </w:pPr>
    </w:p>
    <w:p w14:paraId="3639C686">
      <w:pPr>
        <w:spacing w:line="400" w:lineRule="exact"/>
        <w:rPr>
          <w:rFonts w:hint="eastAsia"/>
        </w:rPr>
      </w:pPr>
    </w:p>
    <w:p w14:paraId="62046569">
      <w:pPr>
        <w:spacing w:line="400" w:lineRule="exact"/>
        <w:rPr>
          <w:rFonts w:hint="eastAsia"/>
        </w:rPr>
      </w:pPr>
    </w:p>
    <w:p w14:paraId="0DB03E58">
      <w:pPr>
        <w:spacing w:line="400" w:lineRule="exact"/>
        <w:rPr>
          <w:rFonts w:eastAsia="黑体"/>
          <w:sz w:val="20"/>
          <w:szCs w:val="20"/>
        </w:rPr>
      </w:pPr>
    </w:p>
    <w:p w14:paraId="308B03A9">
      <w:pPr>
        <w:jc w:val="center"/>
        <w:rPr>
          <w:rFonts w:eastAsia="黑体"/>
          <w:sz w:val="28"/>
          <w:szCs w:val="28"/>
        </w:rPr>
      </w:pPr>
      <w:r>
        <w:rPr>
          <w:rFonts w:hint="eastAsia" w:eastAsia="黑体"/>
          <w:sz w:val="28"/>
          <w:szCs w:val="28"/>
          <w:u w:val="single"/>
        </w:rPr>
        <w:t xml:space="preserve">                     </w:t>
      </w:r>
      <w:r>
        <w:rPr>
          <w:rFonts w:eastAsia="黑体"/>
          <w:sz w:val="28"/>
          <w:szCs w:val="28"/>
        </w:rPr>
        <w:t>（项目名称</w:t>
      </w:r>
      <w:r>
        <w:rPr>
          <w:rFonts w:hint="eastAsia" w:eastAsia="黑体"/>
          <w:sz w:val="28"/>
          <w:szCs w:val="28"/>
        </w:rPr>
        <w:t>）</w:t>
      </w:r>
      <w:r>
        <w:rPr>
          <w:rFonts w:hint="eastAsia" w:eastAsia="黑体"/>
          <w:sz w:val="28"/>
          <w:szCs w:val="28"/>
          <w:u w:val="single"/>
        </w:rPr>
        <w:t xml:space="preserve">     </w:t>
      </w:r>
      <w:r>
        <w:rPr>
          <w:rFonts w:hint="eastAsia" w:eastAsia="黑体"/>
          <w:sz w:val="28"/>
          <w:szCs w:val="28"/>
        </w:rPr>
        <w:t>标段</w:t>
      </w:r>
    </w:p>
    <w:p w14:paraId="4AADFDC9">
      <w:pPr>
        <w:rPr>
          <w:rFonts w:hint="eastAsia" w:eastAsia="黑体"/>
          <w:sz w:val="20"/>
          <w:szCs w:val="20"/>
        </w:rPr>
      </w:pPr>
    </w:p>
    <w:p w14:paraId="7DCA0426">
      <w:pPr>
        <w:rPr>
          <w:rFonts w:hint="eastAsia" w:eastAsia="黑体"/>
          <w:sz w:val="20"/>
          <w:szCs w:val="20"/>
        </w:rPr>
      </w:pPr>
    </w:p>
    <w:p w14:paraId="588AD4DE">
      <w:pPr>
        <w:rPr>
          <w:rFonts w:hint="eastAsia" w:eastAsia="黑体"/>
          <w:sz w:val="20"/>
          <w:szCs w:val="20"/>
        </w:rPr>
      </w:pPr>
    </w:p>
    <w:p w14:paraId="0D6A37E6">
      <w:pPr>
        <w:rPr>
          <w:rFonts w:hint="eastAsia" w:eastAsia="黑体"/>
          <w:sz w:val="20"/>
          <w:szCs w:val="20"/>
        </w:rPr>
      </w:pPr>
    </w:p>
    <w:p w14:paraId="6E729B8C">
      <w:pPr>
        <w:rPr>
          <w:rFonts w:hint="eastAsia" w:eastAsia="黑体"/>
          <w:sz w:val="20"/>
          <w:szCs w:val="20"/>
        </w:rPr>
      </w:pPr>
    </w:p>
    <w:p w14:paraId="734178D6">
      <w:pPr>
        <w:rPr>
          <w:rFonts w:hint="eastAsia" w:eastAsia="黑体"/>
          <w:sz w:val="20"/>
          <w:szCs w:val="20"/>
        </w:rPr>
      </w:pPr>
    </w:p>
    <w:p w14:paraId="6D83F55F">
      <w:pPr>
        <w:rPr>
          <w:rFonts w:hint="eastAsia" w:eastAsia="黑体"/>
          <w:sz w:val="20"/>
          <w:szCs w:val="20"/>
        </w:rPr>
      </w:pPr>
    </w:p>
    <w:p w14:paraId="28735E87">
      <w:pPr>
        <w:rPr>
          <w:rFonts w:hint="eastAsia" w:eastAsia="黑体"/>
          <w:sz w:val="20"/>
          <w:szCs w:val="20"/>
        </w:rPr>
      </w:pPr>
    </w:p>
    <w:p w14:paraId="1297872E">
      <w:pPr>
        <w:jc w:val="center"/>
        <w:rPr>
          <w:rFonts w:eastAsia="黑体"/>
          <w:b/>
          <w:sz w:val="72"/>
          <w:szCs w:val="72"/>
        </w:rPr>
      </w:pPr>
      <w:r>
        <w:rPr>
          <w:rFonts w:eastAsia="黑体"/>
          <w:b/>
          <w:sz w:val="72"/>
          <w:szCs w:val="72"/>
        </w:rPr>
        <w:t>投  标  文  件</w:t>
      </w:r>
    </w:p>
    <w:p w14:paraId="00A23D9A">
      <w:pPr>
        <w:ind w:firstLine="3057" w:firstLineChars="1092"/>
        <w:rPr>
          <w:rFonts w:hint="eastAsia" w:eastAsia="黑体"/>
          <w:sz w:val="28"/>
          <w:szCs w:val="28"/>
        </w:rPr>
      </w:pPr>
    </w:p>
    <w:p w14:paraId="70A11B6D">
      <w:pPr>
        <w:rPr>
          <w:rFonts w:eastAsia="黑体"/>
          <w:sz w:val="28"/>
          <w:szCs w:val="28"/>
        </w:rPr>
      </w:pPr>
    </w:p>
    <w:p w14:paraId="2BC37DF4">
      <w:pPr>
        <w:rPr>
          <w:rFonts w:eastAsia="黑体"/>
          <w:sz w:val="28"/>
          <w:szCs w:val="28"/>
        </w:rPr>
      </w:pPr>
    </w:p>
    <w:p w14:paraId="1638AEEF">
      <w:pPr>
        <w:rPr>
          <w:rFonts w:eastAsia="黑体"/>
          <w:sz w:val="28"/>
          <w:szCs w:val="28"/>
        </w:rPr>
      </w:pPr>
    </w:p>
    <w:p w14:paraId="3F3BA2C8">
      <w:pPr>
        <w:rPr>
          <w:rFonts w:eastAsia="黑体"/>
          <w:sz w:val="28"/>
          <w:szCs w:val="28"/>
        </w:rPr>
      </w:pPr>
    </w:p>
    <w:p w14:paraId="58D7F7C9">
      <w:pPr>
        <w:rPr>
          <w:rFonts w:eastAsia="黑体"/>
          <w:sz w:val="28"/>
          <w:szCs w:val="28"/>
        </w:rPr>
      </w:pPr>
    </w:p>
    <w:p w14:paraId="47F8DDD7">
      <w:pPr>
        <w:jc w:val="center"/>
        <w:rPr>
          <w:rFonts w:eastAsia="黑体"/>
          <w:sz w:val="28"/>
          <w:szCs w:val="28"/>
          <w:u w:val="single"/>
        </w:rPr>
      </w:pPr>
      <w:r>
        <w:rPr>
          <w:rFonts w:eastAsia="黑体"/>
          <w:sz w:val="28"/>
          <w:szCs w:val="28"/>
        </w:rPr>
        <w:t>投标人：</w:t>
      </w:r>
      <w:r>
        <w:rPr>
          <w:rFonts w:eastAsia="黑体"/>
          <w:sz w:val="28"/>
          <w:szCs w:val="28"/>
          <w:u w:val="single"/>
        </w:rPr>
        <w:t xml:space="preserve">                     </w:t>
      </w:r>
      <w:r>
        <w:rPr>
          <w:rFonts w:hint="eastAsia" w:eastAsia="黑体"/>
          <w:sz w:val="28"/>
          <w:szCs w:val="28"/>
          <w:u w:val="single"/>
        </w:rPr>
        <w:t xml:space="preserve">  </w:t>
      </w:r>
      <w:r>
        <w:rPr>
          <w:rFonts w:eastAsia="黑体"/>
          <w:sz w:val="28"/>
          <w:szCs w:val="28"/>
          <w:u w:val="single"/>
        </w:rPr>
        <w:t xml:space="preserve">       </w:t>
      </w:r>
      <w:r>
        <w:rPr>
          <w:rFonts w:eastAsia="黑体"/>
          <w:sz w:val="28"/>
          <w:szCs w:val="28"/>
        </w:rPr>
        <w:t>（盖单位章）</w:t>
      </w:r>
    </w:p>
    <w:p w14:paraId="6E1E6135">
      <w:pPr>
        <w:jc w:val="center"/>
        <w:rPr>
          <w:rFonts w:eastAsia="黑体"/>
          <w:sz w:val="28"/>
          <w:szCs w:val="28"/>
        </w:rPr>
      </w:pPr>
      <w:r>
        <w:rPr>
          <w:rFonts w:eastAsia="黑体"/>
          <w:sz w:val="28"/>
          <w:szCs w:val="28"/>
        </w:rPr>
        <w:t>法定代表人或其委托代理人：</w:t>
      </w:r>
      <w:r>
        <w:rPr>
          <w:rFonts w:eastAsia="黑体"/>
          <w:sz w:val="28"/>
          <w:szCs w:val="28"/>
          <w:u w:val="single"/>
        </w:rPr>
        <w:t xml:space="preserve">                </w:t>
      </w:r>
      <w:r>
        <w:rPr>
          <w:rFonts w:eastAsia="黑体"/>
          <w:sz w:val="28"/>
          <w:szCs w:val="28"/>
        </w:rPr>
        <w:t>（签字</w:t>
      </w:r>
      <w:r>
        <w:rPr>
          <w:rFonts w:hint="eastAsia" w:eastAsia="黑体"/>
          <w:sz w:val="28"/>
          <w:szCs w:val="28"/>
        </w:rPr>
        <w:t>或盖章</w:t>
      </w:r>
      <w:r>
        <w:rPr>
          <w:rFonts w:eastAsia="黑体"/>
          <w:sz w:val="28"/>
          <w:szCs w:val="28"/>
        </w:rPr>
        <w:t>）</w:t>
      </w:r>
    </w:p>
    <w:p w14:paraId="2BE2CBE9">
      <w:pPr>
        <w:jc w:val="center"/>
        <w:rPr>
          <w:rFonts w:eastAsia="黑体"/>
          <w:sz w:val="28"/>
          <w:szCs w:val="28"/>
        </w:rPr>
      </w:pPr>
      <w:r>
        <w:rPr>
          <w:rFonts w:eastAsia="黑体"/>
          <w:sz w:val="28"/>
          <w:szCs w:val="28"/>
          <w:u w:val="single"/>
        </w:rPr>
        <w:t xml:space="preserve">        </w:t>
      </w:r>
      <w:r>
        <w:rPr>
          <w:rFonts w:eastAsia="黑体"/>
          <w:sz w:val="28"/>
          <w:szCs w:val="28"/>
        </w:rPr>
        <w:t>年</w:t>
      </w:r>
      <w:r>
        <w:rPr>
          <w:rFonts w:eastAsia="黑体"/>
          <w:sz w:val="28"/>
          <w:szCs w:val="28"/>
          <w:u w:val="single"/>
        </w:rPr>
        <w:t xml:space="preserve">        </w:t>
      </w:r>
      <w:r>
        <w:rPr>
          <w:rFonts w:eastAsia="黑体"/>
          <w:sz w:val="28"/>
          <w:szCs w:val="28"/>
        </w:rPr>
        <w:t>月</w:t>
      </w:r>
      <w:r>
        <w:rPr>
          <w:rFonts w:eastAsia="黑体"/>
          <w:sz w:val="28"/>
          <w:szCs w:val="28"/>
          <w:u w:val="single"/>
        </w:rPr>
        <w:t xml:space="preserve">        </w:t>
      </w:r>
      <w:r>
        <w:rPr>
          <w:rFonts w:eastAsia="黑体"/>
          <w:sz w:val="28"/>
          <w:szCs w:val="28"/>
        </w:rPr>
        <w:t>日</w:t>
      </w:r>
    </w:p>
    <w:p w14:paraId="4AF37767">
      <w:pPr>
        <w:spacing w:line="440" w:lineRule="exact"/>
        <w:rPr>
          <w:rFonts w:eastAsia="黑体"/>
          <w:sz w:val="20"/>
          <w:szCs w:val="20"/>
        </w:rPr>
      </w:pPr>
    </w:p>
    <w:p w14:paraId="2E7EE11F">
      <w:pPr>
        <w:spacing w:line="400" w:lineRule="exact"/>
        <w:rPr>
          <w:rFonts w:hint="eastAsia"/>
        </w:rPr>
      </w:pPr>
      <w:r>
        <w:br w:type="page"/>
      </w:r>
    </w:p>
    <w:p w14:paraId="42632778">
      <w:pPr>
        <w:jc w:val="center"/>
        <w:rPr>
          <w:rFonts w:hint="eastAsia" w:eastAsia="黑体"/>
          <w:b/>
          <w:sz w:val="44"/>
          <w:szCs w:val="44"/>
        </w:rPr>
      </w:pPr>
      <w:bookmarkStart w:id="1550" w:name="_Toc144974856"/>
      <w:bookmarkStart w:id="1551" w:name="_Toc152045787"/>
      <w:bookmarkStart w:id="1552" w:name="_Toc152042576"/>
      <w:r>
        <w:rPr>
          <w:rFonts w:hint="eastAsia" w:eastAsia="黑体"/>
          <w:b/>
          <w:sz w:val="44"/>
          <w:szCs w:val="44"/>
        </w:rPr>
        <w:t>目   录</w:t>
      </w:r>
      <w:bookmarkEnd w:id="1550"/>
      <w:bookmarkEnd w:id="1551"/>
      <w:bookmarkEnd w:id="1552"/>
    </w:p>
    <w:p w14:paraId="2F7286F6">
      <w:pPr>
        <w:spacing w:line="540" w:lineRule="exact"/>
      </w:pPr>
    </w:p>
    <w:p w14:paraId="7BA4B181">
      <w:pPr>
        <w:spacing w:line="540" w:lineRule="exact"/>
        <w:rPr>
          <w:rFonts w:hint="eastAsia"/>
          <w:sz w:val="24"/>
        </w:rPr>
      </w:pPr>
      <w:r>
        <w:rPr>
          <w:rFonts w:hint="eastAsia"/>
          <w:sz w:val="24"/>
        </w:rPr>
        <w:t>一、投标函及投标函附录</w:t>
      </w:r>
    </w:p>
    <w:p w14:paraId="67B4E5DB">
      <w:pPr>
        <w:spacing w:line="540" w:lineRule="exact"/>
        <w:rPr>
          <w:rFonts w:hint="eastAsia"/>
          <w:sz w:val="24"/>
        </w:rPr>
      </w:pPr>
      <w:r>
        <w:rPr>
          <w:rFonts w:hint="eastAsia"/>
          <w:sz w:val="24"/>
        </w:rPr>
        <w:t>二、法定代表人身份证明</w:t>
      </w:r>
    </w:p>
    <w:p w14:paraId="2068BDF6">
      <w:pPr>
        <w:spacing w:line="540" w:lineRule="exact"/>
        <w:rPr>
          <w:rFonts w:hint="eastAsia"/>
          <w:sz w:val="24"/>
        </w:rPr>
      </w:pPr>
      <w:r>
        <w:rPr>
          <w:rFonts w:hint="eastAsia"/>
          <w:sz w:val="24"/>
        </w:rPr>
        <w:t>三、授权委托书</w:t>
      </w:r>
    </w:p>
    <w:p w14:paraId="6AE83D41">
      <w:pPr>
        <w:spacing w:line="540" w:lineRule="exact"/>
        <w:rPr>
          <w:rFonts w:hint="eastAsia"/>
          <w:sz w:val="24"/>
        </w:rPr>
      </w:pPr>
      <w:r>
        <w:rPr>
          <w:rFonts w:hint="eastAsia"/>
          <w:sz w:val="24"/>
        </w:rPr>
        <w:t>四、投标保证金</w:t>
      </w:r>
    </w:p>
    <w:p w14:paraId="13BFEB0C">
      <w:pPr>
        <w:spacing w:line="540" w:lineRule="exact"/>
        <w:rPr>
          <w:rFonts w:hint="eastAsia"/>
          <w:sz w:val="24"/>
        </w:rPr>
      </w:pPr>
      <w:r>
        <w:rPr>
          <w:rFonts w:hint="eastAsia"/>
          <w:sz w:val="24"/>
        </w:rPr>
        <w:t>五、已标价的工程量清单</w:t>
      </w:r>
    </w:p>
    <w:p w14:paraId="37843CF7">
      <w:pPr>
        <w:spacing w:line="540" w:lineRule="exact"/>
        <w:rPr>
          <w:rFonts w:hint="eastAsia"/>
          <w:sz w:val="24"/>
        </w:rPr>
      </w:pPr>
      <w:r>
        <w:rPr>
          <w:rFonts w:hint="eastAsia"/>
          <w:sz w:val="24"/>
        </w:rPr>
        <w:t>六、施工组织设计</w:t>
      </w:r>
    </w:p>
    <w:p w14:paraId="593D4D60">
      <w:pPr>
        <w:spacing w:line="540" w:lineRule="exact"/>
        <w:rPr>
          <w:rFonts w:hint="eastAsia"/>
          <w:sz w:val="24"/>
        </w:rPr>
      </w:pPr>
      <w:r>
        <w:rPr>
          <w:rFonts w:hint="eastAsia"/>
          <w:sz w:val="24"/>
        </w:rPr>
        <w:t>七、项目管理机构</w:t>
      </w:r>
    </w:p>
    <w:p w14:paraId="0CD8D796">
      <w:pPr>
        <w:spacing w:line="540" w:lineRule="exact"/>
        <w:rPr>
          <w:rFonts w:hint="eastAsia"/>
          <w:sz w:val="24"/>
        </w:rPr>
      </w:pPr>
      <w:r>
        <w:rPr>
          <w:rFonts w:hint="eastAsia"/>
          <w:sz w:val="24"/>
        </w:rPr>
        <w:t>八、拟分包项目情况表</w:t>
      </w:r>
    </w:p>
    <w:p w14:paraId="24B3BF5C">
      <w:pPr>
        <w:spacing w:line="540" w:lineRule="exact"/>
        <w:rPr>
          <w:rFonts w:hint="eastAsia"/>
          <w:sz w:val="24"/>
        </w:rPr>
      </w:pPr>
      <w:r>
        <w:rPr>
          <w:rFonts w:hint="eastAsia"/>
          <w:sz w:val="24"/>
        </w:rPr>
        <w:t>九、资格审查资料</w:t>
      </w:r>
    </w:p>
    <w:p w14:paraId="4EE6F950">
      <w:pPr>
        <w:spacing w:line="540" w:lineRule="exact"/>
        <w:rPr>
          <w:rFonts w:hint="eastAsia"/>
          <w:sz w:val="24"/>
        </w:rPr>
      </w:pPr>
      <w:r>
        <w:rPr>
          <w:rFonts w:hint="eastAsia"/>
          <w:sz w:val="24"/>
        </w:rPr>
        <w:t>十、其他材料</w:t>
      </w:r>
    </w:p>
    <w:p w14:paraId="48047A18">
      <w:pPr>
        <w:spacing w:line="540" w:lineRule="exact"/>
      </w:pPr>
      <w:r>
        <w:t xml:space="preserve"> </w:t>
      </w:r>
    </w:p>
    <w:p w14:paraId="00310B73">
      <w:pPr>
        <w:spacing w:line="360" w:lineRule="exact"/>
        <w:rPr>
          <w:rFonts w:eastAsia="黑体"/>
          <w:sz w:val="20"/>
          <w:szCs w:val="20"/>
        </w:rPr>
      </w:pPr>
      <w:r>
        <w:br w:type="page"/>
      </w:r>
    </w:p>
    <w:p w14:paraId="0B653911">
      <w:pPr>
        <w:pStyle w:val="85"/>
        <w:jc w:val="center"/>
        <w:rPr>
          <w:rFonts w:ascii="Times New Roman" w:hAnsi="Times New Roman" w:cs="宋体"/>
          <w:b w:val="0"/>
          <w:bCs w:val="0"/>
          <w:sz w:val="30"/>
          <w:szCs w:val="30"/>
        </w:rPr>
      </w:pPr>
      <w:bookmarkStart w:id="1553" w:name="_Toc152042577"/>
      <w:bookmarkStart w:id="1554" w:name="_Toc144974857"/>
      <w:bookmarkStart w:id="1555" w:name="_Toc100487590"/>
      <w:bookmarkStart w:id="1556" w:name="_Toc152045788"/>
      <w:r>
        <w:rPr>
          <w:rFonts w:ascii="Times New Roman" w:hAnsi="Times New Roman" w:cs="宋体"/>
          <w:b w:val="0"/>
          <w:bCs w:val="0"/>
          <w:sz w:val="30"/>
          <w:szCs w:val="30"/>
        </w:rPr>
        <w:t>一、</w:t>
      </w:r>
      <w:bookmarkEnd w:id="1553"/>
      <w:bookmarkEnd w:id="1554"/>
      <w:bookmarkEnd w:id="1555"/>
      <w:bookmarkEnd w:id="1556"/>
      <w:r>
        <w:rPr>
          <w:rFonts w:hint="eastAsia" w:ascii="Times New Roman" w:hAnsi="Times New Roman" w:cs="宋体"/>
          <w:b w:val="0"/>
          <w:bCs w:val="0"/>
          <w:sz w:val="30"/>
          <w:szCs w:val="30"/>
        </w:rPr>
        <w:t>投标函及投标函附录</w:t>
      </w:r>
    </w:p>
    <w:p w14:paraId="34753B3B">
      <w:pPr>
        <w:pStyle w:val="87"/>
        <w:jc w:val="center"/>
        <w:rPr>
          <w:sz w:val="28"/>
          <w:szCs w:val="28"/>
        </w:rPr>
      </w:pPr>
    </w:p>
    <w:p w14:paraId="225F4DE0">
      <w:pPr>
        <w:spacing w:line="440" w:lineRule="exact"/>
        <w:jc w:val="center"/>
        <w:rPr>
          <w:rFonts w:hint="default" w:ascii="Times New Roman" w:hAnsi="Times New Roman" w:eastAsia="宋体" w:cs="Times New Roman"/>
          <w:sz w:val="24"/>
          <w:lang w:val="en-US" w:eastAsia="zh-CN"/>
        </w:rPr>
      </w:pPr>
      <w:r>
        <w:rPr>
          <w:rFonts w:hint="eastAsia" w:ascii="Times New Roman" w:hAnsi="Times New Roman" w:eastAsia="宋体" w:cs="Times New Roman"/>
          <w:sz w:val="24"/>
          <w:lang w:eastAsia="zh-CN"/>
        </w:rPr>
        <w:t>（</w:t>
      </w:r>
      <w:r>
        <w:rPr>
          <w:rFonts w:hint="eastAsia" w:ascii="Times New Roman" w:hAnsi="Times New Roman" w:eastAsia="宋体" w:cs="Times New Roman"/>
          <w:sz w:val="24"/>
          <w:lang w:val="en-US" w:eastAsia="zh-CN"/>
        </w:rPr>
        <w:t>一</w:t>
      </w:r>
      <w:r>
        <w:rPr>
          <w:rFonts w:hint="eastAsia" w:ascii="Times New Roman" w:hAnsi="Times New Roman" w:eastAsia="宋体" w:cs="Times New Roman"/>
          <w:sz w:val="24"/>
          <w:lang w:eastAsia="zh-CN"/>
        </w:rPr>
        <w:t>）</w:t>
      </w:r>
      <w:r>
        <w:rPr>
          <w:rFonts w:hint="eastAsia" w:ascii="Times New Roman" w:hAnsi="Times New Roman" w:eastAsia="宋体" w:cs="Times New Roman"/>
          <w:sz w:val="24"/>
          <w:lang w:val="en-US" w:eastAsia="zh-CN"/>
        </w:rPr>
        <w:t>投标函</w:t>
      </w:r>
    </w:p>
    <w:p w14:paraId="19CEA610">
      <w:pPr>
        <w:spacing w:line="440" w:lineRule="exact"/>
        <w:rPr>
          <w:sz w:val="24"/>
        </w:rPr>
      </w:pPr>
      <w:r>
        <w:rPr>
          <w:sz w:val="24"/>
          <w:u w:val="single"/>
        </w:rPr>
        <w:t xml:space="preserve">                        </w:t>
      </w:r>
      <w:r>
        <w:rPr>
          <w:sz w:val="24"/>
        </w:rPr>
        <w:t>（招标人名称）：</w:t>
      </w:r>
    </w:p>
    <w:p w14:paraId="73DC3BF9">
      <w:pPr>
        <w:spacing w:line="440" w:lineRule="exact"/>
        <w:rPr>
          <w:sz w:val="24"/>
        </w:rPr>
      </w:pPr>
    </w:p>
    <w:p w14:paraId="4BF08891">
      <w:pPr>
        <w:spacing w:line="440" w:lineRule="exact"/>
        <w:ind w:firstLine="480" w:firstLineChars="200"/>
        <w:rPr>
          <w:rFonts w:hint="eastAsia"/>
          <w:sz w:val="24"/>
        </w:rPr>
      </w:pPr>
      <w:r>
        <w:rPr>
          <w:sz w:val="24"/>
        </w:rPr>
        <w:t>1．我方已仔细研究了</w:t>
      </w:r>
      <w:r>
        <w:rPr>
          <w:sz w:val="24"/>
          <w:u w:val="single"/>
        </w:rPr>
        <w:t xml:space="preserve">      </w:t>
      </w:r>
      <w:r>
        <w:rPr>
          <w:rFonts w:hint="eastAsia"/>
          <w:sz w:val="24"/>
          <w:u w:val="single"/>
        </w:rPr>
        <w:t xml:space="preserve">        </w:t>
      </w:r>
      <w:r>
        <w:rPr>
          <w:sz w:val="24"/>
          <w:u w:val="single"/>
        </w:rPr>
        <w:t xml:space="preserve">    </w:t>
      </w:r>
      <w:r>
        <w:rPr>
          <w:sz w:val="24"/>
        </w:rPr>
        <w:t>（项目名称）</w:t>
      </w:r>
      <w:r>
        <w:rPr>
          <w:sz w:val="24"/>
          <w:u w:val="single"/>
        </w:rPr>
        <w:t xml:space="preserve">     </w:t>
      </w:r>
      <w:r>
        <w:rPr>
          <w:sz w:val="24"/>
        </w:rPr>
        <w:t>标段施工招标文件的全部内容，愿意以人民币（大写）</w:t>
      </w:r>
      <w:r>
        <w:rPr>
          <w:sz w:val="24"/>
          <w:u w:val="single"/>
        </w:rPr>
        <w:t xml:space="preserve">    </w:t>
      </w:r>
      <w:r>
        <w:rPr>
          <w:rFonts w:hint="eastAsia"/>
          <w:sz w:val="24"/>
          <w:u w:val="single"/>
        </w:rPr>
        <w:t xml:space="preserve">         </w:t>
      </w:r>
      <w:r>
        <w:rPr>
          <w:sz w:val="24"/>
          <w:u w:val="single"/>
        </w:rPr>
        <w:t xml:space="preserve">     </w:t>
      </w:r>
      <w:r>
        <w:rPr>
          <w:rFonts w:hint="eastAsia"/>
          <w:sz w:val="24"/>
        </w:rPr>
        <w:t xml:space="preserve">  </w:t>
      </w:r>
      <w:r>
        <w:rPr>
          <w:sz w:val="24"/>
        </w:rPr>
        <w:t>（¥</w:t>
      </w:r>
      <w:r>
        <w:rPr>
          <w:sz w:val="24"/>
          <w:u w:val="single"/>
        </w:rPr>
        <w:t xml:space="preserve">         </w:t>
      </w:r>
      <w:r>
        <w:rPr>
          <w:rFonts w:hint="eastAsia"/>
          <w:sz w:val="24"/>
          <w:u w:val="single"/>
        </w:rPr>
        <w:t>元</w:t>
      </w:r>
      <w:r>
        <w:rPr>
          <w:sz w:val="24"/>
          <w:u w:val="single"/>
        </w:rPr>
        <w:t xml:space="preserve"> </w:t>
      </w:r>
      <w:r>
        <w:rPr>
          <w:sz w:val="24"/>
        </w:rPr>
        <w:t>）的投标总报价，</w:t>
      </w:r>
      <w:r>
        <w:rPr>
          <w:rFonts w:hint="eastAsia"/>
          <w:sz w:val="24"/>
        </w:rPr>
        <w:t>工期</w:t>
      </w:r>
      <w:r>
        <w:rPr>
          <w:rFonts w:hint="eastAsia"/>
          <w:sz w:val="24"/>
          <w:u w:val="single"/>
        </w:rPr>
        <w:t xml:space="preserve">         </w:t>
      </w:r>
      <w:r>
        <w:rPr>
          <w:rFonts w:hint="eastAsia"/>
          <w:sz w:val="24"/>
        </w:rPr>
        <w:t xml:space="preserve"> 日历天，</w:t>
      </w:r>
      <w:r>
        <w:rPr>
          <w:sz w:val="24"/>
        </w:rPr>
        <w:t>按合同约定实施和完成承包工程，修补工程中的任何缺陷，工程质量达到</w:t>
      </w:r>
      <w:r>
        <w:rPr>
          <w:sz w:val="24"/>
          <w:u w:val="single"/>
        </w:rPr>
        <w:t xml:space="preserve">           </w:t>
      </w:r>
      <w:r>
        <w:rPr>
          <w:sz w:val="24"/>
        </w:rPr>
        <w:t xml:space="preserve"> </w:t>
      </w:r>
      <w:r>
        <w:rPr>
          <w:rFonts w:hint="eastAsia"/>
          <w:sz w:val="24"/>
        </w:rPr>
        <w:t>。</w:t>
      </w:r>
    </w:p>
    <w:p w14:paraId="5E67B05D">
      <w:pPr>
        <w:spacing w:line="440" w:lineRule="exact"/>
        <w:ind w:firstLine="480" w:firstLineChars="200"/>
        <w:rPr>
          <w:sz w:val="24"/>
        </w:rPr>
      </w:pPr>
      <w:r>
        <w:rPr>
          <w:sz w:val="24"/>
        </w:rPr>
        <w:t>2．我方承诺在投标有效期内不修改、撤销投标文件。</w:t>
      </w:r>
    </w:p>
    <w:p w14:paraId="1959CBA6">
      <w:pPr>
        <w:spacing w:line="440" w:lineRule="exact"/>
        <w:ind w:firstLine="480" w:firstLineChars="200"/>
        <w:rPr>
          <w:sz w:val="24"/>
        </w:rPr>
      </w:pPr>
      <w:r>
        <w:rPr>
          <w:sz w:val="24"/>
        </w:rPr>
        <w:t>3．</w:t>
      </w:r>
      <w:r>
        <w:rPr>
          <w:rFonts w:hint="eastAsia"/>
          <w:sz w:val="24"/>
        </w:rPr>
        <w:t>我方已按招标文件要求</w:t>
      </w:r>
      <w:r>
        <w:rPr>
          <w:sz w:val="24"/>
        </w:rPr>
        <w:t>提交</w:t>
      </w:r>
      <w:r>
        <w:rPr>
          <w:rFonts w:hint="eastAsia"/>
          <w:sz w:val="24"/>
        </w:rPr>
        <w:t>了</w:t>
      </w:r>
      <w:r>
        <w:rPr>
          <w:sz w:val="24"/>
        </w:rPr>
        <w:t>投标保证金一份，金额为人民币（大写）</w:t>
      </w:r>
      <w:r>
        <w:rPr>
          <w:sz w:val="24"/>
          <w:u w:val="single"/>
        </w:rPr>
        <w:t xml:space="preserve">        </w:t>
      </w:r>
      <w:r>
        <w:rPr>
          <w:sz w:val="24"/>
        </w:rPr>
        <w:t>元（¥</w:t>
      </w:r>
      <w:r>
        <w:rPr>
          <w:sz w:val="24"/>
          <w:u w:val="single"/>
        </w:rPr>
        <w:t xml:space="preserve">  </w:t>
      </w:r>
      <w:r>
        <w:rPr>
          <w:rFonts w:hint="eastAsia"/>
          <w:sz w:val="24"/>
          <w:u w:val="single"/>
        </w:rPr>
        <w:t xml:space="preserve">   </w:t>
      </w:r>
      <w:r>
        <w:rPr>
          <w:sz w:val="24"/>
          <w:u w:val="single"/>
        </w:rPr>
        <w:t xml:space="preserve"> </w:t>
      </w:r>
      <w:r>
        <w:rPr>
          <w:sz w:val="24"/>
        </w:rPr>
        <w:t xml:space="preserve"> ）。</w:t>
      </w:r>
    </w:p>
    <w:p w14:paraId="089BDBBD">
      <w:pPr>
        <w:spacing w:line="440" w:lineRule="exact"/>
        <w:ind w:firstLine="480" w:firstLineChars="200"/>
        <w:rPr>
          <w:sz w:val="24"/>
        </w:rPr>
      </w:pPr>
      <w:r>
        <w:rPr>
          <w:sz w:val="24"/>
        </w:rPr>
        <w:t>4．如我方中标：</w:t>
      </w:r>
    </w:p>
    <w:p w14:paraId="67B3FB13">
      <w:pPr>
        <w:spacing w:line="440" w:lineRule="exact"/>
        <w:ind w:firstLine="480" w:firstLineChars="200"/>
        <w:rPr>
          <w:sz w:val="24"/>
        </w:rPr>
      </w:pPr>
      <w:r>
        <w:rPr>
          <w:sz w:val="24"/>
        </w:rPr>
        <w:t>（1）我方承诺在收到中标通知书后，在中标通知书规定的期限内与你方签订合同。</w:t>
      </w:r>
    </w:p>
    <w:p w14:paraId="4FB1A76A">
      <w:pPr>
        <w:spacing w:line="440" w:lineRule="exact"/>
        <w:ind w:firstLine="480" w:firstLineChars="200"/>
        <w:rPr>
          <w:sz w:val="24"/>
        </w:rPr>
      </w:pPr>
      <w:r>
        <w:rPr>
          <w:sz w:val="24"/>
        </w:rPr>
        <w:t>（2）随同本投标函递交的投标函附录属于合同文件的组成部分。</w:t>
      </w:r>
    </w:p>
    <w:p w14:paraId="4EF57845">
      <w:pPr>
        <w:spacing w:line="440" w:lineRule="exact"/>
        <w:ind w:firstLine="480" w:firstLineChars="200"/>
        <w:rPr>
          <w:sz w:val="24"/>
        </w:rPr>
      </w:pPr>
      <w:r>
        <w:rPr>
          <w:sz w:val="24"/>
        </w:rPr>
        <w:t>（3）我方承诺在合同约定的期限内完成并移交全部合同工程。</w:t>
      </w:r>
    </w:p>
    <w:p w14:paraId="5DFF0659">
      <w:pPr>
        <w:spacing w:line="440" w:lineRule="exact"/>
        <w:ind w:firstLine="480" w:firstLineChars="200"/>
        <w:rPr>
          <w:rFonts w:hint="eastAsia"/>
          <w:sz w:val="24"/>
        </w:rPr>
      </w:pPr>
      <w:r>
        <w:rPr>
          <w:sz w:val="24"/>
        </w:rPr>
        <w:t>（4）</w:t>
      </w:r>
      <w:r>
        <w:rPr>
          <w:rFonts w:hint="eastAsia"/>
          <w:sz w:val="24"/>
        </w:rPr>
        <w:t>在领取中标通知书时向代理公司按国家规定标准交纳招标代理服务费。</w:t>
      </w:r>
    </w:p>
    <w:p w14:paraId="159B5AB7">
      <w:pPr>
        <w:spacing w:line="440" w:lineRule="exact"/>
        <w:ind w:firstLine="480" w:firstLineChars="200"/>
        <w:rPr>
          <w:rFonts w:hint="eastAsia"/>
          <w:sz w:val="24"/>
        </w:rPr>
      </w:pPr>
      <w:r>
        <w:rPr>
          <w:sz w:val="24"/>
        </w:rPr>
        <w:t>5．</w:t>
      </w:r>
      <w:r>
        <w:rPr>
          <w:rFonts w:hint="eastAsia"/>
          <w:sz w:val="24"/>
        </w:rPr>
        <w:t>我方在此声明，所递交的投标文件及有关资料内容完整、真实和准确，且不存在第二章“投标人须知”第1.4.3项规定的任何一种情形。</w:t>
      </w:r>
    </w:p>
    <w:p w14:paraId="6A92B240">
      <w:pPr>
        <w:spacing w:line="440" w:lineRule="exact"/>
        <w:rPr>
          <w:sz w:val="24"/>
        </w:rPr>
      </w:pPr>
    </w:p>
    <w:p w14:paraId="334DBE05">
      <w:pPr>
        <w:spacing w:line="440" w:lineRule="exact"/>
        <w:ind w:firstLine="2520" w:firstLineChars="1050"/>
        <w:rPr>
          <w:sz w:val="24"/>
        </w:rPr>
      </w:pPr>
      <w:r>
        <w:rPr>
          <w:sz w:val="24"/>
        </w:rPr>
        <w:t>投 标 人：</w:t>
      </w:r>
      <w:r>
        <w:rPr>
          <w:sz w:val="24"/>
          <w:u w:val="single"/>
        </w:rPr>
        <w:t xml:space="preserve">                      </w:t>
      </w:r>
      <w:r>
        <w:rPr>
          <w:sz w:val="24"/>
        </w:rPr>
        <w:t>（盖单位章）</w:t>
      </w:r>
    </w:p>
    <w:p w14:paraId="294C16AD">
      <w:pPr>
        <w:spacing w:line="440" w:lineRule="exact"/>
        <w:ind w:firstLine="2520" w:firstLineChars="1050"/>
        <w:rPr>
          <w:sz w:val="24"/>
        </w:rPr>
      </w:pPr>
      <w:r>
        <w:rPr>
          <w:sz w:val="24"/>
        </w:rPr>
        <w:t>法定代表人或其委托代理人：</w:t>
      </w:r>
      <w:r>
        <w:rPr>
          <w:sz w:val="24"/>
          <w:u w:val="single"/>
        </w:rPr>
        <w:t xml:space="preserve">      </w:t>
      </w:r>
      <w:r>
        <w:rPr>
          <w:rFonts w:hint="eastAsia"/>
          <w:sz w:val="24"/>
          <w:u w:val="single"/>
        </w:rPr>
        <w:t xml:space="preserve">   </w:t>
      </w:r>
      <w:r>
        <w:rPr>
          <w:sz w:val="24"/>
          <w:u w:val="single"/>
        </w:rPr>
        <w:t xml:space="preserve"> </w:t>
      </w:r>
      <w:r>
        <w:rPr>
          <w:sz w:val="24"/>
        </w:rPr>
        <w:t>（签字</w:t>
      </w:r>
      <w:r>
        <w:rPr>
          <w:rFonts w:hint="eastAsia"/>
          <w:sz w:val="24"/>
        </w:rPr>
        <w:t>或盖章</w:t>
      </w:r>
      <w:r>
        <w:rPr>
          <w:sz w:val="24"/>
        </w:rPr>
        <w:t>）</w:t>
      </w:r>
    </w:p>
    <w:p w14:paraId="3110E976">
      <w:pPr>
        <w:spacing w:line="440" w:lineRule="exact"/>
        <w:ind w:firstLine="2520" w:firstLineChars="1050"/>
        <w:rPr>
          <w:rFonts w:hint="eastAsia"/>
          <w:sz w:val="24"/>
        </w:rPr>
      </w:pPr>
      <w:r>
        <w:rPr>
          <w:sz w:val="24"/>
        </w:rPr>
        <w:t>地址：</w:t>
      </w:r>
      <w:r>
        <w:rPr>
          <w:sz w:val="24"/>
          <w:u w:val="single"/>
        </w:rPr>
        <w:t xml:space="preserve">                                     </w:t>
      </w:r>
    </w:p>
    <w:p w14:paraId="1E6B32D8">
      <w:pPr>
        <w:spacing w:line="440" w:lineRule="exact"/>
        <w:ind w:firstLine="2520" w:firstLineChars="1050"/>
        <w:rPr>
          <w:rFonts w:hint="eastAsia"/>
          <w:sz w:val="24"/>
        </w:rPr>
      </w:pPr>
      <w:r>
        <w:rPr>
          <w:sz w:val="24"/>
        </w:rPr>
        <w:t>电话：</w:t>
      </w:r>
      <w:r>
        <w:rPr>
          <w:sz w:val="24"/>
          <w:u w:val="single"/>
        </w:rPr>
        <w:t xml:space="preserve">                                     </w:t>
      </w:r>
    </w:p>
    <w:p w14:paraId="69CAC7FB">
      <w:pPr>
        <w:spacing w:line="440" w:lineRule="exact"/>
        <w:ind w:firstLine="2520" w:firstLineChars="1050"/>
        <w:rPr>
          <w:rFonts w:hint="eastAsia"/>
          <w:sz w:val="24"/>
        </w:rPr>
      </w:pPr>
      <w:r>
        <w:rPr>
          <w:sz w:val="24"/>
        </w:rPr>
        <w:t>邮政编码：</w:t>
      </w:r>
      <w:r>
        <w:rPr>
          <w:sz w:val="24"/>
          <w:u w:val="single"/>
        </w:rPr>
        <w:t xml:space="preserve">                                 </w:t>
      </w:r>
    </w:p>
    <w:p w14:paraId="0BC9A9F8">
      <w:pPr>
        <w:spacing w:line="440" w:lineRule="exact"/>
        <w:ind w:firstLine="3780" w:firstLineChars="1575"/>
        <w:rPr>
          <w:rFonts w:hint="eastAsia" w:ascii="宋体" w:hAnsi="宋体"/>
          <w:color w:val="000000"/>
          <w:sz w:val="24"/>
          <w:szCs w:val="28"/>
        </w:rPr>
      </w:pPr>
      <w:r>
        <w:rPr>
          <w:rFonts w:hint="eastAsia"/>
          <w:sz w:val="24"/>
          <w:u w:val="single"/>
        </w:rPr>
        <w:t xml:space="preserve">        </w:t>
      </w:r>
      <w:r>
        <w:rPr>
          <w:sz w:val="24"/>
        </w:rPr>
        <w:t>年</w:t>
      </w:r>
      <w:r>
        <w:rPr>
          <w:rFonts w:hint="eastAsia"/>
          <w:sz w:val="24"/>
          <w:u w:val="single"/>
        </w:rPr>
        <w:t xml:space="preserve">        </w:t>
      </w:r>
      <w:r>
        <w:rPr>
          <w:sz w:val="24"/>
        </w:rPr>
        <w:t>月</w:t>
      </w:r>
      <w:r>
        <w:rPr>
          <w:rFonts w:hint="eastAsia"/>
          <w:sz w:val="24"/>
          <w:u w:val="single"/>
        </w:rPr>
        <w:t xml:space="preserve">        </w:t>
      </w:r>
      <w:r>
        <w:rPr>
          <w:sz w:val="24"/>
        </w:rPr>
        <w:t>日</w:t>
      </w:r>
    </w:p>
    <w:p w14:paraId="17AC433C">
      <w:pPr>
        <w:spacing w:line="440" w:lineRule="exact"/>
        <w:ind w:left="840" w:leftChars="400" w:firstLine="2200" w:firstLineChars="1100"/>
        <w:rPr>
          <w:rFonts w:hint="eastAsia" w:eastAsia="黑体"/>
          <w:sz w:val="20"/>
          <w:szCs w:val="20"/>
        </w:rPr>
      </w:pPr>
    </w:p>
    <w:p w14:paraId="39E37C53">
      <w:pPr>
        <w:spacing w:line="440" w:lineRule="exact"/>
        <w:jc w:val="center"/>
        <w:rPr>
          <w:rFonts w:eastAsia="黑体"/>
          <w:sz w:val="20"/>
          <w:szCs w:val="20"/>
        </w:rPr>
      </w:pPr>
      <w:r>
        <w:rPr>
          <w:rFonts w:eastAsia="黑体"/>
          <w:sz w:val="20"/>
          <w:szCs w:val="20"/>
        </w:rPr>
        <w:br w:type="page"/>
      </w:r>
    </w:p>
    <w:p w14:paraId="2C119736">
      <w:pPr>
        <w:numPr>
          <w:ilvl w:val="0"/>
          <w:numId w:val="0"/>
        </w:numPr>
        <w:autoSpaceDE w:val="0"/>
        <w:autoSpaceDN w:val="0"/>
        <w:adjustRightInd w:val="0"/>
        <w:spacing w:line="420" w:lineRule="exact"/>
        <w:ind w:leftChars="0"/>
        <w:jc w:val="center"/>
        <w:rPr>
          <w:rFonts w:hint="eastAsia" w:ascii="宋体" w:hAnsi="宋体" w:cs="黑体"/>
          <w:kern w:val="0"/>
          <w:sz w:val="24"/>
        </w:rPr>
      </w:pPr>
      <w:r>
        <w:rPr>
          <w:rFonts w:hint="eastAsia" w:ascii="宋体" w:hAnsi="宋体" w:cs="黑体"/>
          <w:kern w:val="0"/>
          <w:sz w:val="24"/>
          <w:lang w:eastAsia="zh-CN"/>
        </w:rPr>
        <w:t>（</w:t>
      </w:r>
      <w:r>
        <w:rPr>
          <w:rFonts w:hint="eastAsia" w:ascii="宋体" w:hAnsi="宋体" w:cs="黑体"/>
          <w:kern w:val="0"/>
          <w:sz w:val="24"/>
          <w:lang w:val="en-US" w:eastAsia="zh-CN"/>
        </w:rPr>
        <w:t>二</w:t>
      </w:r>
      <w:r>
        <w:rPr>
          <w:rFonts w:hint="eastAsia" w:ascii="宋体" w:hAnsi="宋体" w:cs="黑体"/>
          <w:kern w:val="0"/>
          <w:sz w:val="24"/>
          <w:lang w:eastAsia="zh-CN"/>
        </w:rPr>
        <w:t>）</w:t>
      </w:r>
      <w:r>
        <w:rPr>
          <w:rFonts w:hint="eastAsia" w:ascii="宋体" w:hAnsi="宋体" w:cs="黑体"/>
          <w:kern w:val="0"/>
          <w:sz w:val="24"/>
        </w:rPr>
        <w:t>投标函附录</w:t>
      </w:r>
    </w:p>
    <w:tbl>
      <w:tblPr>
        <w:tblStyle w:val="42"/>
        <w:tblpPr w:leftFromText="181" w:rightFromText="181" w:vertAnchor="text" w:horzAnchor="margin" w:tblpX="-34" w:tblpY="155"/>
        <w:tblOverlap w:val="never"/>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522"/>
        <w:gridCol w:w="1860"/>
        <w:gridCol w:w="1080"/>
        <w:gridCol w:w="1620"/>
        <w:gridCol w:w="1440"/>
        <w:gridCol w:w="1620"/>
      </w:tblGrid>
      <w:tr w14:paraId="60F0C1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34" w:hRule="exact"/>
        </w:trPr>
        <w:tc>
          <w:tcPr>
            <w:tcW w:w="1522" w:type="dxa"/>
            <w:noWrap w:val="0"/>
            <w:vAlign w:val="center"/>
          </w:tcPr>
          <w:p w14:paraId="11091E11">
            <w:pPr>
              <w:spacing w:line="460" w:lineRule="exact"/>
              <w:jc w:val="center"/>
              <w:rPr>
                <w:rFonts w:hint="eastAsia" w:ascii="宋体" w:hAnsi="宋体"/>
                <w:sz w:val="24"/>
              </w:rPr>
            </w:pPr>
            <w:r>
              <w:rPr>
                <w:rFonts w:hint="eastAsia" w:ascii="宋体" w:hAnsi="宋体"/>
                <w:sz w:val="24"/>
                <w:lang w:val="en-US" w:eastAsia="zh-CN"/>
              </w:rPr>
              <w:t>项目</w:t>
            </w:r>
            <w:r>
              <w:rPr>
                <w:rFonts w:hint="eastAsia" w:ascii="宋体" w:hAnsi="宋体"/>
                <w:sz w:val="24"/>
              </w:rPr>
              <w:t>名称</w:t>
            </w:r>
          </w:p>
        </w:tc>
        <w:tc>
          <w:tcPr>
            <w:tcW w:w="7620" w:type="dxa"/>
            <w:gridSpan w:val="5"/>
            <w:noWrap w:val="0"/>
            <w:vAlign w:val="center"/>
          </w:tcPr>
          <w:p w14:paraId="65DC2FBA">
            <w:pPr>
              <w:spacing w:line="460" w:lineRule="exact"/>
              <w:rPr>
                <w:rFonts w:hint="eastAsia" w:ascii="宋体" w:hAnsi="宋体"/>
                <w:sz w:val="24"/>
              </w:rPr>
            </w:pPr>
            <w:r>
              <w:rPr>
                <w:sz w:val="24"/>
                <w:u w:val="single"/>
              </w:rPr>
              <w:t xml:space="preserve">      </w:t>
            </w:r>
            <w:r>
              <w:rPr>
                <w:rFonts w:hint="eastAsia"/>
                <w:sz w:val="24"/>
                <w:u w:val="single"/>
              </w:rPr>
              <w:t xml:space="preserve">     </w:t>
            </w:r>
            <w:r>
              <w:rPr>
                <w:rFonts w:hint="eastAsia"/>
                <w:sz w:val="24"/>
                <w:u w:val="single"/>
                <w:lang w:val="en-US" w:eastAsia="zh-CN"/>
              </w:rPr>
              <w:t xml:space="preserve">  </w:t>
            </w:r>
            <w:r>
              <w:rPr>
                <w:rFonts w:hint="eastAsia"/>
                <w:sz w:val="24"/>
                <w:u w:val="single"/>
              </w:rPr>
              <w:t xml:space="preserve">   </w:t>
            </w:r>
            <w:r>
              <w:rPr>
                <w:sz w:val="24"/>
                <w:u w:val="single"/>
              </w:rPr>
              <w:t xml:space="preserve">    </w:t>
            </w:r>
            <w:r>
              <w:rPr>
                <w:sz w:val="24"/>
              </w:rPr>
              <w:t>（项目名称）</w:t>
            </w:r>
            <w:r>
              <w:rPr>
                <w:sz w:val="24"/>
                <w:u w:val="single"/>
              </w:rPr>
              <w:t xml:space="preserve">     </w:t>
            </w:r>
            <w:r>
              <w:rPr>
                <w:sz w:val="24"/>
              </w:rPr>
              <w:t>标段</w:t>
            </w:r>
          </w:p>
        </w:tc>
      </w:tr>
      <w:tr w14:paraId="36397A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80" w:hRule="exact"/>
        </w:trPr>
        <w:tc>
          <w:tcPr>
            <w:tcW w:w="1522" w:type="dxa"/>
            <w:noWrap w:val="0"/>
            <w:vAlign w:val="center"/>
          </w:tcPr>
          <w:p w14:paraId="5AB96C33">
            <w:pPr>
              <w:spacing w:line="460" w:lineRule="exact"/>
              <w:jc w:val="center"/>
              <w:rPr>
                <w:rFonts w:hint="default" w:ascii="宋体" w:hAnsi="宋体" w:eastAsia="宋体"/>
                <w:sz w:val="24"/>
                <w:lang w:val="en-US" w:eastAsia="zh-CN"/>
              </w:rPr>
            </w:pPr>
            <w:r>
              <w:rPr>
                <w:rFonts w:hint="eastAsia" w:ascii="宋体" w:hAnsi="宋体"/>
                <w:sz w:val="24"/>
                <w:lang w:val="en-US" w:eastAsia="zh-CN"/>
              </w:rPr>
              <w:t>投标范围</w:t>
            </w:r>
          </w:p>
        </w:tc>
        <w:tc>
          <w:tcPr>
            <w:tcW w:w="7620" w:type="dxa"/>
            <w:gridSpan w:val="5"/>
            <w:noWrap w:val="0"/>
            <w:vAlign w:val="center"/>
          </w:tcPr>
          <w:p w14:paraId="4BF9DBA4">
            <w:pPr>
              <w:spacing w:line="460" w:lineRule="exact"/>
              <w:jc w:val="center"/>
              <w:rPr>
                <w:rFonts w:hint="eastAsia" w:ascii="宋体" w:hAnsi="宋体"/>
                <w:sz w:val="24"/>
              </w:rPr>
            </w:pPr>
          </w:p>
        </w:tc>
      </w:tr>
      <w:tr w14:paraId="536852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80" w:hRule="exact"/>
        </w:trPr>
        <w:tc>
          <w:tcPr>
            <w:tcW w:w="1522" w:type="dxa"/>
            <w:noWrap w:val="0"/>
            <w:vAlign w:val="center"/>
          </w:tcPr>
          <w:p w14:paraId="0A023E78">
            <w:pPr>
              <w:spacing w:line="460" w:lineRule="exact"/>
              <w:jc w:val="center"/>
              <w:rPr>
                <w:rFonts w:hint="eastAsia" w:ascii="宋体" w:hAnsi="宋体"/>
                <w:sz w:val="24"/>
              </w:rPr>
            </w:pPr>
            <w:r>
              <w:rPr>
                <w:rFonts w:hint="eastAsia" w:ascii="宋体" w:hAnsi="宋体"/>
                <w:sz w:val="24"/>
              </w:rPr>
              <w:t>投 标 人</w:t>
            </w:r>
          </w:p>
        </w:tc>
        <w:tc>
          <w:tcPr>
            <w:tcW w:w="7620" w:type="dxa"/>
            <w:gridSpan w:val="5"/>
            <w:noWrap w:val="0"/>
            <w:vAlign w:val="center"/>
          </w:tcPr>
          <w:p w14:paraId="4C4D4955">
            <w:pPr>
              <w:spacing w:line="460" w:lineRule="exact"/>
              <w:jc w:val="center"/>
              <w:rPr>
                <w:rFonts w:hint="eastAsia" w:ascii="宋体" w:hAnsi="宋体"/>
                <w:sz w:val="24"/>
              </w:rPr>
            </w:pPr>
          </w:p>
        </w:tc>
      </w:tr>
      <w:tr w14:paraId="627950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80" w:hRule="exact"/>
        </w:trPr>
        <w:tc>
          <w:tcPr>
            <w:tcW w:w="1522" w:type="dxa"/>
            <w:noWrap w:val="0"/>
            <w:vAlign w:val="center"/>
          </w:tcPr>
          <w:p w14:paraId="0D2A7B7F">
            <w:pPr>
              <w:spacing w:line="460" w:lineRule="exact"/>
              <w:jc w:val="center"/>
              <w:rPr>
                <w:rFonts w:hint="eastAsia" w:ascii="宋体" w:hAnsi="宋体"/>
                <w:sz w:val="24"/>
              </w:rPr>
            </w:pPr>
            <w:r>
              <w:rPr>
                <w:rFonts w:hint="eastAsia" w:ascii="宋体" w:hAnsi="宋体"/>
                <w:sz w:val="24"/>
              </w:rPr>
              <w:t>项目经理</w:t>
            </w:r>
          </w:p>
        </w:tc>
        <w:tc>
          <w:tcPr>
            <w:tcW w:w="1860" w:type="dxa"/>
            <w:noWrap w:val="0"/>
            <w:vAlign w:val="center"/>
          </w:tcPr>
          <w:p w14:paraId="29296E63">
            <w:pPr>
              <w:spacing w:line="460" w:lineRule="exact"/>
              <w:jc w:val="center"/>
              <w:rPr>
                <w:rFonts w:hint="eastAsia" w:ascii="宋体" w:hAnsi="宋体"/>
                <w:sz w:val="24"/>
              </w:rPr>
            </w:pPr>
          </w:p>
        </w:tc>
        <w:tc>
          <w:tcPr>
            <w:tcW w:w="1080" w:type="dxa"/>
            <w:noWrap w:val="0"/>
            <w:vAlign w:val="center"/>
          </w:tcPr>
          <w:p w14:paraId="3F00610A">
            <w:pPr>
              <w:spacing w:line="460" w:lineRule="exact"/>
              <w:jc w:val="center"/>
              <w:rPr>
                <w:rFonts w:hint="eastAsia" w:ascii="宋体" w:hAnsi="宋体"/>
                <w:sz w:val="24"/>
              </w:rPr>
            </w:pPr>
            <w:r>
              <w:rPr>
                <w:rFonts w:hint="eastAsia" w:ascii="宋体" w:hAnsi="宋体"/>
                <w:sz w:val="24"/>
              </w:rPr>
              <w:t>级别</w:t>
            </w:r>
          </w:p>
        </w:tc>
        <w:tc>
          <w:tcPr>
            <w:tcW w:w="1620" w:type="dxa"/>
            <w:noWrap w:val="0"/>
            <w:vAlign w:val="center"/>
          </w:tcPr>
          <w:p w14:paraId="7BB88407">
            <w:pPr>
              <w:spacing w:line="460" w:lineRule="exact"/>
              <w:ind w:firstLine="240" w:firstLineChars="100"/>
              <w:jc w:val="center"/>
              <w:rPr>
                <w:rFonts w:hint="eastAsia" w:ascii="宋体" w:hAnsi="宋体"/>
                <w:sz w:val="24"/>
              </w:rPr>
            </w:pPr>
          </w:p>
        </w:tc>
        <w:tc>
          <w:tcPr>
            <w:tcW w:w="1440" w:type="dxa"/>
            <w:noWrap w:val="0"/>
            <w:vAlign w:val="center"/>
          </w:tcPr>
          <w:p w14:paraId="7D80C3C6">
            <w:pPr>
              <w:spacing w:line="460" w:lineRule="exact"/>
              <w:jc w:val="center"/>
              <w:rPr>
                <w:rFonts w:hint="eastAsia" w:ascii="宋体" w:hAnsi="宋体"/>
                <w:sz w:val="24"/>
              </w:rPr>
            </w:pPr>
            <w:r>
              <w:rPr>
                <w:rFonts w:hint="eastAsia" w:ascii="宋体" w:hAnsi="宋体"/>
                <w:sz w:val="24"/>
              </w:rPr>
              <w:t>注册编号</w:t>
            </w:r>
          </w:p>
        </w:tc>
        <w:tc>
          <w:tcPr>
            <w:tcW w:w="1620" w:type="dxa"/>
            <w:noWrap w:val="0"/>
            <w:vAlign w:val="center"/>
          </w:tcPr>
          <w:p w14:paraId="6B2E3C3C">
            <w:pPr>
              <w:spacing w:line="460" w:lineRule="exact"/>
              <w:jc w:val="center"/>
              <w:rPr>
                <w:rFonts w:hint="eastAsia" w:ascii="宋体" w:hAnsi="宋体"/>
                <w:sz w:val="24"/>
              </w:rPr>
            </w:pPr>
          </w:p>
        </w:tc>
      </w:tr>
      <w:tr w14:paraId="6078EF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77" w:hRule="exact"/>
        </w:trPr>
        <w:tc>
          <w:tcPr>
            <w:tcW w:w="3382" w:type="dxa"/>
            <w:gridSpan w:val="2"/>
            <w:noWrap w:val="0"/>
            <w:vAlign w:val="center"/>
          </w:tcPr>
          <w:p w14:paraId="4D671BFD">
            <w:pPr>
              <w:spacing w:line="460" w:lineRule="exact"/>
              <w:jc w:val="center"/>
              <w:rPr>
                <w:rFonts w:hint="eastAsia" w:ascii="宋体" w:hAnsi="宋体" w:eastAsia="宋体"/>
                <w:sz w:val="24"/>
                <w:lang w:eastAsia="zh-CN"/>
              </w:rPr>
            </w:pPr>
            <w:r>
              <w:rPr>
                <w:rFonts w:hint="eastAsia" w:ascii="宋体" w:hAnsi="宋体"/>
                <w:sz w:val="24"/>
              </w:rPr>
              <w:t>投标总报价</w:t>
            </w:r>
            <w:r>
              <w:rPr>
                <w:rFonts w:hint="eastAsia" w:ascii="宋体" w:hAnsi="宋体"/>
                <w:sz w:val="24"/>
                <w:lang w:eastAsia="zh-CN"/>
              </w:rPr>
              <w:t>（</w:t>
            </w:r>
            <w:r>
              <w:rPr>
                <w:rFonts w:hint="eastAsia" w:ascii="宋体" w:hAnsi="宋体"/>
                <w:sz w:val="24"/>
                <w:lang w:val="en-US" w:eastAsia="zh-CN"/>
              </w:rPr>
              <w:t>元</w:t>
            </w:r>
            <w:r>
              <w:rPr>
                <w:rFonts w:hint="eastAsia" w:ascii="宋体" w:hAnsi="宋体"/>
                <w:sz w:val="24"/>
                <w:lang w:eastAsia="zh-CN"/>
              </w:rPr>
              <w:t>）</w:t>
            </w:r>
          </w:p>
        </w:tc>
        <w:tc>
          <w:tcPr>
            <w:tcW w:w="5760" w:type="dxa"/>
            <w:gridSpan w:val="4"/>
            <w:noWrap w:val="0"/>
            <w:vAlign w:val="center"/>
          </w:tcPr>
          <w:p w14:paraId="0EE86942">
            <w:pPr>
              <w:spacing w:line="460" w:lineRule="exact"/>
              <w:rPr>
                <w:rFonts w:hint="eastAsia"/>
                <w:lang w:val="en-US" w:eastAsia="zh-CN"/>
              </w:rPr>
            </w:pPr>
            <w:r>
              <w:rPr>
                <w:rFonts w:hint="eastAsia"/>
                <w:lang w:val="en-US" w:eastAsia="zh-CN"/>
              </w:rPr>
              <w:t>小写：</w:t>
            </w:r>
          </w:p>
          <w:p w14:paraId="4CFB5409">
            <w:pPr>
              <w:pStyle w:val="4"/>
              <w:rPr>
                <w:rFonts w:hint="default"/>
                <w:lang w:val="en-US" w:eastAsia="zh-CN"/>
              </w:rPr>
            </w:pPr>
            <w:r>
              <w:rPr>
                <w:rFonts w:hint="eastAsia" w:ascii="Times New Roman" w:hAnsi="Times New Roman" w:eastAsia="宋体" w:cs="Times New Roman"/>
                <w:b w:val="0"/>
                <w:bCs w:val="0"/>
                <w:kern w:val="2"/>
                <w:sz w:val="21"/>
                <w:szCs w:val="24"/>
                <w:lang w:val="en-US" w:eastAsia="zh-CN" w:bidi="ar-SA"/>
              </w:rPr>
              <w:t>大写：</w:t>
            </w:r>
          </w:p>
        </w:tc>
      </w:tr>
      <w:tr w14:paraId="3781D6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97" w:hRule="exact"/>
        </w:trPr>
        <w:tc>
          <w:tcPr>
            <w:tcW w:w="3382" w:type="dxa"/>
            <w:gridSpan w:val="2"/>
            <w:noWrap w:val="0"/>
            <w:vAlign w:val="center"/>
          </w:tcPr>
          <w:p w14:paraId="40961CE3">
            <w:pPr>
              <w:spacing w:line="460" w:lineRule="exact"/>
              <w:jc w:val="center"/>
              <w:rPr>
                <w:rFonts w:hint="eastAsia" w:ascii="宋体" w:hAnsi="宋体"/>
                <w:sz w:val="24"/>
              </w:rPr>
            </w:pPr>
            <w:r>
              <w:rPr>
                <w:rFonts w:hint="eastAsia" w:ascii="宋体" w:hAnsi="宋体"/>
                <w:sz w:val="24"/>
              </w:rPr>
              <w:t>投标质量</w:t>
            </w:r>
          </w:p>
        </w:tc>
        <w:tc>
          <w:tcPr>
            <w:tcW w:w="5760" w:type="dxa"/>
            <w:gridSpan w:val="4"/>
            <w:noWrap w:val="0"/>
            <w:vAlign w:val="center"/>
          </w:tcPr>
          <w:p w14:paraId="5E0ED697">
            <w:pPr>
              <w:spacing w:line="460" w:lineRule="exact"/>
              <w:jc w:val="center"/>
              <w:rPr>
                <w:rFonts w:hint="eastAsia" w:ascii="宋体" w:hAnsi="宋体"/>
                <w:sz w:val="24"/>
              </w:rPr>
            </w:pPr>
          </w:p>
        </w:tc>
      </w:tr>
      <w:tr w14:paraId="307BF5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69" w:hRule="exact"/>
        </w:trPr>
        <w:tc>
          <w:tcPr>
            <w:tcW w:w="3382" w:type="dxa"/>
            <w:gridSpan w:val="2"/>
            <w:noWrap w:val="0"/>
            <w:vAlign w:val="center"/>
          </w:tcPr>
          <w:p w14:paraId="4BCE1118">
            <w:pPr>
              <w:spacing w:line="460" w:lineRule="exact"/>
              <w:jc w:val="center"/>
              <w:rPr>
                <w:rFonts w:hint="eastAsia" w:ascii="宋体" w:hAnsi="宋体"/>
                <w:sz w:val="24"/>
              </w:rPr>
            </w:pPr>
            <w:r>
              <w:rPr>
                <w:rFonts w:hint="eastAsia" w:ascii="宋体" w:hAnsi="宋体"/>
                <w:sz w:val="24"/>
              </w:rPr>
              <w:t>投标工期</w:t>
            </w:r>
          </w:p>
        </w:tc>
        <w:tc>
          <w:tcPr>
            <w:tcW w:w="5760" w:type="dxa"/>
            <w:gridSpan w:val="4"/>
            <w:noWrap w:val="0"/>
            <w:vAlign w:val="center"/>
          </w:tcPr>
          <w:p w14:paraId="794B9F22">
            <w:pPr>
              <w:spacing w:line="460" w:lineRule="exact"/>
              <w:jc w:val="center"/>
              <w:rPr>
                <w:rFonts w:hint="eastAsia" w:ascii="宋体" w:hAnsi="宋体"/>
                <w:sz w:val="24"/>
              </w:rPr>
            </w:pPr>
          </w:p>
        </w:tc>
      </w:tr>
      <w:tr w14:paraId="2C67A2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773" w:hRule="exact"/>
        </w:trPr>
        <w:tc>
          <w:tcPr>
            <w:tcW w:w="3382" w:type="dxa"/>
            <w:gridSpan w:val="2"/>
            <w:tcBorders>
              <w:bottom w:val="single" w:color="auto" w:sz="4" w:space="0"/>
            </w:tcBorders>
            <w:noWrap w:val="0"/>
            <w:vAlign w:val="center"/>
          </w:tcPr>
          <w:p w14:paraId="27581899">
            <w:pPr>
              <w:spacing w:line="460" w:lineRule="exact"/>
              <w:jc w:val="center"/>
              <w:rPr>
                <w:rFonts w:hint="eastAsia" w:ascii="宋体" w:hAnsi="宋体"/>
                <w:sz w:val="24"/>
              </w:rPr>
            </w:pPr>
            <w:r>
              <w:rPr>
                <w:rFonts w:hint="eastAsia" w:ascii="宋体" w:hAnsi="宋体"/>
                <w:sz w:val="24"/>
              </w:rPr>
              <w:t>需要说明的问题</w:t>
            </w:r>
          </w:p>
        </w:tc>
        <w:tc>
          <w:tcPr>
            <w:tcW w:w="5760" w:type="dxa"/>
            <w:gridSpan w:val="4"/>
            <w:tcBorders>
              <w:bottom w:val="single" w:color="auto" w:sz="4" w:space="0"/>
            </w:tcBorders>
            <w:noWrap w:val="0"/>
            <w:vAlign w:val="center"/>
          </w:tcPr>
          <w:p w14:paraId="44D7487D">
            <w:pPr>
              <w:spacing w:line="460" w:lineRule="exact"/>
              <w:jc w:val="center"/>
              <w:rPr>
                <w:rFonts w:hint="eastAsia" w:ascii="宋体" w:hAnsi="宋体"/>
              </w:rPr>
            </w:pPr>
          </w:p>
        </w:tc>
      </w:tr>
    </w:tbl>
    <w:p w14:paraId="4004F2DF">
      <w:pPr>
        <w:autoSpaceDE w:val="0"/>
        <w:autoSpaceDN w:val="0"/>
        <w:adjustRightInd w:val="0"/>
        <w:spacing w:line="260" w:lineRule="exact"/>
        <w:jc w:val="left"/>
        <w:rPr>
          <w:rFonts w:hint="eastAsia" w:ascii="宋体" w:hAnsi="宋体" w:cs="黑体"/>
          <w:kern w:val="0"/>
          <w:sz w:val="24"/>
        </w:rPr>
      </w:pPr>
    </w:p>
    <w:p w14:paraId="36707635">
      <w:pPr>
        <w:ind w:firstLine="120" w:firstLineChars="50"/>
        <w:rPr>
          <w:rFonts w:hint="eastAsia" w:ascii="宋体" w:hAnsi="宋体"/>
          <w:sz w:val="24"/>
        </w:rPr>
      </w:pPr>
    </w:p>
    <w:p w14:paraId="4584B8F0">
      <w:pPr>
        <w:ind w:firstLine="240" w:firstLineChars="100"/>
        <w:rPr>
          <w:rFonts w:hint="eastAsia" w:ascii="宋体" w:hAnsi="宋体"/>
          <w:sz w:val="24"/>
        </w:rPr>
      </w:pPr>
      <w:r>
        <w:rPr>
          <w:rFonts w:hint="eastAsia" w:ascii="宋体" w:hAnsi="宋体"/>
          <w:sz w:val="24"/>
        </w:rPr>
        <w:t>投标人（盖</w:t>
      </w:r>
      <w:r>
        <w:rPr>
          <w:rFonts w:hint="eastAsia" w:ascii="宋体" w:hAnsi="宋体"/>
          <w:sz w:val="24"/>
          <w:lang w:val="en-US" w:eastAsia="zh-CN"/>
        </w:rPr>
        <w:t>单位</w:t>
      </w:r>
      <w:r>
        <w:rPr>
          <w:rFonts w:hint="eastAsia" w:ascii="宋体" w:hAnsi="宋体"/>
          <w:sz w:val="24"/>
        </w:rPr>
        <w:t>章）：</w:t>
      </w:r>
    </w:p>
    <w:p w14:paraId="03E6724D">
      <w:pPr>
        <w:ind w:firstLine="240" w:firstLineChars="100"/>
        <w:rPr>
          <w:rFonts w:hint="eastAsia" w:ascii="宋体" w:hAnsi="宋体"/>
          <w:sz w:val="24"/>
        </w:rPr>
      </w:pPr>
    </w:p>
    <w:p w14:paraId="187E5189">
      <w:pPr>
        <w:ind w:firstLine="240" w:firstLineChars="100"/>
        <w:rPr>
          <w:rFonts w:hint="eastAsia" w:ascii="宋体" w:hAnsi="宋体"/>
          <w:sz w:val="24"/>
          <w:u w:val="single"/>
        </w:rPr>
      </w:pPr>
      <w:r>
        <w:rPr>
          <w:rFonts w:hint="eastAsia" w:ascii="宋体" w:hAnsi="宋体"/>
          <w:sz w:val="24"/>
        </w:rPr>
        <w:t xml:space="preserve">法定代表人或授权代表人（签字或盖章）： </w:t>
      </w:r>
    </w:p>
    <w:p w14:paraId="307AD1CB">
      <w:pPr>
        <w:ind w:firstLine="240" w:firstLineChars="100"/>
        <w:rPr>
          <w:rFonts w:hint="eastAsia" w:ascii="宋体" w:hAnsi="宋体"/>
          <w:sz w:val="24"/>
          <w:u w:val="single"/>
        </w:rPr>
      </w:pPr>
    </w:p>
    <w:p w14:paraId="38C7DBCD">
      <w:pPr>
        <w:ind w:firstLine="3480" w:firstLineChars="1450"/>
        <w:rPr>
          <w:rFonts w:hint="eastAsia" w:ascii="宋体" w:hAnsi="宋体" w:cs="黑体"/>
          <w:kern w:val="0"/>
          <w:sz w:val="24"/>
        </w:rPr>
      </w:pPr>
      <w:r>
        <w:rPr>
          <w:rFonts w:hint="eastAsia" w:ascii="宋体" w:hAnsi="宋体"/>
          <w:sz w:val="24"/>
        </w:rPr>
        <w:t>年</w:t>
      </w:r>
      <w:r>
        <w:rPr>
          <w:rFonts w:ascii="宋体" w:hAnsi="宋体"/>
          <w:sz w:val="24"/>
        </w:rPr>
        <w:t xml:space="preserve">    </w:t>
      </w:r>
      <w:r>
        <w:rPr>
          <w:rFonts w:hint="eastAsia" w:ascii="宋体" w:hAnsi="宋体"/>
          <w:sz w:val="24"/>
        </w:rPr>
        <w:t>月</w:t>
      </w:r>
      <w:r>
        <w:rPr>
          <w:rFonts w:ascii="宋体" w:hAnsi="宋体"/>
          <w:sz w:val="24"/>
        </w:rPr>
        <w:t xml:space="preserve">    </w:t>
      </w:r>
      <w:r>
        <w:rPr>
          <w:rFonts w:hint="eastAsia" w:ascii="宋体" w:hAnsi="宋体"/>
          <w:sz w:val="24"/>
        </w:rPr>
        <w:t>日</w:t>
      </w:r>
    </w:p>
    <w:p w14:paraId="6821FF0B">
      <w:pPr>
        <w:spacing w:line="440" w:lineRule="exact"/>
        <w:jc w:val="center"/>
        <w:rPr>
          <w:sz w:val="30"/>
          <w:szCs w:val="30"/>
        </w:rPr>
      </w:pPr>
      <w:r>
        <w:rPr>
          <w:rFonts w:eastAsia="黑体"/>
          <w:sz w:val="20"/>
          <w:szCs w:val="20"/>
        </w:rPr>
        <w:br w:type="page"/>
      </w:r>
      <w:bookmarkStart w:id="1557" w:name="_Toc144974860"/>
      <w:bookmarkStart w:id="1558" w:name="_Toc152045791"/>
      <w:bookmarkStart w:id="1559" w:name="_Toc100487591"/>
      <w:bookmarkStart w:id="1560" w:name="_Toc152042580"/>
      <w:r>
        <w:rPr>
          <w:sz w:val="30"/>
          <w:szCs w:val="30"/>
        </w:rPr>
        <w:t>二、法定代表人身份证明</w:t>
      </w:r>
      <w:bookmarkEnd w:id="1557"/>
      <w:bookmarkEnd w:id="1558"/>
      <w:bookmarkEnd w:id="1559"/>
      <w:bookmarkEnd w:id="1560"/>
    </w:p>
    <w:p w14:paraId="37B65633">
      <w:pPr>
        <w:spacing w:line="440" w:lineRule="exact"/>
        <w:rPr>
          <w:sz w:val="20"/>
          <w:szCs w:val="20"/>
        </w:rPr>
      </w:pPr>
    </w:p>
    <w:p w14:paraId="74B988D9">
      <w:pPr>
        <w:spacing w:line="440" w:lineRule="exact"/>
        <w:rPr>
          <w:szCs w:val="21"/>
        </w:rPr>
      </w:pPr>
    </w:p>
    <w:p w14:paraId="1011253B">
      <w:pPr>
        <w:spacing w:line="520" w:lineRule="exact"/>
        <w:rPr>
          <w:sz w:val="24"/>
        </w:rPr>
      </w:pPr>
      <w:r>
        <w:rPr>
          <w:sz w:val="24"/>
        </w:rPr>
        <w:t>投标人名称：</w:t>
      </w:r>
      <w:r>
        <w:rPr>
          <w:sz w:val="24"/>
          <w:u w:val="single"/>
        </w:rPr>
        <w:t xml:space="preserve">                            </w:t>
      </w:r>
      <w:r>
        <w:rPr>
          <w:sz w:val="24"/>
        </w:rPr>
        <w:t xml:space="preserve"> </w:t>
      </w:r>
    </w:p>
    <w:p w14:paraId="42B6DB9F">
      <w:pPr>
        <w:spacing w:line="520" w:lineRule="exact"/>
        <w:rPr>
          <w:sz w:val="24"/>
        </w:rPr>
      </w:pPr>
      <w:r>
        <w:rPr>
          <w:sz w:val="24"/>
        </w:rPr>
        <w:t>单位性质：</w:t>
      </w:r>
      <w:r>
        <w:rPr>
          <w:sz w:val="24"/>
          <w:u w:val="single"/>
        </w:rPr>
        <w:t xml:space="preserve">                               </w:t>
      </w:r>
      <w:r>
        <w:rPr>
          <w:sz w:val="24"/>
        </w:rPr>
        <w:t xml:space="preserve"> </w:t>
      </w:r>
    </w:p>
    <w:p w14:paraId="553E1EC2">
      <w:pPr>
        <w:spacing w:line="520" w:lineRule="exact"/>
        <w:rPr>
          <w:sz w:val="24"/>
        </w:rPr>
      </w:pPr>
      <w:r>
        <w:rPr>
          <w:sz w:val="24"/>
        </w:rPr>
        <w:t>地址：</w:t>
      </w:r>
      <w:r>
        <w:rPr>
          <w:sz w:val="24"/>
          <w:u w:val="single"/>
        </w:rPr>
        <w:t xml:space="preserve">                                   </w:t>
      </w:r>
    </w:p>
    <w:p w14:paraId="1BC37B1E">
      <w:pPr>
        <w:spacing w:line="520" w:lineRule="exact"/>
        <w:rPr>
          <w:sz w:val="24"/>
        </w:rPr>
      </w:pPr>
      <w:r>
        <w:rPr>
          <w:sz w:val="24"/>
        </w:rPr>
        <w:t>成立时间：</w:t>
      </w:r>
      <w:r>
        <w:rPr>
          <w:sz w:val="24"/>
          <w:u w:val="single"/>
        </w:rPr>
        <w:t xml:space="preserve">         </w:t>
      </w:r>
      <w:r>
        <w:rPr>
          <w:sz w:val="24"/>
        </w:rPr>
        <w:t xml:space="preserve"> 年</w:t>
      </w:r>
      <w:r>
        <w:rPr>
          <w:sz w:val="24"/>
          <w:u w:val="single"/>
        </w:rPr>
        <w:t xml:space="preserve">       </w:t>
      </w:r>
      <w:r>
        <w:rPr>
          <w:sz w:val="24"/>
        </w:rPr>
        <w:t xml:space="preserve"> 月</w:t>
      </w:r>
      <w:r>
        <w:rPr>
          <w:sz w:val="24"/>
          <w:u w:val="single"/>
        </w:rPr>
        <w:t xml:space="preserve">       </w:t>
      </w:r>
      <w:r>
        <w:rPr>
          <w:sz w:val="24"/>
        </w:rPr>
        <w:t xml:space="preserve"> 日</w:t>
      </w:r>
    </w:p>
    <w:p w14:paraId="4DD9E960">
      <w:pPr>
        <w:spacing w:line="520" w:lineRule="exact"/>
        <w:rPr>
          <w:sz w:val="24"/>
        </w:rPr>
      </w:pPr>
      <w:r>
        <w:rPr>
          <w:sz w:val="24"/>
        </w:rPr>
        <w:t>经营期限：</w:t>
      </w:r>
      <w:r>
        <w:rPr>
          <w:sz w:val="24"/>
          <w:u w:val="single"/>
        </w:rPr>
        <w:t xml:space="preserve">                               </w:t>
      </w:r>
    </w:p>
    <w:p w14:paraId="6C79EC1A">
      <w:pPr>
        <w:spacing w:line="520" w:lineRule="exact"/>
        <w:rPr>
          <w:sz w:val="24"/>
        </w:rPr>
      </w:pPr>
      <w:r>
        <w:rPr>
          <w:sz w:val="24"/>
        </w:rPr>
        <w:t>姓名：</w:t>
      </w:r>
      <w:r>
        <w:rPr>
          <w:sz w:val="24"/>
          <w:u w:val="single"/>
        </w:rPr>
        <w:t xml:space="preserve">        </w:t>
      </w:r>
      <w:r>
        <w:rPr>
          <w:sz w:val="24"/>
        </w:rPr>
        <w:t xml:space="preserve"> 性别：</w:t>
      </w:r>
      <w:r>
        <w:rPr>
          <w:sz w:val="24"/>
          <w:u w:val="single"/>
        </w:rPr>
        <w:t xml:space="preserve">         </w:t>
      </w:r>
      <w:r>
        <w:rPr>
          <w:sz w:val="24"/>
        </w:rPr>
        <w:t xml:space="preserve"> 年龄：</w:t>
      </w:r>
      <w:r>
        <w:rPr>
          <w:sz w:val="24"/>
          <w:u w:val="single"/>
        </w:rPr>
        <w:t xml:space="preserve">        </w:t>
      </w:r>
      <w:r>
        <w:rPr>
          <w:sz w:val="24"/>
        </w:rPr>
        <w:t>职务：</w:t>
      </w:r>
      <w:r>
        <w:rPr>
          <w:sz w:val="24"/>
          <w:u w:val="single"/>
        </w:rPr>
        <w:t xml:space="preserve">        </w:t>
      </w:r>
    </w:p>
    <w:p w14:paraId="3BBCECE9">
      <w:pPr>
        <w:spacing w:line="520" w:lineRule="exact"/>
        <w:rPr>
          <w:sz w:val="24"/>
        </w:rPr>
      </w:pPr>
      <w:r>
        <w:rPr>
          <w:sz w:val="24"/>
        </w:rPr>
        <w:t>系</w:t>
      </w:r>
      <w:r>
        <w:rPr>
          <w:sz w:val="24"/>
          <w:u w:val="single"/>
        </w:rPr>
        <w:t xml:space="preserve">                             </w:t>
      </w:r>
      <w:r>
        <w:rPr>
          <w:sz w:val="24"/>
        </w:rPr>
        <w:t xml:space="preserve"> </w:t>
      </w:r>
      <w:r>
        <w:rPr>
          <w:rFonts w:hint="eastAsia"/>
          <w:sz w:val="24"/>
        </w:rPr>
        <w:t>（</w:t>
      </w:r>
      <w:r>
        <w:rPr>
          <w:sz w:val="24"/>
        </w:rPr>
        <w:t>投标人名称</w:t>
      </w:r>
      <w:r>
        <w:rPr>
          <w:rFonts w:hint="eastAsia"/>
          <w:sz w:val="24"/>
        </w:rPr>
        <w:t>）</w:t>
      </w:r>
      <w:r>
        <w:rPr>
          <w:sz w:val="24"/>
        </w:rPr>
        <w:t>的法定代表人。</w:t>
      </w:r>
    </w:p>
    <w:p w14:paraId="14786D8B">
      <w:pPr>
        <w:spacing w:line="520" w:lineRule="exact"/>
        <w:ind w:firstLine="480" w:firstLineChars="200"/>
        <w:rPr>
          <w:sz w:val="24"/>
        </w:rPr>
      </w:pPr>
      <w:r>
        <w:rPr>
          <w:sz w:val="24"/>
        </w:rPr>
        <w:t>特此证明。</w:t>
      </w:r>
    </w:p>
    <w:p w14:paraId="5F9F30F2">
      <w:pPr>
        <w:spacing w:line="520" w:lineRule="exact"/>
        <w:rPr>
          <w:sz w:val="24"/>
        </w:rPr>
      </w:pPr>
    </w:p>
    <w:p w14:paraId="5FC7B648">
      <w:pPr>
        <w:spacing w:line="520" w:lineRule="exact"/>
        <w:rPr>
          <w:sz w:val="24"/>
        </w:rPr>
      </w:pPr>
    </w:p>
    <w:p w14:paraId="6471B59D">
      <w:pPr>
        <w:spacing w:line="520" w:lineRule="exact"/>
        <w:rPr>
          <w:sz w:val="24"/>
        </w:rPr>
      </w:pPr>
      <w:r>
        <w:rPr>
          <w:sz w:val="24"/>
        </w:rPr>
        <w:t xml:space="preserve">                          投标人：</w:t>
      </w:r>
      <w:r>
        <w:rPr>
          <w:sz w:val="24"/>
          <w:u w:val="single"/>
        </w:rPr>
        <w:t xml:space="preserve">                 </w:t>
      </w:r>
      <w:r>
        <w:rPr>
          <w:sz w:val="24"/>
        </w:rPr>
        <w:t>（盖单位章）</w:t>
      </w:r>
    </w:p>
    <w:p w14:paraId="0913DC34">
      <w:pPr>
        <w:spacing w:line="520" w:lineRule="exact"/>
        <w:rPr>
          <w:szCs w:val="21"/>
        </w:rPr>
      </w:pPr>
      <w:r>
        <w:rPr>
          <w:sz w:val="24"/>
        </w:rPr>
        <w:t xml:space="preserve">                                </w:t>
      </w:r>
      <w:r>
        <w:rPr>
          <w:rFonts w:hint="eastAsia"/>
          <w:sz w:val="24"/>
        </w:rPr>
        <w:t xml:space="preserve">   </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 xml:space="preserve">日         </w:t>
      </w:r>
      <w:r>
        <w:rPr>
          <w:szCs w:val="21"/>
        </w:rPr>
        <w:t xml:space="preserve">  </w:t>
      </w:r>
    </w:p>
    <w:p w14:paraId="52975DF9">
      <w:pPr>
        <w:spacing w:line="440" w:lineRule="exact"/>
        <w:jc w:val="center"/>
        <w:rPr>
          <w:rFonts w:eastAsia="黑体"/>
          <w:sz w:val="20"/>
          <w:szCs w:val="20"/>
        </w:rPr>
      </w:pPr>
      <w:r>
        <w:rPr>
          <w:rFonts w:eastAsia="黑体"/>
          <w:sz w:val="20"/>
          <w:szCs w:val="20"/>
        </w:rPr>
        <w:br w:type="page"/>
      </w:r>
    </w:p>
    <w:p w14:paraId="54205FAE">
      <w:pPr>
        <w:pStyle w:val="85"/>
        <w:jc w:val="center"/>
        <w:rPr>
          <w:sz w:val="30"/>
          <w:szCs w:val="30"/>
        </w:rPr>
      </w:pPr>
      <w:bookmarkStart w:id="1561" w:name="_Toc152042581"/>
      <w:bookmarkStart w:id="1562" w:name="_Toc144974861"/>
      <w:bookmarkStart w:id="1563" w:name="_Toc100487592"/>
      <w:bookmarkStart w:id="1564" w:name="_Toc152045792"/>
      <w:r>
        <w:rPr>
          <w:rFonts w:hint="eastAsia"/>
          <w:sz w:val="30"/>
          <w:szCs w:val="30"/>
        </w:rPr>
        <w:t>三</w:t>
      </w:r>
      <w:r>
        <w:rPr>
          <w:sz w:val="30"/>
          <w:szCs w:val="30"/>
        </w:rPr>
        <w:t>、授权委托书</w:t>
      </w:r>
      <w:bookmarkEnd w:id="1561"/>
      <w:bookmarkEnd w:id="1562"/>
      <w:bookmarkEnd w:id="1563"/>
      <w:bookmarkEnd w:id="1564"/>
    </w:p>
    <w:p w14:paraId="3CD32343">
      <w:pPr>
        <w:spacing w:line="440" w:lineRule="exact"/>
        <w:rPr>
          <w:rFonts w:eastAsia="黑体"/>
          <w:szCs w:val="21"/>
        </w:rPr>
      </w:pPr>
    </w:p>
    <w:p w14:paraId="199204AA">
      <w:pPr>
        <w:topLinePunct/>
        <w:spacing w:line="560" w:lineRule="exact"/>
        <w:ind w:firstLine="480" w:firstLineChars="200"/>
        <w:rPr>
          <w:sz w:val="24"/>
        </w:rPr>
      </w:pPr>
      <w:r>
        <w:rPr>
          <w:sz w:val="24"/>
        </w:rPr>
        <w:t>本人</w:t>
      </w:r>
      <w:r>
        <w:rPr>
          <w:sz w:val="24"/>
          <w:u w:val="single"/>
        </w:rPr>
        <w:t xml:space="preserve">       </w:t>
      </w:r>
      <w:r>
        <w:rPr>
          <w:sz w:val="24"/>
        </w:rPr>
        <w:t>（姓名）系</w:t>
      </w:r>
      <w:r>
        <w:rPr>
          <w:sz w:val="24"/>
          <w:u w:val="single"/>
        </w:rPr>
        <w:t xml:space="preserve">        </w:t>
      </w:r>
      <w:r>
        <w:rPr>
          <w:sz w:val="24"/>
        </w:rPr>
        <w:t>（投标人名称）的法定代表人，现委托</w:t>
      </w:r>
      <w:r>
        <w:rPr>
          <w:sz w:val="24"/>
          <w:u w:val="single"/>
        </w:rPr>
        <w:t xml:space="preserve">        </w:t>
      </w:r>
      <w:r>
        <w:rPr>
          <w:sz w:val="24"/>
        </w:rPr>
        <w:t>（姓名）为我方代理人。代理人根据授权，以我方名义签署、澄清</w:t>
      </w:r>
      <w:r>
        <w:rPr>
          <w:rFonts w:hint="eastAsia"/>
          <w:sz w:val="24"/>
        </w:rPr>
        <w:t>、说明、补正</w:t>
      </w:r>
      <w:r>
        <w:rPr>
          <w:sz w:val="24"/>
        </w:rPr>
        <w:t>、递交、撤回、修改</w:t>
      </w:r>
      <w:r>
        <w:rPr>
          <w:sz w:val="24"/>
          <w:u w:val="single"/>
        </w:rPr>
        <w:t xml:space="preserve">           </w:t>
      </w:r>
      <w:r>
        <w:rPr>
          <w:sz w:val="24"/>
        </w:rPr>
        <w:t>（项目名称）</w:t>
      </w:r>
      <w:r>
        <w:rPr>
          <w:sz w:val="24"/>
          <w:u w:val="single"/>
        </w:rPr>
        <w:t xml:space="preserve">           </w:t>
      </w:r>
      <w:r>
        <w:rPr>
          <w:sz w:val="24"/>
        </w:rPr>
        <w:t>标段</w:t>
      </w:r>
      <w:r>
        <w:rPr>
          <w:rFonts w:hint="eastAsia"/>
          <w:sz w:val="24"/>
        </w:rPr>
        <w:t>施工</w:t>
      </w:r>
      <w:r>
        <w:rPr>
          <w:sz w:val="24"/>
        </w:rPr>
        <w:t>投标文件、签订合同和处理有关事宜，其法律后果由我方承担。</w:t>
      </w:r>
    </w:p>
    <w:p w14:paraId="69260851">
      <w:pPr>
        <w:spacing w:line="560" w:lineRule="exact"/>
        <w:rPr>
          <w:sz w:val="24"/>
        </w:rPr>
      </w:pPr>
      <w:r>
        <w:rPr>
          <w:sz w:val="24"/>
        </w:rPr>
        <w:t xml:space="preserve">    委托期限：</w:t>
      </w:r>
      <w:r>
        <w:rPr>
          <w:sz w:val="24"/>
          <w:u w:val="single"/>
        </w:rPr>
        <w:t xml:space="preserve">             </w:t>
      </w:r>
      <w:r>
        <w:rPr>
          <w:rFonts w:hint="eastAsia"/>
          <w:sz w:val="24"/>
        </w:rPr>
        <w:t>。</w:t>
      </w:r>
    </w:p>
    <w:p w14:paraId="2CA67648">
      <w:pPr>
        <w:spacing w:line="560" w:lineRule="exact"/>
        <w:ind w:firstLine="480" w:firstLineChars="200"/>
        <w:rPr>
          <w:rFonts w:hint="eastAsia"/>
          <w:sz w:val="24"/>
        </w:rPr>
      </w:pPr>
      <w:r>
        <w:rPr>
          <w:sz w:val="24"/>
        </w:rPr>
        <w:t>代理人无转委托权。</w:t>
      </w:r>
    </w:p>
    <w:p w14:paraId="4F6A2627">
      <w:pPr>
        <w:spacing w:line="560" w:lineRule="exact"/>
        <w:ind w:firstLine="480" w:firstLineChars="200"/>
        <w:rPr>
          <w:rFonts w:hint="eastAsia"/>
          <w:sz w:val="24"/>
        </w:rPr>
      </w:pPr>
      <w:r>
        <w:rPr>
          <w:rFonts w:hint="eastAsia"/>
          <w:sz w:val="24"/>
        </w:rPr>
        <w:t>附：法定代表人身份证明</w:t>
      </w:r>
    </w:p>
    <w:p w14:paraId="4FA349BF">
      <w:pPr>
        <w:spacing w:line="500" w:lineRule="exact"/>
        <w:rPr>
          <w:sz w:val="24"/>
        </w:rPr>
      </w:pPr>
    </w:p>
    <w:p w14:paraId="74277639">
      <w:pPr>
        <w:spacing w:line="500" w:lineRule="exact"/>
        <w:rPr>
          <w:sz w:val="24"/>
        </w:rPr>
      </w:pPr>
    </w:p>
    <w:p w14:paraId="4E6CC5CF">
      <w:pPr>
        <w:spacing w:line="500" w:lineRule="exact"/>
        <w:rPr>
          <w:sz w:val="24"/>
        </w:rPr>
      </w:pPr>
      <w:r>
        <w:rPr>
          <w:sz w:val="24"/>
        </w:rPr>
        <w:t>投标人：</w:t>
      </w:r>
      <w:r>
        <w:rPr>
          <w:sz w:val="24"/>
          <w:u w:val="single"/>
        </w:rPr>
        <w:t xml:space="preserve">                               </w:t>
      </w:r>
      <w:r>
        <w:rPr>
          <w:sz w:val="24"/>
        </w:rPr>
        <w:t>（盖单位章）</w:t>
      </w:r>
    </w:p>
    <w:p w14:paraId="60D0F9F2">
      <w:pPr>
        <w:spacing w:line="500" w:lineRule="exact"/>
        <w:rPr>
          <w:sz w:val="24"/>
        </w:rPr>
      </w:pPr>
      <w:r>
        <w:rPr>
          <w:sz w:val="24"/>
        </w:rPr>
        <w:t>法定代表人：</w:t>
      </w:r>
      <w:r>
        <w:rPr>
          <w:sz w:val="24"/>
          <w:u w:val="single"/>
        </w:rPr>
        <w:t xml:space="preserve">                               </w:t>
      </w:r>
      <w:r>
        <w:rPr>
          <w:sz w:val="24"/>
        </w:rPr>
        <w:t>（签字</w:t>
      </w:r>
      <w:r>
        <w:rPr>
          <w:rFonts w:hint="eastAsia"/>
          <w:sz w:val="24"/>
        </w:rPr>
        <w:t>或盖章</w:t>
      </w:r>
      <w:r>
        <w:rPr>
          <w:sz w:val="24"/>
        </w:rPr>
        <w:t>）</w:t>
      </w:r>
    </w:p>
    <w:p w14:paraId="4D9775B5">
      <w:pPr>
        <w:spacing w:line="500" w:lineRule="exact"/>
        <w:rPr>
          <w:sz w:val="24"/>
        </w:rPr>
      </w:pPr>
      <w:r>
        <w:rPr>
          <w:sz w:val="24"/>
        </w:rPr>
        <w:t>身份证号码：</w:t>
      </w:r>
      <w:r>
        <w:rPr>
          <w:sz w:val="24"/>
          <w:u w:val="single"/>
        </w:rPr>
        <w:t xml:space="preserve">                                     </w:t>
      </w:r>
    </w:p>
    <w:p w14:paraId="33DD863F">
      <w:pPr>
        <w:spacing w:line="500" w:lineRule="exact"/>
        <w:rPr>
          <w:sz w:val="24"/>
        </w:rPr>
      </w:pPr>
      <w:r>
        <w:rPr>
          <w:sz w:val="24"/>
        </w:rPr>
        <w:t>委托代理人：</w:t>
      </w:r>
      <w:r>
        <w:rPr>
          <w:sz w:val="24"/>
          <w:u w:val="single"/>
        </w:rPr>
        <w:t xml:space="preserve">                                   </w:t>
      </w:r>
      <w:r>
        <w:rPr>
          <w:sz w:val="24"/>
        </w:rPr>
        <w:t>（签字</w:t>
      </w:r>
      <w:r>
        <w:rPr>
          <w:rFonts w:hint="eastAsia"/>
          <w:sz w:val="24"/>
        </w:rPr>
        <w:t>或盖章</w:t>
      </w:r>
      <w:r>
        <w:rPr>
          <w:sz w:val="24"/>
        </w:rPr>
        <w:t xml:space="preserve">） </w:t>
      </w:r>
    </w:p>
    <w:p w14:paraId="08A0B077">
      <w:pPr>
        <w:spacing w:line="500" w:lineRule="exact"/>
        <w:rPr>
          <w:sz w:val="24"/>
        </w:rPr>
      </w:pPr>
      <w:r>
        <w:rPr>
          <w:sz w:val="24"/>
        </w:rPr>
        <w:t>身份证号码：</w:t>
      </w:r>
      <w:r>
        <w:rPr>
          <w:sz w:val="24"/>
          <w:u w:val="single"/>
        </w:rPr>
        <w:t xml:space="preserve">                                      </w:t>
      </w:r>
    </w:p>
    <w:p w14:paraId="29332F56">
      <w:pPr>
        <w:spacing w:line="500" w:lineRule="exact"/>
        <w:rPr>
          <w:sz w:val="24"/>
        </w:rPr>
      </w:pPr>
    </w:p>
    <w:p w14:paraId="30DA1526">
      <w:pPr>
        <w:spacing w:line="500" w:lineRule="exact"/>
        <w:rPr>
          <w:sz w:val="24"/>
        </w:rPr>
      </w:pPr>
    </w:p>
    <w:p w14:paraId="0E90D0D7">
      <w:pPr>
        <w:spacing w:line="500" w:lineRule="exact"/>
        <w:ind w:firstLine="2640" w:firstLineChars="1100"/>
        <w:rPr>
          <w:rFonts w:eastAsia="黑体"/>
          <w:sz w:val="24"/>
        </w:rPr>
      </w:pP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0E05209F">
      <w:pPr>
        <w:spacing w:line="500" w:lineRule="exact"/>
        <w:rPr>
          <w:rFonts w:hint="eastAsia" w:eastAsia="黑体" w:cs="宋体"/>
          <w:sz w:val="28"/>
          <w:szCs w:val="20"/>
        </w:rPr>
      </w:pPr>
    </w:p>
    <w:p w14:paraId="5A2E947A">
      <w:pPr>
        <w:spacing w:line="440" w:lineRule="exact"/>
        <w:rPr>
          <w:rFonts w:hint="eastAsia"/>
          <w:szCs w:val="21"/>
        </w:rPr>
      </w:pPr>
    </w:p>
    <w:p w14:paraId="337A121F">
      <w:pPr>
        <w:spacing w:line="440" w:lineRule="exact"/>
        <w:rPr>
          <w:rFonts w:hint="eastAsia"/>
          <w:szCs w:val="21"/>
        </w:rPr>
      </w:pPr>
    </w:p>
    <w:p w14:paraId="0821E82A">
      <w:pPr>
        <w:spacing w:line="440" w:lineRule="exact"/>
        <w:rPr>
          <w:rFonts w:hint="eastAsia"/>
          <w:szCs w:val="21"/>
        </w:rPr>
      </w:pPr>
    </w:p>
    <w:p w14:paraId="19A76AC5">
      <w:pPr>
        <w:spacing w:line="440" w:lineRule="exact"/>
        <w:rPr>
          <w:rFonts w:hint="eastAsia"/>
          <w:szCs w:val="21"/>
        </w:rPr>
      </w:pPr>
    </w:p>
    <w:p w14:paraId="29E93FA3">
      <w:pPr>
        <w:spacing w:line="440" w:lineRule="exact"/>
        <w:rPr>
          <w:rFonts w:hint="eastAsia"/>
          <w:szCs w:val="21"/>
        </w:rPr>
      </w:pPr>
    </w:p>
    <w:p w14:paraId="717434E7">
      <w:pPr>
        <w:spacing w:line="440" w:lineRule="exact"/>
        <w:rPr>
          <w:rFonts w:hint="eastAsia"/>
          <w:szCs w:val="21"/>
        </w:rPr>
      </w:pPr>
    </w:p>
    <w:p w14:paraId="07F47F8C">
      <w:pPr>
        <w:spacing w:line="440" w:lineRule="exact"/>
        <w:rPr>
          <w:rFonts w:hint="eastAsia"/>
          <w:szCs w:val="21"/>
        </w:rPr>
      </w:pPr>
    </w:p>
    <w:p w14:paraId="158967DF">
      <w:pPr>
        <w:spacing w:line="440" w:lineRule="exact"/>
        <w:rPr>
          <w:rFonts w:hint="eastAsia"/>
          <w:szCs w:val="21"/>
        </w:rPr>
      </w:pPr>
    </w:p>
    <w:p w14:paraId="4D0FB902">
      <w:pPr>
        <w:spacing w:line="440" w:lineRule="exact"/>
        <w:jc w:val="center"/>
        <w:rPr>
          <w:rFonts w:hint="eastAsia" w:eastAsia="黑体"/>
          <w:sz w:val="27"/>
          <w:szCs w:val="27"/>
        </w:rPr>
      </w:pPr>
      <w:r>
        <w:rPr>
          <w:rFonts w:hint="eastAsia" w:eastAsia="黑体"/>
          <w:sz w:val="27"/>
          <w:szCs w:val="27"/>
        </w:rPr>
        <w:t>四、投标保证金</w:t>
      </w:r>
    </w:p>
    <w:p w14:paraId="4D615142">
      <w:pPr>
        <w:pStyle w:val="4"/>
        <w:rPr>
          <w:rFonts w:hint="eastAsia"/>
        </w:rPr>
      </w:pPr>
    </w:p>
    <w:p w14:paraId="3DC9FD60">
      <w:pPr>
        <w:keepNext w:val="0"/>
        <w:keepLines w:val="0"/>
        <w:widowControl w:val="0"/>
        <w:suppressLineNumbers w:val="0"/>
        <w:autoSpaceDE w:val="0"/>
        <w:autoSpaceDN w:val="0"/>
        <w:adjustRightInd w:val="0"/>
        <w:spacing w:before="0" w:beforeAutospacing="0" w:after="0" w:afterAutospacing="0" w:line="420" w:lineRule="exact"/>
        <w:ind w:left="0" w:right="0"/>
        <w:jc w:val="center"/>
        <w:rPr>
          <w:rFonts w:hint="eastAsia" w:ascii="宋体" w:hAnsi="宋体" w:eastAsia="宋体" w:cs="黑体"/>
          <w:b/>
          <w:bCs/>
          <w:color w:val="auto"/>
          <w:kern w:val="0"/>
          <w:sz w:val="24"/>
          <w:szCs w:val="24"/>
          <w:highlight w:val="none"/>
          <w:lang w:val="en-US"/>
        </w:rPr>
      </w:pPr>
      <w:r>
        <w:rPr>
          <w:rFonts w:hint="eastAsia" w:ascii="宋体" w:hAnsi="宋体" w:eastAsia="宋体" w:cs="黑体"/>
          <w:b/>
          <w:bCs/>
          <w:color w:val="auto"/>
          <w:kern w:val="0"/>
          <w:sz w:val="24"/>
          <w:szCs w:val="24"/>
          <w:highlight w:val="none"/>
          <w:lang w:val="en-US" w:eastAsia="zh-CN" w:bidi="ar"/>
        </w:rPr>
        <w:t>附转账凭证（或电子投标保函）及开户许可证（或者基本存款账户信息）</w:t>
      </w:r>
    </w:p>
    <w:p w14:paraId="78BAC7AF">
      <w:pPr>
        <w:spacing w:line="440" w:lineRule="exact"/>
        <w:jc w:val="center"/>
        <w:rPr>
          <w:rFonts w:hint="eastAsia" w:eastAsia="黑体"/>
          <w:sz w:val="27"/>
          <w:szCs w:val="27"/>
        </w:rPr>
      </w:pPr>
    </w:p>
    <w:p w14:paraId="567628D7">
      <w:pPr>
        <w:spacing w:line="440" w:lineRule="exact"/>
        <w:jc w:val="center"/>
        <w:rPr>
          <w:rFonts w:hint="eastAsia" w:eastAsia="黑体"/>
          <w:sz w:val="27"/>
          <w:szCs w:val="27"/>
        </w:rPr>
      </w:pPr>
    </w:p>
    <w:p w14:paraId="4EB55F5A">
      <w:pPr>
        <w:spacing w:line="440" w:lineRule="exact"/>
        <w:jc w:val="center"/>
        <w:rPr>
          <w:rFonts w:hint="eastAsia" w:eastAsia="黑体"/>
          <w:sz w:val="27"/>
          <w:szCs w:val="27"/>
        </w:rPr>
      </w:pPr>
    </w:p>
    <w:p w14:paraId="4C2762D9">
      <w:pPr>
        <w:spacing w:line="440" w:lineRule="exact"/>
        <w:jc w:val="center"/>
        <w:rPr>
          <w:rFonts w:hint="eastAsia" w:eastAsia="黑体"/>
          <w:sz w:val="27"/>
          <w:szCs w:val="27"/>
        </w:rPr>
      </w:pPr>
    </w:p>
    <w:p w14:paraId="21C8D3DD">
      <w:pPr>
        <w:spacing w:line="440" w:lineRule="exact"/>
        <w:jc w:val="center"/>
        <w:rPr>
          <w:rFonts w:hint="eastAsia" w:eastAsia="黑体"/>
          <w:sz w:val="27"/>
          <w:szCs w:val="27"/>
        </w:rPr>
      </w:pPr>
    </w:p>
    <w:p w14:paraId="33CC40B2">
      <w:pPr>
        <w:spacing w:line="440" w:lineRule="exact"/>
        <w:jc w:val="center"/>
        <w:rPr>
          <w:rFonts w:hint="eastAsia" w:eastAsia="黑体"/>
          <w:sz w:val="27"/>
          <w:szCs w:val="27"/>
        </w:rPr>
      </w:pPr>
    </w:p>
    <w:p w14:paraId="649C9EC9">
      <w:pPr>
        <w:spacing w:line="440" w:lineRule="exact"/>
        <w:jc w:val="center"/>
        <w:rPr>
          <w:rFonts w:hint="eastAsia" w:eastAsia="黑体"/>
          <w:sz w:val="27"/>
          <w:szCs w:val="27"/>
        </w:rPr>
      </w:pPr>
    </w:p>
    <w:p w14:paraId="02423E24">
      <w:pPr>
        <w:spacing w:line="440" w:lineRule="exact"/>
        <w:jc w:val="center"/>
        <w:rPr>
          <w:rFonts w:hint="eastAsia" w:eastAsia="黑体"/>
          <w:sz w:val="27"/>
          <w:szCs w:val="27"/>
        </w:rPr>
      </w:pPr>
    </w:p>
    <w:p w14:paraId="1A250397">
      <w:pPr>
        <w:spacing w:line="440" w:lineRule="exact"/>
        <w:jc w:val="center"/>
        <w:rPr>
          <w:rFonts w:hint="eastAsia" w:eastAsia="黑体"/>
          <w:sz w:val="27"/>
          <w:szCs w:val="27"/>
        </w:rPr>
      </w:pPr>
    </w:p>
    <w:p w14:paraId="14E3DC01">
      <w:pPr>
        <w:spacing w:line="440" w:lineRule="exact"/>
        <w:jc w:val="center"/>
        <w:rPr>
          <w:rFonts w:hint="eastAsia" w:eastAsia="黑体"/>
          <w:sz w:val="27"/>
          <w:szCs w:val="27"/>
        </w:rPr>
      </w:pPr>
    </w:p>
    <w:p w14:paraId="0E9D5B01">
      <w:pPr>
        <w:spacing w:line="440" w:lineRule="exact"/>
        <w:jc w:val="center"/>
        <w:rPr>
          <w:rFonts w:hint="eastAsia" w:eastAsia="黑体"/>
          <w:sz w:val="27"/>
          <w:szCs w:val="27"/>
        </w:rPr>
      </w:pPr>
    </w:p>
    <w:p w14:paraId="27702263">
      <w:pPr>
        <w:spacing w:line="440" w:lineRule="exact"/>
        <w:jc w:val="center"/>
        <w:rPr>
          <w:rFonts w:hint="eastAsia" w:eastAsia="黑体"/>
          <w:sz w:val="27"/>
          <w:szCs w:val="27"/>
        </w:rPr>
      </w:pPr>
    </w:p>
    <w:p w14:paraId="5B1E1D09">
      <w:pPr>
        <w:spacing w:line="440" w:lineRule="exact"/>
        <w:jc w:val="center"/>
        <w:rPr>
          <w:rFonts w:hint="eastAsia" w:eastAsia="黑体"/>
          <w:sz w:val="27"/>
          <w:szCs w:val="27"/>
        </w:rPr>
      </w:pPr>
    </w:p>
    <w:p w14:paraId="5DE0BD0B">
      <w:pPr>
        <w:spacing w:line="440" w:lineRule="exact"/>
        <w:jc w:val="center"/>
        <w:rPr>
          <w:rFonts w:hint="eastAsia" w:eastAsia="黑体"/>
          <w:sz w:val="27"/>
          <w:szCs w:val="27"/>
        </w:rPr>
      </w:pPr>
    </w:p>
    <w:p w14:paraId="3D9B4BE9">
      <w:pPr>
        <w:spacing w:line="440" w:lineRule="exact"/>
        <w:jc w:val="center"/>
        <w:rPr>
          <w:rFonts w:hint="eastAsia" w:eastAsia="黑体"/>
          <w:sz w:val="27"/>
          <w:szCs w:val="27"/>
        </w:rPr>
      </w:pPr>
    </w:p>
    <w:p w14:paraId="27FABEAC">
      <w:pPr>
        <w:spacing w:line="440" w:lineRule="exact"/>
        <w:jc w:val="center"/>
        <w:rPr>
          <w:rFonts w:hint="eastAsia" w:eastAsia="黑体"/>
          <w:sz w:val="27"/>
          <w:szCs w:val="27"/>
        </w:rPr>
      </w:pPr>
    </w:p>
    <w:p w14:paraId="62080004">
      <w:pPr>
        <w:spacing w:line="440" w:lineRule="exact"/>
        <w:jc w:val="center"/>
        <w:rPr>
          <w:rFonts w:hint="eastAsia" w:eastAsia="黑体"/>
          <w:sz w:val="27"/>
          <w:szCs w:val="27"/>
        </w:rPr>
      </w:pPr>
    </w:p>
    <w:p w14:paraId="03BAB047">
      <w:pPr>
        <w:spacing w:line="440" w:lineRule="exact"/>
        <w:jc w:val="center"/>
        <w:rPr>
          <w:rFonts w:hint="eastAsia" w:eastAsia="黑体"/>
          <w:sz w:val="27"/>
          <w:szCs w:val="27"/>
        </w:rPr>
      </w:pPr>
    </w:p>
    <w:p w14:paraId="71BDDA8A">
      <w:pPr>
        <w:spacing w:line="440" w:lineRule="exact"/>
        <w:jc w:val="center"/>
        <w:rPr>
          <w:rFonts w:hint="eastAsia" w:eastAsia="黑体"/>
          <w:sz w:val="27"/>
          <w:szCs w:val="27"/>
        </w:rPr>
      </w:pPr>
    </w:p>
    <w:p w14:paraId="0A4A5F83">
      <w:pPr>
        <w:spacing w:line="440" w:lineRule="exact"/>
        <w:jc w:val="center"/>
        <w:rPr>
          <w:rFonts w:hint="eastAsia" w:eastAsia="黑体"/>
          <w:sz w:val="27"/>
          <w:szCs w:val="27"/>
        </w:rPr>
      </w:pPr>
    </w:p>
    <w:p w14:paraId="1EDF94DC">
      <w:pPr>
        <w:spacing w:line="440" w:lineRule="exact"/>
        <w:jc w:val="center"/>
        <w:rPr>
          <w:rFonts w:hint="eastAsia" w:eastAsia="黑体"/>
          <w:sz w:val="27"/>
          <w:szCs w:val="27"/>
        </w:rPr>
      </w:pPr>
    </w:p>
    <w:p w14:paraId="1E62AF74">
      <w:pPr>
        <w:spacing w:line="440" w:lineRule="exact"/>
        <w:jc w:val="center"/>
        <w:rPr>
          <w:rFonts w:hint="eastAsia" w:eastAsia="黑体"/>
          <w:sz w:val="27"/>
          <w:szCs w:val="27"/>
        </w:rPr>
      </w:pPr>
    </w:p>
    <w:p w14:paraId="4AAE9F34">
      <w:pPr>
        <w:spacing w:line="440" w:lineRule="exact"/>
        <w:jc w:val="center"/>
        <w:rPr>
          <w:rFonts w:hint="eastAsia" w:eastAsia="黑体"/>
          <w:sz w:val="27"/>
          <w:szCs w:val="27"/>
        </w:rPr>
      </w:pPr>
    </w:p>
    <w:p w14:paraId="2C93452D">
      <w:pPr>
        <w:spacing w:line="440" w:lineRule="exact"/>
        <w:jc w:val="center"/>
        <w:rPr>
          <w:rFonts w:hint="eastAsia" w:eastAsia="黑体"/>
          <w:sz w:val="27"/>
          <w:szCs w:val="27"/>
        </w:rPr>
      </w:pPr>
    </w:p>
    <w:p w14:paraId="0F38FC13">
      <w:pPr>
        <w:spacing w:line="440" w:lineRule="exact"/>
        <w:jc w:val="center"/>
        <w:rPr>
          <w:rFonts w:hint="eastAsia" w:eastAsia="黑体"/>
          <w:sz w:val="27"/>
          <w:szCs w:val="27"/>
        </w:rPr>
      </w:pPr>
    </w:p>
    <w:p w14:paraId="79ACD8B9">
      <w:pPr>
        <w:spacing w:line="440" w:lineRule="exact"/>
        <w:jc w:val="center"/>
        <w:rPr>
          <w:rFonts w:hint="eastAsia" w:eastAsia="黑体"/>
          <w:sz w:val="27"/>
          <w:szCs w:val="27"/>
        </w:rPr>
      </w:pPr>
    </w:p>
    <w:p w14:paraId="0684DC48">
      <w:pPr>
        <w:pStyle w:val="85"/>
        <w:jc w:val="center"/>
        <w:rPr>
          <w:rFonts w:hint="eastAsia"/>
          <w:sz w:val="36"/>
          <w:szCs w:val="36"/>
        </w:rPr>
      </w:pPr>
      <w:bookmarkStart w:id="1565" w:name="_Toc100487593"/>
      <w:r>
        <w:rPr>
          <w:rFonts w:hint="eastAsia"/>
          <w:sz w:val="36"/>
          <w:szCs w:val="36"/>
        </w:rPr>
        <w:t>五</w:t>
      </w:r>
      <w:r>
        <w:rPr>
          <w:sz w:val="36"/>
          <w:szCs w:val="36"/>
        </w:rPr>
        <w:t>、</w:t>
      </w:r>
      <w:r>
        <w:rPr>
          <w:rFonts w:hint="eastAsia"/>
          <w:sz w:val="36"/>
          <w:szCs w:val="36"/>
        </w:rPr>
        <w:t>已标价的工程量清单</w:t>
      </w:r>
      <w:bookmarkEnd w:id="1565"/>
    </w:p>
    <w:p w14:paraId="033081D6">
      <w:pPr>
        <w:pStyle w:val="85"/>
        <w:jc w:val="center"/>
        <w:rPr>
          <w:rFonts w:hint="eastAsia"/>
          <w:sz w:val="36"/>
          <w:szCs w:val="36"/>
        </w:rPr>
      </w:pPr>
    </w:p>
    <w:p w14:paraId="06F8AFFA">
      <w:pPr>
        <w:spacing w:line="440" w:lineRule="exact"/>
        <w:jc w:val="center"/>
        <w:rPr>
          <w:rFonts w:hint="eastAsia" w:eastAsia="黑体"/>
          <w:sz w:val="44"/>
          <w:szCs w:val="44"/>
        </w:rPr>
      </w:pPr>
      <w:r>
        <w:rPr>
          <w:rFonts w:hint="eastAsia" w:eastAsia="黑体"/>
          <w:sz w:val="44"/>
          <w:szCs w:val="44"/>
        </w:rPr>
        <w:t>投 标 总 价</w:t>
      </w:r>
    </w:p>
    <w:p w14:paraId="3CA6643F">
      <w:pPr>
        <w:spacing w:line="440" w:lineRule="exact"/>
        <w:jc w:val="center"/>
        <w:rPr>
          <w:rFonts w:hint="eastAsia" w:eastAsia="黑体"/>
          <w:sz w:val="24"/>
        </w:rPr>
      </w:pPr>
    </w:p>
    <w:p w14:paraId="13627AFE">
      <w:pPr>
        <w:spacing w:line="440" w:lineRule="exact"/>
        <w:jc w:val="center"/>
        <w:rPr>
          <w:rFonts w:hint="eastAsia" w:eastAsia="黑体"/>
          <w:sz w:val="24"/>
        </w:rPr>
      </w:pPr>
    </w:p>
    <w:p w14:paraId="7AE8B509">
      <w:pPr>
        <w:spacing w:line="580" w:lineRule="exact"/>
        <w:ind w:firstLine="560" w:firstLineChars="200"/>
        <w:rPr>
          <w:rFonts w:hint="eastAsia" w:ascii="宋体" w:hAnsi="宋体"/>
          <w:sz w:val="28"/>
          <w:szCs w:val="28"/>
          <w:u w:val="single"/>
        </w:rPr>
      </w:pPr>
      <w:r>
        <w:rPr>
          <w:rFonts w:hint="eastAsia" w:ascii="宋体" w:hAnsi="宋体"/>
          <w:sz w:val="28"/>
          <w:szCs w:val="28"/>
        </w:rPr>
        <w:t>招 标 人：</w:t>
      </w:r>
      <w:r>
        <w:rPr>
          <w:rFonts w:hint="eastAsia" w:ascii="宋体" w:hAnsi="宋体"/>
          <w:sz w:val="28"/>
          <w:szCs w:val="28"/>
          <w:u w:val="single"/>
        </w:rPr>
        <w:t xml:space="preserve">                                            </w:t>
      </w:r>
    </w:p>
    <w:p w14:paraId="608BD084">
      <w:pPr>
        <w:spacing w:line="580" w:lineRule="exact"/>
        <w:ind w:firstLine="560" w:firstLineChars="200"/>
        <w:rPr>
          <w:rFonts w:hint="eastAsia" w:ascii="宋体" w:hAnsi="宋体"/>
          <w:sz w:val="28"/>
          <w:szCs w:val="28"/>
          <w:u w:val="single"/>
        </w:rPr>
      </w:pPr>
      <w:r>
        <w:rPr>
          <w:rFonts w:hint="eastAsia" w:ascii="宋体" w:hAnsi="宋体"/>
          <w:sz w:val="28"/>
          <w:szCs w:val="28"/>
        </w:rPr>
        <w:t>工程名称：</w:t>
      </w:r>
      <w:r>
        <w:rPr>
          <w:rFonts w:hint="eastAsia" w:ascii="宋体" w:hAnsi="宋体"/>
          <w:sz w:val="28"/>
          <w:szCs w:val="28"/>
          <w:u w:val="single"/>
        </w:rPr>
        <w:t xml:space="preserve">                                             </w:t>
      </w:r>
    </w:p>
    <w:p w14:paraId="4F2790A0">
      <w:pPr>
        <w:spacing w:line="560" w:lineRule="exact"/>
        <w:ind w:firstLine="560" w:firstLineChars="200"/>
        <w:rPr>
          <w:rFonts w:hint="eastAsia" w:ascii="宋体" w:hAnsi="宋体"/>
          <w:sz w:val="28"/>
          <w:szCs w:val="28"/>
        </w:rPr>
      </w:pPr>
    </w:p>
    <w:p w14:paraId="5CA7809D">
      <w:pPr>
        <w:spacing w:line="560" w:lineRule="exact"/>
        <w:ind w:firstLine="560" w:firstLineChars="200"/>
        <w:rPr>
          <w:rFonts w:hint="eastAsia" w:ascii="宋体" w:hAnsi="宋体"/>
          <w:sz w:val="28"/>
          <w:szCs w:val="28"/>
          <w:u w:val="single"/>
        </w:rPr>
      </w:pPr>
      <w:r>
        <w:rPr>
          <w:rFonts w:hint="eastAsia" w:ascii="宋体" w:hAnsi="宋体"/>
          <w:sz w:val="28"/>
          <w:szCs w:val="28"/>
        </w:rPr>
        <w:t>投标总价（大写）：</w:t>
      </w:r>
      <w:r>
        <w:rPr>
          <w:rFonts w:hint="eastAsia" w:ascii="宋体" w:hAnsi="宋体"/>
          <w:sz w:val="28"/>
          <w:szCs w:val="28"/>
          <w:u w:val="single"/>
        </w:rPr>
        <w:t xml:space="preserve">                                      </w:t>
      </w:r>
    </w:p>
    <w:p w14:paraId="7FB55EE9">
      <w:pPr>
        <w:spacing w:line="560" w:lineRule="exact"/>
        <w:ind w:firstLine="1680" w:firstLineChars="600"/>
        <w:rPr>
          <w:rFonts w:hint="eastAsia" w:ascii="宋体" w:hAnsi="宋体"/>
          <w:sz w:val="28"/>
          <w:szCs w:val="28"/>
          <w:u w:val="single"/>
        </w:rPr>
      </w:pPr>
      <w:r>
        <w:rPr>
          <w:rFonts w:hint="eastAsia" w:ascii="宋体" w:hAnsi="宋体"/>
          <w:sz w:val="28"/>
          <w:szCs w:val="28"/>
        </w:rPr>
        <w:t>（小写）：</w:t>
      </w:r>
      <w:r>
        <w:rPr>
          <w:rFonts w:hint="eastAsia" w:ascii="宋体" w:hAnsi="宋体"/>
          <w:sz w:val="28"/>
          <w:szCs w:val="28"/>
          <w:u w:val="single"/>
        </w:rPr>
        <w:t xml:space="preserve">                                      </w:t>
      </w:r>
    </w:p>
    <w:p w14:paraId="0A004904">
      <w:pPr>
        <w:spacing w:line="560" w:lineRule="exact"/>
        <w:ind w:firstLine="1680" w:firstLineChars="600"/>
        <w:rPr>
          <w:rFonts w:hint="eastAsia" w:ascii="宋体" w:hAnsi="宋体"/>
          <w:sz w:val="28"/>
          <w:szCs w:val="28"/>
          <w:u w:val="single"/>
        </w:rPr>
      </w:pPr>
    </w:p>
    <w:p w14:paraId="7F9C5B6E">
      <w:pPr>
        <w:spacing w:line="560" w:lineRule="exact"/>
        <w:ind w:firstLine="1680" w:firstLineChars="600"/>
        <w:rPr>
          <w:rFonts w:hint="eastAsia" w:ascii="宋体" w:hAnsi="宋体"/>
          <w:sz w:val="28"/>
          <w:szCs w:val="28"/>
          <w:u w:val="single"/>
        </w:rPr>
      </w:pPr>
    </w:p>
    <w:p w14:paraId="1A4A2C59">
      <w:pPr>
        <w:spacing w:line="440" w:lineRule="exact"/>
        <w:ind w:firstLine="560" w:firstLineChars="200"/>
        <w:rPr>
          <w:rFonts w:hint="eastAsia" w:ascii="宋体" w:hAnsi="宋体"/>
          <w:sz w:val="28"/>
          <w:szCs w:val="28"/>
          <w:u w:val="single"/>
        </w:rPr>
      </w:pPr>
      <w:r>
        <w:rPr>
          <w:rFonts w:hint="eastAsia" w:ascii="宋体" w:hAnsi="宋体"/>
          <w:sz w:val="28"/>
          <w:szCs w:val="28"/>
        </w:rPr>
        <w:t>投标人：</w:t>
      </w:r>
      <w:r>
        <w:rPr>
          <w:rFonts w:hint="eastAsia" w:ascii="宋体" w:hAnsi="宋体"/>
          <w:sz w:val="28"/>
          <w:szCs w:val="28"/>
          <w:u w:val="single"/>
        </w:rPr>
        <w:t xml:space="preserve">                                               </w:t>
      </w:r>
    </w:p>
    <w:p w14:paraId="62D97A3C">
      <w:pPr>
        <w:spacing w:line="440" w:lineRule="exact"/>
        <w:ind w:right="363" w:rightChars="173" w:firstLine="560" w:firstLineChars="200"/>
        <w:jc w:val="right"/>
        <w:rPr>
          <w:rFonts w:hint="eastAsia" w:ascii="宋体" w:hAnsi="宋体"/>
          <w:sz w:val="28"/>
          <w:szCs w:val="28"/>
        </w:rPr>
      </w:pPr>
      <w:r>
        <w:rPr>
          <w:rFonts w:hint="eastAsia" w:ascii="宋体" w:hAnsi="宋体"/>
          <w:sz w:val="28"/>
          <w:szCs w:val="28"/>
        </w:rPr>
        <w:t>（单位盖章）</w:t>
      </w:r>
    </w:p>
    <w:p w14:paraId="259CA12B">
      <w:pPr>
        <w:spacing w:line="560" w:lineRule="exact"/>
        <w:ind w:firstLine="560" w:firstLineChars="200"/>
        <w:rPr>
          <w:rFonts w:hint="eastAsia" w:ascii="宋体" w:hAnsi="宋体"/>
          <w:sz w:val="28"/>
          <w:szCs w:val="28"/>
        </w:rPr>
      </w:pPr>
    </w:p>
    <w:p w14:paraId="0D7C4012">
      <w:pPr>
        <w:spacing w:line="560" w:lineRule="exact"/>
        <w:ind w:firstLine="560" w:firstLineChars="200"/>
        <w:rPr>
          <w:rFonts w:hint="eastAsia" w:ascii="宋体" w:hAnsi="宋体"/>
          <w:sz w:val="28"/>
          <w:szCs w:val="28"/>
        </w:rPr>
      </w:pPr>
      <w:r>
        <w:rPr>
          <w:rFonts w:hint="eastAsia" w:ascii="宋体" w:hAnsi="宋体"/>
          <w:sz w:val="28"/>
          <w:szCs w:val="28"/>
        </w:rPr>
        <w:t>法定代表人</w:t>
      </w:r>
    </w:p>
    <w:p w14:paraId="5F45D320">
      <w:pPr>
        <w:spacing w:line="560" w:lineRule="exact"/>
        <w:ind w:firstLine="560" w:firstLineChars="200"/>
        <w:rPr>
          <w:rFonts w:hint="eastAsia" w:ascii="宋体" w:hAnsi="宋体"/>
          <w:sz w:val="28"/>
          <w:szCs w:val="28"/>
          <w:u w:val="single"/>
        </w:rPr>
      </w:pPr>
      <w:r>
        <w:rPr>
          <w:rFonts w:hint="eastAsia" w:ascii="宋体" w:hAnsi="宋体"/>
          <w:sz w:val="28"/>
          <w:szCs w:val="28"/>
        </w:rPr>
        <w:t>或其授权人：</w:t>
      </w:r>
      <w:r>
        <w:rPr>
          <w:rFonts w:hint="eastAsia" w:ascii="宋体" w:hAnsi="宋体"/>
          <w:sz w:val="28"/>
          <w:szCs w:val="28"/>
          <w:u w:val="single"/>
        </w:rPr>
        <w:t xml:space="preserve">                                           </w:t>
      </w:r>
    </w:p>
    <w:p w14:paraId="61A94D0F">
      <w:pPr>
        <w:spacing w:line="420" w:lineRule="exact"/>
        <w:ind w:right="363" w:rightChars="173" w:firstLine="560" w:firstLineChars="200"/>
        <w:jc w:val="right"/>
        <w:rPr>
          <w:rFonts w:hint="eastAsia" w:ascii="宋体" w:hAnsi="宋体"/>
          <w:sz w:val="28"/>
          <w:szCs w:val="28"/>
        </w:rPr>
      </w:pPr>
      <w:r>
        <w:rPr>
          <w:rFonts w:hint="eastAsia" w:ascii="宋体" w:hAnsi="宋体"/>
          <w:sz w:val="28"/>
          <w:szCs w:val="28"/>
        </w:rPr>
        <w:t>（签字或盖章）</w:t>
      </w:r>
    </w:p>
    <w:p w14:paraId="015ED512">
      <w:pPr>
        <w:spacing w:line="560" w:lineRule="exact"/>
        <w:ind w:firstLine="560" w:firstLineChars="200"/>
        <w:rPr>
          <w:rFonts w:hint="eastAsia" w:ascii="宋体" w:hAnsi="宋体"/>
          <w:sz w:val="28"/>
          <w:szCs w:val="28"/>
        </w:rPr>
      </w:pPr>
    </w:p>
    <w:p w14:paraId="2702A8E2">
      <w:pPr>
        <w:spacing w:line="560" w:lineRule="exact"/>
        <w:ind w:firstLine="560" w:firstLineChars="200"/>
        <w:rPr>
          <w:rFonts w:hint="eastAsia" w:ascii="宋体" w:hAnsi="宋体"/>
          <w:sz w:val="28"/>
          <w:szCs w:val="28"/>
          <w:u w:val="single"/>
        </w:rPr>
      </w:pPr>
      <w:r>
        <w:rPr>
          <w:rFonts w:hint="eastAsia" w:ascii="宋体" w:hAnsi="宋体"/>
          <w:sz w:val="28"/>
          <w:szCs w:val="28"/>
        </w:rPr>
        <w:t>编 制 人：</w:t>
      </w:r>
      <w:r>
        <w:rPr>
          <w:rFonts w:hint="eastAsia" w:ascii="宋体" w:hAnsi="宋体"/>
          <w:sz w:val="28"/>
          <w:szCs w:val="28"/>
          <w:u w:val="single"/>
        </w:rPr>
        <w:t xml:space="preserve">                                             </w:t>
      </w:r>
    </w:p>
    <w:p w14:paraId="7E895CCC">
      <w:pPr>
        <w:spacing w:line="560" w:lineRule="exact"/>
        <w:ind w:right="363" w:rightChars="173" w:firstLine="560" w:firstLineChars="200"/>
        <w:jc w:val="right"/>
        <w:rPr>
          <w:rFonts w:hint="eastAsia" w:ascii="宋体" w:hAnsi="宋体"/>
          <w:sz w:val="28"/>
          <w:szCs w:val="28"/>
        </w:rPr>
      </w:pPr>
      <w:r>
        <w:rPr>
          <w:rFonts w:hint="eastAsia" w:ascii="宋体" w:hAnsi="宋体"/>
          <w:sz w:val="28"/>
          <w:szCs w:val="28"/>
        </w:rPr>
        <w:t>（造价人员签字或盖章）</w:t>
      </w:r>
    </w:p>
    <w:p w14:paraId="442E4BD9">
      <w:pPr>
        <w:spacing w:line="560" w:lineRule="exact"/>
        <w:ind w:firstLine="560" w:firstLineChars="200"/>
        <w:rPr>
          <w:rFonts w:hint="eastAsia" w:ascii="宋体" w:hAnsi="宋体"/>
          <w:sz w:val="28"/>
          <w:szCs w:val="28"/>
        </w:rPr>
      </w:pPr>
    </w:p>
    <w:p w14:paraId="66C2D77A">
      <w:pPr>
        <w:spacing w:line="560" w:lineRule="exact"/>
        <w:ind w:firstLine="560" w:firstLineChars="200"/>
        <w:rPr>
          <w:rFonts w:hint="eastAsia" w:ascii="宋体" w:hAnsi="宋体"/>
          <w:sz w:val="28"/>
          <w:szCs w:val="28"/>
        </w:rPr>
      </w:pPr>
      <w:r>
        <w:rPr>
          <w:rFonts w:hint="eastAsia" w:ascii="宋体" w:hAnsi="宋体"/>
          <w:sz w:val="28"/>
          <w:szCs w:val="28"/>
        </w:rPr>
        <w:t>编制日期：        年    月    日</w:t>
      </w:r>
    </w:p>
    <w:p w14:paraId="2B5962F4">
      <w:pPr>
        <w:spacing w:line="440" w:lineRule="exact"/>
        <w:jc w:val="center"/>
        <w:rPr>
          <w:rFonts w:hint="eastAsia" w:ascii="宋体" w:hAnsi="宋体"/>
          <w:sz w:val="28"/>
          <w:szCs w:val="28"/>
        </w:rPr>
      </w:pPr>
    </w:p>
    <w:p w14:paraId="126FC9C4">
      <w:pPr>
        <w:spacing w:line="440" w:lineRule="exact"/>
        <w:jc w:val="center"/>
        <w:rPr>
          <w:rFonts w:hint="eastAsia" w:ascii="宋体" w:hAnsi="宋体"/>
          <w:sz w:val="28"/>
          <w:szCs w:val="28"/>
        </w:rPr>
      </w:pPr>
    </w:p>
    <w:p w14:paraId="5CA178E1">
      <w:pPr>
        <w:spacing w:line="440" w:lineRule="exact"/>
        <w:jc w:val="center"/>
        <w:rPr>
          <w:rFonts w:hint="eastAsia" w:eastAsia="黑体"/>
          <w:sz w:val="27"/>
          <w:szCs w:val="27"/>
        </w:rPr>
      </w:pPr>
    </w:p>
    <w:p w14:paraId="079DEFA0">
      <w:pPr>
        <w:spacing w:line="440" w:lineRule="exact"/>
        <w:rPr>
          <w:rFonts w:hint="eastAsia" w:ascii="宋体" w:hAnsi="宋体"/>
          <w:sz w:val="28"/>
          <w:szCs w:val="28"/>
        </w:rPr>
      </w:pPr>
    </w:p>
    <w:p w14:paraId="0F3665E6">
      <w:pPr>
        <w:pStyle w:val="85"/>
        <w:jc w:val="center"/>
        <w:rPr>
          <w:sz w:val="30"/>
          <w:szCs w:val="30"/>
        </w:rPr>
      </w:pPr>
      <w:bookmarkStart w:id="1566" w:name="_Toc152042585"/>
      <w:bookmarkStart w:id="1567" w:name="_Toc144974864"/>
      <w:bookmarkStart w:id="1568" w:name="_Toc100487594"/>
      <w:bookmarkStart w:id="1569" w:name="_Toc152045796"/>
      <w:r>
        <w:rPr>
          <w:rFonts w:hint="eastAsia"/>
          <w:sz w:val="30"/>
          <w:szCs w:val="30"/>
        </w:rPr>
        <w:t>六</w:t>
      </w:r>
      <w:r>
        <w:rPr>
          <w:sz w:val="30"/>
          <w:szCs w:val="30"/>
        </w:rPr>
        <w:t>、施工组织设计</w:t>
      </w:r>
      <w:bookmarkEnd w:id="1566"/>
      <w:bookmarkEnd w:id="1567"/>
      <w:bookmarkEnd w:id="1568"/>
      <w:bookmarkEnd w:id="1569"/>
    </w:p>
    <w:p w14:paraId="5862B9C8">
      <w:pPr>
        <w:spacing w:line="440" w:lineRule="exact"/>
        <w:rPr>
          <w:rFonts w:eastAsia="黑体"/>
          <w:szCs w:val="21"/>
        </w:rPr>
      </w:pPr>
    </w:p>
    <w:p w14:paraId="19751B10">
      <w:pPr>
        <w:tabs>
          <w:tab w:val="left" w:pos="720"/>
        </w:tabs>
        <w:spacing w:line="520" w:lineRule="exact"/>
        <w:ind w:firstLine="480" w:firstLineChars="200"/>
        <w:rPr>
          <w:sz w:val="24"/>
        </w:rPr>
      </w:pPr>
      <w:r>
        <w:rPr>
          <w:sz w:val="24"/>
        </w:rPr>
        <w:t>1.</w:t>
      </w:r>
      <w:r>
        <w:rPr>
          <w:rFonts w:hint="eastAsia"/>
          <w:sz w:val="24"/>
        </w:rPr>
        <w:t xml:space="preserve"> </w:t>
      </w:r>
      <w:r>
        <w:rPr>
          <w:rFonts w:hint="eastAsia"/>
          <w:sz w:val="24"/>
        </w:rPr>
        <w:tab/>
      </w:r>
      <w:r>
        <w:rPr>
          <w:sz w:val="24"/>
        </w:rPr>
        <w:t>投标人编制施工组织设计的要求：编制时应采用文字并结合图表形式说明施工方法；拟投入本标段的主要施工设备情况、拟配备本标段的试验和检测仪器设备情况、劳动力计划等；结合工程特点提出切实可行的工程质量、安全生产、文明施工、工程进度、技术组织措施，同时应对关键工序、复杂环节重点提出相应技术措施，如冬雨季施工技术、减少噪音、降低环境污染、地下管线及其他地上地下设施的保护加固措施等。</w:t>
      </w:r>
    </w:p>
    <w:p w14:paraId="7B889CA0">
      <w:pPr>
        <w:tabs>
          <w:tab w:val="left" w:pos="720"/>
        </w:tabs>
        <w:spacing w:line="520" w:lineRule="exact"/>
        <w:ind w:firstLine="480" w:firstLineChars="200"/>
        <w:rPr>
          <w:sz w:val="24"/>
        </w:rPr>
      </w:pPr>
      <w:r>
        <w:rPr>
          <w:sz w:val="24"/>
        </w:rPr>
        <w:t>2.</w:t>
      </w:r>
      <w:r>
        <w:rPr>
          <w:rFonts w:hint="eastAsia"/>
          <w:sz w:val="24"/>
        </w:rPr>
        <w:t xml:space="preserve"> </w:t>
      </w:r>
      <w:r>
        <w:rPr>
          <w:rFonts w:hint="eastAsia"/>
          <w:sz w:val="24"/>
        </w:rPr>
        <w:tab/>
      </w:r>
      <w:r>
        <w:rPr>
          <w:sz w:val="24"/>
        </w:rPr>
        <w:t>施工组织设计除采用文字表述外可附下列图表，图表及格式要求附后。</w:t>
      </w:r>
    </w:p>
    <w:p w14:paraId="1D6D06DA">
      <w:pPr>
        <w:tabs>
          <w:tab w:val="left" w:pos="720"/>
        </w:tabs>
        <w:spacing w:line="520" w:lineRule="exact"/>
        <w:ind w:firstLine="864" w:firstLineChars="360"/>
        <w:rPr>
          <w:sz w:val="24"/>
        </w:rPr>
      </w:pPr>
      <w:r>
        <w:rPr>
          <w:sz w:val="24"/>
        </w:rPr>
        <w:t>附表一  拟投入本标段的主要施工设备表</w:t>
      </w:r>
    </w:p>
    <w:p w14:paraId="414025D8">
      <w:pPr>
        <w:tabs>
          <w:tab w:val="left" w:pos="720"/>
        </w:tabs>
        <w:spacing w:line="520" w:lineRule="exact"/>
        <w:ind w:firstLine="864" w:firstLineChars="360"/>
        <w:rPr>
          <w:sz w:val="24"/>
        </w:rPr>
      </w:pPr>
      <w:r>
        <w:rPr>
          <w:sz w:val="24"/>
        </w:rPr>
        <w:t>附表二  拟配备本标段的试验和检测仪器设备表</w:t>
      </w:r>
    </w:p>
    <w:p w14:paraId="688FAD93">
      <w:pPr>
        <w:tabs>
          <w:tab w:val="left" w:pos="720"/>
        </w:tabs>
        <w:spacing w:line="520" w:lineRule="exact"/>
        <w:ind w:firstLine="864" w:firstLineChars="360"/>
        <w:rPr>
          <w:rFonts w:hint="eastAsia"/>
          <w:sz w:val="24"/>
        </w:rPr>
      </w:pPr>
      <w:r>
        <w:rPr>
          <w:sz w:val="24"/>
        </w:rPr>
        <w:t>附表三  劳动力计划表</w:t>
      </w:r>
    </w:p>
    <w:p w14:paraId="78AF7A67">
      <w:pPr>
        <w:tabs>
          <w:tab w:val="left" w:pos="720"/>
        </w:tabs>
        <w:spacing w:line="520" w:lineRule="exact"/>
        <w:ind w:firstLine="864" w:firstLineChars="360"/>
        <w:rPr>
          <w:rFonts w:hint="eastAsia"/>
          <w:sz w:val="24"/>
        </w:rPr>
      </w:pPr>
      <w:r>
        <w:rPr>
          <w:sz w:val="24"/>
        </w:rPr>
        <w:t>附表四  计划开、</w:t>
      </w:r>
      <w:r>
        <w:rPr>
          <w:rFonts w:hint="eastAsia"/>
          <w:sz w:val="24"/>
        </w:rPr>
        <w:t>竣工</w:t>
      </w:r>
      <w:r>
        <w:rPr>
          <w:sz w:val="24"/>
        </w:rPr>
        <w:t>日期和施工进度网络图</w:t>
      </w:r>
    </w:p>
    <w:p w14:paraId="4DC77AC7">
      <w:pPr>
        <w:spacing w:line="440" w:lineRule="exact"/>
        <w:rPr>
          <w:sz w:val="20"/>
          <w:szCs w:val="20"/>
        </w:rPr>
      </w:pPr>
      <w:r>
        <w:rPr>
          <w:rFonts w:eastAsia="黑体"/>
          <w:sz w:val="20"/>
          <w:szCs w:val="20"/>
        </w:rPr>
        <w:br w:type="page"/>
      </w:r>
    </w:p>
    <w:p w14:paraId="7A2ED60F">
      <w:pPr>
        <w:pStyle w:val="87"/>
        <w:rPr>
          <w:szCs w:val="23"/>
        </w:rPr>
      </w:pPr>
      <w:bookmarkStart w:id="1570" w:name="_Toc152045797"/>
      <w:bookmarkStart w:id="1571" w:name="_Toc16268911"/>
      <w:bookmarkStart w:id="1572" w:name="_Toc100487595"/>
      <w:bookmarkStart w:id="1573" w:name="_Toc16268400"/>
      <w:bookmarkStart w:id="1574" w:name="_Toc399073554"/>
      <w:bookmarkStart w:id="1575" w:name="_Toc144974865"/>
      <w:bookmarkStart w:id="1576" w:name="_Toc152042586"/>
      <w:bookmarkStart w:id="1577" w:name="_Toc251248802"/>
      <w:r>
        <w:t>附表一：</w:t>
      </w:r>
      <w:r>
        <w:rPr>
          <w:szCs w:val="23"/>
        </w:rPr>
        <w:t>拟投入本标段的主要施工设备表</w:t>
      </w:r>
      <w:bookmarkEnd w:id="1570"/>
      <w:bookmarkEnd w:id="1571"/>
      <w:bookmarkEnd w:id="1572"/>
      <w:bookmarkEnd w:id="1573"/>
      <w:bookmarkEnd w:id="1574"/>
      <w:bookmarkEnd w:id="1575"/>
      <w:bookmarkEnd w:id="1576"/>
      <w:bookmarkEnd w:id="1577"/>
    </w:p>
    <w:p w14:paraId="0184329F">
      <w:pPr>
        <w:spacing w:line="440" w:lineRule="exact"/>
        <w:rPr>
          <w:sz w:val="20"/>
          <w:szCs w:val="20"/>
        </w:rPr>
      </w:pPr>
    </w:p>
    <w:tbl>
      <w:tblPr>
        <w:tblStyle w:val="42"/>
        <w:tblW w:w="0" w:type="auto"/>
        <w:tblInd w:w="-10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40"/>
        <w:gridCol w:w="1205"/>
        <w:gridCol w:w="844"/>
        <w:gridCol w:w="1098"/>
        <w:gridCol w:w="745"/>
        <w:gridCol w:w="819"/>
        <w:gridCol w:w="1345"/>
        <w:gridCol w:w="970"/>
        <w:gridCol w:w="1170"/>
        <w:gridCol w:w="767"/>
      </w:tblGrid>
      <w:tr w14:paraId="26E3AB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40" w:type="dxa"/>
            <w:noWrap w:val="0"/>
            <w:vAlign w:val="center"/>
          </w:tcPr>
          <w:p w14:paraId="2CB973E5">
            <w:pPr>
              <w:spacing w:line="440" w:lineRule="exact"/>
              <w:jc w:val="center"/>
              <w:textAlignment w:val="center"/>
              <w:rPr>
                <w:rFonts w:ascii="华文细黑" w:hAnsi="华文细黑"/>
                <w:sz w:val="24"/>
              </w:rPr>
            </w:pPr>
            <w:r>
              <w:rPr>
                <w:rFonts w:ascii="华文细黑" w:hAnsi="华文细黑"/>
                <w:sz w:val="24"/>
              </w:rPr>
              <w:t>序号</w:t>
            </w:r>
          </w:p>
        </w:tc>
        <w:tc>
          <w:tcPr>
            <w:tcW w:w="1205" w:type="dxa"/>
            <w:noWrap w:val="0"/>
            <w:vAlign w:val="center"/>
          </w:tcPr>
          <w:p w14:paraId="20FF82B9">
            <w:pPr>
              <w:spacing w:line="440" w:lineRule="exact"/>
              <w:jc w:val="center"/>
              <w:textAlignment w:val="center"/>
              <w:rPr>
                <w:rFonts w:ascii="华文细黑" w:hAnsi="华文细黑"/>
                <w:sz w:val="24"/>
              </w:rPr>
            </w:pPr>
            <w:r>
              <w:rPr>
                <w:rFonts w:ascii="华文细黑" w:hAnsi="华文细黑"/>
                <w:sz w:val="24"/>
              </w:rPr>
              <w:t>设备名称</w:t>
            </w:r>
          </w:p>
        </w:tc>
        <w:tc>
          <w:tcPr>
            <w:tcW w:w="844" w:type="dxa"/>
            <w:noWrap w:val="0"/>
            <w:vAlign w:val="center"/>
          </w:tcPr>
          <w:p w14:paraId="6BC5FF2F">
            <w:pPr>
              <w:spacing w:line="440" w:lineRule="exact"/>
              <w:jc w:val="center"/>
              <w:textAlignment w:val="center"/>
              <w:rPr>
                <w:rFonts w:ascii="华文细黑" w:hAnsi="华文细黑"/>
                <w:sz w:val="24"/>
              </w:rPr>
            </w:pPr>
            <w:r>
              <w:rPr>
                <w:rFonts w:ascii="华文细黑" w:hAnsi="华文细黑"/>
                <w:sz w:val="24"/>
              </w:rPr>
              <w:t>型号</w:t>
            </w:r>
          </w:p>
          <w:p w14:paraId="0904ABD4">
            <w:pPr>
              <w:spacing w:line="440" w:lineRule="exact"/>
              <w:jc w:val="center"/>
              <w:textAlignment w:val="center"/>
              <w:rPr>
                <w:rFonts w:ascii="华文细黑" w:hAnsi="华文细黑"/>
                <w:sz w:val="24"/>
              </w:rPr>
            </w:pPr>
            <w:r>
              <w:rPr>
                <w:rFonts w:ascii="华文细黑" w:hAnsi="华文细黑"/>
                <w:sz w:val="24"/>
              </w:rPr>
              <w:t>规格</w:t>
            </w:r>
          </w:p>
        </w:tc>
        <w:tc>
          <w:tcPr>
            <w:tcW w:w="1098" w:type="dxa"/>
            <w:noWrap w:val="0"/>
            <w:vAlign w:val="center"/>
          </w:tcPr>
          <w:p w14:paraId="589C2246">
            <w:pPr>
              <w:spacing w:line="440" w:lineRule="exact"/>
              <w:jc w:val="center"/>
              <w:textAlignment w:val="center"/>
              <w:rPr>
                <w:rFonts w:ascii="华文细黑" w:hAnsi="华文细黑"/>
                <w:sz w:val="24"/>
              </w:rPr>
            </w:pPr>
            <w:r>
              <w:rPr>
                <w:rFonts w:ascii="华文细黑" w:hAnsi="华文细黑"/>
                <w:sz w:val="24"/>
              </w:rPr>
              <w:t>数量</w:t>
            </w:r>
          </w:p>
        </w:tc>
        <w:tc>
          <w:tcPr>
            <w:tcW w:w="745" w:type="dxa"/>
            <w:noWrap w:val="0"/>
            <w:vAlign w:val="center"/>
          </w:tcPr>
          <w:p w14:paraId="241FE749">
            <w:pPr>
              <w:spacing w:line="440" w:lineRule="exact"/>
              <w:jc w:val="center"/>
              <w:textAlignment w:val="center"/>
              <w:rPr>
                <w:rFonts w:ascii="华文细黑" w:hAnsi="华文细黑"/>
                <w:sz w:val="24"/>
              </w:rPr>
            </w:pPr>
            <w:r>
              <w:rPr>
                <w:rFonts w:ascii="华文细黑" w:hAnsi="华文细黑"/>
                <w:sz w:val="24"/>
              </w:rPr>
              <w:t>国别</w:t>
            </w:r>
          </w:p>
          <w:p w14:paraId="48760A5D">
            <w:pPr>
              <w:spacing w:line="440" w:lineRule="exact"/>
              <w:jc w:val="center"/>
              <w:textAlignment w:val="center"/>
              <w:rPr>
                <w:rFonts w:ascii="华文细黑" w:hAnsi="华文细黑"/>
                <w:sz w:val="24"/>
              </w:rPr>
            </w:pPr>
            <w:r>
              <w:rPr>
                <w:rFonts w:ascii="华文细黑" w:hAnsi="华文细黑"/>
                <w:sz w:val="24"/>
              </w:rPr>
              <w:t>产地</w:t>
            </w:r>
          </w:p>
        </w:tc>
        <w:tc>
          <w:tcPr>
            <w:tcW w:w="819" w:type="dxa"/>
            <w:noWrap w:val="0"/>
            <w:vAlign w:val="center"/>
          </w:tcPr>
          <w:p w14:paraId="49ABE485">
            <w:pPr>
              <w:spacing w:line="440" w:lineRule="exact"/>
              <w:jc w:val="center"/>
              <w:textAlignment w:val="center"/>
              <w:rPr>
                <w:rFonts w:ascii="华文细黑" w:hAnsi="华文细黑"/>
                <w:sz w:val="24"/>
              </w:rPr>
            </w:pPr>
            <w:r>
              <w:rPr>
                <w:rFonts w:ascii="华文细黑" w:hAnsi="华文细黑"/>
                <w:sz w:val="24"/>
              </w:rPr>
              <w:t>制造</w:t>
            </w:r>
          </w:p>
          <w:p w14:paraId="72CD2DF4">
            <w:pPr>
              <w:spacing w:line="440" w:lineRule="exact"/>
              <w:jc w:val="center"/>
              <w:textAlignment w:val="center"/>
              <w:rPr>
                <w:rFonts w:ascii="华文细黑" w:hAnsi="华文细黑"/>
                <w:sz w:val="24"/>
              </w:rPr>
            </w:pPr>
            <w:r>
              <w:rPr>
                <w:rFonts w:ascii="华文细黑" w:hAnsi="华文细黑"/>
                <w:sz w:val="24"/>
              </w:rPr>
              <w:t>年份</w:t>
            </w:r>
          </w:p>
        </w:tc>
        <w:tc>
          <w:tcPr>
            <w:tcW w:w="1345" w:type="dxa"/>
            <w:noWrap w:val="0"/>
            <w:vAlign w:val="center"/>
          </w:tcPr>
          <w:p w14:paraId="75802C94">
            <w:pPr>
              <w:spacing w:line="440" w:lineRule="exact"/>
              <w:jc w:val="center"/>
              <w:textAlignment w:val="center"/>
              <w:rPr>
                <w:rFonts w:ascii="华文细黑" w:hAnsi="华文细黑"/>
                <w:sz w:val="24"/>
              </w:rPr>
            </w:pPr>
            <w:r>
              <w:rPr>
                <w:rFonts w:ascii="华文细黑" w:hAnsi="华文细黑"/>
                <w:sz w:val="24"/>
              </w:rPr>
              <w:t>额定功率（</w:t>
            </w:r>
            <w:r>
              <w:rPr>
                <w:rFonts w:hint="eastAsia" w:ascii="华文细黑" w:hAnsi="华文细黑"/>
                <w:sz w:val="24"/>
              </w:rPr>
              <w:t>K</w:t>
            </w:r>
            <w:r>
              <w:rPr>
                <w:rFonts w:ascii="华文细黑" w:hAnsi="华文细黑"/>
                <w:sz w:val="24"/>
              </w:rPr>
              <w:t>W）</w:t>
            </w:r>
          </w:p>
        </w:tc>
        <w:tc>
          <w:tcPr>
            <w:tcW w:w="970" w:type="dxa"/>
            <w:noWrap w:val="0"/>
            <w:vAlign w:val="center"/>
          </w:tcPr>
          <w:p w14:paraId="3953B26B">
            <w:pPr>
              <w:spacing w:line="440" w:lineRule="exact"/>
              <w:jc w:val="center"/>
              <w:textAlignment w:val="center"/>
              <w:rPr>
                <w:rFonts w:ascii="华文细黑" w:hAnsi="华文细黑"/>
                <w:sz w:val="24"/>
              </w:rPr>
            </w:pPr>
            <w:r>
              <w:rPr>
                <w:rFonts w:ascii="华文细黑" w:hAnsi="华文细黑"/>
                <w:sz w:val="24"/>
              </w:rPr>
              <w:t>生产</w:t>
            </w:r>
          </w:p>
          <w:p w14:paraId="65F773C7">
            <w:pPr>
              <w:spacing w:line="440" w:lineRule="exact"/>
              <w:jc w:val="center"/>
              <w:textAlignment w:val="center"/>
              <w:rPr>
                <w:rFonts w:ascii="华文细黑" w:hAnsi="华文细黑"/>
                <w:sz w:val="24"/>
              </w:rPr>
            </w:pPr>
            <w:r>
              <w:rPr>
                <w:rFonts w:ascii="华文细黑" w:hAnsi="华文细黑"/>
                <w:sz w:val="24"/>
              </w:rPr>
              <w:t>能力</w:t>
            </w:r>
          </w:p>
        </w:tc>
        <w:tc>
          <w:tcPr>
            <w:tcW w:w="1170" w:type="dxa"/>
            <w:noWrap w:val="0"/>
            <w:vAlign w:val="center"/>
          </w:tcPr>
          <w:p w14:paraId="01EC4968">
            <w:pPr>
              <w:spacing w:line="440" w:lineRule="exact"/>
              <w:jc w:val="center"/>
              <w:textAlignment w:val="center"/>
              <w:rPr>
                <w:rFonts w:ascii="华文细黑" w:hAnsi="华文细黑"/>
                <w:sz w:val="24"/>
              </w:rPr>
            </w:pPr>
            <w:r>
              <w:rPr>
                <w:rFonts w:ascii="华文细黑" w:hAnsi="华文细黑"/>
                <w:sz w:val="24"/>
              </w:rPr>
              <w:t>用于施工部位</w:t>
            </w:r>
          </w:p>
        </w:tc>
        <w:tc>
          <w:tcPr>
            <w:tcW w:w="767" w:type="dxa"/>
            <w:noWrap w:val="0"/>
            <w:vAlign w:val="center"/>
          </w:tcPr>
          <w:p w14:paraId="1BA2F454">
            <w:pPr>
              <w:spacing w:line="440" w:lineRule="exact"/>
              <w:jc w:val="center"/>
              <w:textAlignment w:val="center"/>
              <w:rPr>
                <w:rFonts w:ascii="华文细黑" w:hAnsi="华文细黑"/>
                <w:sz w:val="24"/>
              </w:rPr>
            </w:pPr>
            <w:r>
              <w:rPr>
                <w:rFonts w:ascii="华文细黑" w:hAnsi="华文细黑"/>
                <w:sz w:val="24"/>
              </w:rPr>
              <w:t>备注</w:t>
            </w:r>
          </w:p>
        </w:tc>
      </w:tr>
      <w:tr w14:paraId="294B16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40" w:type="dxa"/>
            <w:noWrap w:val="0"/>
            <w:vAlign w:val="center"/>
          </w:tcPr>
          <w:p w14:paraId="5A7EE440">
            <w:pPr>
              <w:spacing w:line="440" w:lineRule="exact"/>
              <w:jc w:val="center"/>
              <w:textAlignment w:val="center"/>
              <w:rPr>
                <w:rFonts w:ascii="华文细黑" w:hAnsi="华文细黑"/>
                <w:sz w:val="24"/>
              </w:rPr>
            </w:pPr>
          </w:p>
        </w:tc>
        <w:tc>
          <w:tcPr>
            <w:tcW w:w="1205" w:type="dxa"/>
            <w:noWrap w:val="0"/>
            <w:vAlign w:val="center"/>
          </w:tcPr>
          <w:p w14:paraId="752EC4C7">
            <w:pPr>
              <w:spacing w:line="440" w:lineRule="exact"/>
              <w:jc w:val="center"/>
              <w:textAlignment w:val="center"/>
              <w:rPr>
                <w:rFonts w:ascii="华文细黑" w:hAnsi="华文细黑"/>
                <w:sz w:val="24"/>
              </w:rPr>
            </w:pPr>
          </w:p>
        </w:tc>
        <w:tc>
          <w:tcPr>
            <w:tcW w:w="844" w:type="dxa"/>
            <w:noWrap w:val="0"/>
            <w:vAlign w:val="center"/>
          </w:tcPr>
          <w:p w14:paraId="3A3F8C98">
            <w:pPr>
              <w:spacing w:line="440" w:lineRule="exact"/>
              <w:jc w:val="center"/>
              <w:textAlignment w:val="center"/>
              <w:rPr>
                <w:rFonts w:ascii="华文细黑" w:hAnsi="华文细黑"/>
                <w:sz w:val="24"/>
              </w:rPr>
            </w:pPr>
          </w:p>
        </w:tc>
        <w:tc>
          <w:tcPr>
            <w:tcW w:w="1098" w:type="dxa"/>
            <w:noWrap w:val="0"/>
            <w:vAlign w:val="center"/>
          </w:tcPr>
          <w:p w14:paraId="509BA125">
            <w:pPr>
              <w:spacing w:line="440" w:lineRule="exact"/>
              <w:jc w:val="center"/>
              <w:textAlignment w:val="center"/>
              <w:rPr>
                <w:rFonts w:ascii="华文细黑" w:hAnsi="华文细黑"/>
                <w:sz w:val="24"/>
              </w:rPr>
            </w:pPr>
          </w:p>
        </w:tc>
        <w:tc>
          <w:tcPr>
            <w:tcW w:w="745" w:type="dxa"/>
            <w:noWrap w:val="0"/>
            <w:vAlign w:val="center"/>
          </w:tcPr>
          <w:p w14:paraId="0DB25B39">
            <w:pPr>
              <w:spacing w:line="440" w:lineRule="exact"/>
              <w:jc w:val="center"/>
              <w:textAlignment w:val="center"/>
              <w:rPr>
                <w:rFonts w:ascii="华文细黑" w:hAnsi="华文细黑"/>
                <w:sz w:val="24"/>
              </w:rPr>
            </w:pPr>
          </w:p>
        </w:tc>
        <w:tc>
          <w:tcPr>
            <w:tcW w:w="819" w:type="dxa"/>
            <w:noWrap w:val="0"/>
            <w:vAlign w:val="center"/>
          </w:tcPr>
          <w:p w14:paraId="40A3B5FC">
            <w:pPr>
              <w:spacing w:line="440" w:lineRule="exact"/>
              <w:jc w:val="center"/>
              <w:textAlignment w:val="center"/>
              <w:rPr>
                <w:rFonts w:ascii="华文细黑" w:hAnsi="华文细黑"/>
                <w:sz w:val="24"/>
              </w:rPr>
            </w:pPr>
          </w:p>
        </w:tc>
        <w:tc>
          <w:tcPr>
            <w:tcW w:w="1345" w:type="dxa"/>
            <w:noWrap w:val="0"/>
            <w:vAlign w:val="center"/>
          </w:tcPr>
          <w:p w14:paraId="22763DF9">
            <w:pPr>
              <w:spacing w:line="440" w:lineRule="exact"/>
              <w:jc w:val="center"/>
              <w:textAlignment w:val="center"/>
              <w:rPr>
                <w:rFonts w:ascii="华文细黑" w:hAnsi="华文细黑"/>
                <w:sz w:val="24"/>
              </w:rPr>
            </w:pPr>
          </w:p>
        </w:tc>
        <w:tc>
          <w:tcPr>
            <w:tcW w:w="970" w:type="dxa"/>
            <w:noWrap w:val="0"/>
            <w:vAlign w:val="center"/>
          </w:tcPr>
          <w:p w14:paraId="0B11BCCA">
            <w:pPr>
              <w:spacing w:line="440" w:lineRule="exact"/>
              <w:jc w:val="center"/>
              <w:textAlignment w:val="center"/>
              <w:rPr>
                <w:rFonts w:ascii="华文细黑" w:hAnsi="华文细黑"/>
                <w:sz w:val="24"/>
              </w:rPr>
            </w:pPr>
          </w:p>
        </w:tc>
        <w:tc>
          <w:tcPr>
            <w:tcW w:w="1170" w:type="dxa"/>
            <w:noWrap w:val="0"/>
            <w:vAlign w:val="center"/>
          </w:tcPr>
          <w:p w14:paraId="1898E06B">
            <w:pPr>
              <w:spacing w:line="440" w:lineRule="exact"/>
              <w:jc w:val="center"/>
              <w:textAlignment w:val="center"/>
              <w:rPr>
                <w:rFonts w:ascii="华文细黑" w:hAnsi="华文细黑"/>
                <w:sz w:val="24"/>
              </w:rPr>
            </w:pPr>
          </w:p>
        </w:tc>
        <w:tc>
          <w:tcPr>
            <w:tcW w:w="767" w:type="dxa"/>
            <w:noWrap w:val="0"/>
            <w:vAlign w:val="center"/>
          </w:tcPr>
          <w:p w14:paraId="74E57D19">
            <w:pPr>
              <w:spacing w:line="440" w:lineRule="exact"/>
              <w:jc w:val="center"/>
              <w:textAlignment w:val="center"/>
              <w:rPr>
                <w:rFonts w:ascii="华文细黑" w:hAnsi="华文细黑"/>
                <w:sz w:val="24"/>
              </w:rPr>
            </w:pPr>
          </w:p>
        </w:tc>
      </w:tr>
      <w:tr w14:paraId="0CBB37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40" w:type="dxa"/>
            <w:noWrap w:val="0"/>
            <w:vAlign w:val="center"/>
          </w:tcPr>
          <w:p w14:paraId="0853565D">
            <w:pPr>
              <w:spacing w:line="440" w:lineRule="exact"/>
              <w:jc w:val="center"/>
              <w:textAlignment w:val="center"/>
              <w:rPr>
                <w:rFonts w:ascii="华文细黑" w:hAnsi="华文细黑"/>
                <w:sz w:val="24"/>
              </w:rPr>
            </w:pPr>
          </w:p>
        </w:tc>
        <w:tc>
          <w:tcPr>
            <w:tcW w:w="1205" w:type="dxa"/>
            <w:noWrap w:val="0"/>
            <w:vAlign w:val="center"/>
          </w:tcPr>
          <w:p w14:paraId="4E7876E3">
            <w:pPr>
              <w:spacing w:line="440" w:lineRule="exact"/>
              <w:jc w:val="center"/>
              <w:textAlignment w:val="center"/>
              <w:rPr>
                <w:rFonts w:ascii="华文细黑" w:hAnsi="华文细黑"/>
                <w:sz w:val="24"/>
              </w:rPr>
            </w:pPr>
          </w:p>
        </w:tc>
        <w:tc>
          <w:tcPr>
            <w:tcW w:w="844" w:type="dxa"/>
            <w:noWrap w:val="0"/>
            <w:vAlign w:val="center"/>
          </w:tcPr>
          <w:p w14:paraId="4BD99CFE">
            <w:pPr>
              <w:spacing w:line="440" w:lineRule="exact"/>
              <w:jc w:val="center"/>
              <w:textAlignment w:val="center"/>
              <w:rPr>
                <w:rFonts w:ascii="华文细黑" w:hAnsi="华文细黑"/>
                <w:sz w:val="24"/>
              </w:rPr>
            </w:pPr>
          </w:p>
        </w:tc>
        <w:tc>
          <w:tcPr>
            <w:tcW w:w="1098" w:type="dxa"/>
            <w:noWrap w:val="0"/>
            <w:vAlign w:val="center"/>
          </w:tcPr>
          <w:p w14:paraId="256F957E">
            <w:pPr>
              <w:spacing w:line="440" w:lineRule="exact"/>
              <w:jc w:val="center"/>
              <w:textAlignment w:val="center"/>
              <w:rPr>
                <w:rFonts w:ascii="华文细黑" w:hAnsi="华文细黑"/>
                <w:sz w:val="24"/>
              </w:rPr>
            </w:pPr>
          </w:p>
        </w:tc>
        <w:tc>
          <w:tcPr>
            <w:tcW w:w="745" w:type="dxa"/>
            <w:noWrap w:val="0"/>
            <w:vAlign w:val="center"/>
          </w:tcPr>
          <w:p w14:paraId="16E46064">
            <w:pPr>
              <w:spacing w:line="440" w:lineRule="exact"/>
              <w:jc w:val="center"/>
              <w:textAlignment w:val="center"/>
              <w:rPr>
                <w:rFonts w:ascii="华文细黑" w:hAnsi="华文细黑"/>
                <w:sz w:val="24"/>
              </w:rPr>
            </w:pPr>
          </w:p>
        </w:tc>
        <w:tc>
          <w:tcPr>
            <w:tcW w:w="819" w:type="dxa"/>
            <w:noWrap w:val="0"/>
            <w:vAlign w:val="center"/>
          </w:tcPr>
          <w:p w14:paraId="777D1B69">
            <w:pPr>
              <w:spacing w:line="440" w:lineRule="exact"/>
              <w:jc w:val="center"/>
              <w:textAlignment w:val="center"/>
              <w:rPr>
                <w:rFonts w:ascii="华文细黑" w:hAnsi="华文细黑"/>
                <w:sz w:val="24"/>
              </w:rPr>
            </w:pPr>
          </w:p>
        </w:tc>
        <w:tc>
          <w:tcPr>
            <w:tcW w:w="1345" w:type="dxa"/>
            <w:noWrap w:val="0"/>
            <w:vAlign w:val="center"/>
          </w:tcPr>
          <w:p w14:paraId="0F4EBFA2">
            <w:pPr>
              <w:spacing w:line="440" w:lineRule="exact"/>
              <w:jc w:val="center"/>
              <w:textAlignment w:val="center"/>
              <w:rPr>
                <w:rFonts w:ascii="华文细黑" w:hAnsi="华文细黑"/>
                <w:sz w:val="24"/>
              </w:rPr>
            </w:pPr>
          </w:p>
        </w:tc>
        <w:tc>
          <w:tcPr>
            <w:tcW w:w="970" w:type="dxa"/>
            <w:noWrap w:val="0"/>
            <w:vAlign w:val="center"/>
          </w:tcPr>
          <w:p w14:paraId="76CAECB8">
            <w:pPr>
              <w:spacing w:line="440" w:lineRule="exact"/>
              <w:jc w:val="center"/>
              <w:textAlignment w:val="center"/>
              <w:rPr>
                <w:rFonts w:ascii="华文细黑" w:hAnsi="华文细黑"/>
                <w:sz w:val="24"/>
              </w:rPr>
            </w:pPr>
          </w:p>
        </w:tc>
        <w:tc>
          <w:tcPr>
            <w:tcW w:w="1170" w:type="dxa"/>
            <w:noWrap w:val="0"/>
            <w:vAlign w:val="center"/>
          </w:tcPr>
          <w:p w14:paraId="2DD65E49">
            <w:pPr>
              <w:spacing w:line="440" w:lineRule="exact"/>
              <w:jc w:val="center"/>
              <w:textAlignment w:val="center"/>
              <w:rPr>
                <w:rFonts w:ascii="华文细黑" w:hAnsi="华文细黑"/>
                <w:sz w:val="24"/>
              </w:rPr>
            </w:pPr>
          </w:p>
        </w:tc>
        <w:tc>
          <w:tcPr>
            <w:tcW w:w="767" w:type="dxa"/>
            <w:noWrap w:val="0"/>
            <w:vAlign w:val="center"/>
          </w:tcPr>
          <w:p w14:paraId="0FBAA659">
            <w:pPr>
              <w:spacing w:line="440" w:lineRule="exact"/>
              <w:jc w:val="center"/>
              <w:textAlignment w:val="center"/>
              <w:rPr>
                <w:rFonts w:ascii="华文细黑" w:hAnsi="华文细黑"/>
                <w:sz w:val="24"/>
              </w:rPr>
            </w:pPr>
          </w:p>
        </w:tc>
      </w:tr>
      <w:tr w14:paraId="45B098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40" w:type="dxa"/>
            <w:noWrap w:val="0"/>
            <w:vAlign w:val="top"/>
          </w:tcPr>
          <w:p w14:paraId="5B6B7DC0">
            <w:pPr>
              <w:spacing w:line="440" w:lineRule="exact"/>
              <w:jc w:val="center"/>
              <w:textAlignment w:val="center"/>
              <w:rPr>
                <w:rFonts w:ascii="华文细黑" w:hAnsi="华文细黑"/>
                <w:sz w:val="24"/>
              </w:rPr>
            </w:pPr>
          </w:p>
        </w:tc>
        <w:tc>
          <w:tcPr>
            <w:tcW w:w="1205" w:type="dxa"/>
            <w:noWrap w:val="0"/>
            <w:vAlign w:val="top"/>
          </w:tcPr>
          <w:p w14:paraId="47FA9866">
            <w:pPr>
              <w:spacing w:line="440" w:lineRule="exact"/>
              <w:jc w:val="center"/>
              <w:textAlignment w:val="center"/>
              <w:rPr>
                <w:rFonts w:ascii="华文细黑" w:hAnsi="华文细黑"/>
                <w:sz w:val="24"/>
              </w:rPr>
            </w:pPr>
          </w:p>
        </w:tc>
        <w:tc>
          <w:tcPr>
            <w:tcW w:w="844" w:type="dxa"/>
            <w:noWrap w:val="0"/>
            <w:vAlign w:val="top"/>
          </w:tcPr>
          <w:p w14:paraId="0E717D15">
            <w:pPr>
              <w:spacing w:line="440" w:lineRule="exact"/>
              <w:jc w:val="center"/>
              <w:textAlignment w:val="center"/>
              <w:rPr>
                <w:rFonts w:ascii="华文细黑" w:hAnsi="华文细黑"/>
                <w:sz w:val="24"/>
              </w:rPr>
            </w:pPr>
          </w:p>
        </w:tc>
        <w:tc>
          <w:tcPr>
            <w:tcW w:w="1098" w:type="dxa"/>
            <w:noWrap w:val="0"/>
            <w:vAlign w:val="top"/>
          </w:tcPr>
          <w:p w14:paraId="5C198DEE">
            <w:pPr>
              <w:spacing w:line="440" w:lineRule="exact"/>
              <w:jc w:val="center"/>
              <w:textAlignment w:val="center"/>
              <w:rPr>
                <w:rFonts w:ascii="华文细黑" w:hAnsi="华文细黑"/>
                <w:sz w:val="24"/>
              </w:rPr>
            </w:pPr>
          </w:p>
        </w:tc>
        <w:tc>
          <w:tcPr>
            <w:tcW w:w="745" w:type="dxa"/>
            <w:noWrap w:val="0"/>
            <w:vAlign w:val="top"/>
          </w:tcPr>
          <w:p w14:paraId="20A637CF">
            <w:pPr>
              <w:spacing w:line="440" w:lineRule="exact"/>
              <w:jc w:val="center"/>
              <w:textAlignment w:val="center"/>
              <w:rPr>
                <w:rFonts w:ascii="华文细黑" w:hAnsi="华文细黑"/>
                <w:sz w:val="24"/>
              </w:rPr>
            </w:pPr>
          </w:p>
        </w:tc>
        <w:tc>
          <w:tcPr>
            <w:tcW w:w="819" w:type="dxa"/>
            <w:noWrap w:val="0"/>
            <w:vAlign w:val="top"/>
          </w:tcPr>
          <w:p w14:paraId="72F91B07">
            <w:pPr>
              <w:spacing w:line="440" w:lineRule="exact"/>
              <w:jc w:val="center"/>
              <w:textAlignment w:val="center"/>
              <w:rPr>
                <w:rFonts w:ascii="华文细黑" w:hAnsi="华文细黑"/>
                <w:sz w:val="24"/>
              </w:rPr>
            </w:pPr>
          </w:p>
        </w:tc>
        <w:tc>
          <w:tcPr>
            <w:tcW w:w="1345" w:type="dxa"/>
            <w:noWrap w:val="0"/>
            <w:vAlign w:val="top"/>
          </w:tcPr>
          <w:p w14:paraId="65D19CBA">
            <w:pPr>
              <w:spacing w:line="440" w:lineRule="exact"/>
              <w:jc w:val="center"/>
              <w:textAlignment w:val="center"/>
              <w:rPr>
                <w:rFonts w:ascii="华文细黑" w:hAnsi="华文细黑"/>
                <w:sz w:val="24"/>
              </w:rPr>
            </w:pPr>
          </w:p>
        </w:tc>
        <w:tc>
          <w:tcPr>
            <w:tcW w:w="970" w:type="dxa"/>
            <w:noWrap w:val="0"/>
            <w:vAlign w:val="top"/>
          </w:tcPr>
          <w:p w14:paraId="494B6704">
            <w:pPr>
              <w:spacing w:line="440" w:lineRule="exact"/>
              <w:jc w:val="center"/>
              <w:textAlignment w:val="center"/>
              <w:rPr>
                <w:rFonts w:ascii="华文细黑" w:hAnsi="华文细黑"/>
                <w:sz w:val="24"/>
              </w:rPr>
            </w:pPr>
          </w:p>
        </w:tc>
        <w:tc>
          <w:tcPr>
            <w:tcW w:w="1170" w:type="dxa"/>
            <w:noWrap w:val="0"/>
            <w:vAlign w:val="top"/>
          </w:tcPr>
          <w:p w14:paraId="5B2DBE88">
            <w:pPr>
              <w:spacing w:line="440" w:lineRule="exact"/>
              <w:jc w:val="center"/>
              <w:textAlignment w:val="center"/>
              <w:rPr>
                <w:rFonts w:ascii="华文细黑" w:hAnsi="华文细黑"/>
                <w:sz w:val="24"/>
              </w:rPr>
            </w:pPr>
          </w:p>
        </w:tc>
        <w:tc>
          <w:tcPr>
            <w:tcW w:w="767" w:type="dxa"/>
            <w:noWrap w:val="0"/>
            <w:vAlign w:val="top"/>
          </w:tcPr>
          <w:p w14:paraId="54372AF9">
            <w:pPr>
              <w:spacing w:line="440" w:lineRule="exact"/>
              <w:jc w:val="center"/>
              <w:textAlignment w:val="center"/>
              <w:rPr>
                <w:rFonts w:ascii="华文细黑" w:hAnsi="华文细黑"/>
                <w:sz w:val="24"/>
              </w:rPr>
            </w:pPr>
          </w:p>
        </w:tc>
      </w:tr>
      <w:tr w14:paraId="17E8E5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40" w:type="dxa"/>
            <w:noWrap w:val="0"/>
            <w:vAlign w:val="top"/>
          </w:tcPr>
          <w:p w14:paraId="5F459D67">
            <w:pPr>
              <w:spacing w:line="440" w:lineRule="exact"/>
              <w:jc w:val="center"/>
              <w:textAlignment w:val="center"/>
              <w:rPr>
                <w:rFonts w:ascii="华文细黑" w:hAnsi="华文细黑"/>
                <w:sz w:val="24"/>
              </w:rPr>
            </w:pPr>
          </w:p>
        </w:tc>
        <w:tc>
          <w:tcPr>
            <w:tcW w:w="1205" w:type="dxa"/>
            <w:noWrap w:val="0"/>
            <w:vAlign w:val="top"/>
          </w:tcPr>
          <w:p w14:paraId="10A4564E">
            <w:pPr>
              <w:spacing w:line="440" w:lineRule="exact"/>
              <w:jc w:val="center"/>
              <w:textAlignment w:val="center"/>
              <w:rPr>
                <w:rFonts w:ascii="华文细黑" w:hAnsi="华文细黑"/>
                <w:sz w:val="24"/>
              </w:rPr>
            </w:pPr>
          </w:p>
        </w:tc>
        <w:tc>
          <w:tcPr>
            <w:tcW w:w="844" w:type="dxa"/>
            <w:noWrap w:val="0"/>
            <w:vAlign w:val="top"/>
          </w:tcPr>
          <w:p w14:paraId="24587F0D">
            <w:pPr>
              <w:spacing w:line="440" w:lineRule="exact"/>
              <w:jc w:val="center"/>
              <w:textAlignment w:val="center"/>
              <w:rPr>
                <w:rFonts w:ascii="华文细黑" w:hAnsi="华文细黑"/>
                <w:sz w:val="24"/>
              </w:rPr>
            </w:pPr>
          </w:p>
        </w:tc>
        <w:tc>
          <w:tcPr>
            <w:tcW w:w="1098" w:type="dxa"/>
            <w:noWrap w:val="0"/>
            <w:vAlign w:val="top"/>
          </w:tcPr>
          <w:p w14:paraId="388F7A2F">
            <w:pPr>
              <w:spacing w:line="440" w:lineRule="exact"/>
              <w:jc w:val="center"/>
              <w:textAlignment w:val="center"/>
              <w:rPr>
                <w:rFonts w:ascii="华文细黑" w:hAnsi="华文细黑"/>
                <w:sz w:val="24"/>
              </w:rPr>
            </w:pPr>
          </w:p>
        </w:tc>
        <w:tc>
          <w:tcPr>
            <w:tcW w:w="745" w:type="dxa"/>
            <w:noWrap w:val="0"/>
            <w:vAlign w:val="top"/>
          </w:tcPr>
          <w:p w14:paraId="73A22524">
            <w:pPr>
              <w:spacing w:line="440" w:lineRule="exact"/>
              <w:jc w:val="center"/>
              <w:textAlignment w:val="center"/>
              <w:rPr>
                <w:rFonts w:ascii="华文细黑" w:hAnsi="华文细黑"/>
                <w:sz w:val="24"/>
              </w:rPr>
            </w:pPr>
          </w:p>
        </w:tc>
        <w:tc>
          <w:tcPr>
            <w:tcW w:w="819" w:type="dxa"/>
            <w:noWrap w:val="0"/>
            <w:vAlign w:val="top"/>
          </w:tcPr>
          <w:p w14:paraId="4D160C2D">
            <w:pPr>
              <w:spacing w:line="440" w:lineRule="exact"/>
              <w:jc w:val="center"/>
              <w:textAlignment w:val="center"/>
              <w:rPr>
                <w:rFonts w:ascii="华文细黑" w:hAnsi="华文细黑"/>
                <w:sz w:val="24"/>
              </w:rPr>
            </w:pPr>
          </w:p>
        </w:tc>
        <w:tc>
          <w:tcPr>
            <w:tcW w:w="1345" w:type="dxa"/>
            <w:noWrap w:val="0"/>
            <w:vAlign w:val="top"/>
          </w:tcPr>
          <w:p w14:paraId="46C8CE2C">
            <w:pPr>
              <w:spacing w:line="440" w:lineRule="exact"/>
              <w:jc w:val="center"/>
              <w:textAlignment w:val="center"/>
              <w:rPr>
                <w:rFonts w:ascii="华文细黑" w:hAnsi="华文细黑"/>
                <w:sz w:val="24"/>
              </w:rPr>
            </w:pPr>
          </w:p>
        </w:tc>
        <w:tc>
          <w:tcPr>
            <w:tcW w:w="970" w:type="dxa"/>
            <w:noWrap w:val="0"/>
            <w:vAlign w:val="top"/>
          </w:tcPr>
          <w:p w14:paraId="1E406B73">
            <w:pPr>
              <w:spacing w:line="440" w:lineRule="exact"/>
              <w:jc w:val="center"/>
              <w:textAlignment w:val="center"/>
              <w:rPr>
                <w:rFonts w:ascii="华文细黑" w:hAnsi="华文细黑"/>
                <w:sz w:val="24"/>
              </w:rPr>
            </w:pPr>
          </w:p>
        </w:tc>
        <w:tc>
          <w:tcPr>
            <w:tcW w:w="1170" w:type="dxa"/>
            <w:noWrap w:val="0"/>
            <w:vAlign w:val="top"/>
          </w:tcPr>
          <w:p w14:paraId="2FB50EE4">
            <w:pPr>
              <w:spacing w:line="440" w:lineRule="exact"/>
              <w:jc w:val="center"/>
              <w:textAlignment w:val="center"/>
              <w:rPr>
                <w:rFonts w:ascii="华文细黑" w:hAnsi="华文细黑"/>
                <w:sz w:val="24"/>
              </w:rPr>
            </w:pPr>
          </w:p>
        </w:tc>
        <w:tc>
          <w:tcPr>
            <w:tcW w:w="767" w:type="dxa"/>
            <w:noWrap w:val="0"/>
            <w:vAlign w:val="top"/>
          </w:tcPr>
          <w:p w14:paraId="4395F02F">
            <w:pPr>
              <w:spacing w:line="440" w:lineRule="exact"/>
              <w:jc w:val="center"/>
              <w:textAlignment w:val="center"/>
              <w:rPr>
                <w:rFonts w:ascii="华文细黑" w:hAnsi="华文细黑"/>
                <w:sz w:val="24"/>
              </w:rPr>
            </w:pPr>
          </w:p>
        </w:tc>
      </w:tr>
      <w:tr w14:paraId="7FBA84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40" w:type="dxa"/>
            <w:noWrap w:val="0"/>
            <w:vAlign w:val="top"/>
          </w:tcPr>
          <w:p w14:paraId="453AF5C6">
            <w:pPr>
              <w:spacing w:line="440" w:lineRule="exact"/>
              <w:jc w:val="center"/>
              <w:textAlignment w:val="center"/>
              <w:rPr>
                <w:rFonts w:ascii="华文细黑" w:hAnsi="华文细黑"/>
                <w:sz w:val="24"/>
              </w:rPr>
            </w:pPr>
          </w:p>
        </w:tc>
        <w:tc>
          <w:tcPr>
            <w:tcW w:w="1205" w:type="dxa"/>
            <w:noWrap w:val="0"/>
            <w:vAlign w:val="top"/>
          </w:tcPr>
          <w:p w14:paraId="6563FCAC">
            <w:pPr>
              <w:spacing w:line="440" w:lineRule="exact"/>
              <w:jc w:val="center"/>
              <w:textAlignment w:val="center"/>
              <w:rPr>
                <w:rFonts w:ascii="华文细黑" w:hAnsi="华文细黑"/>
                <w:sz w:val="24"/>
              </w:rPr>
            </w:pPr>
          </w:p>
        </w:tc>
        <w:tc>
          <w:tcPr>
            <w:tcW w:w="844" w:type="dxa"/>
            <w:noWrap w:val="0"/>
            <w:vAlign w:val="top"/>
          </w:tcPr>
          <w:p w14:paraId="2EB141F2">
            <w:pPr>
              <w:spacing w:line="440" w:lineRule="exact"/>
              <w:jc w:val="center"/>
              <w:textAlignment w:val="center"/>
              <w:rPr>
                <w:rFonts w:ascii="华文细黑" w:hAnsi="华文细黑"/>
                <w:sz w:val="24"/>
              </w:rPr>
            </w:pPr>
          </w:p>
        </w:tc>
        <w:tc>
          <w:tcPr>
            <w:tcW w:w="1098" w:type="dxa"/>
            <w:noWrap w:val="0"/>
            <w:vAlign w:val="top"/>
          </w:tcPr>
          <w:p w14:paraId="47ECDF3B">
            <w:pPr>
              <w:spacing w:line="440" w:lineRule="exact"/>
              <w:jc w:val="center"/>
              <w:textAlignment w:val="center"/>
              <w:rPr>
                <w:rFonts w:ascii="华文细黑" w:hAnsi="华文细黑"/>
                <w:sz w:val="24"/>
              </w:rPr>
            </w:pPr>
          </w:p>
        </w:tc>
        <w:tc>
          <w:tcPr>
            <w:tcW w:w="745" w:type="dxa"/>
            <w:noWrap w:val="0"/>
            <w:vAlign w:val="top"/>
          </w:tcPr>
          <w:p w14:paraId="04441A22">
            <w:pPr>
              <w:spacing w:line="440" w:lineRule="exact"/>
              <w:jc w:val="center"/>
              <w:textAlignment w:val="center"/>
              <w:rPr>
                <w:rFonts w:ascii="华文细黑" w:hAnsi="华文细黑"/>
                <w:sz w:val="24"/>
              </w:rPr>
            </w:pPr>
          </w:p>
        </w:tc>
        <w:tc>
          <w:tcPr>
            <w:tcW w:w="819" w:type="dxa"/>
            <w:noWrap w:val="0"/>
            <w:vAlign w:val="top"/>
          </w:tcPr>
          <w:p w14:paraId="13399840">
            <w:pPr>
              <w:spacing w:line="440" w:lineRule="exact"/>
              <w:jc w:val="center"/>
              <w:textAlignment w:val="center"/>
              <w:rPr>
                <w:rFonts w:ascii="华文细黑" w:hAnsi="华文细黑"/>
                <w:sz w:val="24"/>
              </w:rPr>
            </w:pPr>
          </w:p>
        </w:tc>
        <w:tc>
          <w:tcPr>
            <w:tcW w:w="1345" w:type="dxa"/>
            <w:noWrap w:val="0"/>
            <w:vAlign w:val="top"/>
          </w:tcPr>
          <w:p w14:paraId="20537285">
            <w:pPr>
              <w:spacing w:line="440" w:lineRule="exact"/>
              <w:jc w:val="center"/>
              <w:textAlignment w:val="center"/>
              <w:rPr>
                <w:rFonts w:ascii="华文细黑" w:hAnsi="华文细黑"/>
                <w:sz w:val="24"/>
              </w:rPr>
            </w:pPr>
          </w:p>
        </w:tc>
        <w:tc>
          <w:tcPr>
            <w:tcW w:w="970" w:type="dxa"/>
            <w:noWrap w:val="0"/>
            <w:vAlign w:val="top"/>
          </w:tcPr>
          <w:p w14:paraId="6F166DD7">
            <w:pPr>
              <w:spacing w:line="440" w:lineRule="exact"/>
              <w:jc w:val="center"/>
              <w:textAlignment w:val="center"/>
              <w:rPr>
                <w:rFonts w:ascii="华文细黑" w:hAnsi="华文细黑"/>
                <w:sz w:val="24"/>
              </w:rPr>
            </w:pPr>
          </w:p>
        </w:tc>
        <w:tc>
          <w:tcPr>
            <w:tcW w:w="1170" w:type="dxa"/>
            <w:noWrap w:val="0"/>
            <w:vAlign w:val="top"/>
          </w:tcPr>
          <w:p w14:paraId="6AF892F4">
            <w:pPr>
              <w:spacing w:line="440" w:lineRule="exact"/>
              <w:jc w:val="center"/>
              <w:textAlignment w:val="center"/>
              <w:rPr>
                <w:rFonts w:ascii="华文细黑" w:hAnsi="华文细黑"/>
                <w:sz w:val="24"/>
              </w:rPr>
            </w:pPr>
          </w:p>
        </w:tc>
        <w:tc>
          <w:tcPr>
            <w:tcW w:w="767" w:type="dxa"/>
            <w:noWrap w:val="0"/>
            <w:vAlign w:val="top"/>
          </w:tcPr>
          <w:p w14:paraId="6054D043">
            <w:pPr>
              <w:spacing w:line="440" w:lineRule="exact"/>
              <w:jc w:val="center"/>
              <w:textAlignment w:val="center"/>
              <w:rPr>
                <w:rFonts w:ascii="华文细黑" w:hAnsi="华文细黑"/>
                <w:sz w:val="24"/>
              </w:rPr>
            </w:pPr>
          </w:p>
        </w:tc>
      </w:tr>
      <w:tr w14:paraId="0AF057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40" w:type="dxa"/>
            <w:noWrap w:val="0"/>
            <w:vAlign w:val="top"/>
          </w:tcPr>
          <w:p w14:paraId="4A082B21">
            <w:pPr>
              <w:spacing w:line="440" w:lineRule="exact"/>
              <w:jc w:val="center"/>
              <w:textAlignment w:val="center"/>
              <w:rPr>
                <w:rFonts w:ascii="华文细黑" w:hAnsi="华文细黑"/>
                <w:sz w:val="24"/>
              </w:rPr>
            </w:pPr>
          </w:p>
        </w:tc>
        <w:tc>
          <w:tcPr>
            <w:tcW w:w="1205" w:type="dxa"/>
            <w:noWrap w:val="0"/>
            <w:vAlign w:val="top"/>
          </w:tcPr>
          <w:p w14:paraId="57AFEE45">
            <w:pPr>
              <w:spacing w:line="440" w:lineRule="exact"/>
              <w:jc w:val="center"/>
              <w:textAlignment w:val="center"/>
              <w:rPr>
                <w:rFonts w:ascii="华文细黑" w:hAnsi="华文细黑"/>
                <w:sz w:val="24"/>
              </w:rPr>
            </w:pPr>
          </w:p>
        </w:tc>
        <w:tc>
          <w:tcPr>
            <w:tcW w:w="844" w:type="dxa"/>
            <w:noWrap w:val="0"/>
            <w:vAlign w:val="top"/>
          </w:tcPr>
          <w:p w14:paraId="6BBD966B">
            <w:pPr>
              <w:spacing w:line="440" w:lineRule="exact"/>
              <w:jc w:val="center"/>
              <w:textAlignment w:val="center"/>
              <w:rPr>
                <w:rFonts w:ascii="华文细黑" w:hAnsi="华文细黑"/>
                <w:sz w:val="24"/>
              </w:rPr>
            </w:pPr>
          </w:p>
        </w:tc>
        <w:tc>
          <w:tcPr>
            <w:tcW w:w="1098" w:type="dxa"/>
            <w:noWrap w:val="0"/>
            <w:vAlign w:val="top"/>
          </w:tcPr>
          <w:p w14:paraId="13B0182F">
            <w:pPr>
              <w:spacing w:line="440" w:lineRule="exact"/>
              <w:jc w:val="center"/>
              <w:textAlignment w:val="center"/>
              <w:rPr>
                <w:rFonts w:ascii="华文细黑" w:hAnsi="华文细黑"/>
                <w:sz w:val="24"/>
              </w:rPr>
            </w:pPr>
          </w:p>
        </w:tc>
        <w:tc>
          <w:tcPr>
            <w:tcW w:w="745" w:type="dxa"/>
            <w:noWrap w:val="0"/>
            <w:vAlign w:val="top"/>
          </w:tcPr>
          <w:p w14:paraId="3241A4D9">
            <w:pPr>
              <w:spacing w:line="440" w:lineRule="exact"/>
              <w:jc w:val="center"/>
              <w:textAlignment w:val="center"/>
              <w:rPr>
                <w:rFonts w:ascii="华文细黑" w:hAnsi="华文细黑"/>
                <w:sz w:val="24"/>
              </w:rPr>
            </w:pPr>
          </w:p>
        </w:tc>
        <w:tc>
          <w:tcPr>
            <w:tcW w:w="819" w:type="dxa"/>
            <w:noWrap w:val="0"/>
            <w:vAlign w:val="top"/>
          </w:tcPr>
          <w:p w14:paraId="1A77FB5E">
            <w:pPr>
              <w:spacing w:line="440" w:lineRule="exact"/>
              <w:jc w:val="center"/>
              <w:textAlignment w:val="center"/>
              <w:rPr>
                <w:rFonts w:ascii="华文细黑" w:hAnsi="华文细黑"/>
                <w:sz w:val="24"/>
              </w:rPr>
            </w:pPr>
          </w:p>
        </w:tc>
        <w:tc>
          <w:tcPr>
            <w:tcW w:w="1345" w:type="dxa"/>
            <w:noWrap w:val="0"/>
            <w:vAlign w:val="top"/>
          </w:tcPr>
          <w:p w14:paraId="3C264C42">
            <w:pPr>
              <w:spacing w:line="440" w:lineRule="exact"/>
              <w:jc w:val="center"/>
              <w:textAlignment w:val="center"/>
              <w:rPr>
                <w:rFonts w:ascii="华文细黑" w:hAnsi="华文细黑"/>
                <w:sz w:val="24"/>
              </w:rPr>
            </w:pPr>
          </w:p>
        </w:tc>
        <w:tc>
          <w:tcPr>
            <w:tcW w:w="970" w:type="dxa"/>
            <w:noWrap w:val="0"/>
            <w:vAlign w:val="top"/>
          </w:tcPr>
          <w:p w14:paraId="16E109CA">
            <w:pPr>
              <w:spacing w:line="440" w:lineRule="exact"/>
              <w:jc w:val="center"/>
              <w:textAlignment w:val="center"/>
              <w:rPr>
                <w:rFonts w:ascii="华文细黑" w:hAnsi="华文细黑"/>
                <w:sz w:val="24"/>
              </w:rPr>
            </w:pPr>
          </w:p>
        </w:tc>
        <w:tc>
          <w:tcPr>
            <w:tcW w:w="1170" w:type="dxa"/>
            <w:noWrap w:val="0"/>
            <w:vAlign w:val="top"/>
          </w:tcPr>
          <w:p w14:paraId="2F8093AF">
            <w:pPr>
              <w:spacing w:line="440" w:lineRule="exact"/>
              <w:jc w:val="center"/>
              <w:textAlignment w:val="center"/>
              <w:rPr>
                <w:rFonts w:ascii="华文细黑" w:hAnsi="华文细黑"/>
                <w:sz w:val="24"/>
              </w:rPr>
            </w:pPr>
          </w:p>
        </w:tc>
        <w:tc>
          <w:tcPr>
            <w:tcW w:w="767" w:type="dxa"/>
            <w:noWrap w:val="0"/>
            <w:vAlign w:val="top"/>
          </w:tcPr>
          <w:p w14:paraId="47DB6813">
            <w:pPr>
              <w:spacing w:line="440" w:lineRule="exact"/>
              <w:jc w:val="center"/>
              <w:textAlignment w:val="center"/>
              <w:rPr>
                <w:rFonts w:ascii="华文细黑" w:hAnsi="华文细黑"/>
                <w:sz w:val="24"/>
              </w:rPr>
            </w:pPr>
          </w:p>
        </w:tc>
      </w:tr>
      <w:tr w14:paraId="4AC5E2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40" w:type="dxa"/>
            <w:noWrap w:val="0"/>
            <w:vAlign w:val="top"/>
          </w:tcPr>
          <w:p w14:paraId="25969DC8">
            <w:pPr>
              <w:spacing w:line="440" w:lineRule="exact"/>
              <w:jc w:val="center"/>
              <w:textAlignment w:val="center"/>
              <w:rPr>
                <w:rFonts w:ascii="华文细黑" w:hAnsi="华文细黑"/>
                <w:sz w:val="24"/>
              </w:rPr>
            </w:pPr>
          </w:p>
        </w:tc>
        <w:tc>
          <w:tcPr>
            <w:tcW w:w="1205" w:type="dxa"/>
            <w:noWrap w:val="0"/>
            <w:vAlign w:val="top"/>
          </w:tcPr>
          <w:p w14:paraId="21DCE90D">
            <w:pPr>
              <w:spacing w:line="440" w:lineRule="exact"/>
              <w:jc w:val="center"/>
              <w:textAlignment w:val="center"/>
              <w:rPr>
                <w:rFonts w:ascii="华文细黑" w:hAnsi="华文细黑"/>
                <w:sz w:val="24"/>
              </w:rPr>
            </w:pPr>
          </w:p>
        </w:tc>
        <w:tc>
          <w:tcPr>
            <w:tcW w:w="844" w:type="dxa"/>
            <w:noWrap w:val="0"/>
            <w:vAlign w:val="top"/>
          </w:tcPr>
          <w:p w14:paraId="3B241C44">
            <w:pPr>
              <w:spacing w:line="440" w:lineRule="exact"/>
              <w:jc w:val="center"/>
              <w:textAlignment w:val="center"/>
              <w:rPr>
                <w:rFonts w:ascii="华文细黑" w:hAnsi="华文细黑"/>
                <w:sz w:val="24"/>
              </w:rPr>
            </w:pPr>
          </w:p>
        </w:tc>
        <w:tc>
          <w:tcPr>
            <w:tcW w:w="1098" w:type="dxa"/>
            <w:noWrap w:val="0"/>
            <w:vAlign w:val="top"/>
          </w:tcPr>
          <w:p w14:paraId="2B9323F8">
            <w:pPr>
              <w:spacing w:line="440" w:lineRule="exact"/>
              <w:jc w:val="center"/>
              <w:textAlignment w:val="center"/>
              <w:rPr>
                <w:rFonts w:ascii="华文细黑" w:hAnsi="华文细黑"/>
                <w:sz w:val="24"/>
              </w:rPr>
            </w:pPr>
          </w:p>
        </w:tc>
        <w:tc>
          <w:tcPr>
            <w:tcW w:w="745" w:type="dxa"/>
            <w:noWrap w:val="0"/>
            <w:vAlign w:val="top"/>
          </w:tcPr>
          <w:p w14:paraId="3DF1846A">
            <w:pPr>
              <w:spacing w:line="440" w:lineRule="exact"/>
              <w:jc w:val="center"/>
              <w:textAlignment w:val="center"/>
              <w:rPr>
                <w:rFonts w:ascii="华文细黑" w:hAnsi="华文细黑"/>
                <w:sz w:val="24"/>
              </w:rPr>
            </w:pPr>
          </w:p>
        </w:tc>
        <w:tc>
          <w:tcPr>
            <w:tcW w:w="819" w:type="dxa"/>
            <w:noWrap w:val="0"/>
            <w:vAlign w:val="top"/>
          </w:tcPr>
          <w:p w14:paraId="04560DFA">
            <w:pPr>
              <w:spacing w:line="440" w:lineRule="exact"/>
              <w:jc w:val="center"/>
              <w:textAlignment w:val="center"/>
              <w:rPr>
                <w:rFonts w:ascii="华文细黑" w:hAnsi="华文细黑"/>
                <w:sz w:val="24"/>
              </w:rPr>
            </w:pPr>
          </w:p>
        </w:tc>
        <w:tc>
          <w:tcPr>
            <w:tcW w:w="1345" w:type="dxa"/>
            <w:noWrap w:val="0"/>
            <w:vAlign w:val="top"/>
          </w:tcPr>
          <w:p w14:paraId="6821B6D5">
            <w:pPr>
              <w:spacing w:line="440" w:lineRule="exact"/>
              <w:jc w:val="center"/>
              <w:textAlignment w:val="center"/>
              <w:rPr>
                <w:rFonts w:ascii="华文细黑" w:hAnsi="华文细黑"/>
                <w:sz w:val="24"/>
              </w:rPr>
            </w:pPr>
          </w:p>
        </w:tc>
        <w:tc>
          <w:tcPr>
            <w:tcW w:w="970" w:type="dxa"/>
            <w:noWrap w:val="0"/>
            <w:vAlign w:val="top"/>
          </w:tcPr>
          <w:p w14:paraId="03DAA486">
            <w:pPr>
              <w:spacing w:line="440" w:lineRule="exact"/>
              <w:jc w:val="center"/>
              <w:textAlignment w:val="center"/>
              <w:rPr>
                <w:rFonts w:ascii="华文细黑" w:hAnsi="华文细黑"/>
                <w:sz w:val="24"/>
              </w:rPr>
            </w:pPr>
          </w:p>
        </w:tc>
        <w:tc>
          <w:tcPr>
            <w:tcW w:w="1170" w:type="dxa"/>
            <w:noWrap w:val="0"/>
            <w:vAlign w:val="top"/>
          </w:tcPr>
          <w:p w14:paraId="45E9BFF6">
            <w:pPr>
              <w:spacing w:line="440" w:lineRule="exact"/>
              <w:jc w:val="center"/>
              <w:textAlignment w:val="center"/>
              <w:rPr>
                <w:rFonts w:ascii="华文细黑" w:hAnsi="华文细黑"/>
                <w:sz w:val="24"/>
              </w:rPr>
            </w:pPr>
          </w:p>
        </w:tc>
        <w:tc>
          <w:tcPr>
            <w:tcW w:w="767" w:type="dxa"/>
            <w:noWrap w:val="0"/>
            <w:vAlign w:val="top"/>
          </w:tcPr>
          <w:p w14:paraId="081621C6">
            <w:pPr>
              <w:spacing w:line="440" w:lineRule="exact"/>
              <w:jc w:val="center"/>
              <w:textAlignment w:val="center"/>
              <w:rPr>
                <w:rFonts w:ascii="华文细黑" w:hAnsi="华文细黑"/>
                <w:sz w:val="24"/>
              </w:rPr>
            </w:pPr>
          </w:p>
        </w:tc>
      </w:tr>
      <w:tr w14:paraId="008E41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40" w:type="dxa"/>
            <w:noWrap w:val="0"/>
            <w:vAlign w:val="top"/>
          </w:tcPr>
          <w:p w14:paraId="253D3627">
            <w:pPr>
              <w:spacing w:line="440" w:lineRule="exact"/>
              <w:jc w:val="center"/>
              <w:textAlignment w:val="center"/>
              <w:rPr>
                <w:rFonts w:ascii="华文细黑" w:hAnsi="华文细黑"/>
                <w:sz w:val="24"/>
              </w:rPr>
            </w:pPr>
          </w:p>
        </w:tc>
        <w:tc>
          <w:tcPr>
            <w:tcW w:w="1205" w:type="dxa"/>
            <w:noWrap w:val="0"/>
            <w:vAlign w:val="top"/>
          </w:tcPr>
          <w:p w14:paraId="44C7EEC5">
            <w:pPr>
              <w:spacing w:line="440" w:lineRule="exact"/>
              <w:jc w:val="center"/>
              <w:textAlignment w:val="center"/>
              <w:rPr>
                <w:rFonts w:ascii="华文细黑" w:hAnsi="华文细黑"/>
                <w:sz w:val="24"/>
              </w:rPr>
            </w:pPr>
          </w:p>
        </w:tc>
        <w:tc>
          <w:tcPr>
            <w:tcW w:w="844" w:type="dxa"/>
            <w:noWrap w:val="0"/>
            <w:vAlign w:val="top"/>
          </w:tcPr>
          <w:p w14:paraId="0E45FA0B">
            <w:pPr>
              <w:spacing w:line="440" w:lineRule="exact"/>
              <w:jc w:val="center"/>
              <w:textAlignment w:val="center"/>
              <w:rPr>
                <w:rFonts w:ascii="华文细黑" w:hAnsi="华文细黑"/>
                <w:sz w:val="24"/>
              </w:rPr>
            </w:pPr>
          </w:p>
        </w:tc>
        <w:tc>
          <w:tcPr>
            <w:tcW w:w="1098" w:type="dxa"/>
            <w:noWrap w:val="0"/>
            <w:vAlign w:val="top"/>
          </w:tcPr>
          <w:p w14:paraId="3C37D128">
            <w:pPr>
              <w:spacing w:line="440" w:lineRule="exact"/>
              <w:jc w:val="center"/>
              <w:textAlignment w:val="center"/>
              <w:rPr>
                <w:rFonts w:ascii="华文细黑" w:hAnsi="华文细黑"/>
                <w:sz w:val="24"/>
              </w:rPr>
            </w:pPr>
          </w:p>
        </w:tc>
        <w:tc>
          <w:tcPr>
            <w:tcW w:w="745" w:type="dxa"/>
            <w:noWrap w:val="0"/>
            <w:vAlign w:val="top"/>
          </w:tcPr>
          <w:p w14:paraId="5DD4F982">
            <w:pPr>
              <w:spacing w:line="440" w:lineRule="exact"/>
              <w:jc w:val="center"/>
              <w:textAlignment w:val="center"/>
              <w:rPr>
                <w:rFonts w:ascii="华文细黑" w:hAnsi="华文细黑"/>
                <w:sz w:val="24"/>
              </w:rPr>
            </w:pPr>
          </w:p>
        </w:tc>
        <w:tc>
          <w:tcPr>
            <w:tcW w:w="819" w:type="dxa"/>
            <w:noWrap w:val="0"/>
            <w:vAlign w:val="top"/>
          </w:tcPr>
          <w:p w14:paraId="6B5F1430">
            <w:pPr>
              <w:spacing w:line="440" w:lineRule="exact"/>
              <w:jc w:val="center"/>
              <w:textAlignment w:val="center"/>
              <w:rPr>
                <w:rFonts w:ascii="华文细黑" w:hAnsi="华文细黑"/>
                <w:sz w:val="24"/>
              </w:rPr>
            </w:pPr>
          </w:p>
        </w:tc>
        <w:tc>
          <w:tcPr>
            <w:tcW w:w="1345" w:type="dxa"/>
            <w:noWrap w:val="0"/>
            <w:vAlign w:val="top"/>
          </w:tcPr>
          <w:p w14:paraId="07F61464">
            <w:pPr>
              <w:spacing w:line="440" w:lineRule="exact"/>
              <w:jc w:val="center"/>
              <w:textAlignment w:val="center"/>
              <w:rPr>
                <w:rFonts w:ascii="华文细黑" w:hAnsi="华文细黑"/>
                <w:sz w:val="24"/>
              </w:rPr>
            </w:pPr>
          </w:p>
        </w:tc>
        <w:tc>
          <w:tcPr>
            <w:tcW w:w="970" w:type="dxa"/>
            <w:noWrap w:val="0"/>
            <w:vAlign w:val="top"/>
          </w:tcPr>
          <w:p w14:paraId="77ACDE86">
            <w:pPr>
              <w:spacing w:line="440" w:lineRule="exact"/>
              <w:jc w:val="center"/>
              <w:textAlignment w:val="center"/>
              <w:rPr>
                <w:rFonts w:ascii="华文细黑" w:hAnsi="华文细黑"/>
                <w:sz w:val="24"/>
              </w:rPr>
            </w:pPr>
          </w:p>
        </w:tc>
        <w:tc>
          <w:tcPr>
            <w:tcW w:w="1170" w:type="dxa"/>
            <w:noWrap w:val="0"/>
            <w:vAlign w:val="top"/>
          </w:tcPr>
          <w:p w14:paraId="10351248">
            <w:pPr>
              <w:spacing w:line="440" w:lineRule="exact"/>
              <w:jc w:val="center"/>
              <w:textAlignment w:val="center"/>
              <w:rPr>
                <w:rFonts w:ascii="华文细黑" w:hAnsi="华文细黑"/>
                <w:sz w:val="24"/>
              </w:rPr>
            </w:pPr>
          </w:p>
        </w:tc>
        <w:tc>
          <w:tcPr>
            <w:tcW w:w="767" w:type="dxa"/>
            <w:noWrap w:val="0"/>
            <w:vAlign w:val="top"/>
          </w:tcPr>
          <w:p w14:paraId="28EE64F9">
            <w:pPr>
              <w:spacing w:line="440" w:lineRule="exact"/>
              <w:jc w:val="center"/>
              <w:textAlignment w:val="center"/>
              <w:rPr>
                <w:rFonts w:ascii="华文细黑" w:hAnsi="华文细黑"/>
                <w:sz w:val="24"/>
              </w:rPr>
            </w:pPr>
          </w:p>
        </w:tc>
      </w:tr>
      <w:tr w14:paraId="1B958D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40" w:type="dxa"/>
            <w:noWrap w:val="0"/>
            <w:vAlign w:val="top"/>
          </w:tcPr>
          <w:p w14:paraId="2B5E46BE">
            <w:pPr>
              <w:spacing w:line="440" w:lineRule="exact"/>
              <w:jc w:val="center"/>
              <w:textAlignment w:val="center"/>
              <w:rPr>
                <w:rFonts w:ascii="华文细黑" w:hAnsi="华文细黑"/>
                <w:sz w:val="24"/>
              </w:rPr>
            </w:pPr>
          </w:p>
        </w:tc>
        <w:tc>
          <w:tcPr>
            <w:tcW w:w="1205" w:type="dxa"/>
            <w:noWrap w:val="0"/>
            <w:vAlign w:val="top"/>
          </w:tcPr>
          <w:p w14:paraId="363BD584">
            <w:pPr>
              <w:spacing w:line="440" w:lineRule="exact"/>
              <w:jc w:val="center"/>
              <w:textAlignment w:val="center"/>
              <w:rPr>
                <w:rFonts w:ascii="华文细黑" w:hAnsi="华文细黑"/>
                <w:sz w:val="24"/>
              </w:rPr>
            </w:pPr>
          </w:p>
        </w:tc>
        <w:tc>
          <w:tcPr>
            <w:tcW w:w="844" w:type="dxa"/>
            <w:noWrap w:val="0"/>
            <w:vAlign w:val="top"/>
          </w:tcPr>
          <w:p w14:paraId="64BED0F7">
            <w:pPr>
              <w:spacing w:line="440" w:lineRule="exact"/>
              <w:jc w:val="center"/>
              <w:textAlignment w:val="center"/>
              <w:rPr>
                <w:rFonts w:ascii="华文细黑" w:hAnsi="华文细黑"/>
                <w:sz w:val="24"/>
              </w:rPr>
            </w:pPr>
          </w:p>
        </w:tc>
        <w:tc>
          <w:tcPr>
            <w:tcW w:w="1098" w:type="dxa"/>
            <w:noWrap w:val="0"/>
            <w:vAlign w:val="top"/>
          </w:tcPr>
          <w:p w14:paraId="051A293D">
            <w:pPr>
              <w:spacing w:line="440" w:lineRule="exact"/>
              <w:jc w:val="center"/>
              <w:textAlignment w:val="center"/>
              <w:rPr>
                <w:rFonts w:ascii="华文细黑" w:hAnsi="华文细黑"/>
                <w:sz w:val="24"/>
              </w:rPr>
            </w:pPr>
          </w:p>
        </w:tc>
        <w:tc>
          <w:tcPr>
            <w:tcW w:w="745" w:type="dxa"/>
            <w:noWrap w:val="0"/>
            <w:vAlign w:val="top"/>
          </w:tcPr>
          <w:p w14:paraId="148D6448">
            <w:pPr>
              <w:spacing w:line="440" w:lineRule="exact"/>
              <w:jc w:val="center"/>
              <w:textAlignment w:val="center"/>
              <w:rPr>
                <w:rFonts w:ascii="华文细黑" w:hAnsi="华文细黑"/>
                <w:sz w:val="24"/>
              </w:rPr>
            </w:pPr>
          </w:p>
        </w:tc>
        <w:tc>
          <w:tcPr>
            <w:tcW w:w="819" w:type="dxa"/>
            <w:noWrap w:val="0"/>
            <w:vAlign w:val="top"/>
          </w:tcPr>
          <w:p w14:paraId="37FE881B">
            <w:pPr>
              <w:spacing w:line="440" w:lineRule="exact"/>
              <w:jc w:val="center"/>
              <w:textAlignment w:val="center"/>
              <w:rPr>
                <w:rFonts w:ascii="华文细黑" w:hAnsi="华文细黑"/>
                <w:sz w:val="24"/>
              </w:rPr>
            </w:pPr>
          </w:p>
        </w:tc>
        <w:tc>
          <w:tcPr>
            <w:tcW w:w="1345" w:type="dxa"/>
            <w:noWrap w:val="0"/>
            <w:vAlign w:val="top"/>
          </w:tcPr>
          <w:p w14:paraId="3DEC8189">
            <w:pPr>
              <w:spacing w:line="440" w:lineRule="exact"/>
              <w:jc w:val="center"/>
              <w:textAlignment w:val="center"/>
              <w:rPr>
                <w:rFonts w:ascii="华文细黑" w:hAnsi="华文细黑"/>
                <w:sz w:val="24"/>
              </w:rPr>
            </w:pPr>
          </w:p>
        </w:tc>
        <w:tc>
          <w:tcPr>
            <w:tcW w:w="970" w:type="dxa"/>
            <w:noWrap w:val="0"/>
            <w:vAlign w:val="top"/>
          </w:tcPr>
          <w:p w14:paraId="38A88C13">
            <w:pPr>
              <w:spacing w:line="440" w:lineRule="exact"/>
              <w:jc w:val="center"/>
              <w:textAlignment w:val="center"/>
              <w:rPr>
                <w:rFonts w:ascii="华文细黑" w:hAnsi="华文细黑"/>
                <w:sz w:val="24"/>
              </w:rPr>
            </w:pPr>
          </w:p>
        </w:tc>
        <w:tc>
          <w:tcPr>
            <w:tcW w:w="1170" w:type="dxa"/>
            <w:noWrap w:val="0"/>
            <w:vAlign w:val="top"/>
          </w:tcPr>
          <w:p w14:paraId="23EEAB27">
            <w:pPr>
              <w:spacing w:line="440" w:lineRule="exact"/>
              <w:jc w:val="center"/>
              <w:textAlignment w:val="center"/>
              <w:rPr>
                <w:rFonts w:ascii="华文细黑" w:hAnsi="华文细黑"/>
                <w:sz w:val="24"/>
              </w:rPr>
            </w:pPr>
          </w:p>
        </w:tc>
        <w:tc>
          <w:tcPr>
            <w:tcW w:w="767" w:type="dxa"/>
            <w:noWrap w:val="0"/>
            <w:vAlign w:val="top"/>
          </w:tcPr>
          <w:p w14:paraId="13FD30EF">
            <w:pPr>
              <w:spacing w:line="440" w:lineRule="exact"/>
              <w:jc w:val="center"/>
              <w:textAlignment w:val="center"/>
              <w:rPr>
                <w:rFonts w:ascii="华文细黑" w:hAnsi="华文细黑"/>
                <w:sz w:val="24"/>
              </w:rPr>
            </w:pPr>
          </w:p>
        </w:tc>
      </w:tr>
      <w:tr w14:paraId="620102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40" w:type="dxa"/>
            <w:noWrap w:val="0"/>
            <w:vAlign w:val="top"/>
          </w:tcPr>
          <w:p w14:paraId="38DFEE93">
            <w:pPr>
              <w:spacing w:line="440" w:lineRule="exact"/>
              <w:jc w:val="center"/>
              <w:textAlignment w:val="center"/>
              <w:rPr>
                <w:rFonts w:ascii="华文细黑" w:hAnsi="华文细黑"/>
                <w:sz w:val="24"/>
              </w:rPr>
            </w:pPr>
          </w:p>
        </w:tc>
        <w:tc>
          <w:tcPr>
            <w:tcW w:w="1205" w:type="dxa"/>
            <w:noWrap w:val="0"/>
            <w:vAlign w:val="top"/>
          </w:tcPr>
          <w:p w14:paraId="68C97BF5">
            <w:pPr>
              <w:spacing w:line="440" w:lineRule="exact"/>
              <w:jc w:val="center"/>
              <w:textAlignment w:val="center"/>
              <w:rPr>
                <w:rFonts w:ascii="华文细黑" w:hAnsi="华文细黑"/>
                <w:sz w:val="24"/>
              </w:rPr>
            </w:pPr>
          </w:p>
        </w:tc>
        <w:tc>
          <w:tcPr>
            <w:tcW w:w="844" w:type="dxa"/>
            <w:noWrap w:val="0"/>
            <w:vAlign w:val="top"/>
          </w:tcPr>
          <w:p w14:paraId="44C2502B">
            <w:pPr>
              <w:spacing w:line="440" w:lineRule="exact"/>
              <w:jc w:val="center"/>
              <w:textAlignment w:val="center"/>
              <w:rPr>
                <w:rFonts w:ascii="华文细黑" w:hAnsi="华文细黑"/>
                <w:sz w:val="24"/>
              </w:rPr>
            </w:pPr>
          </w:p>
        </w:tc>
        <w:tc>
          <w:tcPr>
            <w:tcW w:w="1098" w:type="dxa"/>
            <w:noWrap w:val="0"/>
            <w:vAlign w:val="top"/>
          </w:tcPr>
          <w:p w14:paraId="22914828">
            <w:pPr>
              <w:spacing w:line="440" w:lineRule="exact"/>
              <w:jc w:val="center"/>
              <w:textAlignment w:val="center"/>
              <w:rPr>
                <w:rFonts w:ascii="华文细黑" w:hAnsi="华文细黑"/>
                <w:sz w:val="24"/>
              </w:rPr>
            </w:pPr>
          </w:p>
        </w:tc>
        <w:tc>
          <w:tcPr>
            <w:tcW w:w="745" w:type="dxa"/>
            <w:noWrap w:val="0"/>
            <w:vAlign w:val="top"/>
          </w:tcPr>
          <w:p w14:paraId="566CB24E">
            <w:pPr>
              <w:spacing w:line="440" w:lineRule="exact"/>
              <w:jc w:val="center"/>
              <w:textAlignment w:val="center"/>
              <w:rPr>
                <w:rFonts w:ascii="华文细黑" w:hAnsi="华文细黑"/>
                <w:sz w:val="24"/>
              </w:rPr>
            </w:pPr>
          </w:p>
        </w:tc>
        <w:tc>
          <w:tcPr>
            <w:tcW w:w="819" w:type="dxa"/>
            <w:noWrap w:val="0"/>
            <w:vAlign w:val="top"/>
          </w:tcPr>
          <w:p w14:paraId="6FF3D1B4">
            <w:pPr>
              <w:spacing w:line="440" w:lineRule="exact"/>
              <w:jc w:val="center"/>
              <w:textAlignment w:val="center"/>
              <w:rPr>
                <w:rFonts w:ascii="华文细黑" w:hAnsi="华文细黑"/>
                <w:sz w:val="24"/>
              </w:rPr>
            </w:pPr>
          </w:p>
        </w:tc>
        <w:tc>
          <w:tcPr>
            <w:tcW w:w="1345" w:type="dxa"/>
            <w:noWrap w:val="0"/>
            <w:vAlign w:val="top"/>
          </w:tcPr>
          <w:p w14:paraId="72F49841">
            <w:pPr>
              <w:spacing w:line="440" w:lineRule="exact"/>
              <w:jc w:val="center"/>
              <w:textAlignment w:val="center"/>
              <w:rPr>
                <w:rFonts w:ascii="华文细黑" w:hAnsi="华文细黑"/>
                <w:sz w:val="24"/>
              </w:rPr>
            </w:pPr>
          </w:p>
        </w:tc>
        <w:tc>
          <w:tcPr>
            <w:tcW w:w="970" w:type="dxa"/>
            <w:noWrap w:val="0"/>
            <w:vAlign w:val="top"/>
          </w:tcPr>
          <w:p w14:paraId="61A37DDC">
            <w:pPr>
              <w:spacing w:line="440" w:lineRule="exact"/>
              <w:jc w:val="center"/>
              <w:textAlignment w:val="center"/>
              <w:rPr>
                <w:rFonts w:ascii="华文细黑" w:hAnsi="华文细黑"/>
                <w:sz w:val="24"/>
              </w:rPr>
            </w:pPr>
          </w:p>
        </w:tc>
        <w:tc>
          <w:tcPr>
            <w:tcW w:w="1170" w:type="dxa"/>
            <w:noWrap w:val="0"/>
            <w:vAlign w:val="top"/>
          </w:tcPr>
          <w:p w14:paraId="29715976">
            <w:pPr>
              <w:spacing w:line="440" w:lineRule="exact"/>
              <w:jc w:val="center"/>
              <w:textAlignment w:val="center"/>
              <w:rPr>
                <w:rFonts w:ascii="华文细黑" w:hAnsi="华文细黑"/>
                <w:sz w:val="24"/>
              </w:rPr>
            </w:pPr>
          </w:p>
        </w:tc>
        <w:tc>
          <w:tcPr>
            <w:tcW w:w="767" w:type="dxa"/>
            <w:noWrap w:val="0"/>
            <w:vAlign w:val="top"/>
          </w:tcPr>
          <w:p w14:paraId="0687AD50">
            <w:pPr>
              <w:spacing w:line="440" w:lineRule="exact"/>
              <w:jc w:val="center"/>
              <w:textAlignment w:val="center"/>
              <w:rPr>
                <w:rFonts w:ascii="华文细黑" w:hAnsi="华文细黑"/>
                <w:sz w:val="24"/>
              </w:rPr>
            </w:pPr>
          </w:p>
        </w:tc>
      </w:tr>
      <w:tr w14:paraId="076812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40" w:type="dxa"/>
            <w:noWrap w:val="0"/>
            <w:vAlign w:val="top"/>
          </w:tcPr>
          <w:p w14:paraId="4EF6113D">
            <w:pPr>
              <w:spacing w:line="440" w:lineRule="exact"/>
              <w:jc w:val="center"/>
              <w:textAlignment w:val="center"/>
              <w:rPr>
                <w:rFonts w:ascii="华文细黑" w:hAnsi="华文细黑"/>
                <w:sz w:val="24"/>
              </w:rPr>
            </w:pPr>
          </w:p>
        </w:tc>
        <w:tc>
          <w:tcPr>
            <w:tcW w:w="1205" w:type="dxa"/>
            <w:noWrap w:val="0"/>
            <w:vAlign w:val="top"/>
          </w:tcPr>
          <w:p w14:paraId="036918AC">
            <w:pPr>
              <w:spacing w:line="440" w:lineRule="exact"/>
              <w:jc w:val="center"/>
              <w:textAlignment w:val="center"/>
              <w:rPr>
                <w:rFonts w:ascii="华文细黑" w:hAnsi="华文细黑"/>
                <w:sz w:val="24"/>
              </w:rPr>
            </w:pPr>
          </w:p>
        </w:tc>
        <w:tc>
          <w:tcPr>
            <w:tcW w:w="844" w:type="dxa"/>
            <w:noWrap w:val="0"/>
            <w:vAlign w:val="top"/>
          </w:tcPr>
          <w:p w14:paraId="1309E872">
            <w:pPr>
              <w:spacing w:line="440" w:lineRule="exact"/>
              <w:jc w:val="center"/>
              <w:textAlignment w:val="center"/>
              <w:rPr>
                <w:rFonts w:ascii="华文细黑" w:hAnsi="华文细黑"/>
                <w:sz w:val="24"/>
              </w:rPr>
            </w:pPr>
          </w:p>
        </w:tc>
        <w:tc>
          <w:tcPr>
            <w:tcW w:w="1098" w:type="dxa"/>
            <w:noWrap w:val="0"/>
            <w:vAlign w:val="top"/>
          </w:tcPr>
          <w:p w14:paraId="6185842B">
            <w:pPr>
              <w:spacing w:line="440" w:lineRule="exact"/>
              <w:jc w:val="center"/>
              <w:textAlignment w:val="center"/>
              <w:rPr>
                <w:rFonts w:ascii="华文细黑" w:hAnsi="华文细黑"/>
                <w:sz w:val="24"/>
              </w:rPr>
            </w:pPr>
          </w:p>
        </w:tc>
        <w:tc>
          <w:tcPr>
            <w:tcW w:w="745" w:type="dxa"/>
            <w:noWrap w:val="0"/>
            <w:vAlign w:val="top"/>
          </w:tcPr>
          <w:p w14:paraId="05D47587">
            <w:pPr>
              <w:spacing w:line="440" w:lineRule="exact"/>
              <w:jc w:val="center"/>
              <w:textAlignment w:val="center"/>
              <w:rPr>
                <w:rFonts w:ascii="华文细黑" w:hAnsi="华文细黑"/>
                <w:sz w:val="24"/>
              </w:rPr>
            </w:pPr>
          </w:p>
        </w:tc>
        <w:tc>
          <w:tcPr>
            <w:tcW w:w="819" w:type="dxa"/>
            <w:noWrap w:val="0"/>
            <w:vAlign w:val="top"/>
          </w:tcPr>
          <w:p w14:paraId="61AF04CB">
            <w:pPr>
              <w:spacing w:line="440" w:lineRule="exact"/>
              <w:jc w:val="center"/>
              <w:textAlignment w:val="center"/>
              <w:rPr>
                <w:rFonts w:ascii="华文细黑" w:hAnsi="华文细黑"/>
                <w:sz w:val="24"/>
              </w:rPr>
            </w:pPr>
          </w:p>
        </w:tc>
        <w:tc>
          <w:tcPr>
            <w:tcW w:w="1345" w:type="dxa"/>
            <w:noWrap w:val="0"/>
            <w:vAlign w:val="top"/>
          </w:tcPr>
          <w:p w14:paraId="70F4E2D0">
            <w:pPr>
              <w:spacing w:line="440" w:lineRule="exact"/>
              <w:jc w:val="center"/>
              <w:textAlignment w:val="center"/>
              <w:rPr>
                <w:rFonts w:ascii="华文细黑" w:hAnsi="华文细黑"/>
                <w:sz w:val="24"/>
              </w:rPr>
            </w:pPr>
          </w:p>
        </w:tc>
        <w:tc>
          <w:tcPr>
            <w:tcW w:w="970" w:type="dxa"/>
            <w:noWrap w:val="0"/>
            <w:vAlign w:val="top"/>
          </w:tcPr>
          <w:p w14:paraId="292B6D89">
            <w:pPr>
              <w:spacing w:line="440" w:lineRule="exact"/>
              <w:jc w:val="center"/>
              <w:textAlignment w:val="center"/>
              <w:rPr>
                <w:rFonts w:ascii="华文细黑" w:hAnsi="华文细黑"/>
                <w:sz w:val="24"/>
              </w:rPr>
            </w:pPr>
          </w:p>
        </w:tc>
        <w:tc>
          <w:tcPr>
            <w:tcW w:w="1170" w:type="dxa"/>
            <w:noWrap w:val="0"/>
            <w:vAlign w:val="top"/>
          </w:tcPr>
          <w:p w14:paraId="470ABA57">
            <w:pPr>
              <w:spacing w:line="440" w:lineRule="exact"/>
              <w:jc w:val="center"/>
              <w:textAlignment w:val="center"/>
              <w:rPr>
                <w:rFonts w:ascii="华文细黑" w:hAnsi="华文细黑"/>
                <w:sz w:val="24"/>
              </w:rPr>
            </w:pPr>
          </w:p>
        </w:tc>
        <w:tc>
          <w:tcPr>
            <w:tcW w:w="767" w:type="dxa"/>
            <w:noWrap w:val="0"/>
            <w:vAlign w:val="top"/>
          </w:tcPr>
          <w:p w14:paraId="7C6766F9">
            <w:pPr>
              <w:spacing w:line="440" w:lineRule="exact"/>
              <w:jc w:val="center"/>
              <w:textAlignment w:val="center"/>
              <w:rPr>
                <w:rFonts w:ascii="华文细黑" w:hAnsi="华文细黑"/>
                <w:sz w:val="24"/>
              </w:rPr>
            </w:pPr>
          </w:p>
        </w:tc>
      </w:tr>
      <w:tr w14:paraId="51A374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40" w:type="dxa"/>
            <w:noWrap w:val="0"/>
            <w:vAlign w:val="top"/>
          </w:tcPr>
          <w:p w14:paraId="011810F2">
            <w:pPr>
              <w:spacing w:line="440" w:lineRule="exact"/>
              <w:jc w:val="center"/>
              <w:textAlignment w:val="center"/>
              <w:rPr>
                <w:rFonts w:ascii="华文细黑" w:hAnsi="华文细黑"/>
                <w:sz w:val="24"/>
              </w:rPr>
            </w:pPr>
          </w:p>
        </w:tc>
        <w:tc>
          <w:tcPr>
            <w:tcW w:w="1205" w:type="dxa"/>
            <w:noWrap w:val="0"/>
            <w:vAlign w:val="top"/>
          </w:tcPr>
          <w:p w14:paraId="6E63E344">
            <w:pPr>
              <w:spacing w:line="440" w:lineRule="exact"/>
              <w:jc w:val="center"/>
              <w:textAlignment w:val="center"/>
              <w:rPr>
                <w:rFonts w:ascii="华文细黑" w:hAnsi="华文细黑"/>
                <w:sz w:val="24"/>
              </w:rPr>
            </w:pPr>
          </w:p>
        </w:tc>
        <w:tc>
          <w:tcPr>
            <w:tcW w:w="844" w:type="dxa"/>
            <w:noWrap w:val="0"/>
            <w:vAlign w:val="top"/>
          </w:tcPr>
          <w:p w14:paraId="16DB61BE">
            <w:pPr>
              <w:spacing w:line="440" w:lineRule="exact"/>
              <w:jc w:val="center"/>
              <w:textAlignment w:val="center"/>
              <w:rPr>
                <w:rFonts w:ascii="华文细黑" w:hAnsi="华文细黑"/>
                <w:sz w:val="24"/>
              </w:rPr>
            </w:pPr>
          </w:p>
        </w:tc>
        <w:tc>
          <w:tcPr>
            <w:tcW w:w="1098" w:type="dxa"/>
            <w:noWrap w:val="0"/>
            <w:vAlign w:val="top"/>
          </w:tcPr>
          <w:p w14:paraId="50DD1E24">
            <w:pPr>
              <w:spacing w:line="440" w:lineRule="exact"/>
              <w:jc w:val="center"/>
              <w:textAlignment w:val="center"/>
              <w:rPr>
                <w:rFonts w:ascii="华文细黑" w:hAnsi="华文细黑"/>
                <w:sz w:val="24"/>
              </w:rPr>
            </w:pPr>
          </w:p>
        </w:tc>
        <w:tc>
          <w:tcPr>
            <w:tcW w:w="745" w:type="dxa"/>
            <w:noWrap w:val="0"/>
            <w:vAlign w:val="top"/>
          </w:tcPr>
          <w:p w14:paraId="68DB6B88">
            <w:pPr>
              <w:spacing w:line="440" w:lineRule="exact"/>
              <w:jc w:val="center"/>
              <w:textAlignment w:val="center"/>
              <w:rPr>
                <w:rFonts w:ascii="华文细黑" w:hAnsi="华文细黑"/>
                <w:sz w:val="24"/>
              </w:rPr>
            </w:pPr>
          </w:p>
        </w:tc>
        <w:tc>
          <w:tcPr>
            <w:tcW w:w="819" w:type="dxa"/>
            <w:noWrap w:val="0"/>
            <w:vAlign w:val="top"/>
          </w:tcPr>
          <w:p w14:paraId="01B039BC">
            <w:pPr>
              <w:spacing w:line="440" w:lineRule="exact"/>
              <w:jc w:val="center"/>
              <w:textAlignment w:val="center"/>
              <w:rPr>
                <w:rFonts w:ascii="华文细黑" w:hAnsi="华文细黑"/>
                <w:sz w:val="24"/>
              </w:rPr>
            </w:pPr>
          </w:p>
        </w:tc>
        <w:tc>
          <w:tcPr>
            <w:tcW w:w="1345" w:type="dxa"/>
            <w:noWrap w:val="0"/>
            <w:vAlign w:val="top"/>
          </w:tcPr>
          <w:p w14:paraId="156B726D">
            <w:pPr>
              <w:spacing w:line="440" w:lineRule="exact"/>
              <w:jc w:val="center"/>
              <w:textAlignment w:val="center"/>
              <w:rPr>
                <w:rFonts w:ascii="华文细黑" w:hAnsi="华文细黑"/>
                <w:sz w:val="24"/>
              </w:rPr>
            </w:pPr>
          </w:p>
        </w:tc>
        <w:tc>
          <w:tcPr>
            <w:tcW w:w="970" w:type="dxa"/>
            <w:noWrap w:val="0"/>
            <w:vAlign w:val="top"/>
          </w:tcPr>
          <w:p w14:paraId="62CE2890">
            <w:pPr>
              <w:spacing w:line="440" w:lineRule="exact"/>
              <w:jc w:val="center"/>
              <w:textAlignment w:val="center"/>
              <w:rPr>
                <w:rFonts w:ascii="华文细黑" w:hAnsi="华文细黑"/>
                <w:sz w:val="24"/>
              </w:rPr>
            </w:pPr>
          </w:p>
        </w:tc>
        <w:tc>
          <w:tcPr>
            <w:tcW w:w="1170" w:type="dxa"/>
            <w:noWrap w:val="0"/>
            <w:vAlign w:val="top"/>
          </w:tcPr>
          <w:p w14:paraId="4A2B7B12">
            <w:pPr>
              <w:spacing w:line="440" w:lineRule="exact"/>
              <w:jc w:val="center"/>
              <w:textAlignment w:val="center"/>
              <w:rPr>
                <w:rFonts w:ascii="华文细黑" w:hAnsi="华文细黑"/>
                <w:sz w:val="24"/>
              </w:rPr>
            </w:pPr>
          </w:p>
        </w:tc>
        <w:tc>
          <w:tcPr>
            <w:tcW w:w="767" w:type="dxa"/>
            <w:noWrap w:val="0"/>
            <w:vAlign w:val="top"/>
          </w:tcPr>
          <w:p w14:paraId="687D14BF">
            <w:pPr>
              <w:spacing w:line="440" w:lineRule="exact"/>
              <w:jc w:val="center"/>
              <w:textAlignment w:val="center"/>
              <w:rPr>
                <w:rFonts w:ascii="华文细黑" w:hAnsi="华文细黑"/>
                <w:sz w:val="24"/>
              </w:rPr>
            </w:pPr>
          </w:p>
        </w:tc>
      </w:tr>
      <w:tr w14:paraId="54DD9C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40" w:type="dxa"/>
            <w:noWrap w:val="0"/>
            <w:vAlign w:val="top"/>
          </w:tcPr>
          <w:p w14:paraId="3118030F">
            <w:pPr>
              <w:spacing w:line="440" w:lineRule="exact"/>
              <w:jc w:val="center"/>
              <w:textAlignment w:val="center"/>
              <w:rPr>
                <w:rFonts w:ascii="华文细黑" w:hAnsi="华文细黑"/>
                <w:sz w:val="24"/>
              </w:rPr>
            </w:pPr>
          </w:p>
        </w:tc>
        <w:tc>
          <w:tcPr>
            <w:tcW w:w="1205" w:type="dxa"/>
            <w:noWrap w:val="0"/>
            <w:vAlign w:val="top"/>
          </w:tcPr>
          <w:p w14:paraId="42C7FEE2">
            <w:pPr>
              <w:spacing w:line="440" w:lineRule="exact"/>
              <w:jc w:val="center"/>
              <w:textAlignment w:val="center"/>
              <w:rPr>
                <w:rFonts w:ascii="华文细黑" w:hAnsi="华文细黑"/>
                <w:sz w:val="24"/>
              </w:rPr>
            </w:pPr>
          </w:p>
        </w:tc>
        <w:tc>
          <w:tcPr>
            <w:tcW w:w="844" w:type="dxa"/>
            <w:noWrap w:val="0"/>
            <w:vAlign w:val="top"/>
          </w:tcPr>
          <w:p w14:paraId="0E58DDEA">
            <w:pPr>
              <w:spacing w:line="440" w:lineRule="exact"/>
              <w:jc w:val="center"/>
              <w:textAlignment w:val="center"/>
              <w:rPr>
                <w:rFonts w:ascii="华文细黑" w:hAnsi="华文细黑"/>
                <w:sz w:val="24"/>
              </w:rPr>
            </w:pPr>
          </w:p>
        </w:tc>
        <w:tc>
          <w:tcPr>
            <w:tcW w:w="1098" w:type="dxa"/>
            <w:noWrap w:val="0"/>
            <w:vAlign w:val="top"/>
          </w:tcPr>
          <w:p w14:paraId="22B6F0C2">
            <w:pPr>
              <w:spacing w:line="440" w:lineRule="exact"/>
              <w:jc w:val="center"/>
              <w:textAlignment w:val="center"/>
              <w:rPr>
                <w:rFonts w:ascii="华文细黑" w:hAnsi="华文细黑"/>
                <w:sz w:val="24"/>
              </w:rPr>
            </w:pPr>
          </w:p>
        </w:tc>
        <w:tc>
          <w:tcPr>
            <w:tcW w:w="745" w:type="dxa"/>
            <w:noWrap w:val="0"/>
            <w:vAlign w:val="top"/>
          </w:tcPr>
          <w:p w14:paraId="0EA12E62">
            <w:pPr>
              <w:spacing w:line="440" w:lineRule="exact"/>
              <w:jc w:val="center"/>
              <w:textAlignment w:val="center"/>
              <w:rPr>
                <w:rFonts w:ascii="华文细黑" w:hAnsi="华文细黑"/>
                <w:sz w:val="24"/>
              </w:rPr>
            </w:pPr>
          </w:p>
        </w:tc>
        <w:tc>
          <w:tcPr>
            <w:tcW w:w="819" w:type="dxa"/>
            <w:noWrap w:val="0"/>
            <w:vAlign w:val="top"/>
          </w:tcPr>
          <w:p w14:paraId="13F5A593">
            <w:pPr>
              <w:spacing w:line="440" w:lineRule="exact"/>
              <w:jc w:val="center"/>
              <w:textAlignment w:val="center"/>
              <w:rPr>
                <w:rFonts w:ascii="华文细黑" w:hAnsi="华文细黑"/>
                <w:sz w:val="24"/>
              </w:rPr>
            </w:pPr>
          </w:p>
        </w:tc>
        <w:tc>
          <w:tcPr>
            <w:tcW w:w="1345" w:type="dxa"/>
            <w:noWrap w:val="0"/>
            <w:vAlign w:val="top"/>
          </w:tcPr>
          <w:p w14:paraId="537830CB">
            <w:pPr>
              <w:spacing w:line="440" w:lineRule="exact"/>
              <w:jc w:val="center"/>
              <w:textAlignment w:val="center"/>
              <w:rPr>
                <w:rFonts w:ascii="华文细黑" w:hAnsi="华文细黑"/>
                <w:sz w:val="24"/>
              </w:rPr>
            </w:pPr>
          </w:p>
        </w:tc>
        <w:tc>
          <w:tcPr>
            <w:tcW w:w="970" w:type="dxa"/>
            <w:noWrap w:val="0"/>
            <w:vAlign w:val="top"/>
          </w:tcPr>
          <w:p w14:paraId="08F417F2">
            <w:pPr>
              <w:spacing w:line="440" w:lineRule="exact"/>
              <w:jc w:val="center"/>
              <w:textAlignment w:val="center"/>
              <w:rPr>
                <w:rFonts w:ascii="华文细黑" w:hAnsi="华文细黑"/>
                <w:sz w:val="24"/>
              </w:rPr>
            </w:pPr>
          </w:p>
        </w:tc>
        <w:tc>
          <w:tcPr>
            <w:tcW w:w="1170" w:type="dxa"/>
            <w:noWrap w:val="0"/>
            <w:vAlign w:val="top"/>
          </w:tcPr>
          <w:p w14:paraId="4976036D">
            <w:pPr>
              <w:spacing w:line="440" w:lineRule="exact"/>
              <w:jc w:val="center"/>
              <w:textAlignment w:val="center"/>
              <w:rPr>
                <w:rFonts w:ascii="华文细黑" w:hAnsi="华文细黑"/>
                <w:sz w:val="24"/>
              </w:rPr>
            </w:pPr>
          </w:p>
        </w:tc>
        <w:tc>
          <w:tcPr>
            <w:tcW w:w="767" w:type="dxa"/>
            <w:noWrap w:val="0"/>
            <w:vAlign w:val="top"/>
          </w:tcPr>
          <w:p w14:paraId="50558EBF">
            <w:pPr>
              <w:spacing w:line="440" w:lineRule="exact"/>
              <w:jc w:val="center"/>
              <w:textAlignment w:val="center"/>
              <w:rPr>
                <w:rFonts w:ascii="华文细黑" w:hAnsi="华文细黑"/>
                <w:sz w:val="24"/>
              </w:rPr>
            </w:pPr>
          </w:p>
        </w:tc>
      </w:tr>
      <w:tr w14:paraId="0A238A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40" w:type="dxa"/>
            <w:noWrap w:val="0"/>
            <w:vAlign w:val="top"/>
          </w:tcPr>
          <w:p w14:paraId="1A80E3E9">
            <w:pPr>
              <w:spacing w:line="440" w:lineRule="exact"/>
              <w:jc w:val="center"/>
              <w:textAlignment w:val="center"/>
              <w:rPr>
                <w:rFonts w:ascii="华文细黑" w:hAnsi="华文细黑"/>
                <w:sz w:val="24"/>
              </w:rPr>
            </w:pPr>
          </w:p>
        </w:tc>
        <w:tc>
          <w:tcPr>
            <w:tcW w:w="1205" w:type="dxa"/>
            <w:noWrap w:val="0"/>
            <w:vAlign w:val="top"/>
          </w:tcPr>
          <w:p w14:paraId="10EA994D">
            <w:pPr>
              <w:spacing w:line="440" w:lineRule="exact"/>
              <w:jc w:val="center"/>
              <w:textAlignment w:val="center"/>
              <w:rPr>
                <w:rFonts w:ascii="华文细黑" w:hAnsi="华文细黑"/>
                <w:sz w:val="24"/>
              </w:rPr>
            </w:pPr>
          </w:p>
        </w:tc>
        <w:tc>
          <w:tcPr>
            <w:tcW w:w="844" w:type="dxa"/>
            <w:noWrap w:val="0"/>
            <w:vAlign w:val="top"/>
          </w:tcPr>
          <w:p w14:paraId="43B49AB7">
            <w:pPr>
              <w:spacing w:line="440" w:lineRule="exact"/>
              <w:jc w:val="center"/>
              <w:textAlignment w:val="center"/>
              <w:rPr>
                <w:rFonts w:ascii="华文细黑" w:hAnsi="华文细黑"/>
                <w:sz w:val="24"/>
              </w:rPr>
            </w:pPr>
          </w:p>
        </w:tc>
        <w:tc>
          <w:tcPr>
            <w:tcW w:w="1098" w:type="dxa"/>
            <w:noWrap w:val="0"/>
            <w:vAlign w:val="top"/>
          </w:tcPr>
          <w:p w14:paraId="67FB68DE">
            <w:pPr>
              <w:spacing w:line="440" w:lineRule="exact"/>
              <w:jc w:val="center"/>
              <w:textAlignment w:val="center"/>
              <w:rPr>
                <w:rFonts w:ascii="华文细黑" w:hAnsi="华文细黑"/>
                <w:sz w:val="24"/>
              </w:rPr>
            </w:pPr>
          </w:p>
        </w:tc>
        <w:tc>
          <w:tcPr>
            <w:tcW w:w="745" w:type="dxa"/>
            <w:noWrap w:val="0"/>
            <w:vAlign w:val="top"/>
          </w:tcPr>
          <w:p w14:paraId="0C2919B1">
            <w:pPr>
              <w:spacing w:line="440" w:lineRule="exact"/>
              <w:jc w:val="center"/>
              <w:textAlignment w:val="center"/>
              <w:rPr>
                <w:rFonts w:ascii="华文细黑" w:hAnsi="华文细黑"/>
                <w:sz w:val="24"/>
              </w:rPr>
            </w:pPr>
          </w:p>
        </w:tc>
        <w:tc>
          <w:tcPr>
            <w:tcW w:w="819" w:type="dxa"/>
            <w:noWrap w:val="0"/>
            <w:vAlign w:val="top"/>
          </w:tcPr>
          <w:p w14:paraId="0580B2AA">
            <w:pPr>
              <w:spacing w:line="440" w:lineRule="exact"/>
              <w:jc w:val="center"/>
              <w:textAlignment w:val="center"/>
              <w:rPr>
                <w:rFonts w:ascii="华文细黑" w:hAnsi="华文细黑"/>
                <w:sz w:val="24"/>
              </w:rPr>
            </w:pPr>
          </w:p>
        </w:tc>
        <w:tc>
          <w:tcPr>
            <w:tcW w:w="1345" w:type="dxa"/>
            <w:noWrap w:val="0"/>
            <w:vAlign w:val="top"/>
          </w:tcPr>
          <w:p w14:paraId="217868C1">
            <w:pPr>
              <w:spacing w:line="440" w:lineRule="exact"/>
              <w:jc w:val="center"/>
              <w:textAlignment w:val="center"/>
              <w:rPr>
                <w:rFonts w:ascii="华文细黑" w:hAnsi="华文细黑"/>
                <w:sz w:val="24"/>
              </w:rPr>
            </w:pPr>
          </w:p>
        </w:tc>
        <w:tc>
          <w:tcPr>
            <w:tcW w:w="970" w:type="dxa"/>
            <w:noWrap w:val="0"/>
            <w:vAlign w:val="top"/>
          </w:tcPr>
          <w:p w14:paraId="7BFA73ED">
            <w:pPr>
              <w:spacing w:line="440" w:lineRule="exact"/>
              <w:jc w:val="center"/>
              <w:textAlignment w:val="center"/>
              <w:rPr>
                <w:rFonts w:ascii="华文细黑" w:hAnsi="华文细黑"/>
                <w:sz w:val="24"/>
              </w:rPr>
            </w:pPr>
          </w:p>
        </w:tc>
        <w:tc>
          <w:tcPr>
            <w:tcW w:w="1170" w:type="dxa"/>
            <w:noWrap w:val="0"/>
            <w:vAlign w:val="top"/>
          </w:tcPr>
          <w:p w14:paraId="2042CA43">
            <w:pPr>
              <w:spacing w:line="440" w:lineRule="exact"/>
              <w:jc w:val="center"/>
              <w:textAlignment w:val="center"/>
              <w:rPr>
                <w:rFonts w:ascii="华文细黑" w:hAnsi="华文细黑"/>
                <w:sz w:val="24"/>
              </w:rPr>
            </w:pPr>
          </w:p>
        </w:tc>
        <w:tc>
          <w:tcPr>
            <w:tcW w:w="767" w:type="dxa"/>
            <w:noWrap w:val="0"/>
            <w:vAlign w:val="top"/>
          </w:tcPr>
          <w:p w14:paraId="6DCF4249">
            <w:pPr>
              <w:spacing w:line="440" w:lineRule="exact"/>
              <w:jc w:val="center"/>
              <w:textAlignment w:val="center"/>
              <w:rPr>
                <w:rFonts w:ascii="华文细黑" w:hAnsi="华文细黑"/>
                <w:sz w:val="24"/>
              </w:rPr>
            </w:pPr>
          </w:p>
        </w:tc>
      </w:tr>
      <w:tr w14:paraId="0B06CB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40" w:type="dxa"/>
            <w:noWrap w:val="0"/>
            <w:vAlign w:val="top"/>
          </w:tcPr>
          <w:p w14:paraId="518BC742">
            <w:pPr>
              <w:spacing w:line="440" w:lineRule="exact"/>
              <w:jc w:val="center"/>
              <w:textAlignment w:val="center"/>
              <w:rPr>
                <w:rFonts w:ascii="华文细黑" w:hAnsi="华文细黑"/>
                <w:sz w:val="24"/>
              </w:rPr>
            </w:pPr>
          </w:p>
        </w:tc>
        <w:tc>
          <w:tcPr>
            <w:tcW w:w="1205" w:type="dxa"/>
            <w:noWrap w:val="0"/>
            <w:vAlign w:val="top"/>
          </w:tcPr>
          <w:p w14:paraId="78CF74B0">
            <w:pPr>
              <w:spacing w:line="440" w:lineRule="exact"/>
              <w:jc w:val="center"/>
              <w:textAlignment w:val="center"/>
              <w:rPr>
                <w:rFonts w:ascii="华文细黑" w:hAnsi="华文细黑"/>
                <w:sz w:val="24"/>
              </w:rPr>
            </w:pPr>
          </w:p>
        </w:tc>
        <w:tc>
          <w:tcPr>
            <w:tcW w:w="844" w:type="dxa"/>
            <w:noWrap w:val="0"/>
            <w:vAlign w:val="top"/>
          </w:tcPr>
          <w:p w14:paraId="57BE7468">
            <w:pPr>
              <w:spacing w:line="440" w:lineRule="exact"/>
              <w:jc w:val="center"/>
              <w:textAlignment w:val="center"/>
              <w:rPr>
                <w:rFonts w:ascii="华文细黑" w:hAnsi="华文细黑"/>
                <w:sz w:val="24"/>
              </w:rPr>
            </w:pPr>
          </w:p>
        </w:tc>
        <w:tc>
          <w:tcPr>
            <w:tcW w:w="1098" w:type="dxa"/>
            <w:noWrap w:val="0"/>
            <w:vAlign w:val="top"/>
          </w:tcPr>
          <w:p w14:paraId="5EA734F9">
            <w:pPr>
              <w:spacing w:line="440" w:lineRule="exact"/>
              <w:jc w:val="center"/>
              <w:textAlignment w:val="center"/>
              <w:rPr>
                <w:rFonts w:ascii="华文细黑" w:hAnsi="华文细黑"/>
                <w:sz w:val="24"/>
              </w:rPr>
            </w:pPr>
          </w:p>
        </w:tc>
        <w:tc>
          <w:tcPr>
            <w:tcW w:w="745" w:type="dxa"/>
            <w:noWrap w:val="0"/>
            <w:vAlign w:val="top"/>
          </w:tcPr>
          <w:p w14:paraId="3A3D2D26">
            <w:pPr>
              <w:spacing w:line="440" w:lineRule="exact"/>
              <w:jc w:val="center"/>
              <w:textAlignment w:val="center"/>
              <w:rPr>
                <w:rFonts w:ascii="华文细黑" w:hAnsi="华文细黑"/>
                <w:sz w:val="24"/>
              </w:rPr>
            </w:pPr>
          </w:p>
        </w:tc>
        <w:tc>
          <w:tcPr>
            <w:tcW w:w="819" w:type="dxa"/>
            <w:noWrap w:val="0"/>
            <w:vAlign w:val="top"/>
          </w:tcPr>
          <w:p w14:paraId="35FCF079">
            <w:pPr>
              <w:spacing w:line="440" w:lineRule="exact"/>
              <w:jc w:val="center"/>
              <w:textAlignment w:val="center"/>
              <w:rPr>
                <w:rFonts w:ascii="华文细黑" w:hAnsi="华文细黑"/>
                <w:sz w:val="24"/>
              </w:rPr>
            </w:pPr>
          </w:p>
        </w:tc>
        <w:tc>
          <w:tcPr>
            <w:tcW w:w="1345" w:type="dxa"/>
            <w:noWrap w:val="0"/>
            <w:vAlign w:val="top"/>
          </w:tcPr>
          <w:p w14:paraId="4E650942">
            <w:pPr>
              <w:spacing w:line="440" w:lineRule="exact"/>
              <w:jc w:val="center"/>
              <w:textAlignment w:val="center"/>
              <w:rPr>
                <w:rFonts w:ascii="华文细黑" w:hAnsi="华文细黑"/>
                <w:sz w:val="24"/>
              </w:rPr>
            </w:pPr>
          </w:p>
        </w:tc>
        <w:tc>
          <w:tcPr>
            <w:tcW w:w="970" w:type="dxa"/>
            <w:noWrap w:val="0"/>
            <w:vAlign w:val="top"/>
          </w:tcPr>
          <w:p w14:paraId="4DEEAEDE">
            <w:pPr>
              <w:spacing w:line="440" w:lineRule="exact"/>
              <w:jc w:val="center"/>
              <w:textAlignment w:val="center"/>
              <w:rPr>
                <w:rFonts w:ascii="华文细黑" w:hAnsi="华文细黑"/>
                <w:sz w:val="24"/>
              </w:rPr>
            </w:pPr>
          </w:p>
        </w:tc>
        <w:tc>
          <w:tcPr>
            <w:tcW w:w="1170" w:type="dxa"/>
            <w:noWrap w:val="0"/>
            <w:vAlign w:val="top"/>
          </w:tcPr>
          <w:p w14:paraId="6BADD68E">
            <w:pPr>
              <w:spacing w:line="440" w:lineRule="exact"/>
              <w:jc w:val="center"/>
              <w:textAlignment w:val="center"/>
              <w:rPr>
                <w:rFonts w:ascii="华文细黑" w:hAnsi="华文细黑"/>
                <w:sz w:val="24"/>
              </w:rPr>
            </w:pPr>
          </w:p>
        </w:tc>
        <w:tc>
          <w:tcPr>
            <w:tcW w:w="767" w:type="dxa"/>
            <w:noWrap w:val="0"/>
            <w:vAlign w:val="top"/>
          </w:tcPr>
          <w:p w14:paraId="0268126D">
            <w:pPr>
              <w:spacing w:line="440" w:lineRule="exact"/>
              <w:jc w:val="center"/>
              <w:textAlignment w:val="center"/>
              <w:rPr>
                <w:rFonts w:ascii="华文细黑" w:hAnsi="华文细黑"/>
                <w:sz w:val="24"/>
              </w:rPr>
            </w:pPr>
          </w:p>
        </w:tc>
      </w:tr>
      <w:tr w14:paraId="6E673A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40" w:type="dxa"/>
            <w:noWrap w:val="0"/>
            <w:vAlign w:val="top"/>
          </w:tcPr>
          <w:p w14:paraId="52DFFA7B">
            <w:pPr>
              <w:spacing w:line="440" w:lineRule="exact"/>
              <w:jc w:val="center"/>
              <w:textAlignment w:val="center"/>
              <w:rPr>
                <w:rFonts w:ascii="华文细黑" w:hAnsi="华文细黑"/>
                <w:sz w:val="24"/>
              </w:rPr>
            </w:pPr>
          </w:p>
        </w:tc>
        <w:tc>
          <w:tcPr>
            <w:tcW w:w="1205" w:type="dxa"/>
            <w:noWrap w:val="0"/>
            <w:vAlign w:val="top"/>
          </w:tcPr>
          <w:p w14:paraId="6C173EBB">
            <w:pPr>
              <w:spacing w:line="440" w:lineRule="exact"/>
              <w:jc w:val="center"/>
              <w:textAlignment w:val="center"/>
              <w:rPr>
                <w:rFonts w:ascii="华文细黑" w:hAnsi="华文细黑"/>
                <w:sz w:val="24"/>
              </w:rPr>
            </w:pPr>
          </w:p>
        </w:tc>
        <w:tc>
          <w:tcPr>
            <w:tcW w:w="844" w:type="dxa"/>
            <w:noWrap w:val="0"/>
            <w:vAlign w:val="top"/>
          </w:tcPr>
          <w:p w14:paraId="26E2A210">
            <w:pPr>
              <w:spacing w:line="440" w:lineRule="exact"/>
              <w:jc w:val="center"/>
              <w:textAlignment w:val="center"/>
              <w:rPr>
                <w:rFonts w:ascii="华文细黑" w:hAnsi="华文细黑"/>
                <w:sz w:val="24"/>
              </w:rPr>
            </w:pPr>
          </w:p>
        </w:tc>
        <w:tc>
          <w:tcPr>
            <w:tcW w:w="1098" w:type="dxa"/>
            <w:noWrap w:val="0"/>
            <w:vAlign w:val="top"/>
          </w:tcPr>
          <w:p w14:paraId="4EB2C1D2">
            <w:pPr>
              <w:spacing w:line="440" w:lineRule="exact"/>
              <w:jc w:val="center"/>
              <w:textAlignment w:val="center"/>
              <w:rPr>
                <w:rFonts w:ascii="华文细黑" w:hAnsi="华文细黑"/>
                <w:sz w:val="24"/>
              </w:rPr>
            </w:pPr>
          </w:p>
        </w:tc>
        <w:tc>
          <w:tcPr>
            <w:tcW w:w="745" w:type="dxa"/>
            <w:noWrap w:val="0"/>
            <w:vAlign w:val="top"/>
          </w:tcPr>
          <w:p w14:paraId="3A979362">
            <w:pPr>
              <w:spacing w:line="440" w:lineRule="exact"/>
              <w:jc w:val="center"/>
              <w:textAlignment w:val="center"/>
              <w:rPr>
                <w:rFonts w:ascii="华文细黑" w:hAnsi="华文细黑"/>
                <w:sz w:val="24"/>
              </w:rPr>
            </w:pPr>
          </w:p>
        </w:tc>
        <w:tc>
          <w:tcPr>
            <w:tcW w:w="819" w:type="dxa"/>
            <w:noWrap w:val="0"/>
            <w:vAlign w:val="top"/>
          </w:tcPr>
          <w:p w14:paraId="5F3F10AD">
            <w:pPr>
              <w:spacing w:line="440" w:lineRule="exact"/>
              <w:jc w:val="center"/>
              <w:textAlignment w:val="center"/>
              <w:rPr>
                <w:rFonts w:ascii="华文细黑" w:hAnsi="华文细黑"/>
                <w:sz w:val="24"/>
              </w:rPr>
            </w:pPr>
          </w:p>
        </w:tc>
        <w:tc>
          <w:tcPr>
            <w:tcW w:w="1345" w:type="dxa"/>
            <w:noWrap w:val="0"/>
            <w:vAlign w:val="top"/>
          </w:tcPr>
          <w:p w14:paraId="2E6091A9">
            <w:pPr>
              <w:spacing w:line="440" w:lineRule="exact"/>
              <w:jc w:val="center"/>
              <w:textAlignment w:val="center"/>
              <w:rPr>
                <w:rFonts w:ascii="华文细黑" w:hAnsi="华文细黑"/>
                <w:sz w:val="24"/>
              </w:rPr>
            </w:pPr>
          </w:p>
        </w:tc>
        <w:tc>
          <w:tcPr>
            <w:tcW w:w="970" w:type="dxa"/>
            <w:noWrap w:val="0"/>
            <w:vAlign w:val="top"/>
          </w:tcPr>
          <w:p w14:paraId="3CA15390">
            <w:pPr>
              <w:spacing w:line="440" w:lineRule="exact"/>
              <w:jc w:val="center"/>
              <w:textAlignment w:val="center"/>
              <w:rPr>
                <w:rFonts w:ascii="华文细黑" w:hAnsi="华文细黑"/>
                <w:sz w:val="24"/>
              </w:rPr>
            </w:pPr>
          </w:p>
        </w:tc>
        <w:tc>
          <w:tcPr>
            <w:tcW w:w="1170" w:type="dxa"/>
            <w:noWrap w:val="0"/>
            <w:vAlign w:val="top"/>
          </w:tcPr>
          <w:p w14:paraId="71EDCDB5">
            <w:pPr>
              <w:spacing w:line="440" w:lineRule="exact"/>
              <w:jc w:val="center"/>
              <w:textAlignment w:val="center"/>
              <w:rPr>
                <w:rFonts w:ascii="华文细黑" w:hAnsi="华文细黑"/>
                <w:sz w:val="24"/>
              </w:rPr>
            </w:pPr>
          </w:p>
        </w:tc>
        <w:tc>
          <w:tcPr>
            <w:tcW w:w="767" w:type="dxa"/>
            <w:noWrap w:val="0"/>
            <w:vAlign w:val="top"/>
          </w:tcPr>
          <w:p w14:paraId="6A37CB56">
            <w:pPr>
              <w:spacing w:line="440" w:lineRule="exact"/>
              <w:jc w:val="center"/>
              <w:textAlignment w:val="center"/>
              <w:rPr>
                <w:rFonts w:ascii="华文细黑" w:hAnsi="华文细黑"/>
                <w:sz w:val="24"/>
              </w:rPr>
            </w:pPr>
          </w:p>
        </w:tc>
      </w:tr>
      <w:tr w14:paraId="059314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40" w:type="dxa"/>
            <w:noWrap w:val="0"/>
            <w:vAlign w:val="top"/>
          </w:tcPr>
          <w:p w14:paraId="7201F02E">
            <w:pPr>
              <w:spacing w:line="440" w:lineRule="exact"/>
              <w:jc w:val="center"/>
              <w:textAlignment w:val="center"/>
              <w:rPr>
                <w:rFonts w:ascii="华文细黑" w:hAnsi="华文细黑"/>
                <w:sz w:val="24"/>
              </w:rPr>
            </w:pPr>
          </w:p>
        </w:tc>
        <w:tc>
          <w:tcPr>
            <w:tcW w:w="1205" w:type="dxa"/>
            <w:noWrap w:val="0"/>
            <w:vAlign w:val="top"/>
          </w:tcPr>
          <w:p w14:paraId="2C1AF704">
            <w:pPr>
              <w:spacing w:line="440" w:lineRule="exact"/>
              <w:jc w:val="center"/>
              <w:textAlignment w:val="center"/>
              <w:rPr>
                <w:rFonts w:ascii="华文细黑" w:hAnsi="华文细黑"/>
                <w:sz w:val="24"/>
              </w:rPr>
            </w:pPr>
          </w:p>
        </w:tc>
        <w:tc>
          <w:tcPr>
            <w:tcW w:w="844" w:type="dxa"/>
            <w:noWrap w:val="0"/>
            <w:vAlign w:val="top"/>
          </w:tcPr>
          <w:p w14:paraId="2E74E8E2">
            <w:pPr>
              <w:spacing w:line="440" w:lineRule="exact"/>
              <w:jc w:val="center"/>
              <w:textAlignment w:val="center"/>
              <w:rPr>
                <w:rFonts w:ascii="华文细黑" w:hAnsi="华文细黑"/>
                <w:sz w:val="24"/>
              </w:rPr>
            </w:pPr>
          </w:p>
        </w:tc>
        <w:tc>
          <w:tcPr>
            <w:tcW w:w="1098" w:type="dxa"/>
            <w:noWrap w:val="0"/>
            <w:vAlign w:val="top"/>
          </w:tcPr>
          <w:p w14:paraId="74C46E60">
            <w:pPr>
              <w:spacing w:line="440" w:lineRule="exact"/>
              <w:jc w:val="center"/>
              <w:textAlignment w:val="center"/>
              <w:rPr>
                <w:rFonts w:ascii="华文细黑" w:hAnsi="华文细黑"/>
                <w:sz w:val="24"/>
              </w:rPr>
            </w:pPr>
          </w:p>
        </w:tc>
        <w:tc>
          <w:tcPr>
            <w:tcW w:w="745" w:type="dxa"/>
            <w:noWrap w:val="0"/>
            <w:vAlign w:val="top"/>
          </w:tcPr>
          <w:p w14:paraId="0AE67F8D">
            <w:pPr>
              <w:spacing w:line="440" w:lineRule="exact"/>
              <w:jc w:val="center"/>
              <w:textAlignment w:val="center"/>
              <w:rPr>
                <w:rFonts w:ascii="华文细黑" w:hAnsi="华文细黑"/>
                <w:sz w:val="24"/>
              </w:rPr>
            </w:pPr>
          </w:p>
        </w:tc>
        <w:tc>
          <w:tcPr>
            <w:tcW w:w="819" w:type="dxa"/>
            <w:noWrap w:val="0"/>
            <w:vAlign w:val="top"/>
          </w:tcPr>
          <w:p w14:paraId="132F1D50">
            <w:pPr>
              <w:spacing w:line="440" w:lineRule="exact"/>
              <w:jc w:val="center"/>
              <w:textAlignment w:val="center"/>
              <w:rPr>
                <w:rFonts w:ascii="华文细黑" w:hAnsi="华文细黑"/>
                <w:sz w:val="24"/>
              </w:rPr>
            </w:pPr>
          </w:p>
        </w:tc>
        <w:tc>
          <w:tcPr>
            <w:tcW w:w="1345" w:type="dxa"/>
            <w:noWrap w:val="0"/>
            <w:vAlign w:val="top"/>
          </w:tcPr>
          <w:p w14:paraId="3136243C">
            <w:pPr>
              <w:spacing w:line="440" w:lineRule="exact"/>
              <w:jc w:val="center"/>
              <w:textAlignment w:val="center"/>
              <w:rPr>
                <w:rFonts w:ascii="华文细黑" w:hAnsi="华文细黑"/>
                <w:sz w:val="24"/>
              </w:rPr>
            </w:pPr>
          </w:p>
        </w:tc>
        <w:tc>
          <w:tcPr>
            <w:tcW w:w="970" w:type="dxa"/>
            <w:noWrap w:val="0"/>
            <w:vAlign w:val="top"/>
          </w:tcPr>
          <w:p w14:paraId="387AB4EE">
            <w:pPr>
              <w:spacing w:line="440" w:lineRule="exact"/>
              <w:jc w:val="center"/>
              <w:textAlignment w:val="center"/>
              <w:rPr>
                <w:rFonts w:ascii="华文细黑" w:hAnsi="华文细黑"/>
                <w:sz w:val="24"/>
              </w:rPr>
            </w:pPr>
          </w:p>
        </w:tc>
        <w:tc>
          <w:tcPr>
            <w:tcW w:w="1170" w:type="dxa"/>
            <w:noWrap w:val="0"/>
            <w:vAlign w:val="top"/>
          </w:tcPr>
          <w:p w14:paraId="734531FC">
            <w:pPr>
              <w:spacing w:line="440" w:lineRule="exact"/>
              <w:jc w:val="center"/>
              <w:textAlignment w:val="center"/>
              <w:rPr>
                <w:rFonts w:ascii="华文细黑" w:hAnsi="华文细黑"/>
                <w:sz w:val="24"/>
              </w:rPr>
            </w:pPr>
          </w:p>
        </w:tc>
        <w:tc>
          <w:tcPr>
            <w:tcW w:w="767" w:type="dxa"/>
            <w:noWrap w:val="0"/>
            <w:vAlign w:val="top"/>
          </w:tcPr>
          <w:p w14:paraId="75E424D0">
            <w:pPr>
              <w:spacing w:line="440" w:lineRule="exact"/>
              <w:jc w:val="center"/>
              <w:textAlignment w:val="center"/>
              <w:rPr>
                <w:rFonts w:ascii="华文细黑" w:hAnsi="华文细黑"/>
                <w:sz w:val="24"/>
              </w:rPr>
            </w:pPr>
          </w:p>
        </w:tc>
      </w:tr>
      <w:tr w14:paraId="473F07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40" w:type="dxa"/>
            <w:noWrap w:val="0"/>
            <w:vAlign w:val="top"/>
          </w:tcPr>
          <w:p w14:paraId="4B69F6C9">
            <w:pPr>
              <w:spacing w:line="440" w:lineRule="exact"/>
              <w:jc w:val="center"/>
              <w:textAlignment w:val="center"/>
              <w:rPr>
                <w:rFonts w:ascii="华文细黑" w:hAnsi="华文细黑"/>
                <w:sz w:val="24"/>
              </w:rPr>
            </w:pPr>
          </w:p>
        </w:tc>
        <w:tc>
          <w:tcPr>
            <w:tcW w:w="1205" w:type="dxa"/>
            <w:noWrap w:val="0"/>
            <w:vAlign w:val="top"/>
          </w:tcPr>
          <w:p w14:paraId="360542DF">
            <w:pPr>
              <w:spacing w:line="440" w:lineRule="exact"/>
              <w:jc w:val="center"/>
              <w:textAlignment w:val="center"/>
              <w:rPr>
                <w:rFonts w:ascii="华文细黑" w:hAnsi="华文细黑"/>
                <w:sz w:val="24"/>
              </w:rPr>
            </w:pPr>
          </w:p>
        </w:tc>
        <w:tc>
          <w:tcPr>
            <w:tcW w:w="844" w:type="dxa"/>
            <w:noWrap w:val="0"/>
            <w:vAlign w:val="top"/>
          </w:tcPr>
          <w:p w14:paraId="1469D42A">
            <w:pPr>
              <w:spacing w:line="440" w:lineRule="exact"/>
              <w:jc w:val="center"/>
              <w:textAlignment w:val="center"/>
              <w:rPr>
                <w:rFonts w:ascii="华文细黑" w:hAnsi="华文细黑"/>
                <w:sz w:val="24"/>
              </w:rPr>
            </w:pPr>
          </w:p>
        </w:tc>
        <w:tc>
          <w:tcPr>
            <w:tcW w:w="1098" w:type="dxa"/>
            <w:noWrap w:val="0"/>
            <w:vAlign w:val="top"/>
          </w:tcPr>
          <w:p w14:paraId="2F024CB4">
            <w:pPr>
              <w:spacing w:line="440" w:lineRule="exact"/>
              <w:jc w:val="center"/>
              <w:textAlignment w:val="center"/>
              <w:rPr>
                <w:rFonts w:ascii="华文细黑" w:hAnsi="华文细黑"/>
                <w:sz w:val="24"/>
              </w:rPr>
            </w:pPr>
          </w:p>
        </w:tc>
        <w:tc>
          <w:tcPr>
            <w:tcW w:w="745" w:type="dxa"/>
            <w:noWrap w:val="0"/>
            <w:vAlign w:val="top"/>
          </w:tcPr>
          <w:p w14:paraId="3247B238">
            <w:pPr>
              <w:spacing w:line="440" w:lineRule="exact"/>
              <w:jc w:val="center"/>
              <w:textAlignment w:val="center"/>
              <w:rPr>
                <w:rFonts w:ascii="华文细黑" w:hAnsi="华文细黑"/>
                <w:sz w:val="24"/>
              </w:rPr>
            </w:pPr>
          </w:p>
        </w:tc>
        <w:tc>
          <w:tcPr>
            <w:tcW w:w="819" w:type="dxa"/>
            <w:noWrap w:val="0"/>
            <w:vAlign w:val="top"/>
          </w:tcPr>
          <w:p w14:paraId="6E19F884">
            <w:pPr>
              <w:spacing w:line="440" w:lineRule="exact"/>
              <w:jc w:val="center"/>
              <w:textAlignment w:val="center"/>
              <w:rPr>
                <w:rFonts w:ascii="华文细黑" w:hAnsi="华文细黑"/>
                <w:sz w:val="24"/>
              </w:rPr>
            </w:pPr>
          </w:p>
        </w:tc>
        <w:tc>
          <w:tcPr>
            <w:tcW w:w="1345" w:type="dxa"/>
            <w:noWrap w:val="0"/>
            <w:vAlign w:val="top"/>
          </w:tcPr>
          <w:p w14:paraId="5D107083">
            <w:pPr>
              <w:spacing w:line="440" w:lineRule="exact"/>
              <w:jc w:val="center"/>
              <w:textAlignment w:val="center"/>
              <w:rPr>
                <w:rFonts w:ascii="华文细黑" w:hAnsi="华文细黑"/>
                <w:sz w:val="24"/>
              </w:rPr>
            </w:pPr>
          </w:p>
        </w:tc>
        <w:tc>
          <w:tcPr>
            <w:tcW w:w="970" w:type="dxa"/>
            <w:noWrap w:val="0"/>
            <w:vAlign w:val="top"/>
          </w:tcPr>
          <w:p w14:paraId="53B6134E">
            <w:pPr>
              <w:spacing w:line="440" w:lineRule="exact"/>
              <w:jc w:val="center"/>
              <w:textAlignment w:val="center"/>
              <w:rPr>
                <w:rFonts w:ascii="华文细黑" w:hAnsi="华文细黑"/>
                <w:sz w:val="24"/>
              </w:rPr>
            </w:pPr>
          </w:p>
        </w:tc>
        <w:tc>
          <w:tcPr>
            <w:tcW w:w="1170" w:type="dxa"/>
            <w:noWrap w:val="0"/>
            <w:vAlign w:val="top"/>
          </w:tcPr>
          <w:p w14:paraId="5CF2095E">
            <w:pPr>
              <w:spacing w:line="440" w:lineRule="exact"/>
              <w:jc w:val="center"/>
              <w:textAlignment w:val="center"/>
              <w:rPr>
                <w:rFonts w:ascii="华文细黑" w:hAnsi="华文细黑"/>
                <w:sz w:val="24"/>
              </w:rPr>
            </w:pPr>
          </w:p>
        </w:tc>
        <w:tc>
          <w:tcPr>
            <w:tcW w:w="767" w:type="dxa"/>
            <w:noWrap w:val="0"/>
            <w:vAlign w:val="top"/>
          </w:tcPr>
          <w:p w14:paraId="3F179B7A">
            <w:pPr>
              <w:spacing w:line="440" w:lineRule="exact"/>
              <w:jc w:val="center"/>
              <w:textAlignment w:val="center"/>
              <w:rPr>
                <w:rFonts w:ascii="华文细黑" w:hAnsi="华文细黑"/>
                <w:sz w:val="24"/>
              </w:rPr>
            </w:pPr>
          </w:p>
        </w:tc>
      </w:tr>
      <w:tr w14:paraId="56607F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40" w:type="dxa"/>
            <w:noWrap w:val="0"/>
            <w:vAlign w:val="top"/>
          </w:tcPr>
          <w:p w14:paraId="3D19CC84">
            <w:pPr>
              <w:spacing w:line="440" w:lineRule="exact"/>
              <w:jc w:val="center"/>
              <w:textAlignment w:val="center"/>
              <w:rPr>
                <w:rFonts w:ascii="华文细黑" w:hAnsi="华文细黑"/>
                <w:sz w:val="24"/>
              </w:rPr>
            </w:pPr>
          </w:p>
        </w:tc>
        <w:tc>
          <w:tcPr>
            <w:tcW w:w="1205" w:type="dxa"/>
            <w:noWrap w:val="0"/>
            <w:vAlign w:val="top"/>
          </w:tcPr>
          <w:p w14:paraId="63577ABC">
            <w:pPr>
              <w:spacing w:line="440" w:lineRule="exact"/>
              <w:jc w:val="center"/>
              <w:textAlignment w:val="center"/>
              <w:rPr>
                <w:rFonts w:ascii="华文细黑" w:hAnsi="华文细黑"/>
                <w:sz w:val="24"/>
              </w:rPr>
            </w:pPr>
          </w:p>
        </w:tc>
        <w:tc>
          <w:tcPr>
            <w:tcW w:w="844" w:type="dxa"/>
            <w:noWrap w:val="0"/>
            <w:vAlign w:val="top"/>
          </w:tcPr>
          <w:p w14:paraId="7BE5A92D">
            <w:pPr>
              <w:spacing w:line="440" w:lineRule="exact"/>
              <w:jc w:val="center"/>
              <w:textAlignment w:val="center"/>
              <w:rPr>
                <w:rFonts w:ascii="华文细黑" w:hAnsi="华文细黑"/>
                <w:sz w:val="24"/>
              </w:rPr>
            </w:pPr>
          </w:p>
        </w:tc>
        <w:tc>
          <w:tcPr>
            <w:tcW w:w="1098" w:type="dxa"/>
            <w:noWrap w:val="0"/>
            <w:vAlign w:val="top"/>
          </w:tcPr>
          <w:p w14:paraId="4D53294D">
            <w:pPr>
              <w:spacing w:line="440" w:lineRule="exact"/>
              <w:jc w:val="center"/>
              <w:textAlignment w:val="center"/>
              <w:rPr>
                <w:rFonts w:ascii="华文细黑" w:hAnsi="华文细黑"/>
                <w:sz w:val="24"/>
              </w:rPr>
            </w:pPr>
          </w:p>
        </w:tc>
        <w:tc>
          <w:tcPr>
            <w:tcW w:w="745" w:type="dxa"/>
            <w:noWrap w:val="0"/>
            <w:vAlign w:val="top"/>
          </w:tcPr>
          <w:p w14:paraId="096C3780">
            <w:pPr>
              <w:spacing w:line="440" w:lineRule="exact"/>
              <w:jc w:val="center"/>
              <w:textAlignment w:val="center"/>
              <w:rPr>
                <w:rFonts w:ascii="华文细黑" w:hAnsi="华文细黑"/>
                <w:sz w:val="24"/>
              </w:rPr>
            </w:pPr>
          </w:p>
        </w:tc>
        <w:tc>
          <w:tcPr>
            <w:tcW w:w="819" w:type="dxa"/>
            <w:noWrap w:val="0"/>
            <w:vAlign w:val="top"/>
          </w:tcPr>
          <w:p w14:paraId="3F347649">
            <w:pPr>
              <w:spacing w:line="440" w:lineRule="exact"/>
              <w:jc w:val="center"/>
              <w:textAlignment w:val="center"/>
              <w:rPr>
                <w:rFonts w:ascii="华文细黑" w:hAnsi="华文细黑"/>
                <w:sz w:val="24"/>
              </w:rPr>
            </w:pPr>
          </w:p>
        </w:tc>
        <w:tc>
          <w:tcPr>
            <w:tcW w:w="1345" w:type="dxa"/>
            <w:noWrap w:val="0"/>
            <w:vAlign w:val="top"/>
          </w:tcPr>
          <w:p w14:paraId="1C651ADA">
            <w:pPr>
              <w:spacing w:line="440" w:lineRule="exact"/>
              <w:jc w:val="center"/>
              <w:textAlignment w:val="center"/>
              <w:rPr>
                <w:rFonts w:ascii="华文细黑" w:hAnsi="华文细黑"/>
                <w:sz w:val="24"/>
              </w:rPr>
            </w:pPr>
          </w:p>
        </w:tc>
        <w:tc>
          <w:tcPr>
            <w:tcW w:w="970" w:type="dxa"/>
            <w:noWrap w:val="0"/>
            <w:vAlign w:val="top"/>
          </w:tcPr>
          <w:p w14:paraId="02E9E5C5">
            <w:pPr>
              <w:spacing w:line="440" w:lineRule="exact"/>
              <w:jc w:val="center"/>
              <w:textAlignment w:val="center"/>
              <w:rPr>
                <w:rFonts w:ascii="华文细黑" w:hAnsi="华文细黑"/>
                <w:sz w:val="24"/>
              </w:rPr>
            </w:pPr>
          </w:p>
        </w:tc>
        <w:tc>
          <w:tcPr>
            <w:tcW w:w="1170" w:type="dxa"/>
            <w:noWrap w:val="0"/>
            <w:vAlign w:val="top"/>
          </w:tcPr>
          <w:p w14:paraId="2142B9C4">
            <w:pPr>
              <w:spacing w:line="440" w:lineRule="exact"/>
              <w:jc w:val="center"/>
              <w:textAlignment w:val="center"/>
              <w:rPr>
                <w:rFonts w:ascii="华文细黑" w:hAnsi="华文细黑"/>
                <w:sz w:val="24"/>
              </w:rPr>
            </w:pPr>
          </w:p>
        </w:tc>
        <w:tc>
          <w:tcPr>
            <w:tcW w:w="767" w:type="dxa"/>
            <w:noWrap w:val="0"/>
            <w:vAlign w:val="top"/>
          </w:tcPr>
          <w:p w14:paraId="6D8F90B1">
            <w:pPr>
              <w:spacing w:line="440" w:lineRule="exact"/>
              <w:jc w:val="center"/>
              <w:textAlignment w:val="center"/>
              <w:rPr>
                <w:rFonts w:ascii="华文细黑" w:hAnsi="华文细黑"/>
                <w:sz w:val="24"/>
              </w:rPr>
            </w:pPr>
          </w:p>
        </w:tc>
      </w:tr>
      <w:tr w14:paraId="440BBE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40" w:type="dxa"/>
            <w:noWrap w:val="0"/>
            <w:vAlign w:val="top"/>
          </w:tcPr>
          <w:p w14:paraId="13F0BA18">
            <w:pPr>
              <w:spacing w:line="440" w:lineRule="exact"/>
              <w:jc w:val="center"/>
              <w:textAlignment w:val="center"/>
              <w:rPr>
                <w:rFonts w:ascii="华文细黑" w:hAnsi="华文细黑"/>
                <w:sz w:val="24"/>
              </w:rPr>
            </w:pPr>
          </w:p>
        </w:tc>
        <w:tc>
          <w:tcPr>
            <w:tcW w:w="1205" w:type="dxa"/>
            <w:noWrap w:val="0"/>
            <w:vAlign w:val="top"/>
          </w:tcPr>
          <w:p w14:paraId="45AEEBB9">
            <w:pPr>
              <w:spacing w:line="440" w:lineRule="exact"/>
              <w:jc w:val="center"/>
              <w:textAlignment w:val="center"/>
              <w:rPr>
                <w:rFonts w:ascii="华文细黑" w:hAnsi="华文细黑"/>
                <w:sz w:val="24"/>
              </w:rPr>
            </w:pPr>
          </w:p>
        </w:tc>
        <w:tc>
          <w:tcPr>
            <w:tcW w:w="844" w:type="dxa"/>
            <w:noWrap w:val="0"/>
            <w:vAlign w:val="top"/>
          </w:tcPr>
          <w:p w14:paraId="0E51B7E0">
            <w:pPr>
              <w:spacing w:line="440" w:lineRule="exact"/>
              <w:jc w:val="center"/>
              <w:textAlignment w:val="center"/>
              <w:rPr>
                <w:rFonts w:ascii="华文细黑" w:hAnsi="华文细黑"/>
                <w:sz w:val="24"/>
              </w:rPr>
            </w:pPr>
          </w:p>
        </w:tc>
        <w:tc>
          <w:tcPr>
            <w:tcW w:w="1098" w:type="dxa"/>
            <w:noWrap w:val="0"/>
            <w:vAlign w:val="top"/>
          </w:tcPr>
          <w:p w14:paraId="12A35D0A">
            <w:pPr>
              <w:spacing w:line="440" w:lineRule="exact"/>
              <w:jc w:val="center"/>
              <w:textAlignment w:val="center"/>
              <w:rPr>
                <w:rFonts w:ascii="华文细黑" w:hAnsi="华文细黑"/>
                <w:sz w:val="24"/>
              </w:rPr>
            </w:pPr>
          </w:p>
        </w:tc>
        <w:tc>
          <w:tcPr>
            <w:tcW w:w="745" w:type="dxa"/>
            <w:noWrap w:val="0"/>
            <w:vAlign w:val="top"/>
          </w:tcPr>
          <w:p w14:paraId="774072B8">
            <w:pPr>
              <w:spacing w:line="440" w:lineRule="exact"/>
              <w:jc w:val="center"/>
              <w:textAlignment w:val="center"/>
              <w:rPr>
                <w:rFonts w:ascii="华文细黑" w:hAnsi="华文细黑"/>
                <w:sz w:val="24"/>
              </w:rPr>
            </w:pPr>
          </w:p>
        </w:tc>
        <w:tc>
          <w:tcPr>
            <w:tcW w:w="819" w:type="dxa"/>
            <w:noWrap w:val="0"/>
            <w:vAlign w:val="top"/>
          </w:tcPr>
          <w:p w14:paraId="6EE17238">
            <w:pPr>
              <w:spacing w:line="440" w:lineRule="exact"/>
              <w:jc w:val="center"/>
              <w:textAlignment w:val="center"/>
              <w:rPr>
                <w:rFonts w:ascii="华文细黑" w:hAnsi="华文细黑"/>
                <w:sz w:val="24"/>
              </w:rPr>
            </w:pPr>
          </w:p>
        </w:tc>
        <w:tc>
          <w:tcPr>
            <w:tcW w:w="1345" w:type="dxa"/>
            <w:noWrap w:val="0"/>
            <w:vAlign w:val="top"/>
          </w:tcPr>
          <w:p w14:paraId="3E13A1B9">
            <w:pPr>
              <w:spacing w:line="440" w:lineRule="exact"/>
              <w:jc w:val="center"/>
              <w:textAlignment w:val="center"/>
              <w:rPr>
                <w:rFonts w:ascii="华文细黑" w:hAnsi="华文细黑"/>
                <w:sz w:val="24"/>
              </w:rPr>
            </w:pPr>
          </w:p>
        </w:tc>
        <w:tc>
          <w:tcPr>
            <w:tcW w:w="970" w:type="dxa"/>
            <w:noWrap w:val="0"/>
            <w:vAlign w:val="top"/>
          </w:tcPr>
          <w:p w14:paraId="07B1102D">
            <w:pPr>
              <w:spacing w:line="440" w:lineRule="exact"/>
              <w:jc w:val="center"/>
              <w:textAlignment w:val="center"/>
              <w:rPr>
                <w:rFonts w:ascii="华文细黑" w:hAnsi="华文细黑"/>
                <w:sz w:val="24"/>
              </w:rPr>
            </w:pPr>
          </w:p>
        </w:tc>
        <w:tc>
          <w:tcPr>
            <w:tcW w:w="1170" w:type="dxa"/>
            <w:noWrap w:val="0"/>
            <w:vAlign w:val="top"/>
          </w:tcPr>
          <w:p w14:paraId="32A543B7">
            <w:pPr>
              <w:spacing w:line="440" w:lineRule="exact"/>
              <w:jc w:val="center"/>
              <w:textAlignment w:val="center"/>
              <w:rPr>
                <w:rFonts w:ascii="华文细黑" w:hAnsi="华文细黑"/>
                <w:sz w:val="24"/>
              </w:rPr>
            </w:pPr>
          </w:p>
        </w:tc>
        <w:tc>
          <w:tcPr>
            <w:tcW w:w="767" w:type="dxa"/>
            <w:noWrap w:val="0"/>
            <w:vAlign w:val="top"/>
          </w:tcPr>
          <w:p w14:paraId="2E630294">
            <w:pPr>
              <w:spacing w:line="440" w:lineRule="exact"/>
              <w:jc w:val="center"/>
              <w:textAlignment w:val="center"/>
              <w:rPr>
                <w:rFonts w:ascii="华文细黑" w:hAnsi="华文细黑"/>
                <w:sz w:val="24"/>
              </w:rPr>
            </w:pPr>
          </w:p>
        </w:tc>
      </w:tr>
      <w:tr w14:paraId="741B38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40" w:type="dxa"/>
            <w:noWrap w:val="0"/>
            <w:vAlign w:val="top"/>
          </w:tcPr>
          <w:p w14:paraId="2438F28C">
            <w:pPr>
              <w:spacing w:line="440" w:lineRule="exact"/>
              <w:jc w:val="center"/>
              <w:textAlignment w:val="center"/>
              <w:rPr>
                <w:rFonts w:ascii="华文细黑" w:hAnsi="华文细黑"/>
                <w:sz w:val="24"/>
              </w:rPr>
            </w:pPr>
          </w:p>
        </w:tc>
        <w:tc>
          <w:tcPr>
            <w:tcW w:w="1205" w:type="dxa"/>
            <w:noWrap w:val="0"/>
            <w:vAlign w:val="top"/>
          </w:tcPr>
          <w:p w14:paraId="776648A8">
            <w:pPr>
              <w:spacing w:line="440" w:lineRule="exact"/>
              <w:jc w:val="center"/>
              <w:textAlignment w:val="center"/>
              <w:rPr>
                <w:rFonts w:ascii="华文细黑" w:hAnsi="华文细黑"/>
                <w:sz w:val="24"/>
              </w:rPr>
            </w:pPr>
          </w:p>
        </w:tc>
        <w:tc>
          <w:tcPr>
            <w:tcW w:w="844" w:type="dxa"/>
            <w:noWrap w:val="0"/>
            <w:vAlign w:val="top"/>
          </w:tcPr>
          <w:p w14:paraId="489511C9">
            <w:pPr>
              <w:spacing w:line="440" w:lineRule="exact"/>
              <w:jc w:val="center"/>
              <w:textAlignment w:val="center"/>
              <w:rPr>
                <w:rFonts w:ascii="华文细黑" w:hAnsi="华文细黑"/>
                <w:sz w:val="24"/>
              </w:rPr>
            </w:pPr>
          </w:p>
        </w:tc>
        <w:tc>
          <w:tcPr>
            <w:tcW w:w="1098" w:type="dxa"/>
            <w:noWrap w:val="0"/>
            <w:vAlign w:val="top"/>
          </w:tcPr>
          <w:p w14:paraId="05C627C1">
            <w:pPr>
              <w:spacing w:line="440" w:lineRule="exact"/>
              <w:jc w:val="center"/>
              <w:textAlignment w:val="center"/>
              <w:rPr>
                <w:rFonts w:ascii="华文细黑" w:hAnsi="华文细黑"/>
                <w:sz w:val="24"/>
              </w:rPr>
            </w:pPr>
          </w:p>
        </w:tc>
        <w:tc>
          <w:tcPr>
            <w:tcW w:w="745" w:type="dxa"/>
            <w:noWrap w:val="0"/>
            <w:vAlign w:val="top"/>
          </w:tcPr>
          <w:p w14:paraId="364A2EA3">
            <w:pPr>
              <w:spacing w:line="440" w:lineRule="exact"/>
              <w:jc w:val="center"/>
              <w:textAlignment w:val="center"/>
              <w:rPr>
                <w:rFonts w:ascii="华文细黑" w:hAnsi="华文细黑"/>
                <w:sz w:val="24"/>
              </w:rPr>
            </w:pPr>
          </w:p>
        </w:tc>
        <w:tc>
          <w:tcPr>
            <w:tcW w:w="819" w:type="dxa"/>
            <w:noWrap w:val="0"/>
            <w:vAlign w:val="top"/>
          </w:tcPr>
          <w:p w14:paraId="0286D9F6">
            <w:pPr>
              <w:spacing w:line="440" w:lineRule="exact"/>
              <w:jc w:val="center"/>
              <w:textAlignment w:val="center"/>
              <w:rPr>
                <w:rFonts w:ascii="华文细黑" w:hAnsi="华文细黑"/>
                <w:sz w:val="24"/>
              </w:rPr>
            </w:pPr>
          </w:p>
        </w:tc>
        <w:tc>
          <w:tcPr>
            <w:tcW w:w="1345" w:type="dxa"/>
            <w:noWrap w:val="0"/>
            <w:vAlign w:val="top"/>
          </w:tcPr>
          <w:p w14:paraId="0CC61D4C">
            <w:pPr>
              <w:spacing w:line="440" w:lineRule="exact"/>
              <w:jc w:val="center"/>
              <w:textAlignment w:val="center"/>
              <w:rPr>
                <w:rFonts w:ascii="华文细黑" w:hAnsi="华文细黑"/>
                <w:sz w:val="24"/>
              </w:rPr>
            </w:pPr>
          </w:p>
        </w:tc>
        <w:tc>
          <w:tcPr>
            <w:tcW w:w="970" w:type="dxa"/>
            <w:noWrap w:val="0"/>
            <w:vAlign w:val="top"/>
          </w:tcPr>
          <w:p w14:paraId="2881F521">
            <w:pPr>
              <w:spacing w:line="440" w:lineRule="exact"/>
              <w:jc w:val="center"/>
              <w:textAlignment w:val="center"/>
              <w:rPr>
                <w:rFonts w:ascii="华文细黑" w:hAnsi="华文细黑"/>
                <w:sz w:val="24"/>
              </w:rPr>
            </w:pPr>
          </w:p>
        </w:tc>
        <w:tc>
          <w:tcPr>
            <w:tcW w:w="1170" w:type="dxa"/>
            <w:noWrap w:val="0"/>
            <w:vAlign w:val="top"/>
          </w:tcPr>
          <w:p w14:paraId="5F6877AE">
            <w:pPr>
              <w:spacing w:line="440" w:lineRule="exact"/>
              <w:jc w:val="center"/>
              <w:textAlignment w:val="center"/>
              <w:rPr>
                <w:rFonts w:ascii="华文细黑" w:hAnsi="华文细黑"/>
                <w:sz w:val="24"/>
              </w:rPr>
            </w:pPr>
          </w:p>
        </w:tc>
        <w:tc>
          <w:tcPr>
            <w:tcW w:w="767" w:type="dxa"/>
            <w:noWrap w:val="0"/>
            <w:vAlign w:val="top"/>
          </w:tcPr>
          <w:p w14:paraId="0ED2E7E9">
            <w:pPr>
              <w:spacing w:line="440" w:lineRule="exact"/>
              <w:jc w:val="center"/>
              <w:textAlignment w:val="center"/>
              <w:rPr>
                <w:rFonts w:ascii="华文细黑" w:hAnsi="华文细黑"/>
                <w:sz w:val="24"/>
              </w:rPr>
            </w:pPr>
          </w:p>
        </w:tc>
      </w:tr>
      <w:tr w14:paraId="77C5A6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40" w:type="dxa"/>
            <w:noWrap w:val="0"/>
            <w:vAlign w:val="top"/>
          </w:tcPr>
          <w:p w14:paraId="006F818D">
            <w:pPr>
              <w:spacing w:line="440" w:lineRule="exact"/>
              <w:jc w:val="center"/>
              <w:textAlignment w:val="center"/>
              <w:rPr>
                <w:rFonts w:ascii="华文细黑" w:hAnsi="华文细黑"/>
                <w:sz w:val="24"/>
              </w:rPr>
            </w:pPr>
          </w:p>
        </w:tc>
        <w:tc>
          <w:tcPr>
            <w:tcW w:w="1205" w:type="dxa"/>
            <w:noWrap w:val="0"/>
            <w:vAlign w:val="top"/>
          </w:tcPr>
          <w:p w14:paraId="30219B63">
            <w:pPr>
              <w:spacing w:line="440" w:lineRule="exact"/>
              <w:jc w:val="center"/>
              <w:textAlignment w:val="center"/>
              <w:rPr>
                <w:rFonts w:ascii="华文细黑" w:hAnsi="华文细黑"/>
                <w:sz w:val="24"/>
              </w:rPr>
            </w:pPr>
          </w:p>
        </w:tc>
        <w:tc>
          <w:tcPr>
            <w:tcW w:w="844" w:type="dxa"/>
            <w:noWrap w:val="0"/>
            <w:vAlign w:val="top"/>
          </w:tcPr>
          <w:p w14:paraId="554664E1">
            <w:pPr>
              <w:spacing w:line="440" w:lineRule="exact"/>
              <w:jc w:val="center"/>
              <w:textAlignment w:val="center"/>
              <w:rPr>
                <w:rFonts w:ascii="华文细黑" w:hAnsi="华文细黑"/>
                <w:sz w:val="24"/>
              </w:rPr>
            </w:pPr>
          </w:p>
        </w:tc>
        <w:tc>
          <w:tcPr>
            <w:tcW w:w="1098" w:type="dxa"/>
            <w:noWrap w:val="0"/>
            <w:vAlign w:val="top"/>
          </w:tcPr>
          <w:p w14:paraId="5842325D">
            <w:pPr>
              <w:spacing w:line="440" w:lineRule="exact"/>
              <w:jc w:val="center"/>
              <w:textAlignment w:val="center"/>
              <w:rPr>
                <w:rFonts w:ascii="华文细黑" w:hAnsi="华文细黑"/>
                <w:sz w:val="24"/>
              </w:rPr>
            </w:pPr>
          </w:p>
        </w:tc>
        <w:tc>
          <w:tcPr>
            <w:tcW w:w="745" w:type="dxa"/>
            <w:noWrap w:val="0"/>
            <w:vAlign w:val="top"/>
          </w:tcPr>
          <w:p w14:paraId="761EE103">
            <w:pPr>
              <w:spacing w:line="440" w:lineRule="exact"/>
              <w:jc w:val="center"/>
              <w:textAlignment w:val="center"/>
              <w:rPr>
                <w:rFonts w:ascii="华文细黑" w:hAnsi="华文细黑"/>
                <w:sz w:val="24"/>
              </w:rPr>
            </w:pPr>
          </w:p>
        </w:tc>
        <w:tc>
          <w:tcPr>
            <w:tcW w:w="819" w:type="dxa"/>
            <w:noWrap w:val="0"/>
            <w:vAlign w:val="top"/>
          </w:tcPr>
          <w:p w14:paraId="41AB09B1">
            <w:pPr>
              <w:spacing w:line="440" w:lineRule="exact"/>
              <w:jc w:val="center"/>
              <w:textAlignment w:val="center"/>
              <w:rPr>
                <w:rFonts w:ascii="华文细黑" w:hAnsi="华文细黑"/>
                <w:sz w:val="24"/>
              </w:rPr>
            </w:pPr>
          </w:p>
        </w:tc>
        <w:tc>
          <w:tcPr>
            <w:tcW w:w="1345" w:type="dxa"/>
            <w:noWrap w:val="0"/>
            <w:vAlign w:val="top"/>
          </w:tcPr>
          <w:p w14:paraId="59CE9509">
            <w:pPr>
              <w:spacing w:line="440" w:lineRule="exact"/>
              <w:jc w:val="center"/>
              <w:textAlignment w:val="center"/>
              <w:rPr>
                <w:rFonts w:ascii="华文细黑" w:hAnsi="华文细黑"/>
                <w:sz w:val="24"/>
              </w:rPr>
            </w:pPr>
          </w:p>
        </w:tc>
        <w:tc>
          <w:tcPr>
            <w:tcW w:w="970" w:type="dxa"/>
            <w:noWrap w:val="0"/>
            <w:vAlign w:val="top"/>
          </w:tcPr>
          <w:p w14:paraId="113F326F">
            <w:pPr>
              <w:spacing w:line="440" w:lineRule="exact"/>
              <w:jc w:val="center"/>
              <w:textAlignment w:val="center"/>
              <w:rPr>
                <w:rFonts w:ascii="华文细黑" w:hAnsi="华文细黑"/>
                <w:sz w:val="24"/>
              </w:rPr>
            </w:pPr>
          </w:p>
        </w:tc>
        <w:tc>
          <w:tcPr>
            <w:tcW w:w="1170" w:type="dxa"/>
            <w:noWrap w:val="0"/>
            <w:vAlign w:val="top"/>
          </w:tcPr>
          <w:p w14:paraId="30FB535E">
            <w:pPr>
              <w:spacing w:line="440" w:lineRule="exact"/>
              <w:jc w:val="center"/>
              <w:textAlignment w:val="center"/>
              <w:rPr>
                <w:rFonts w:ascii="华文细黑" w:hAnsi="华文细黑"/>
                <w:sz w:val="24"/>
              </w:rPr>
            </w:pPr>
          </w:p>
        </w:tc>
        <w:tc>
          <w:tcPr>
            <w:tcW w:w="767" w:type="dxa"/>
            <w:noWrap w:val="0"/>
            <w:vAlign w:val="top"/>
          </w:tcPr>
          <w:p w14:paraId="2C1369DF">
            <w:pPr>
              <w:spacing w:line="440" w:lineRule="exact"/>
              <w:jc w:val="center"/>
              <w:textAlignment w:val="center"/>
              <w:rPr>
                <w:rFonts w:ascii="华文细黑" w:hAnsi="华文细黑"/>
                <w:sz w:val="24"/>
              </w:rPr>
            </w:pPr>
          </w:p>
        </w:tc>
      </w:tr>
      <w:tr w14:paraId="4772BE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40" w:type="dxa"/>
            <w:noWrap w:val="0"/>
            <w:vAlign w:val="top"/>
          </w:tcPr>
          <w:p w14:paraId="36CB26B8">
            <w:pPr>
              <w:spacing w:line="440" w:lineRule="exact"/>
              <w:jc w:val="center"/>
              <w:textAlignment w:val="center"/>
              <w:rPr>
                <w:rFonts w:ascii="华文细黑" w:hAnsi="华文细黑"/>
                <w:sz w:val="24"/>
              </w:rPr>
            </w:pPr>
          </w:p>
        </w:tc>
        <w:tc>
          <w:tcPr>
            <w:tcW w:w="1205" w:type="dxa"/>
            <w:noWrap w:val="0"/>
            <w:vAlign w:val="top"/>
          </w:tcPr>
          <w:p w14:paraId="28D09507">
            <w:pPr>
              <w:spacing w:line="440" w:lineRule="exact"/>
              <w:jc w:val="center"/>
              <w:textAlignment w:val="center"/>
              <w:rPr>
                <w:rFonts w:ascii="华文细黑" w:hAnsi="华文细黑"/>
                <w:sz w:val="24"/>
              </w:rPr>
            </w:pPr>
          </w:p>
        </w:tc>
        <w:tc>
          <w:tcPr>
            <w:tcW w:w="844" w:type="dxa"/>
            <w:noWrap w:val="0"/>
            <w:vAlign w:val="top"/>
          </w:tcPr>
          <w:p w14:paraId="29280755">
            <w:pPr>
              <w:spacing w:line="440" w:lineRule="exact"/>
              <w:jc w:val="center"/>
              <w:textAlignment w:val="center"/>
              <w:rPr>
                <w:rFonts w:ascii="华文细黑" w:hAnsi="华文细黑"/>
                <w:sz w:val="24"/>
              </w:rPr>
            </w:pPr>
          </w:p>
        </w:tc>
        <w:tc>
          <w:tcPr>
            <w:tcW w:w="1098" w:type="dxa"/>
            <w:noWrap w:val="0"/>
            <w:vAlign w:val="top"/>
          </w:tcPr>
          <w:p w14:paraId="3E19E82A">
            <w:pPr>
              <w:spacing w:line="440" w:lineRule="exact"/>
              <w:jc w:val="center"/>
              <w:textAlignment w:val="center"/>
              <w:rPr>
                <w:rFonts w:ascii="华文细黑" w:hAnsi="华文细黑"/>
                <w:sz w:val="24"/>
              </w:rPr>
            </w:pPr>
          </w:p>
        </w:tc>
        <w:tc>
          <w:tcPr>
            <w:tcW w:w="745" w:type="dxa"/>
            <w:noWrap w:val="0"/>
            <w:vAlign w:val="top"/>
          </w:tcPr>
          <w:p w14:paraId="439A15CE">
            <w:pPr>
              <w:spacing w:line="440" w:lineRule="exact"/>
              <w:jc w:val="center"/>
              <w:textAlignment w:val="center"/>
              <w:rPr>
                <w:rFonts w:ascii="华文细黑" w:hAnsi="华文细黑"/>
                <w:sz w:val="24"/>
              </w:rPr>
            </w:pPr>
          </w:p>
        </w:tc>
        <w:tc>
          <w:tcPr>
            <w:tcW w:w="819" w:type="dxa"/>
            <w:noWrap w:val="0"/>
            <w:vAlign w:val="top"/>
          </w:tcPr>
          <w:p w14:paraId="6C0AA79D">
            <w:pPr>
              <w:spacing w:line="440" w:lineRule="exact"/>
              <w:jc w:val="center"/>
              <w:textAlignment w:val="center"/>
              <w:rPr>
                <w:rFonts w:ascii="华文细黑" w:hAnsi="华文细黑"/>
                <w:sz w:val="24"/>
              </w:rPr>
            </w:pPr>
          </w:p>
        </w:tc>
        <w:tc>
          <w:tcPr>
            <w:tcW w:w="1345" w:type="dxa"/>
            <w:noWrap w:val="0"/>
            <w:vAlign w:val="top"/>
          </w:tcPr>
          <w:p w14:paraId="2039ED78">
            <w:pPr>
              <w:spacing w:line="440" w:lineRule="exact"/>
              <w:jc w:val="center"/>
              <w:textAlignment w:val="center"/>
              <w:rPr>
                <w:rFonts w:ascii="华文细黑" w:hAnsi="华文细黑"/>
                <w:sz w:val="24"/>
              </w:rPr>
            </w:pPr>
          </w:p>
        </w:tc>
        <w:tc>
          <w:tcPr>
            <w:tcW w:w="970" w:type="dxa"/>
            <w:noWrap w:val="0"/>
            <w:vAlign w:val="top"/>
          </w:tcPr>
          <w:p w14:paraId="1E101B8E">
            <w:pPr>
              <w:spacing w:line="440" w:lineRule="exact"/>
              <w:jc w:val="center"/>
              <w:textAlignment w:val="center"/>
              <w:rPr>
                <w:rFonts w:ascii="华文细黑" w:hAnsi="华文细黑"/>
                <w:sz w:val="24"/>
              </w:rPr>
            </w:pPr>
          </w:p>
        </w:tc>
        <w:tc>
          <w:tcPr>
            <w:tcW w:w="1170" w:type="dxa"/>
            <w:noWrap w:val="0"/>
            <w:vAlign w:val="top"/>
          </w:tcPr>
          <w:p w14:paraId="1321E18F">
            <w:pPr>
              <w:spacing w:line="440" w:lineRule="exact"/>
              <w:jc w:val="center"/>
              <w:textAlignment w:val="center"/>
              <w:rPr>
                <w:rFonts w:ascii="华文细黑" w:hAnsi="华文细黑"/>
                <w:sz w:val="24"/>
              </w:rPr>
            </w:pPr>
          </w:p>
        </w:tc>
        <w:tc>
          <w:tcPr>
            <w:tcW w:w="767" w:type="dxa"/>
            <w:noWrap w:val="0"/>
            <w:vAlign w:val="top"/>
          </w:tcPr>
          <w:p w14:paraId="40D8635E">
            <w:pPr>
              <w:spacing w:line="440" w:lineRule="exact"/>
              <w:jc w:val="center"/>
              <w:textAlignment w:val="center"/>
              <w:rPr>
                <w:rFonts w:ascii="华文细黑" w:hAnsi="华文细黑"/>
                <w:sz w:val="24"/>
              </w:rPr>
            </w:pPr>
          </w:p>
        </w:tc>
      </w:tr>
    </w:tbl>
    <w:p w14:paraId="52DCCE36">
      <w:pPr>
        <w:spacing w:line="440" w:lineRule="exact"/>
        <w:rPr>
          <w:rFonts w:eastAsia="黑体"/>
          <w:sz w:val="20"/>
          <w:szCs w:val="20"/>
        </w:rPr>
      </w:pPr>
    </w:p>
    <w:p w14:paraId="62C332EB">
      <w:pPr>
        <w:spacing w:line="440" w:lineRule="exact"/>
        <w:rPr>
          <w:rFonts w:eastAsia="黑体"/>
          <w:sz w:val="20"/>
          <w:szCs w:val="20"/>
        </w:rPr>
      </w:pPr>
      <w:r>
        <w:rPr>
          <w:rFonts w:eastAsia="黑体"/>
          <w:sz w:val="20"/>
          <w:szCs w:val="20"/>
        </w:rPr>
        <w:br w:type="page"/>
      </w:r>
    </w:p>
    <w:p w14:paraId="1A76B9AA">
      <w:pPr>
        <w:pStyle w:val="87"/>
      </w:pPr>
      <w:bookmarkStart w:id="1578" w:name="_Toc251248803"/>
      <w:bookmarkStart w:id="1579" w:name="_Toc399073555"/>
      <w:bookmarkStart w:id="1580" w:name="_Toc152045798"/>
      <w:bookmarkStart w:id="1581" w:name="_Toc16268401"/>
      <w:bookmarkStart w:id="1582" w:name="_Toc16268912"/>
      <w:bookmarkStart w:id="1583" w:name="_Toc144974866"/>
      <w:bookmarkStart w:id="1584" w:name="_Toc100487596"/>
      <w:bookmarkStart w:id="1585" w:name="_Toc152042587"/>
      <w:r>
        <w:t>附表二：拟配备本标段的试验和检测仪器设备表</w:t>
      </w:r>
      <w:bookmarkEnd w:id="1578"/>
      <w:bookmarkEnd w:id="1579"/>
      <w:bookmarkEnd w:id="1580"/>
      <w:bookmarkEnd w:id="1581"/>
      <w:bookmarkEnd w:id="1582"/>
      <w:bookmarkEnd w:id="1583"/>
      <w:bookmarkEnd w:id="1584"/>
      <w:bookmarkEnd w:id="1585"/>
    </w:p>
    <w:p w14:paraId="2200F61D">
      <w:pPr>
        <w:spacing w:line="440" w:lineRule="exact"/>
        <w:rPr>
          <w:sz w:val="20"/>
          <w:szCs w:val="20"/>
        </w:rPr>
      </w:pPr>
    </w:p>
    <w:tbl>
      <w:tblPr>
        <w:tblStyle w:val="42"/>
        <w:tblW w:w="0" w:type="auto"/>
        <w:tblInd w:w="-10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39"/>
        <w:gridCol w:w="1206"/>
        <w:gridCol w:w="844"/>
        <w:gridCol w:w="1099"/>
        <w:gridCol w:w="746"/>
        <w:gridCol w:w="819"/>
        <w:gridCol w:w="1346"/>
        <w:gridCol w:w="1834"/>
        <w:gridCol w:w="763"/>
      </w:tblGrid>
      <w:tr w14:paraId="19F4A2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9" w:type="dxa"/>
            <w:noWrap w:val="0"/>
            <w:vAlign w:val="center"/>
          </w:tcPr>
          <w:p w14:paraId="21E665E2">
            <w:pPr>
              <w:spacing w:line="440" w:lineRule="exact"/>
              <w:jc w:val="center"/>
              <w:textAlignment w:val="center"/>
              <w:rPr>
                <w:rFonts w:ascii="华文细黑" w:hAnsi="华文细黑"/>
                <w:sz w:val="24"/>
              </w:rPr>
            </w:pPr>
            <w:r>
              <w:rPr>
                <w:rFonts w:ascii="华文细黑" w:hAnsi="华文细黑"/>
                <w:sz w:val="24"/>
              </w:rPr>
              <w:t>序号</w:t>
            </w:r>
          </w:p>
        </w:tc>
        <w:tc>
          <w:tcPr>
            <w:tcW w:w="1206" w:type="dxa"/>
            <w:noWrap w:val="0"/>
            <w:vAlign w:val="center"/>
          </w:tcPr>
          <w:p w14:paraId="7523C2D1">
            <w:pPr>
              <w:spacing w:line="440" w:lineRule="exact"/>
              <w:jc w:val="center"/>
              <w:textAlignment w:val="center"/>
              <w:rPr>
                <w:rFonts w:ascii="华文细黑" w:hAnsi="华文细黑"/>
                <w:sz w:val="24"/>
              </w:rPr>
            </w:pPr>
            <w:r>
              <w:rPr>
                <w:rFonts w:ascii="华文细黑" w:hAnsi="华文细黑"/>
                <w:sz w:val="24"/>
              </w:rPr>
              <w:t>仪器设备名称</w:t>
            </w:r>
          </w:p>
        </w:tc>
        <w:tc>
          <w:tcPr>
            <w:tcW w:w="844" w:type="dxa"/>
            <w:noWrap w:val="0"/>
            <w:vAlign w:val="center"/>
          </w:tcPr>
          <w:p w14:paraId="5B082387">
            <w:pPr>
              <w:spacing w:line="440" w:lineRule="exact"/>
              <w:jc w:val="center"/>
              <w:textAlignment w:val="center"/>
              <w:rPr>
                <w:rFonts w:ascii="华文细黑" w:hAnsi="华文细黑"/>
                <w:sz w:val="24"/>
              </w:rPr>
            </w:pPr>
            <w:r>
              <w:rPr>
                <w:rFonts w:ascii="华文细黑" w:hAnsi="华文细黑"/>
                <w:sz w:val="24"/>
              </w:rPr>
              <w:t>型号</w:t>
            </w:r>
          </w:p>
          <w:p w14:paraId="03CA4DAB">
            <w:pPr>
              <w:spacing w:line="440" w:lineRule="exact"/>
              <w:jc w:val="center"/>
              <w:textAlignment w:val="center"/>
              <w:rPr>
                <w:rFonts w:ascii="华文细黑" w:hAnsi="华文细黑"/>
                <w:sz w:val="24"/>
              </w:rPr>
            </w:pPr>
            <w:r>
              <w:rPr>
                <w:rFonts w:ascii="华文细黑" w:hAnsi="华文细黑"/>
                <w:sz w:val="24"/>
              </w:rPr>
              <w:t>规格</w:t>
            </w:r>
          </w:p>
        </w:tc>
        <w:tc>
          <w:tcPr>
            <w:tcW w:w="1099" w:type="dxa"/>
            <w:noWrap w:val="0"/>
            <w:vAlign w:val="center"/>
          </w:tcPr>
          <w:p w14:paraId="0413D6BD">
            <w:pPr>
              <w:spacing w:line="440" w:lineRule="exact"/>
              <w:jc w:val="center"/>
              <w:textAlignment w:val="center"/>
              <w:rPr>
                <w:rFonts w:ascii="华文细黑" w:hAnsi="华文细黑"/>
                <w:sz w:val="24"/>
              </w:rPr>
            </w:pPr>
            <w:r>
              <w:rPr>
                <w:rFonts w:ascii="华文细黑" w:hAnsi="华文细黑"/>
                <w:sz w:val="24"/>
              </w:rPr>
              <w:t>数量</w:t>
            </w:r>
          </w:p>
        </w:tc>
        <w:tc>
          <w:tcPr>
            <w:tcW w:w="746" w:type="dxa"/>
            <w:noWrap w:val="0"/>
            <w:vAlign w:val="center"/>
          </w:tcPr>
          <w:p w14:paraId="60C8AE0B">
            <w:pPr>
              <w:spacing w:line="440" w:lineRule="exact"/>
              <w:jc w:val="center"/>
              <w:textAlignment w:val="center"/>
              <w:rPr>
                <w:rFonts w:ascii="华文细黑" w:hAnsi="华文细黑"/>
                <w:sz w:val="24"/>
              </w:rPr>
            </w:pPr>
            <w:r>
              <w:rPr>
                <w:rFonts w:ascii="华文细黑" w:hAnsi="华文细黑"/>
                <w:sz w:val="24"/>
              </w:rPr>
              <w:t>国别</w:t>
            </w:r>
          </w:p>
          <w:p w14:paraId="01A356C9">
            <w:pPr>
              <w:spacing w:line="440" w:lineRule="exact"/>
              <w:jc w:val="center"/>
              <w:textAlignment w:val="center"/>
              <w:rPr>
                <w:rFonts w:ascii="华文细黑" w:hAnsi="华文细黑"/>
                <w:sz w:val="24"/>
              </w:rPr>
            </w:pPr>
            <w:r>
              <w:rPr>
                <w:rFonts w:ascii="华文细黑" w:hAnsi="华文细黑"/>
                <w:sz w:val="24"/>
              </w:rPr>
              <w:t>产地</w:t>
            </w:r>
          </w:p>
        </w:tc>
        <w:tc>
          <w:tcPr>
            <w:tcW w:w="819" w:type="dxa"/>
            <w:noWrap w:val="0"/>
            <w:vAlign w:val="center"/>
          </w:tcPr>
          <w:p w14:paraId="7EC6A5DD">
            <w:pPr>
              <w:spacing w:line="440" w:lineRule="exact"/>
              <w:jc w:val="center"/>
              <w:textAlignment w:val="center"/>
              <w:rPr>
                <w:rFonts w:ascii="华文细黑" w:hAnsi="华文细黑"/>
                <w:sz w:val="24"/>
              </w:rPr>
            </w:pPr>
            <w:r>
              <w:rPr>
                <w:rFonts w:ascii="华文细黑" w:hAnsi="华文细黑"/>
                <w:sz w:val="24"/>
              </w:rPr>
              <w:t>制造</w:t>
            </w:r>
          </w:p>
          <w:p w14:paraId="73FC81E5">
            <w:pPr>
              <w:spacing w:line="440" w:lineRule="exact"/>
              <w:jc w:val="center"/>
              <w:textAlignment w:val="center"/>
              <w:rPr>
                <w:rFonts w:ascii="华文细黑" w:hAnsi="华文细黑"/>
                <w:sz w:val="24"/>
              </w:rPr>
            </w:pPr>
            <w:r>
              <w:rPr>
                <w:rFonts w:ascii="华文细黑" w:hAnsi="华文细黑"/>
                <w:sz w:val="24"/>
              </w:rPr>
              <w:t>年份</w:t>
            </w:r>
          </w:p>
        </w:tc>
        <w:tc>
          <w:tcPr>
            <w:tcW w:w="1346" w:type="dxa"/>
            <w:noWrap w:val="0"/>
            <w:vAlign w:val="center"/>
          </w:tcPr>
          <w:p w14:paraId="1A90742B">
            <w:pPr>
              <w:spacing w:line="440" w:lineRule="exact"/>
              <w:jc w:val="center"/>
              <w:textAlignment w:val="center"/>
              <w:rPr>
                <w:rFonts w:ascii="华文细黑" w:hAnsi="华文细黑"/>
                <w:sz w:val="24"/>
              </w:rPr>
            </w:pPr>
            <w:r>
              <w:rPr>
                <w:rFonts w:ascii="华文细黑" w:hAnsi="华文细黑"/>
                <w:sz w:val="24"/>
              </w:rPr>
              <w:t>已使用台时数</w:t>
            </w:r>
          </w:p>
        </w:tc>
        <w:tc>
          <w:tcPr>
            <w:tcW w:w="1834" w:type="dxa"/>
            <w:noWrap w:val="0"/>
            <w:vAlign w:val="center"/>
          </w:tcPr>
          <w:p w14:paraId="2A913DAF">
            <w:pPr>
              <w:spacing w:line="440" w:lineRule="exact"/>
              <w:jc w:val="center"/>
              <w:textAlignment w:val="center"/>
              <w:rPr>
                <w:rFonts w:ascii="华文细黑" w:hAnsi="华文细黑"/>
                <w:sz w:val="24"/>
              </w:rPr>
            </w:pPr>
            <w:r>
              <w:rPr>
                <w:rFonts w:ascii="华文细黑" w:hAnsi="华文细黑"/>
                <w:sz w:val="24"/>
              </w:rPr>
              <w:t>用途</w:t>
            </w:r>
          </w:p>
        </w:tc>
        <w:tc>
          <w:tcPr>
            <w:tcW w:w="763" w:type="dxa"/>
            <w:noWrap w:val="0"/>
            <w:vAlign w:val="center"/>
          </w:tcPr>
          <w:p w14:paraId="23BCC0DB">
            <w:pPr>
              <w:spacing w:line="440" w:lineRule="exact"/>
              <w:jc w:val="center"/>
              <w:textAlignment w:val="center"/>
              <w:rPr>
                <w:rFonts w:ascii="华文细黑" w:hAnsi="华文细黑"/>
                <w:sz w:val="24"/>
              </w:rPr>
            </w:pPr>
            <w:r>
              <w:rPr>
                <w:rFonts w:ascii="华文细黑" w:hAnsi="华文细黑"/>
                <w:sz w:val="24"/>
              </w:rPr>
              <w:t>备注</w:t>
            </w:r>
          </w:p>
        </w:tc>
      </w:tr>
      <w:tr w14:paraId="2EE28E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9" w:type="dxa"/>
            <w:noWrap w:val="0"/>
            <w:vAlign w:val="center"/>
          </w:tcPr>
          <w:p w14:paraId="43ECEC3B">
            <w:pPr>
              <w:spacing w:line="440" w:lineRule="exact"/>
              <w:jc w:val="center"/>
              <w:textAlignment w:val="center"/>
              <w:rPr>
                <w:rFonts w:ascii="华文细黑" w:hAnsi="华文细黑"/>
                <w:sz w:val="24"/>
              </w:rPr>
            </w:pPr>
          </w:p>
        </w:tc>
        <w:tc>
          <w:tcPr>
            <w:tcW w:w="1206" w:type="dxa"/>
            <w:noWrap w:val="0"/>
            <w:vAlign w:val="center"/>
          </w:tcPr>
          <w:p w14:paraId="749866B3">
            <w:pPr>
              <w:spacing w:line="440" w:lineRule="exact"/>
              <w:jc w:val="center"/>
              <w:textAlignment w:val="center"/>
              <w:rPr>
                <w:rFonts w:ascii="华文细黑" w:hAnsi="华文细黑"/>
                <w:sz w:val="24"/>
              </w:rPr>
            </w:pPr>
          </w:p>
        </w:tc>
        <w:tc>
          <w:tcPr>
            <w:tcW w:w="844" w:type="dxa"/>
            <w:noWrap w:val="0"/>
            <w:vAlign w:val="center"/>
          </w:tcPr>
          <w:p w14:paraId="13F1967E">
            <w:pPr>
              <w:spacing w:line="440" w:lineRule="exact"/>
              <w:jc w:val="center"/>
              <w:textAlignment w:val="center"/>
              <w:rPr>
                <w:rFonts w:ascii="华文细黑" w:hAnsi="华文细黑"/>
                <w:sz w:val="24"/>
              </w:rPr>
            </w:pPr>
          </w:p>
        </w:tc>
        <w:tc>
          <w:tcPr>
            <w:tcW w:w="1099" w:type="dxa"/>
            <w:noWrap w:val="0"/>
            <w:vAlign w:val="center"/>
          </w:tcPr>
          <w:p w14:paraId="5056BF4B">
            <w:pPr>
              <w:spacing w:line="440" w:lineRule="exact"/>
              <w:jc w:val="center"/>
              <w:textAlignment w:val="center"/>
              <w:rPr>
                <w:rFonts w:ascii="华文细黑" w:hAnsi="华文细黑"/>
                <w:sz w:val="24"/>
              </w:rPr>
            </w:pPr>
          </w:p>
        </w:tc>
        <w:tc>
          <w:tcPr>
            <w:tcW w:w="746" w:type="dxa"/>
            <w:noWrap w:val="0"/>
            <w:vAlign w:val="center"/>
          </w:tcPr>
          <w:p w14:paraId="62B25DC2">
            <w:pPr>
              <w:spacing w:line="440" w:lineRule="exact"/>
              <w:jc w:val="center"/>
              <w:textAlignment w:val="center"/>
              <w:rPr>
                <w:rFonts w:ascii="华文细黑" w:hAnsi="华文细黑"/>
                <w:sz w:val="24"/>
              </w:rPr>
            </w:pPr>
          </w:p>
        </w:tc>
        <w:tc>
          <w:tcPr>
            <w:tcW w:w="819" w:type="dxa"/>
            <w:noWrap w:val="0"/>
            <w:vAlign w:val="center"/>
          </w:tcPr>
          <w:p w14:paraId="2EF7F760">
            <w:pPr>
              <w:spacing w:line="440" w:lineRule="exact"/>
              <w:jc w:val="center"/>
              <w:textAlignment w:val="center"/>
              <w:rPr>
                <w:rFonts w:ascii="华文细黑" w:hAnsi="华文细黑"/>
                <w:sz w:val="24"/>
              </w:rPr>
            </w:pPr>
          </w:p>
        </w:tc>
        <w:tc>
          <w:tcPr>
            <w:tcW w:w="1346" w:type="dxa"/>
            <w:noWrap w:val="0"/>
            <w:vAlign w:val="center"/>
          </w:tcPr>
          <w:p w14:paraId="2C7AA340">
            <w:pPr>
              <w:spacing w:line="440" w:lineRule="exact"/>
              <w:jc w:val="center"/>
              <w:textAlignment w:val="center"/>
              <w:rPr>
                <w:rFonts w:ascii="华文细黑" w:hAnsi="华文细黑"/>
                <w:sz w:val="24"/>
              </w:rPr>
            </w:pPr>
          </w:p>
        </w:tc>
        <w:tc>
          <w:tcPr>
            <w:tcW w:w="1834" w:type="dxa"/>
            <w:noWrap w:val="0"/>
            <w:vAlign w:val="center"/>
          </w:tcPr>
          <w:p w14:paraId="3CD1FF17">
            <w:pPr>
              <w:spacing w:line="440" w:lineRule="exact"/>
              <w:jc w:val="center"/>
              <w:textAlignment w:val="center"/>
              <w:rPr>
                <w:rFonts w:ascii="华文细黑" w:hAnsi="华文细黑"/>
                <w:sz w:val="24"/>
              </w:rPr>
            </w:pPr>
          </w:p>
        </w:tc>
        <w:tc>
          <w:tcPr>
            <w:tcW w:w="763" w:type="dxa"/>
            <w:noWrap w:val="0"/>
            <w:vAlign w:val="center"/>
          </w:tcPr>
          <w:p w14:paraId="68417DC3">
            <w:pPr>
              <w:spacing w:line="440" w:lineRule="exact"/>
              <w:jc w:val="center"/>
              <w:textAlignment w:val="center"/>
              <w:rPr>
                <w:rFonts w:ascii="华文细黑" w:hAnsi="华文细黑"/>
                <w:sz w:val="24"/>
              </w:rPr>
            </w:pPr>
          </w:p>
        </w:tc>
      </w:tr>
      <w:tr w14:paraId="515AA7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9" w:type="dxa"/>
            <w:noWrap w:val="0"/>
            <w:vAlign w:val="center"/>
          </w:tcPr>
          <w:p w14:paraId="5044AE1A">
            <w:pPr>
              <w:spacing w:line="440" w:lineRule="exact"/>
              <w:jc w:val="center"/>
              <w:textAlignment w:val="center"/>
              <w:rPr>
                <w:rFonts w:ascii="华文细黑" w:hAnsi="华文细黑"/>
                <w:sz w:val="24"/>
              </w:rPr>
            </w:pPr>
          </w:p>
        </w:tc>
        <w:tc>
          <w:tcPr>
            <w:tcW w:w="1206" w:type="dxa"/>
            <w:noWrap w:val="0"/>
            <w:vAlign w:val="center"/>
          </w:tcPr>
          <w:p w14:paraId="7CF166D7">
            <w:pPr>
              <w:spacing w:line="440" w:lineRule="exact"/>
              <w:jc w:val="center"/>
              <w:textAlignment w:val="center"/>
              <w:rPr>
                <w:rFonts w:ascii="华文细黑" w:hAnsi="华文细黑"/>
                <w:sz w:val="24"/>
              </w:rPr>
            </w:pPr>
          </w:p>
        </w:tc>
        <w:tc>
          <w:tcPr>
            <w:tcW w:w="844" w:type="dxa"/>
            <w:noWrap w:val="0"/>
            <w:vAlign w:val="center"/>
          </w:tcPr>
          <w:p w14:paraId="5A7ECC81">
            <w:pPr>
              <w:spacing w:line="440" w:lineRule="exact"/>
              <w:jc w:val="center"/>
              <w:textAlignment w:val="center"/>
              <w:rPr>
                <w:rFonts w:ascii="华文细黑" w:hAnsi="华文细黑"/>
                <w:sz w:val="24"/>
              </w:rPr>
            </w:pPr>
          </w:p>
        </w:tc>
        <w:tc>
          <w:tcPr>
            <w:tcW w:w="1099" w:type="dxa"/>
            <w:noWrap w:val="0"/>
            <w:vAlign w:val="center"/>
          </w:tcPr>
          <w:p w14:paraId="24D8B4E0">
            <w:pPr>
              <w:spacing w:line="440" w:lineRule="exact"/>
              <w:jc w:val="center"/>
              <w:textAlignment w:val="center"/>
              <w:rPr>
                <w:rFonts w:ascii="华文细黑" w:hAnsi="华文细黑"/>
                <w:sz w:val="24"/>
              </w:rPr>
            </w:pPr>
          </w:p>
        </w:tc>
        <w:tc>
          <w:tcPr>
            <w:tcW w:w="746" w:type="dxa"/>
            <w:noWrap w:val="0"/>
            <w:vAlign w:val="center"/>
          </w:tcPr>
          <w:p w14:paraId="19C52E9D">
            <w:pPr>
              <w:spacing w:line="440" w:lineRule="exact"/>
              <w:jc w:val="center"/>
              <w:textAlignment w:val="center"/>
              <w:rPr>
                <w:rFonts w:ascii="华文细黑" w:hAnsi="华文细黑"/>
                <w:sz w:val="24"/>
              </w:rPr>
            </w:pPr>
          </w:p>
        </w:tc>
        <w:tc>
          <w:tcPr>
            <w:tcW w:w="819" w:type="dxa"/>
            <w:noWrap w:val="0"/>
            <w:vAlign w:val="center"/>
          </w:tcPr>
          <w:p w14:paraId="0645C88A">
            <w:pPr>
              <w:spacing w:line="440" w:lineRule="exact"/>
              <w:jc w:val="center"/>
              <w:textAlignment w:val="center"/>
              <w:rPr>
                <w:rFonts w:ascii="华文细黑" w:hAnsi="华文细黑"/>
                <w:sz w:val="24"/>
              </w:rPr>
            </w:pPr>
          </w:p>
        </w:tc>
        <w:tc>
          <w:tcPr>
            <w:tcW w:w="1346" w:type="dxa"/>
            <w:noWrap w:val="0"/>
            <w:vAlign w:val="center"/>
          </w:tcPr>
          <w:p w14:paraId="397BCDAA">
            <w:pPr>
              <w:spacing w:line="440" w:lineRule="exact"/>
              <w:jc w:val="center"/>
              <w:textAlignment w:val="center"/>
              <w:rPr>
                <w:rFonts w:ascii="华文细黑" w:hAnsi="华文细黑"/>
                <w:sz w:val="24"/>
              </w:rPr>
            </w:pPr>
          </w:p>
        </w:tc>
        <w:tc>
          <w:tcPr>
            <w:tcW w:w="1834" w:type="dxa"/>
            <w:noWrap w:val="0"/>
            <w:vAlign w:val="center"/>
          </w:tcPr>
          <w:p w14:paraId="53DECD65">
            <w:pPr>
              <w:spacing w:line="440" w:lineRule="exact"/>
              <w:jc w:val="center"/>
              <w:textAlignment w:val="center"/>
              <w:rPr>
                <w:rFonts w:ascii="华文细黑" w:hAnsi="华文细黑"/>
                <w:sz w:val="24"/>
              </w:rPr>
            </w:pPr>
          </w:p>
        </w:tc>
        <w:tc>
          <w:tcPr>
            <w:tcW w:w="763" w:type="dxa"/>
            <w:noWrap w:val="0"/>
            <w:vAlign w:val="center"/>
          </w:tcPr>
          <w:p w14:paraId="631723E4">
            <w:pPr>
              <w:spacing w:line="440" w:lineRule="exact"/>
              <w:jc w:val="center"/>
              <w:textAlignment w:val="center"/>
              <w:rPr>
                <w:rFonts w:ascii="华文细黑" w:hAnsi="华文细黑"/>
                <w:sz w:val="24"/>
              </w:rPr>
            </w:pPr>
          </w:p>
        </w:tc>
      </w:tr>
      <w:tr w14:paraId="3F1697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9" w:type="dxa"/>
            <w:noWrap w:val="0"/>
            <w:vAlign w:val="top"/>
          </w:tcPr>
          <w:p w14:paraId="4B9034F3">
            <w:pPr>
              <w:spacing w:line="440" w:lineRule="exact"/>
              <w:jc w:val="center"/>
              <w:textAlignment w:val="center"/>
              <w:rPr>
                <w:rFonts w:ascii="华文细黑" w:hAnsi="华文细黑"/>
                <w:sz w:val="24"/>
              </w:rPr>
            </w:pPr>
          </w:p>
        </w:tc>
        <w:tc>
          <w:tcPr>
            <w:tcW w:w="1206" w:type="dxa"/>
            <w:noWrap w:val="0"/>
            <w:vAlign w:val="top"/>
          </w:tcPr>
          <w:p w14:paraId="4A236865">
            <w:pPr>
              <w:spacing w:line="440" w:lineRule="exact"/>
              <w:jc w:val="center"/>
              <w:textAlignment w:val="center"/>
              <w:rPr>
                <w:rFonts w:ascii="华文细黑" w:hAnsi="华文细黑"/>
                <w:sz w:val="24"/>
              </w:rPr>
            </w:pPr>
          </w:p>
        </w:tc>
        <w:tc>
          <w:tcPr>
            <w:tcW w:w="844" w:type="dxa"/>
            <w:noWrap w:val="0"/>
            <w:vAlign w:val="top"/>
          </w:tcPr>
          <w:p w14:paraId="0C17DA69">
            <w:pPr>
              <w:spacing w:line="440" w:lineRule="exact"/>
              <w:jc w:val="center"/>
              <w:textAlignment w:val="center"/>
              <w:rPr>
                <w:rFonts w:ascii="华文细黑" w:hAnsi="华文细黑"/>
                <w:sz w:val="24"/>
              </w:rPr>
            </w:pPr>
          </w:p>
        </w:tc>
        <w:tc>
          <w:tcPr>
            <w:tcW w:w="1099" w:type="dxa"/>
            <w:noWrap w:val="0"/>
            <w:vAlign w:val="top"/>
          </w:tcPr>
          <w:p w14:paraId="7985F506">
            <w:pPr>
              <w:spacing w:line="440" w:lineRule="exact"/>
              <w:jc w:val="center"/>
              <w:textAlignment w:val="center"/>
              <w:rPr>
                <w:rFonts w:ascii="华文细黑" w:hAnsi="华文细黑"/>
                <w:sz w:val="24"/>
              </w:rPr>
            </w:pPr>
          </w:p>
        </w:tc>
        <w:tc>
          <w:tcPr>
            <w:tcW w:w="746" w:type="dxa"/>
            <w:noWrap w:val="0"/>
            <w:vAlign w:val="top"/>
          </w:tcPr>
          <w:p w14:paraId="628465F2">
            <w:pPr>
              <w:spacing w:line="440" w:lineRule="exact"/>
              <w:jc w:val="center"/>
              <w:textAlignment w:val="center"/>
              <w:rPr>
                <w:rFonts w:ascii="华文细黑" w:hAnsi="华文细黑"/>
                <w:sz w:val="24"/>
              </w:rPr>
            </w:pPr>
          </w:p>
        </w:tc>
        <w:tc>
          <w:tcPr>
            <w:tcW w:w="819" w:type="dxa"/>
            <w:noWrap w:val="0"/>
            <w:vAlign w:val="top"/>
          </w:tcPr>
          <w:p w14:paraId="1D3C1C17">
            <w:pPr>
              <w:spacing w:line="440" w:lineRule="exact"/>
              <w:jc w:val="center"/>
              <w:textAlignment w:val="center"/>
              <w:rPr>
                <w:rFonts w:ascii="华文细黑" w:hAnsi="华文细黑"/>
                <w:sz w:val="24"/>
              </w:rPr>
            </w:pPr>
          </w:p>
        </w:tc>
        <w:tc>
          <w:tcPr>
            <w:tcW w:w="1346" w:type="dxa"/>
            <w:noWrap w:val="0"/>
            <w:vAlign w:val="top"/>
          </w:tcPr>
          <w:p w14:paraId="45E2F197">
            <w:pPr>
              <w:spacing w:line="440" w:lineRule="exact"/>
              <w:jc w:val="center"/>
              <w:textAlignment w:val="center"/>
              <w:rPr>
                <w:rFonts w:ascii="华文细黑" w:hAnsi="华文细黑"/>
                <w:sz w:val="24"/>
              </w:rPr>
            </w:pPr>
          </w:p>
        </w:tc>
        <w:tc>
          <w:tcPr>
            <w:tcW w:w="1834" w:type="dxa"/>
            <w:noWrap w:val="0"/>
            <w:vAlign w:val="top"/>
          </w:tcPr>
          <w:p w14:paraId="1028B8B5">
            <w:pPr>
              <w:spacing w:line="440" w:lineRule="exact"/>
              <w:jc w:val="center"/>
              <w:textAlignment w:val="center"/>
              <w:rPr>
                <w:rFonts w:ascii="华文细黑" w:hAnsi="华文细黑"/>
                <w:sz w:val="24"/>
              </w:rPr>
            </w:pPr>
          </w:p>
        </w:tc>
        <w:tc>
          <w:tcPr>
            <w:tcW w:w="763" w:type="dxa"/>
            <w:noWrap w:val="0"/>
            <w:vAlign w:val="top"/>
          </w:tcPr>
          <w:p w14:paraId="05DA4308">
            <w:pPr>
              <w:spacing w:line="440" w:lineRule="exact"/>
              <w:jc w:val="center"/>
              <w:textAlignment w:val="center"/>
              <w:rPr>
                <w:rFonts w:ascii="华文细黑" w:hAnsi="华文细黑"/>
                <w:sz w:val="24"/>
              </w:rPr>
            </w:pPr>
          </w:p>
        </w:tc>
      </w:tr>
      <w:tr w14:paraId="4DFDFE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9" w:type="dxa"/>
            <w:noWrap w:val="0"/>
            <w:vAlign w:val="top"/>
          </w:tcPr>
          <w:p w14:paraId="69B56D40">
            <w:pPr>
              <w:spacing w:line="440" w:lineRule="exact"/>
              <w:jc w:val="center"/>
              <w:textAlignment w:val="center"/>
              <w:rPr>
                <w:rFonts w:ascii="华文细黑" w:hAnsi="华文细黑"/>
                <w:sz w:val="24"/>
              </w:rPr>
            </w:pPr>
          </w:p>
        </w:tc>
        <w:tc>
          <w:tcPr>
            <w:tcW w:w="1206" w:type="dxa"/>
            <w:noWrap w:val="0"/>
            <w:vAlign w:val="top"/>
          </w:tcPr>
          <w:p w14:paraId="378CD4AA">
            <w:pPr>
              <w:spacing w:line="440" w:lineRule="exact"/>
              <w:jc w:val="center"/>
              <w:textAlignment w:val="center"/>
              <w:rPr>
                <w:rFonts w:ascii="华文细黑" w:hAnsi="华文细黑"/>
                <w:sz w:val="24"/>
              </w:rPr>
            </w:pPr>
          </w:p>
        </w:tc>
        <w:tc>
          <w:tcPr>
            <w:tcW w:w="844" w:type="dxa"/>
            <w:noWrap w:val="0"/>
            <w:vAlign w:val="top"/>
          </w:tcPr>
          <w:p w14:paraId="10123019">
            <w:pPr>
              <w:spacing w:line="440" w:lineRule="exact"/>
              <w:jc w:val="center"/>
              <w:textAlignment w:val="center"/>
              <w:rPr>
                <w:rFonts w:ascii="华文细黑" w:hAnsi="华文细黑"/>
                <w:sz w:val="24"/>
              </w:rPr>
            </w:pPr>
          </w:p>
        </w:tc>
        <w:tc>
          <w:tcPr>
            <w:tcW w:w="1099" w:type="dxa"/>
            <w:noWrap w:val="0"/>
            <w:vAlign w:val="top"/>
          </w:tcPr>
          <w:p w14:paraId="2748D25E">
            <w:pPr>
              <w:spacing w:line="440" w:lineRule="exact"/>
              <w:jc w:val="center"/>
              <w:textAlignment w:val="center"/>
              <w:rPr>
                <w:rFonts w:ascii="华文细黑" w:hAnsi="华文细黑"/>
                <w:sz w:val="24"/>
              </w:rPr>
            </w:pPr>
          </w:p>
        </w:tc>
        <w:tc>
          <w:tcPr>
            <w:tcW w:w="746" w:type="dxa"/>
            <w:noWrap w:val="0"/>
            <w:vAlign w:val="top"/>
          </w:tcPr>
          <w:p w14:paraId="5309E0E2">
            <w:pPr>
              <w:spacing w:line="440" w:lineRule="exact"/>
              <w:jc w:val="center"/>
              <w:textAlignment w:val="center"/>
              <w:rPr>
                <w:rFonts w:ascii="华文细黑" w:hAnsi="华文细黑"/>
                <w:sz w:val="24"/>
              </w:rPr>
            </w:pPr>
          </w:p>
        </w:tc>
        <w:tc>
          <w:tcPr>
            <w:tcW w:w="819" w:type="dxa"/>
            <w:noWrap w:val="0"/>
            <w:vAlign w:val="top"/>
          </w:tcPr>
          <w:p w14:paraId="6AC71F6A">
            <w:pPr>
              <w:spacing w:line="440" w:lineRule="exact"/>
              <w:jc w:val="center"/>
              <w:textAlignment w:val="center"/>
              <w:rPr>
                <w:rFonts w:ascii="华文细黑" w:hAnsi="华文细黑"/>
                <w:sz w:val="24"/>
              </w:rPr>
            </w:pPr>
          </w:p>
        </w:tc>
        <w:tc>
          <w:tcPr>
            <w:tcW w:w="1346" w:type="dxa"/>
            <w:noWrap w:val="0"/>
            <w:vAlign w:val="top"/>
          </w:tcPr>
          <w:p w14:paraId="1E201BDE">
            <w:pPr>
              <w:spacing w:line="440" w:lineRule="exact"/>
              <w:jc w:val="center"/>
              <w:textAlignment w:val="center"/>
              <w:rPr>
                <w:rFonts w:ascii="华文细黑" w:hAnsi="华文细黑"/>
                <w:sz w:val="24"/>
              </w:rPr>
            </w:pPr>
          </w:p>
        </w:tc>
        <w:tc>
          <w:tcPr>
            <w:tcW w:w="1834" w:type="dxa"/>
            <w:noWrap w:val="0"/>
            <w:vAlign w:val="top"/>
          </w:tcPr>
          <w:p w14:paraId="6BCC2F80">
            <w:pPr>
              <w:spacing w:line="440" w:lineRule="exact"/>
              <w:jc w:val="center"/>
              <w:textAlignment w:val="center"/>
              <w:rPr>
                <w:rFonts w:ascii="华文细黑" w:hAnsi="华文细黑"/>
                <w:sz w:val="24"/>
              </w:rPr>
            </w:pPr>
          </w:p>
        </w:tc>
        <w:tc>
          <w:tcPr>
            <w:tcW w:w="763" w:type="dxa"/>
            <w:noWrap w:val="0"/>
            <w:vAlign w:val="top"/>
          </w:tcPr>
          <w:p w14:paraId="71219DA1">
            <w:pPr>
              <w:spacing w:line="440" w:lineRule="exact"/>
              <w:jc w:val="center"/>
              <w:textAlignment w:val="center"/>
              <w:rPr>
                <w:rFonts w:ascii="华文细黑" w:hAnsi="华文细黑"/>
                <w:sz w:val="24"/>
              </w:rPr>
            </w:pPr>
          </w:p>
        </w:tc>
      </w:tr>
      <w:tr w14:paraId="725D29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9" w:type="dxa"/>
            <w:noWrap w:val="0"/>
            <w:vAlign w:val="top"/>
          </w:tcPr>
          <w:p w14:paraId="366C03C0">
            <w:pPr>
              <w:spacing w:line="440" w:lineRule="exact"/>
              <w:jc w:val="center"/>
              <w:textAlignment w:val="center"/>
              <w:rPr>
                <w:rFonts w:ascii="华文细黑" w:hAnsi="华文细黑"/>
                <w:sz w:val="24"/>
              </w:rPr>
            </w:pPr>
          </w:p>
        </w:tc>
        <w:tc>
          <w:tcPr>
            <w:tcW w:w="1206" w:type="dxa"/>
            <w:noWrap w:val="0"/>
            <w:vAlign w:val="top"/>
          </w:tcPr>
          <w:p w14:paraId="2EBF1A71">
            <w:pPr>
              <w:spacing w:line="440" w:lineRule="exact"/>
              <w:jc w:val="center"/>
              <w:textAlignment w:val="center"/>
              <w:rPr>
                <w:rFonts w:ascii="华文细黑" w:hAnsi="华文细黑"/>
                <w:sz w:val="24"/>
              </w:rPr>
            </w:pPr>
          </w:p>
        </w:tc>
        <w:tc>
          <w:tcPr>
            <w:tcW w:w="844" w:type="dxa"/>
            <w:noWrap w:val="0"/>
            <w:vAlign w:val="top"/>
          </w:tcPr>
          <w:p w14:paraId="4EBF6FF0">
            <w:pPr>
              <w:spacing w:line="440" w:lineRule="exact"/>
              <w:jc w:val="center"/>
              <w:textAlignment w:val="center"/>
              <w:rPr>
                <w:rFonts w:ascii="华文细黑" w:hAnsi="华文细黑"/>
                <w:sz w:val="24"/>
              </w:rPr>
            </w:pPr>
          </w:p>
        </w:tc>
        <w:tc>
          <w:tcPr>
            <w:tcW w:w="1099" w:type="dxa"/>
            <w:noWrap w:val="0"/>
            <w:vAlign w:val="top"/>
          </w:tcPr>
          <w:p w14:paraId="2D5BA1F3">
            <w:pPr>
              <w:spacing w:line="440" w:lineRule="exact"/>
              <w:jc w:val="center"/>
              <w:textAlignment w:val="center"/>
              <w:rPr>
                <w:rFonts w:ascii="华文细黑" w:hAnsi="华文细黑"/>
                <w:sz w:val="24"/>
              </w:rPr>
            </w:pPr>
          </w:p>
        </w:tc>
        <w:tc>
          <w:tcPr>
            <w:tcW w:w="746" w:type="dxa"/>
            <w:noWrap w:val="0"/>
            <w:vAlign w:val="top"/>
          </w:tcPr>
          <w:p w14:paraId="385B297C">
            <w:pPr>
              <w:spacing w:line="440" w:lineRule="exact"/>
              <w:jc w:val="center"/>
              <w:textAlignment w:val="center"/>
              <w:rPr>
                <w:rFonts w:ascii="华文细黑" w:hAnsi="华文细黑"/>
                <w:sz w:val="24"/>
              </w:rPr>
            </w:pPr>
          </w:p>
        </w:tc>
        <w:tc>
          <w:tcPr>
            <w:tcW w:w="819" w:type="dxa"/>
            <w:noWrap w:val="0"/>
            <w:vAlign w:val="top"/>
          </w:tcPr>
          <w:p w14:paraId="1559DBFD">
            <w:pPr>
              <w:spacing w:line="440" w:lineRule="exact"/>
              <w:jc w:val="center"/>
              <w:textAlignment w:val="center"/>
              <w:rPr>
                <w:rFonts w:ascii="华文细黑" w:hAnsi="华文细黑"/>
                <w:sz w:val="24"/>
              </w:rPr>
            </w:pPr>
          </w:p>
        </w:tc>
        <w:tc>
          <w:tcPr>
            <w:tcW w:w="1346" w:type="dxa"/>
            <w:noWrap w:val="0"/>
            <w:vAlign w:val="top"/>
          </w:tcPr>
          <w:p w14:paraId="3309D3BD">
            <w:pPr>
              <w:spacing w:line="440" w:lineRule="exact"/>
              <w:jc w:val="center"/>
              <w:textAlignment w:val="center"/>
              <w:rPr>
                <w:rFonts w:ascii="华文细黑" w:hAnsi="华文细黑"/>
                <w:sz w:val="24"/>
              </w:rPr>
            </w:pPr>
          </w:p>
        </w:tc>
        <w:tc>
          <w:tcPr>
            <w:tcW w:w="1834" w:type="dxa"/>
            <w:noWrap w:val="0"/>
            <w:vAlign w:val="top"/>
          </w:tcPr>
          <w:p w14:paraId="6A132C43">
            <w:pPr>
              <w:spacing w:line="440" w:lineRule="exact"/>
              <w:jc w:val="center"/>
              <w:textAlignment w:val="center"/>
              <w:rPr>
                <w:rFonts w:ascii="华文细黑" w:hAnsi="华文细黑"/>
                <w:sz w:val="24"/>
              </w:rPr>
            </w:pPr>
          </w:p>
        </w:tc>
        <w:tc>
          <w:tcPr>
            <w:tcW w:w="763" w:type="dxa"/>
            <w:noWrap w:val="0"/>
            <w:vAlign w:val="top"/>
          </w:tcPr>
          <w:p w14:paraId="3B603389">
            <w:pPr>
              <w:spacing w:line="440" w:lineRule="exact"/>
              <w:jc w:val="center"/>
              <w:textAlignment w:val="center"/>
              <w:rPr>
                <w:rFonts w:ascii="华文细黑" w:hAnsi="华文细黑"/>
                <w:sz w:val="24"/>
              </w:rPr>
            </w:pPr>
          </w:p>
        </w:tc>
      </w:tr>
      <w:tr w14:paraId="7BDE4B3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9" w:type="dxa"/>
            <w:noWrap w:val="0"/>
            <w:vAlign w:val="top"/>
          </w:tcPr>
          <w:p w14:paraId="7A637CB0">
            <w:pPr>
              <w:spacing w:line="440" w:lineRule="exact"/>
              <w:jc w:val="center"/>
              <w:textAlignment w:val="center"/>
              <w:rPr>
                <w:rFonts w:ascii="华文细黑" w:hAnsi="华文细黑"/>
                <w:sz w:val="24"/>
              </w:rPr>
            </w:pPr>
          </w:p>
        </w:tc>
        <w:tc>
          <w:tcPr>
            <w:tcW w:w="1206" w:type="dxa"/>
            <w:noWrap w:val="0"/>
            <w:vAlign w:val="top"/>
          </w:tcPr>
          <w:p w14:paraId="6A67630E">
            <w:pPr>
              <w:spacing w:line="440" w:lineRule="exact"/>
              <w:jc w:val="center"/>
              <w:textAlignment w:val="center"/>
              <w:rPr>
                <w:rFonts w:ascii="华文细黑" w:hAnsi="华文细黑"/>
                <w:sz w:val="24"/>
              </w:rPr>
            </w:pPr>
          </w:p>
        </w:tc>
        <w:tc>
          <w:tcPr>
            <w:tcW w:w="844" w:type="dxa"/>
            <w:noWrap w:val="0"/>
            <w:vAlign w:val="top"/>
          </w:tcPr>
          <w:p w14:paraId="55F55FDC">
            <w:pPr>
              <w:spacing w:line="440" w:lineRule="exact"/>
              <w:jc w:val="center"/>
              <w:textAlignment w:val="center"/>
              <w:rPr>
                <w:rFonts w:ascii="华文细黑" w:hAnsi="华文细黑"/>
                <w:sz w:val="24"/>
              </w:rPr>
            </w:pPr>
          </w:p>
        </w:tc>
        <w:tc>
          <w:tcPr>
            <w:tcW w:w="1099" w:type="dxa"/>
            <w:noWrap w:val="0"/>
            <w:vAlign w:val="top"/>
          </w:tcPr>
          <w:p w14:paraId="418E60AE">
            <w:pPr>
              <w:spacing w:line="440" w:lineRule="exact"/>
              <w:jc w:val="center"/>
              <w:textAlignment w:val="center"/>
              <w:rPr>
                <w:rFonts w:ascii="华文细黑" w:hAnsi="华文细黑"/>
                <w:sz w:val="24"/>
              </w:rPr>
            </w:pPr>
          </w:p>
        </w:tc>
        <w:tc>
          <w:tcPr>
            <w:tcW w:w="746" w:type="dxa"/>
            <w:noWrap w:val="0"/>
            <w:vAlign w:val="top"/>
          </w:tcPr>
          <w:p w14:paraId="13E33A4B">
            <w:pPr>
              <w:spacing w:line="440" w:lineRule="exact"/>
              <w:jc w:val="center"/>
              <w:textAlignment w:val="center"/>
              <w:rPr>
                <w:rFonts w:ascii="华文细黑" w:hAnsi="华文细黑"/>
                <w:sz w:val="24"/>
              </w:rPr>
            </w:pPr>
          </w:p>
        </w:tc>
        <w:tc>
          <w:tcPr>
            <w:tcW w:w="819" w:type="dxa"/>
            <w:noWrap w:val="0"/>
            <w:vAlign w:val="top"/>
          </w:tcPr>
          <w:p w14:paraId="254E8318">
            <w:pPr>
              <w:spacing w:line="440" w:lineRule="exact"/>
              <w:jc w:val="center"/>
              <w:textAlignment w:val="center"/>
              <w:rPr>
                <w:rFonts w:ascii="华文细黑" w:hAnsi="华文细黑"/>
                <w:sz w:val="24"/>
              </w:rPr>
            </w:pPr>
          </w:p>
        </w:tc>
        <w:tc>
          <w:tcPr>
            <w:tcW w:w="1346" w:type="dxa"/>
            <w:noWrap w:val="0"/>
            <w:vAlign w:val="top"/>
          </w:tcPr>
          <w:p w14:paraId="0CFFE59E">
            <w:pPr>
              <w:spacing w:line="440" w:lineRule="exact"/>
              <w:jc w:val="center"/>
              <w:textAlignment w:val="center"/>
              <w:rPr>
                <w:rFonts w:ascii="华文细黑" w:hAnsi="华文细黑"/>
                <w:sz w:val="24"/>
              </w:rPr>
            </w:pPr>
          </w:p>
        </w:tc>
        <w:tc>
          <w:tcPr>
            <w:tcW w:w="1834" w:type="dxa"/>
            <w:noWrap w:val="0"/>
            <w:vAlign w:val="top"/>
          </w:tcPr>
          <w:p w14:paraId="50EA3C54">
            <w:pPr>
              <w:spacing w:line="440" w:lineRule="exact"/>
              <w:jc w:val="center"/>
              <w:textAlignment w:val="center"/>
              <w:rPr>
                <w:rFonts w:ascii="华文细黑" w:hAnsi="华文细黑"/>
                <w:sz w:val="24"/>
              </w:rPr>
            </w:pPr>
          </w:p>
        </w:tc>
        <w:tc>
          <w:tcPr>
            <w:tcW w:w="763" w:type="dxa"/>
            <w:noWrap w:val="0"/>
            <w:vAlign w:val="top"/>
          </w:tcPr>
          <w:p w14:paraId="4602FA3F">
            <w:pPr>
              <w:spacing w:line="440" w:lineRule="exact"/>
              <w:jc w:val="center"/>
              <w:textAlignment w:val="center"/>
              <w:rPr>
                <w:rFonts w:ascii="华文细黑" w:hAnsi="华文细黑"/>
                <w:sz w:val="24"/>
              </w:rPr>
            </w:pPr>
          </w:p>
        </w:tc>
      </w:tr>
      <w:tr w14:paraId="05ADA9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9" w:type="dxa"/>
            <w:noWrap w:val="0"/>
            <w:vAlign w:val="top"/>
          </w:tcPr>
          <w:p w14:paraId="7796B1EB">
            <w:pPr>
              <w:spacing w:line="440" w:lineRule="exact"/>
              <w:jc w:val="center"/>
              <w:textAlignment w:val="center"/>
              <w:rPr>
                <w:rFonts w:ascii="华文细黑" w:hAnsi="华文细黑"/>
                <w:sz w:val="24"/>
              </w:rPr>
            </w:pPr>
          </w:p>
        </w:tc>
        <w:tc>
          <w:tcPr>
            <w:tcW w:w="1206" w:type="dxa"/>
            <w:noWrap w:val="0"/>
            <w:vAlign w:val="top"/>
          </w:tcPr>
          <w:p w14:paraId="5B58DBF8">
            <w:pPr>
              <w:spacing w:line="440" w:lineRule="exact"/>
              <w:jc w:val="center"/>
              <w:textAlignment w:val="center"/>
              <w:rPr>
                <w:rFonts w:ascii="华文细黑" w:hAnsi="华文细黑"/>
                <w:sz w:val="24"/>
              </w:rPr>
            </w:pPr>
          </w:p>
        </w:tc>
        <w:tc>
          <w:tcPr>
            <w:tcW w:w="844" w:type="dxa"/>
            <w:noWrap w:val="0"/>
            <w:vAlign w:val="top"/>
          </w:tcPr>
          <w:p w14:paraId="46129436">
            <w:pPr>
              <w:spacing w:line="440" w:lineRule="exact"/>
              <w:jc w:val="center"/>
              <w:textAlignment w:val="center"/>
              <w:rPr>
                <w:rFonts w:ascii="华文细黑" w:hAnsi="华文细黑"/>
                <w:sz w:val="24"/>
              </w:rPr>
            </w:pPr>
          </w:p>
        </w:tc>
        <w:tc>
          <w:tcPr>
            <w:tcW w:w="1099" w:type="dxa"/>
            <w:noWrap w:val="0"/>
            <w:vAlign w:val="top"/>
          </w:tcPr>
          <w:p w14:paraId="0CAEB1F8">
            <w:pPr>
              <w:spacing w:line="440" w:lineRule="exact"/>
              <w:jc w:val="center"/>
              <w:textAlignment w:val="center"/>
              <w:rPr>
                <w:rFonts w:ascii="华文细黑" w:hAnsi="华文细黑"/>
                <w:sz w:val="24"/>
              </w:rPr>
            </w:pPr>
          </w:p>
        </w:tc>
        <w:tc>
          <w:tcPr>
            <w:tcW w:w="746" w:type="dxa"/>
            <w:noWrap w:val="0"/>
            <w:vAlign w:val="top"/>
          </w:tcPr>
          <w:p w14:paraId="5BCC77AC">
            <w:pPr>
              <w:spacing w:line="440" w:lineRule="exact"/>
              <w:jc w:val="center"/>
              <w:textAlignment w:val="center"/>
              <w:rPr>
                <w:rFonts w:ascii="华文细黑" w:hAnsi="华文细黑"/>
                <w:sz w:val="24"/>
              </w:rPr>
            </w:pPr>
          </w:p>
        </w:tc>
        <w:tc>
          <w:tcPr>
            <w:tcW w:w="819" w:type="dxa"/>
            <w:noWrap w:val="0"/>
            <w:vAlign w:val="top"/>
          </w:tcPr>
          <w:p w14:paraId="70DF332E">
            <w:pPr>
              <w:spacing w:line="440" w:lineRule="exact"/>
              <w:jc w:val="center"/>
              <w:textAlignment w:val="center"/>
              <w:rPr>
                <w:rFonts w:ascii="华文细黑" w:hAnsi="华文细黑"/>
                <w:sz w:val="24"/>
              </w:rPr>
            </w:pPr>
          </w:p>
        </w:tc>
        <w:tc>
          <w:tcPr>
            <w:tcW w:w="1346" w:type="dxa"/>
            <w:noWrap w:val="0"/>
            <w:vAlign w:val="top"/>
          </w:tcPr>
          <w:p w14:paraId="096C08CF">
            <w:pPr>
              <w:spacing w:line="440" w:lineRule="exact"/>
              <w:jc w:val="center"/>
              <w:textAlignment w:val="center"/>
              <w:rPr>
                <w:rFonts w:ascii="华文细黑" w:hAnsi="华文细黑"/>
                <w:sz w:val="24"/>
              </w:rPr>
            </w:pPr>
          </w:p>
        </w:tc>
        <w:tc>
          <w:tcPr>
            <w:tcW w:w="1834" w:type="dxa"/>
            <w:noWrap w:val="0"/>
            <w:vAlign w:val="top"/>
          </w:tcPr>
          <w:p w14:paraId="72372832">
            <w:pPr>
              <w:spacing w:line="440" w:lineRule="exact"/>
              <w:jc w:val="center"/>
              <w:textAlignment w:val="center"/>
              <w:rPr>
                <w:rFonts w:ascii="华文细黑" w:hAnsi="华文细黑"/>
                <w:sz w:val="24"/>
              </w:rPr>
            </w:pPr>
          </w:p>
        </w:tc>
        <w:tc>
          <w:tcPr>
            <w:tcW w:w="763" w:type="dxa"/>
            <w:noWrap w:val="0"/>
            <w:vAlign w:val="top"/>
          </w:tcPr>
          <w:p w14:paraId="3E4D69D7">
            <w:pPr>
              <w:spacing w:line="440" w:lineRule="exact"/>
              <w:jc w:val="center"/>
              <w:textAlignment w:val="center"/>
              <w:rPr>
                <w:rFonts w:ascii="华文细黑" w:hAnsi="华文细黑"/>
                <w:sz w:val="24"/>
              </w:rPr>
            </w:pPr>
          </w:p>
        </w:tc>
      </w:tr>
      <w:tr w14:paraId="271C33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9" w:type="dxa"/>
            <w:noWrap w:val="0"/>
            <w:vAlign w:val="top"/>
          </w:tcPr>
          <w:p w14:paraId="30C3F2D6">
            <w:pPr>
              <w:spacing w:line="440" w:lineRule="exact"/>
              <w:jc w:val="center"/>
              <w:textAlignment w:val="center"/>
              <w:rPr>
                <w:rFonts w:ascii="华文细黑" w:hAnsi="华文细黑"/>
                <w:sz w:val="24"/>
              </w:rPr>
            </w:pPr>
          </w:p>
        </w:tc>
        <w:tc>
          <w:tcPr>
            <w:tcW w:w="1206" w:type="dxa"/>
            <w:noWrap w:val="0"/>
            <w:vAlign w:val="top"/>
          </w:tcPr>
          <w:p w14:paraId="62A6C3C2">
            <w:pPr>
              <w:spacing w:line="440" w:lineRule="exact"/>
              <w:jc w:val="center"/>
              <w:textAlignment w:val="center"/>
              <w:rPr>
                <w:rFonts w:ascii="华文细黑" w:hAnsi="华文细黑"/>
                <w:sz w:val="24"/>
              </w:rPr>
            </w:pPr>
          </w:p>
        </w:tc>
        <w:tc>
          <w:tcPr>
            <w:tcW w:w="844" w:type="dxa"/>
            <w:noWrap w:val="0"/>
            <w:vAlign w:val="top"/>
          </w:tcPr>
          <w:p w14:paraId="20B6BB7E">
            <w:pPr>
              <w:spacing w:line="440" w:lineRule="exact"/>
              <w:jc w:val="center"/>
              <w:textAlignment w:val="center"/>
              <w:rPr>
                <w:rFonts w:ascii="华文细黑" w:hAnsi="华文细黑"/>
                <w:sz w:val="24"/>
              </w:rPr>
            </w:pPr>
          </w:p>
        </w:tc>
        <w:tc>
          <w:tcPr>
            <w:tcW w:w="1099" w:type="dxa"/>
            <w:noWrap w:val="0"/>
            <w:vAlign w:val="top"/>
          </w:tcPr>
          <w:p w14:paraId="66FE952C">
            <w:pPr>
              <w:spacing w:line="440" w:lineRule="exact"/>
              <w:jc w:val="center"/>
              <w:textAlignment w:val="center"/>
              <w:rPr>
                <w:rFonts w:ascii="华文细黑" w:hAnsi="华文细黑"/>
                <w:sz w:val="24"/>
              </w:rPr>
            </w:pPr>
          </w:p>
        </w:tc>
        <w:tc>
          <w:tcPr>
            <w:tcW w:w="746" w:type="dxa"/>
            <w:noWrap w:val="0"/>
            <w:vAlign w:val="top"/>
          </w:tcPr>
          <w:p w14:paraId="51728C07">
            <w:pPr>
              <w:spacing w:line="440" w:lineRule="exact"/>
              <w:jc w:val="center"/>
              <w:textAlignment w:val="center"/>
              <w:rPr>
                <w:rFonts w:ascii="华文细黑" w:hAnsi="华文细黑"/>
                <w:sz w:val="24"/>
              </w:rPr>
            </w:pPr>
          </w:p>
        </w:tc>
        <w:tc>
          <w:tcPr>
            <w:tcW w:w="819" w:type="dxa"/>
            <w:noWrap w:val="0"/>
            <w:vAlign w:val="top"/>
          </w:tcPr>
          <w:p w14:paraId="0D5D8E21">
            <w:pPr>
              <w:spacing w:line="440" w:lineRule="exact"/>
              <w:jc w:val="center"/>
              <w:textAlignment w:val="center"/>
              <w:rPr>
                <w:rFonts w:ascii="华文细黑" w:hAnsi="华文细黑"/>
                <w:sz w:val="24"/>
              </w:rPr>
            </w:pPr>
          </w:p>
        </w:tc>
        <w:tc>
          <w:tcPr>
            <w:tcW w:w="1346" w:type="dxa"/>
            <w:noWrap w:val="0"/>
            <w:vAlign w:val="top"/>
          </w:tcPr>
          <w:p w14:paraId="4AF076A7">
            <w:pPr>
              <w:spacing w:line="440" w:lineRule="exact"/>
              <w:jc w:val="center"/>
              <w:textAlignment w:val="center"/>
              <w:rPr>
                <w:rFonts w:ascii="华文细黑" w:hAnsi="华文细黑"/>
                <w:sz w:val="24"/>
              </w:rPr>
            </w:pPr>
          </w:p>
        </w:tc>
        <w:tc>
          <w:tcPr>
            <w:tcW w:w="1834" w:type="dxa"/>
            <w:noWrap w:val="0"/>
            <w:vAlign w:val="top"/>
          </w:tcPr>
          <w:p w14:paraId="6E653BC4">
            <w:pPr>
              <w:spacing w:line="440" w:lineRule="exact"/>
              <w:jc w:val="center"/>
              <w:textAlignment w:val="center"/>
              <w:rPr>
                <w:rFonts w:ascii="华文细黑" w:hAnsi="华文细黑"/>
                <w:sz w:val="24"/>
              </w:rPr>
            </w:pPr>
          </w:p>
        </w:tc>
        <w:tc>
          <w:tcPr>
            <w:tcW w:w="763" w:type="dxa"/>
            <w:noWrap w:val="0"/>
            <w:vAlign w:val="top"/>
          </w:tcPr>
          <w:p w14:paraId="3880CDF7">
            <w:pPr>
              <w:spacing w:line="440" w:lineRule="exact"/>
              <w:jc w:val="center"/>
              <w:textAlignment w:val="center"/>
              <w:rPr>
                <w:rFonts w:ascii="华文细黑" w:hAnsi="华文细黑"/>
                <w:sz w:val="24"/>
              </w:rPr>
            </w:pPr>
          </w:p>
        </w:tc>
      </w:tr>
      <w:tr w14:paraId="6AD92F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9" w:type="dxa"/>
            <w:noWrap w:val="0"/>
            <w:vAlign w:val="top"/>
          </w:tcPr>
          <w:p w14:paraId="0978BE43">
            <w:pPr>
              <w:spacing w:line="440" w:lineRule="exact"/>
              <w:jc w:val="center"/>
              <w:textAlignment w:val="center"/>
              <w:rPr>
                <w:rFonts w:ascii="华文细黑" w:hAnsi="华文细黑"/>
                <w:sz w:val="24"/>
              </w:rPr>
            </w:pPr>
          </w:p>
        </w:tc>
        <w:tc>
          <w:tcPr>
            <w:tcW w:w="1206" w:type="dxa"/>
            <w:noWrap w:val="0"/>
            <w:vAlign w:val="top"/>
          </w:tcPr>
          <w:p w14:paraId="68551FE7">
            <w:pPr>
              <w:spacing w:line="440" w:lineRule="exact"/>
              <w:jc w:val="center"/>
              <w:textAlignment w:val="center"/>
              <w:rPr>
                <w:rFonts w:ascii="华文细黑" w:hAnsi="华文细黑"/>
                <w:sz w:val="24"/>
              </w:rPr>
            </w:pPr>
          </w:p>
        </w:tc>
        <w:tc>
          <w:tcPr>
            <w:tcW w:w="844" w:type="dxa"/>
            <w:noWrap w:val="0"/>
            <w:vAlign w:val="top"/>
          </w:tcPr>
          <w:p w14:paraId="2D5E58AD">
            <w:pPr>
              <w:spacing w:line="440" w:lineRule="exact"/>
              <w:jc w:val="center"/>
              <w:textAlignment w:val="center"/>
              <w:rPr>
                <w:rFonts w:ascii="华文细黑" w:hAnsi="华文细黑"/>
                <w:sz w:val="24"/>
              </w:rPr>
            </w:pPr>
          </w:p>
        </w:tc>
        <w:tc>
          <w:tcPr>
            <w:tcW w:w="1099" w:type="dxa"/>
            <w:noWrap w:val="0"/>
            <w:vAlign w:val="top"/>
          </w:tcPr>
          <w:p w14:paraId="7D7E4629">
            <w:pPr>
              <w:spacing w:line="440" w:lineRule="exact"/>
              <w:jc w:val="center"/>
              <w:textAlignment w:val="center"/>
              <w:rPr>
                <w:rFonts w:ascii="华文细黑" w:hAnsi="华文细黑"/>
                <w:sz w:val="24"/>
              </w:rPr>
            </w:pPr>
          </w:p>
        </w:tc>
        <w:tc>
          <w:tcPr>
            <w:tcW w:w="746" w:type="dxa"/>
            <w:noWrap w:val="0"/>
            <w:vAlign w:val="top"/>
          </w:tcPr>
          <w:p w14:paraId="36CD7288">
            <w:pPr>
              <w:spacing w:line="440" w:lineRule="exact"/>
              <w:jc w:val="center"/>
              <w:textAlignment w:val="center"/>
              <w:rPr>
                <w:rFonts w:ascii="华文细黑" w:hAnsi="华文细黑"/>
                <w:sz w:val="24"/>
              </w:rPr>
            </w:pPr>
          </w:p>
        </w:tc>
        <w:tc>
          <w:tcPr>
            <w:tcW w:w="819" w:type="dxa"/>
            <w:noWrap w:val="0"/>
            <w:vAlign w:val="top"/>
          </w:tcPr>
          <w:p w14:paraId="673B0274">
            <w:pPr>
              <w:spacing w:line="440" w:lineRule="exact"/>
              <w:jc w:val="center"/>
              <w:textAlignment w:val="center"/>
              <w:rPr>
                <w:rFonts w:ascii="华文细黑" w:hAnsi="华文细黑"/>
                <w:sz w:val="24"/>
              </w:rPr>
            </w:pPr>
          </w:p>
        </w:tc>
        <w:tc>
          <w:tcPr>
            <w:tcW w:w="1346" w:type="dxa"/>
            <w:noWrap w:val="0"/>
            <w:vAlign w:val="top"/>
          </w:tcPr>
          <w:p w14:paraId="7DC98E1C">
            <w:pPr>
              <w:spacing w:line="440" w:lineRule="exact"/>
              <w:jc w:val="center"/>
              <w:textAlignment w:val="center"/>
              <w:rPr>
                <w:rFonts w:ascii="华文细黑" w:hAnsi="华文细黑"/>
                <w:sz w:val="24"/>
              </w:rPr>
            </w:pPr>
          </w:p>
        </w:tc>
        <w:tc>
          <w:tcPr>
            <w:tcW w:w="1834" w:type="dxa"/>
            <w:noWrap w:val="0"/>
            <w:vAlign w:val="top"/>
          </w:tcPr>
          <w:p w14:paraId="5F6FF76E">
            <w:pPr>
              <w:spacing w:line="440" w:lineRule="exact"/>
              <w:jc w:val="center"/>
              <w:textAlignment w:val="center"/>
              <w:rPr>
                <w:rFonts w:ascii="华文细黑" w:hAnsi="华文细黑"/>
                <w:sz w:val="24"/>
              </w:rPr>
            </w:pPr>
          </w:p>
        </w:tc>
        <w:tc>
          <w:tcPr>
            <w:tcW w:w="763" w:type="dxa"/>
            <w:noWrap w:val="0"/>
            <w:vAlign w:val="top"/>
          </w:tcPr>
          <w:p w14:paraId="121D04F4">
            <w:pPr>
              <w:spacing w:line="440" w:lineRule="exact"/>
              <w:jc w:val="center"/>
              <w:textAlignment w:val="center"/>
              <w:rPr>
                <w:rFonts w:ascii="华文细黑" w:hAnsi="华文细黑"/>
                <w:sz w:val="24"/>
              </w:rPr>
            </w:pPr>
          </w:p>
        </w:tc>
      </w:tr>
      <w:tr w14:paraId="1BD2F0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9" w:type="dxa"/>
            <w:noWrap w:val="0"/>
            <w:vAlign w:val="top"/>
          </w:tcPr>
          <w:p w14:paraId="139A15DB">
            <w:pPr>
              <w:spacing w:line="440" w:lineRule="exact"/>
              <w:jc w:val="center"/>
              <w:textAlignment w:val="center"/>
              <w:rPr>
                <w:rFonts w:ascii="华文细黑" w:hAnsi="华文细黑"/>
                <w:sz w:val="24"/>
              </w:rPr>
            </w:pPr>
          </w:p>
        </w:tc>
        <w:tc>
          <w:tcPr>
            <w:tcW w:w="1206" w:type="dxa"/>
            <w:noWrap w:val="0"/>
            <w:vAlign w:val="top"/>
          </w:tcPr>
          <w:p w14:paraId="521B03F6">
            <w:pPr>
              <w:spacing w:line="440" w:lineRule="exact"/>
              <w:jc w:val="center"/>
              <w:textAlignment w:val="center"/>
              <w:rPr>
                <w:rFonts w:ascii="华文细黑" w:hAnsi="华文细黑"/>
                <w:sz w:val="24"/>
              </w:rPr>
            </w:pPr>
          </w:p>
        </w:tc>
        <w:tc>
          <w:tcPr>
            <w:tcW w:w="844" w:type="dxa"/>
            <w:noWrap w:val="0"/>
            <w:vAlign w:val="top"/>
          </w:tcPr>
          <w:p w14:paraId="5271875D">
            <w:pPr>
              <w:spacing w:line="440" w:lineRule="exact"/>
              <w:jc w:val="center"/>
              <w:textAlignment w:val="center"/>
              <w:rPr>
                <w:rFonts w:ascii="华文细黑" w:hAnsi="华文细黑"/>
                <w:sz w:val="24"/>
              </w:rPr>
            </w:pPr>
          </w:p>
        </w:tc>
        <w:tc>
          <w:tcPr>
            <w:tcW w:w="1099" w:type="dxa"/>
            <w:noWrap w:val="0"/>
            <w:vAlign w:val="top"/>
          </w:tcPr>
          <w:p w14:paraId="6F0DC19C">
            <w:pPr>
              <w:spacing w:line="440" w:lineRule="exact"/>
              <w:jc w:val="center"/>
              <w:textAlignment w:val="center"/>
              <w:rPr>
                <w:rFonts w:ascii="华文细黑" w:hAnsi="华文细黑"/>
                <w:sz w:val="24"/>
              </w:rPr>
            </w:pPr>
          </w:p>
        </w:tc>
        <w:tc>
          <w:tcPr>
            <w:tcW w:w="746" w:type="dxa"/>
            <w:noWrap w:val="0"/>
            <w:vAlign w:val="top"/>
          </w:tcPr>
          <w:p w14:paraId="3702655C">
            <w:pPr>
              <w:spacing w:line="440" w:lineRule="exact"/>
              <w:jc w:val="center"/>
              <w:textAlignment w:val="center"/>
              <w:rPr>
                <w:rFonts w:ascii="华文细黑" w:hAnsi="华文细黑"/>
                <w:sz w:val="24"/>
              </w:rPr>
            </w:pPr>
          </w:p>
        </w:tc>
        <w:tc>
          <w:tcPr>
            <w:tcW w:w="819" w:type="dxa"/>
            <w:noWrap w:val="0"/>
            <w:vAlign w:val="top"/>
          </w:tcPr>
          <w:p w14:paraId="4269BFC7">
            <w:pPr>
              <w:spacing w:line="440" w:lineRule="exact"/>
              <w:jc w:val="center"/>
              <w:textAlignment w:val="center"/>
              <w:rPr>
                <w:rFonts w:ascii="华文细黑" w:hAnsi="华文细黑"/>
                <w:sz w:val="24"/>
              </w:rPr>
            </w:pPr>
          </w:p>
        </w:tc>
        <w:tc>
          <w:tcPr>
            <w:tcW w:w="1346" w:type="dxa"/>
            <w:noWrap w:val="0"/>
            <w:vAlign w:val="top"/>
          </w:tcPr>
          <w:p w14:paraId="7C5765F1">
            <w:pPr>
              <w:spacing w:line="440" w:lineRule="exact"/>
              <w:jc w:val="center"/>
              <w:textAlignment w:val="center"/>
              <w:rPr>
                <w:rFonts w:ascii="华文细黑" w:hAnsi="华文细黑"/>
                <w:sz w:val="24"/>
              </w:rPr>
            </w:pPr>
          </w:p>
        </w:tc>
        <w:tc>
          <w:tcPr>
            <w:tcW w:w="1834" w:type="dxa"/>
            <w:noWrap w:val="0"/>
            <w:vAlign w:val="top"/>
          </w:tcPr>
          <w:p w14:paraId="0BD99277">
            <w:pPr>
              <w:spacing w:line="440" w:lineRule="exact"/>
              <w:jc w:val="center"/>
              <w:textAlignment w:val="center"/>
              <w:rPr>
                <w:rFonts w:ascii="华文细黑" w:hAnsi="华文细黑"/>
                <w:sz w:val="24"/>
              </w:rPr>
            </w:pPr>
          </w:p>
        </w:tc>
        <w:tc>
          <w:tcPr>
            <w:tcW w:w="763" w:type="dxa"/>
            <w:noWrap w:val="0"/>
            <w:vAlign w:val="top"/>
          </w:tcPr>
          <w:p w14:paraId="70B67792">
            <w:pPr>
              <w:spacing w:line="440" w:lineRule="exact"/>
              <w:jc w:val="center"/>
              <w:textAlignment w:val="center"/>
              <w:rPr>
                <w:rFonts w:ascii="华文细黑" w:hAnsi="华文细黑"/>
                <w:sz w:val="24"/>
              </w:rPr>
            </w:pPr>
          </w:p>
        </w:tc>
      </w:tr>
      <w:tr w14:paraId="705D0F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9" w:type="dxa"/>
            <w:noWrap w:val="0"/>
            <w:vAlign w:val="top"/>
          </w:tcPr>
          <w:p w14:paraId="2C738BA3">
            <w:pPr>
              <w:spacing w:line="440" w:lineRule="exact"/>
              <w:jc w:val="center"/>
              <w:textAlignment w:val="center"/>
              <w:rPr>
                <w:rFonts w:ascii="华文细黑" w:hAnsi="华文细黑"/>
                <w:sz w:val="24"/>
              </w:rPr>
            </w:pPr>
          </w:p>
        </w:tc>
        <w:tc>
          <w:tcPr>
            <w:tcW w:w="1206" w:type="dxa"/>
            <w:noWrap w:val="0"/>
            <w:vAlign w:val="top"/>
          </w:tcPr>
          <w:p w14:paraId="3AB58FA1">
            <w:pPr>
              <w:spacing w:line="440" w:lineRule="exact"/>
              <w:jc w:val="center"/>
              <w:textAlignment w:val="center"/>
              <w:rPr>
                <w:rFonts w:ascii="华文细黑" w:hAnsi="华文细黑"/>
                <w:sz w:val="24"/>
              </w:rPr>
            </w:pPr>
          </w:p>
        </w:tc>
        <w:tc>
          <w:tcPr>
            <w:tcW w:w="844" w:type="dxa"/>
            <w:noWrap w:val="0"/>
            <w:vAlign w:val="top"/>
          </w:tcPr>
          <w:p w14:paraId="36E92198">
            <w:pPr>
              <w:spacing w:line="440" w:lineRule="exact"/>
              <w:jc w:val="center"/>
              <w:textAlignment w:val="center"/>
              <w:rPr>
                <w:rFonts w:ascii="华文细黑" w:hAnsi="华文细黑"/>
                <w:sz w:val="24"/>
              </w:rPr>
            </w:pPr>
          </w:p>
        </w:tc>
        <w:tc>
          <w:tcPr>
            <w:tcW w:w="1099" w:type="dxa"/>
            <w:noWrap w:val="0"/>
            <w:vAlign w:val="top"/>
          </w:tcPr>
          <w:p w14:paraId="664D3702">
            <w:pPr>
              <w:spacing w:line="440" w:lineRule="exact"/>
              <w:jc w:val="center"/>
              <w:textAlignment w:val="center"/>
              <w:rPr>
                <w:rFonts w:ascii="华文细黑" w:hAnsi="华文细黑"/>
                <w:sz w:val="24"/>
              </w:rPr>
            </w:pPr>
          </w:p>
        </w:tc>
        <w:tc>
          <w:tcPr>
            <w:tcW w:w="746" w:type="dxa"/>
            <w:noWrap w:val="0"/>
            <w:vAlign w:val="top"/>
          </w:tcPr>
          <w:p w14:paraId="4881EEA8">
            <w:pPr>
              <w:spacing w:line="440" w:lineRule="exact"/>
              <w:jc w:val="center"/>
              <w:textAlignment w:val="center"/>
              <w:rPr>
                <w:rFonts w:ascii="华文细黑" w:hAnsi="华文细黑"/>
                <w:sz w:val="24"/>
              </w:rPr>
            </w:pPr>
          </w:p>
        </w:tc>
        <w:tc>
          <w:tcPr>
            <w:tcW w:w="819" w:type="dxa"/>
            <w:noWrap w:val="0"/>
            <w:vAlign w:val="top"/>
          </w:tcPr>
          <w:p w14:paraId="50E56AA0">
            <w:pPr>
              <w:spacing w:line="440" w:lineRule="exact"/>
              <w:jc w:val="center"/>
              <w:textAlignment w:val="center"/>
              <w:rPr>
                <w:rFonts w:ascii="华文细黑" w:hAnsi="华文细黑"/>
                <w:sz w:val="24"/>
              </w:rPr>
            </w:pPr>
          </w:p>
        </w:tc>
        <w:tc>
          <w:tcPr>
            <w:tcW w:w="1346" w:type="dxa"/>
            <w:noWrap w:val="0"/>
            <w:vAlign w:val="top"/>
          </w:tcPr>
          <w:p w14:paraId="0F92659E">
            <w:pPr>
              <w:spacing w:line="440" w:lineRule="exact"/>
              <w:jc w:val="center"/>
              <w:textAlignment w:val="center"/>
              <w:rPr>
                <w:rFonts w:ascii="华文细黑" w:hAnsi="华文细黑"/>
                <w:sz w:val="24"/>
              </w:rPr>
            </w:pPr>
          </w:p>
        </w:tc>
        <w:tc>
          <w:tcPr>
            <w:tcW w:w="1834" w:type="dxa"/>
            <w:noWrap w:val="0"/>
            <w:vAlign w:val="top"/>
          </w:tcPr>
          <w:p w14:paraId="02282228">
            <w:pPr>
              <w:spacing w:line="440" w:lineRule="exact"/>
              <w:jc w:val="center"/>
              <w:textAlignment w:val="center"/>
              <w:rPr>
                <w:rFonts w:ascii="华文细黑" w:hAnsi="华文细黑"/>
                <w:sz w:val="24"/>
              </w:rPr>
            </w:pPr>
          </w:p>
        </w:tc>
        <w:tc>
          <w:tcPr>
            <w:tcW w:w="763" w:type="dxa"/>
            <w:noWrap w:val="0"/>
            <w:vAlign w:val="top"/>
          </w:tcPr>
          <w:p w14:paraId="2E75CE41">
            <w:pPr>
              <w:spacing w:line="440" w:lineRule="exact"/>
              <w:jc w:val="center"/>
              <w:textAlignment w:val="center"/>
              <w:rPr>
                <w:rFonts w:ascii="华文细黑" w:hAnsi="华文细黑"/>
                <w:sz w:val="24"/>
              </w:rPr>
            </w:pPr>
          </w:p>
        </w:tc>
      </w:tr>
      <w:tr w14:paraId="44F050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9" w:type="dxa"/>
            <w:noWrap w:val="0"/>
            <w:vAlign w:val="top"/>
          </w:tcPr>
          <w:p w14:paraId="03121D55">
            <w:pPr>
              <w:spacing w:line="440" w:lineRule="exact"/>
              <w:jc w:val="center"/>
              <w:textAlignment w:val="center"/>
              <w:rPr>
                <w:rFonts w:ascii="华文细黑" w:hAnsi="华文细黑"/>
                <w:sz w:val="24"/>
              </w:rPr>
            </w:pPr>
          </w:p>
        </w:tc>
        <w:tc>
          <w:tcPr>
            <w:tcW w:w="1206" w:type="dxa"/>
            <w:noWrap w:val="0"/>
            <w:vAlign w:val="top"/>
          </w:tcPr>
          <w:p w14:paraId="6EBF35CD">
            <w:pPr>
              <w:spacing w:line="440" w:lineRule="exact"/>
              <w:jc w:val="center"/>
              <w:textAlignment w:val="center"/>
              <w:rPr>
                <w:rFonts w:ascii="华文细黑" w:hAnsi="华文细黑"/>
                <w:sz w:val="24"/>
              </w:rPr>
            </w:pPr>
          </w:p>
        </w:tc>
        <w:tc>
          <w:tcPr>
            <w:tcW w:w="844" w:type="dxa"/>
            <w:noWrap w:val="0"/>
            <w:vAlign w:val="top"/>
          </w:tcPr>
          <w:p w14:paraId="4AC0F8B2">
            <w:pPr>
              <w:spacing w:line="440" w:lineRule="exact"/>
              <w:jc w:val="center"/>
              <w:textAlignment w:val="center"/>
              <w:rPr>
                <w:rFonts w:ascii="华文细黑" w:hAnsi="华文细黑"/>
                <w:sz w:val="24"/>
              </w:rPr>
            </w:pPr>
          </w:p>
        </w:tc>
        <w:tc>
          <w:tcPr>
            <w:tcW w:w="1099" w:type="dxa"/>
            <w:noWrap w:val="0"/>
            <w:vAlign w:val="top"/>
          </w:tcPr>
          <w:p w14:paraId="4700A718">
            <w:pPr>
              <w:spacing w:line="440" w:lineRule="exact"/>
              <w:jc w:val="center"/>
              <w:textAlignment w:val="center"/>
              <w:rPr>
                <w:rFonts w:ascii="华文细黑" w:hAnsi="华文细黑"/>
                <w:sz w:val="24"/>
              </w:rPr>
            </w:pPr>
          </w:p>
        </w:tc>
        <w:tc>
          <w:tcPr>
            <w:tcW w:w="746" w:type="dxa"/>
            <w:noWrap w:val="0"/>
            <w:vAlign w:val="top"/>
          </w:tcPr>
          <w:p w14:paraId="48277AD5">
            <w:pPr>
              <w:spacing w:line="440" w:lineRule="exact"/>
              <w:jc w:val="center"/>
              <w:textAlignment w:val="center"/>
              <w:rPr>
                <w:rFonts w:ascii="华文细黑" w:hAnsi="华文细黑"/>
                <w:sz w:val="24"/>
              </w:rPr>
            </w:pPr>
          </w:p>
        </w:tc>
        <w:tc>
          <w:tcPr>
            <w:tcW w:w="819" w:type="dxa"/>
            <w:noWrap w:val="0"/>
            <w:vAlign w:val="top"/>
          </w:tcPr>
          <w:p w14:paraId="6B96910B">
            <w:pPr>
              <w:spacing w:line="440" w:lineRule="exact"/>
              <w:jc w:val="center"/>
              <w:textAlignment w:val="center"/>
              <w:rPr>
                <w:rFonts w:ascii="华文细黑" w:hAnsi="华文细黑"/>
                <w:sz w:val="24"/>
              </w:rPr>
            </w:pPr>
          </w:p>
        </w:tc>
        <w:tc>
          <w:tcPr>
            <w:tcW w:w="1346" w:type="dxa"/>
            <w:noWrap w:val="0"/>
            <w:vAlign w:val="top"/>
          </w:tcPr>
          <w:p w14:paraId="174932E1">
            <w:pPr>
              <w:spacing w:line="440" w:lineRule="exact"/>
              <w:jc w:val="center"/>
              <w:textAlignment w:val="center"/>
              <w:rPr>
                <w:rFonts w:ascii="华文细黑" w:hAnsi="华文细黑"/>
                <w:sz w:val="24"/>
              </w:rPr>
            </w:pPr>
          </w:p>
        </w:tc>
        <w:tc>
          <w:tcPr>
            <w:tcW w:w="1834" w:type="dxa"/>
            <w:noWrap w:val="0"/>
            <w:vAlign w:val="top"/>
          </w:tcPr>
          <w:p w14:paraId="0A020AF4">
            <w:pPr>
              <w:spacing w:line="440" w:lineRule="exact"/>
              <w:jc w:val="center"/>
              <w:textAlignment w:val="center"/>
              <w:rPr>
                <w:rFonts w:ascii="华文细黑" w:hAnsi="华文细黑"/>
                <w:sz w:val="24"/>
              </w:rPr>
            </w:pPr>
          </w:p>
        </w:tc>
        <w:tc>
          <w:tcPr>
            <w:tcW w:w="763" w:type="dxa"/>
            <w:noWrap w:val="0"/>
            <w:vAlign w:val="top"/>
          </w:tcPr>
          <w:p w14:paraId="57E2E5C8">
            <w:pPr>
              <w:spacing w:line="440" w:lineRule="exact"/>
              <w:jc w:val="center"/>
              <w:textAlignment w:val="center"/>
              <w:rPr>
                <w:rFonts w:ascii="华文细黑" w:hAnsi="华文细黑"/>
                <w:sz w:val="24"/>
              </w:rPr>
            </w:pPr>
          </w:p>
        </w:tc>
      </w:tr>
      <w:tr w14:paraId="4D5226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9" w:type="dxa"/>
            <w:noWrap w:val="0"/>
            <w:vAlign w:val="top"/>
          </w:tcPr>
          <w:p w14:paraId="69F1034C">
            <w:pPr>
              <w:spacing w:line="440" w:lineRule="exact"/>
              <w:jc w:val="center"/>
              <w:textAlignment w:val="center"/>
              <w:rPr>
                <w:rFonts w:ascii="华文细黑" w:hAnsi="华文细黑"/>
                <w:sz w:val="24"/>
              </w:rPr>
            </w:pPr>
          </w:p>
        </w:tc>
        <w:tc>
          <w:tcPr>
            <w:tcW w:w="1206" w:type="dxa"/>
            <w:noWrap w:val="0"/>
            <w:vAlign w:val="top"/>
          </w:tcPr>
          <w:p w14:paraId="017872FB">
            <w:pPr>
              <w:spacing w:line="440" w:lineRule="exact"/>
              <w:jc w:val="center"/>
              <w:textAlignment w:val="center"/>
              <w:rPr>
                <w:rFonts w:ascii="华文细黑" w:hAnsi="华文细黑"/>
                <w:sz w:val="24"/>
              </w:rPr>
            </w:pPr>
          </w:p>
        </w:tc>
        <w:tc>
          <w:tcPr>
            <w:tcW w:w="844" w:type="dxa"/>
            <w:noWrap w:val="0"/>
            <w:vAlign w:val="top"/>
          </w:tcPr>
          <w:p w14:paraId="711805B8">
            <w:pPr>
              <w:spacing w:line="440" w:lineRule="exact"/>
              <w:jc w:val="center"/>
              <w:textAlignment w:val="center"/>
              <w:rPr>
                <w:rFonts w:ascii="华文细黑" w:hAnsi="华文细黑"/>
                <w:sz w:val="24"/>
              </w:rPr>
            </w:pPr>
          </w:p>
        </w:tc>
        <w:tc>
          <w:tcPr>
            <w:tcW w:w="1099" w:type="dxa"/>
            <w:noWrap w:val="0"/>
            <w:vAlign w:val="top"/>
          </w:tcPr>
          <w:p w14:paraId="59A8C57E">
            <w:pPr>
              <w:spacing w:line="440" w:lineRule="exact"/>
              <w:jc w:val="center"/>
              <w:textAlignment w:val="center"/>
              <w:rPr>
                <w:rFonts w:ascii="华文细黑" w:hAnsi="华文细黑"/>
                <w:sz w:val="24"/>
              </w:rPr>
            </w:pPr>
          </w:p>
        </w:tc>
        <w:tc>
          <w:tcPr>
            <w:tcW w:w="746" w:type="dxa"/>
            <w:noWrap w:val="0"/>
            <w:vAlign w:val="top"/>
          </w:tcPr>
          <w:p w14:paraId="39DA1E3F">
            <w:pPr>
              <w:spacing w:line="440" w:lineRule="exact"/>
              <w:jc w:val="center"/>
              <w:textAlignment w:val="center"/>
              <w:rPr>
                <w:rFonts w:ascii="华文细黑" w:hAnsi="华文细黑"/>
                <w:sz w:val="24"/>
              </w:rPr>
            </w:pPr>
          </w:p>
        </w:tc>
        <w:tc>
          <w:tcPr>
            <w:tcW w:w="819" w:type="dxa"/>
            <w:noWrap w:val="0"/>
            <w:vAlign w:val="top"/>
          </w:tcPr>
          <w:p w14:paraId="6453991D">
            <w:pPr>
              <w:spacing w:line="440" w:lineRule="exact"/>
              <w:jc w:val="center"/>
              <w:textAlignment w:val="center"/>
              <w:rPr>
                <w:rFonts w:ascii="华文细黑" w:hAnsi="华文细黑"/>
                <w:sz w:val="24"/>
              </w:rPr>
            </w:pPr>
          </w:p>
        </w:tc>
        <w:tc>
          <w:tcPr>
            <w:tcW w:w="1346" w:type="dxa"/>
            <w:noWrap w:val="0"/>
            <w:vAlign w:val="top"/>
          </w:tcPr>
          <w:p w14:paraId="6A6BCC28">
            <w:pPr>
              <w:spacing w:line="440" w:lineRule="exact"/>
              <w:jc w:val="center"/>
              <w:textAlignment w:val="center"/>
              <w:rPr>
                <w:rFonts w:ascii="华文细黑" w:hAnsi="华文细黑"/>
                <w:sz w:val="24"/>
              </w:rPr>
            </w:pPr>
          </w:p>
        </w:tc>
        <w:tc>
          <w:tcPr>
            <w:tcW w:w="1834" w:type="dxa"/>
            <w:noWrap w:val="0"/>
            <w:vAlign w:val="top"/>
          </w:tcPr>
          <w:p w14:paraId="206B6995">
            <w:pPr>
              <w:spacing w:line="440" w:lineRule="exact"/>
              <w:jc w:val="center"/>
              <w:textAlignment w:val="center"/>
              <w:rPr>
                <w:rFonts w:ascii="华文细黑" w:hAnsi="华文细黑"/>
                <w:sz w:val="24"/>
              </w:rPr>
            </w:pPr>
          </w:p>
        </w:tc>
        <w:tc>
          <w:tcPr>
            <w:tcW w:w="763" w:type="dxa"/>
            <w:noWrap w:val="0"/>
            <w:vAlign w:val="top"/>
          </w:tcPr>
          <w:p w14:paraId="7496A950">
            <w:pPr>
              <w:spacing w:line="440" w:lineRule="exact"/>
              <w:jc w:val="center"/>
              <w:textAlignment w:val="center"/>
              <w:rPr>
                <w:rFonts w:ascii="华文细黑" w:hAnsi="华文细黑"/>
                <w:sz w:val="24"/>
              </w:rPr>
            </w:pPr>
          </w:p>
        </w:tc>
      </w:tr>
      <w:tr w14:paraId="38586B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9" w:type="dxa"/>
            <w:noWrap w:val="0"/>
            <w:vAlign w:val="top"/>
          </w:tcPr>
          <w:p w14:paraId="41C330B0">
            <w:pPr>
              <w:spacing w:line="440" w:lineRule="exact"/>
              <w:jc w:val="center"/>
              <w:textAlignment w:val="center"/>
              <w:rPr>
                <w:rFonts w:ascii="华文细黑" w:hAnsi="华文细黑"/>
                <w:sz w:val="24"/>
              </w:rPr>
            </w:pPr>
          </w:p>
        </w:tc>
        <w:tc>
          <w:tcPr>
            <w:tcW w:w="1206" w:type="dxa"/>
            <w:noWrap w:val="0"/>
            <w:vAlign w:val="top"/>
          </w:tcPr>
          <w:p w14:paraId="51EAA1D0">
            <w:pPr>
              <w:spacing w:line="440" w:lineRule="exact"/>
              <w:jc w:val="center"/>
              <w:textAlignment w:val="center"/>
              <w:rPr>
                <w:rFonts w:ascii="华文细黑" w:hAnsi="华文细黑"/>
                <w:sz w:val="24"/>
              </w:rPr>
            </w:pPr>
          </w:p>
        </w:tc>
        <w:tc>
          <w:tcPr>
            <w:tcW w:w="844" w:type="dxa"/>
            <w:noWrap w:val="0"/>
            <w:vAlign w:val="top"/>
          </w:tcPr>
          <w:p w14:paraId="567D3383">
            <w:pPr>
              <w:spacing w:line="440" w:lineRule="exact"/>
              <w:jc w:val="center"/>
              <w:textAlignment w:val="center"/>
              <w:rPr>
                <w:rFonts w:ascii="华文细黑" w:hAnsi="华文细黑"/>
                <w:sz w:val="24"/>
              </w:rPr>
            </w:pPr>
          </w:p>
        </w:tc>
        <w:tc>
          <w:tcPr>
            <w:tcW w:w="1099" w:type="dxa"/>
            <w:noWrap w:val="0"/>
            <w:vAlign w:val="top"/>
          </w:tcPr>
          <w:p w14:paraId="4C8CE2F3">
            <w:pPr>
              <w:spacing w:line="440" w:lineRule="exact"/>
              <w:jc w:val="center"/>
              <w:textAlignment w:val="center"/>
              <w:rPr>
                <w:rFonts w:ascii="华文细黑" w:hAnsi="华文细黑"/>
                <w:sz w:val="24"/>
              </w:rPr>
            </w:pPr>
          </w:p>
        </w:tc>
        <w:tc>
          <w:tcPr>
            <w:tcW w:w="746" w:type="dxa"/>
            <w:noWrap w:val="0"/>
            <w:vAlign w:val="top"/>
          </w:tcPr>
          <w:p w14:paraId="538077F6">
            <w:pPr>
              <w:spacing w:line="440" w:lineRule="exact"/>
              <w:jc w:val="center"/>
              <w:textAlignment w:val="center"/>
              <w:rPr>
                <w:rFonts w:ascii="华文细黑" w:hAnsi="华文细黑"/>
                <w:sz w:val="24"/>
              </w:rPr>
            </w:pPr>
          </w:p>
        </w:tc>
        <w:tc>
          <w:tcPr>
            <w:tcW w:w="819" w:type="dxa"/>
            <w:noWrap w:val="0"/>
            <w:vAlign w:val="top"/>
          </w:tcPr>
          <w:p w14:paraId="3A795FE3">
            <w:pPr>
              <w:spacing w:line="440" w:lineRule="exact"/>
              <w:jc w:val="center"/>
              <w:textAlignment w:val="center"/>
              <w:rPr>
                <w:rFonts w:ascii="华文细黑" w:hAnsi="华文细黑"/>
                <w:sz w:val="24"/>
              </w:rPr>
            </w:pPr>
          </w:p>
        </w:tc>
        <w:tc>
          <w:tcPr>
            <w:tcW w:w="1346" w:type="dxa"/>
            <w:noWrap w:val="0"/>
            <w:vAlign w:val="top"/>
          </w:tcPr>
          <w:p w14:paraId="289F98CB">
            <w:pPr>
              <w:spacing w:line="440" w:lineRule="exact"/>
              <w:jc w:val="center"/>
              <w:textAlignment w:val="center"/>
              <w:rPr>
                <w:rFonts w:ascii="华文细黑" w:hAnsi="华文细黑"/>
                <w:sz w:val="24"/>
              </w:rPr>
            </w:pPr>
          </w:p>
        </w:tc>
        <w:tc>
          <w:tcPr>
            <w:tcW w:w="1834" w:type="dxa"/>
            <w:noWrap w:val="0"/>
            <w:vAlign w:val="top"/>
          </w:tcPr>
          <w:p w14:paraId="4C2ABD54">
            <w:pPr>
              <w:spacing w:line="440" w:lineRule="exact"/>
              <w:jc w:val="center"/>
              <w:textAlignment w:val="center"/>
              <w:rPr>
                <w:rFonts w:ascii="华文细黑" w:hAnsi="华文细黑"/>
                <w:sz w:val="24"/>
              </w:rPr>
            </w:pPr>
          </w:p>
        </w:tc>
        <w:tc>
          <w:tcPr>
            <w:tcW w:w="763" w:type="dxa"/>
            <w:noWrap w:val="0"/>
            <w:vAlign w:val="top"/>
          </w:tcPr>
          <w:p w14:paraId="141F2912">
            <w:pPr>
              <w:spacing w:line="440" w:lineRule="exact"/>
              <w:jc w:val="center"/>
              <w:textAlignment w:val="center"/>
              <w:rPr>
                <w:rFonts w:ascii="华文细黑" w:hAnsi="华文细黑"/>
                <w:sz w:val="24"/>
              </w:rPr>
            </w:pPr>
          </w:p>
        </w:tc>
      </w:tr>
      <w:tr w14:paraId="1581BD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9" w:type="dxa"/>
            <w:noWrap w:val="0"/>
            <w:vAlign w:val="top"/>
          </w:tcPr>
          <w:p w14:paraId="3FEA56C8">
            <w:pPr>
              <w:spacing w:line="440" w:lineRule="exact"/>
              <w:jc w:val="center"/>
              <w:textAlignment w:val="center"/>
              <w:rPr>
                <w:rFonts w:ascii="华文细黑" w:hAnsi="华文细黑"/>
                <w:sz w:val="24"/>
              </w:rPr>
            </w:pPr>
          </w:p>
        </w:tc>
        <w:tc>
          <w:tcPr>
            <w:tcW w:w="1206" w:type="dxa"/>
            <w:noWrap w:val="0"/>
            <w:vAlign w:val="top"/>
          </w:tcPr>
          <w:p w14:paraId="129A1451">
            <w:pPr>
              <w:spacing w:line="440" w:lineRule="exact"/>
              <w:jc w:val="center"/>
              <w:textAlignment w:val="center"/>
              <w:rPr>
                <w:rFonts w:ascii="华文细黑" w:hAnsi="华文细黑"/>
                <w:sz w:val="24"/>
              </w:rPr>
            </w:pPr>
          </w:p>
        </w:tc>
        <w:tc>
          <w:tcPr>
            <w:tcW w:w="844" w:type="dxa"/>
            <w:noWrap w:val="0"/>
            <w:vAlign w:val="top"/>
          </w:tcPr>
          <w:p w14:paraId="2E1DDE01">
            <w:pPr>
              <w:spacing w:line="440" w:lineRule="exact"/>
              <w:jc w:val="center"/>
              <w:textAlignment w:val="center"/>
              <w:rPr>
                <w:rFonts w:ascii="华文细黑" w:hAnsi="华文细黑"/>
                <w:sz w:val="24"/>
              </w:rPr>
            </w:pPr>
          </w:p>
        </w:tc>
        <w:tc>
          <w:tcPr>
            <w:tcW w:w="1099" w:type="dxa"/>
            <w:noWrap w:val="0"/>
            <w:vAlign w:val="top"/>
          </w:tcPr>
          <w:p w14:paraId="720FEFD5">
            <w:pPr>
              <w:spacing w:line="440" w:lineRule="exact"/>
              <w:jc w:val="center"/>
              <w:textAlignment w:val="center"/>
              <w:rPr>
                <w:rFonts w:ascii="华文细黑" w:hAnsi="华文细黑"/>
                <w:sz w:val="24"/>
              </w:rPr>
            </w:pPr>
          </w:p>
        </w:tc>
        <w:tc>
          <w:tcPr>
            <w:tcW w:w="746" w:type="dxa"/>
            <w:noWrap w:val="0"/>
            <w:vAlign w:val="top"/>
          </w:tcPr>
          <w:p w14:paraId="666F68EB">
            <w:pPr>
              <w:spacing w:line="440" w:lineRule="exact"/>
              <w:jc w:val="center"/>
              <w:textAlignment w:val="center"/>
              <w:rPr>
                <w:rFonts w:ascii="华文细黑" w:hAnsi="华文细黑"/>
                <w:sz w:val="24"/>
              </w:rPr>
            </w:pPr>
          </w:p>
        </w:tc>
        <w:tc>
          <w:tcPr>
            <w:tcW w:w="819" w:type="dxa"/>
            <w:noWrap w:val="0"/>
            <w:vAlign w:val="top"/>
          </w:tcPr>
          <w:p w14:paraId="3116D2E0">
            <w:pPr>
              <w:spacing w:line="440" w:lineRule="exact"/>
              <w:jc w:val="center"/>
              <w:textAlignment w:val="center"/>
              <w:rPr>
                <w:rFonts w:ascii="华文细黑" w:hAnsi="华文细黑"/>
                <w:sz w:val="24"/>
              </w:rPr>
            </w:pPr>
          </w:p>
        </w:tc>
        <w:tc>
          <w:tcPr>
            <w:tcW w:w="1346" w:type="dxa"/>
            <w:noWrap w:val="0"/>
            <w:vAlign w:val="top"/>
          </w:tcPr>
          <w:p w14:paraId="1411FBD3">
            <w:pPr>
              <w:spacing w:line="440" w:lineRule="exact"/>
              <w:jc w:val="center"/>
              <w:textAlignment w:val="center"/>
              <w:rPr>
                <w:rFonts w:ascii="华文细黑" w:hAnsi="华文细黑"/>
                <w:sz w:val="24"/>
              </w:rPr>
            </w:pPr>
          </w:p>
        </w:tc>
        <w:tc>
          <w:tcPr>
            <w:tcW w:w="1834" w:type="dxa"/>
            <w:noWrap w:val="0"/>
            <w:vAlign w:val="top"/>
          </w:tcPr>
          <w:p w14:paraId="30DCD3C1">
            <w:pPr>
              <w:spacing w:line="440" w:lineRule="exact"/>
              <w:jc w:val="center"/>
              <w:textAlignment w:val="center"/>
              <w:rPr>
                <w:rFonts w:ascii="华文细黑" w:hAnsi="华文细黑"/>
                <w:sz w:val="24"/>
              </w:rPr>
            </w:pPr>
          </w:p>
        </w:tc>
        <w:tc>
          <w:tcPr>
            <w:tcW w:w="763" w:type="dxa"/>
            <w:noWrap w:val="0"/>
            <w:vAlign w:val="top"/>
          </w:tcPr>
          <w:p w14:paraId="616E2C58">
            <w:pPr>
              <w:spacing w:line="440" w:lineRule="exact"/>
              <w:jc w:val="center"/>
              <w:textAlignment w:val="center"/>
              <w:rPr>
                <w:rFonts w:ascii="华文细黑" w:hAnsi="华文细黑"/>
                <w:sz w:val="24"/>
              </w:rPr>
            </w:pPr>
          </w:p>
        </w:tc>
      </w:tr>
      <w:tr w14:paraId="222E45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9" w:type="dxa"/>
            <w:noWrap w:val="0"/>
            <w:vAlign w:val="top"/>
          </w:tcPr>
          <w:p w14:paraId="29A590B9">
            <w:pPr>
              <w:spacing w:line="440" w:lineRule="exact"/>
              <w:jc w:val="center"/>
              <w:textAlignment w:val="center"/>
              <w:rPr>
                <w:rFonts w:ascii="华文细黑" w:hAnsi="华文细黑"/>
                <w:sz w:val="24"/>
              </w:rPr>
            </w:pPr>
          </w:p>
        </w:tc>
        <w:tc>
          <w:tcPr>
            <w:tcW w:w="1206" w:type="dxa"/>
            <w:noWrap w:val="0"/>
            <w:vAlign w:val="top"/>
          </w:tcPr>
          <w:p w14:paraId="06F3A61C">
            <w:pPr>
              <w:spacing w:line="440" w:lineRule="exact"/>
              <w:jc w:val="center"/>
              <w:textAlignment w:val="center"/>
              <w:rPr>
                <w:rFonts w:ascii="华文细黑" w:hAnsi="华文细黑"/>
                <w:sz w:val="24"/>
              </w:rPr>
            </w:pPr>
          </w:p>
        </w:tc>
        <w:tc>
          <w:tcPr>
            <w:tcW w:w="844" w:type="dxa"/>
            <w:noWrap w:val="0"/>
            <w:vAlign w:val="top"/>
          </w:tcPr>
          <w:p w14:paraId="3E58A579">
            <w:pPr>
              <w:spacing w:line="440" w:lineRule="exact"/>
              <w:jc w:val="center"/>
              <w:textAlignment w:val="center"/>
              <w:rPr>
                <w:rFonts w:ascii="华文细黑" w:hAnsi="华文细黑"/>
                <w:sz w:val="24"/>
              </w:rPr>
            </w:pPr>
          </w:p>
        </w:tc>
        <w:tc>
          <w:tcPr>
            <w:tcW w:w="1099" w:type="dxa"/>
            <w:noWrap w:val="0"/>
            <w:vAlign w:val="top"/>
          </w:tcPr>
          <w:p w14:paraId="6E3F420E">
            <w:pPr>
              <w:spacing w:line="440" w:lineRule="exact"/>
              <w:jc w:val="center"/>
              <w:textAlignment w:val="center"/>
              <w:rPr>
                <w:rFonts w:ascii="华文细黑" w:hAnsi="华文细黑"/>
                <w:sz w:val="24"/>
              </w:rPr>
            </w:pPr>
          </w:p>
        </w:tc>
        <w:tc>
          <w:tcPr>
            <w:tcW w:w="746" w:type="dxa"/>
            <w:noWrap w:val="0"/>
            <w:vAlign w:val="top"/>
          </w:tcPr>
          <w:p w14:paraId="1E9F00F0">
            <w:pPr>
              <w:spacing w:line="440" w:lineRule="exact"/>
              <w:jc w:val="center"/>
              <w:textAlignment w:val="center"/>
              <w:rPr>
                <w:rFonts w:ascii="华文细黑" w:hAnsi="华文细黑"/>
                <w:sz w:val="24"/>
              </w:rPr>
            </w:pPr>
          </w:p>
        </w:tc>
        <w:tc>
          <w:tcPr>
            <w:tcW w:w="819" w:type="dxa"/>
            <w:noWrap w:val="0"/>
            <w:vAlign w:val="top"/>
          </w:tcPr>
          <w:p w14:paraId="7F894A40">
            <w:pPr>
              <w:spacing w:line="440" w:lineRule="exact"/>
              <w:jc w:val="center"/>
              <w:textAlignment w:val="center"/>
              <w:rPr>
                <w:rFonts w:ascii="华文细黑" w:hAnsi="华文细黑"/>
                <w:sz w:val="24"/>
              </w:rPr>
            </w:pPr>
          </w:p>
        </w:tc>
        <w:tc>
          <w:tcPr>
            <w:tcW w:w="1346" w:type="dxa"/>
            <w:noWrap w:val="0"/>
            <w:vAlign w:val="top"/>
          </w:tcPr>
          <w:p w14:paraId="1DA93F51">
            <w:pPr>
              <w:spacing w:line="440" w:lineRule="exact"/>
              <w:jc w:val="center"/>
              <w:textAlignment w:val="center"/>
              <w:rPr>
                <w:rFonts w:ascii="华文细黑" w:hAnsi="华文细黑"/>
                <w:sz w:val="24"/>
              </w:rPr>
            </w:pPr>
          </w:p>
        </w:tc>
        <w:tc>
          <w:tcPr>
            <w:tcW w:w="1834" w:type="dxa"/>
            <w:noWrap w:val="0"/>
            <w:vAlign w:val="top"/>
          </w:tcPr>
          <w:p w14:paraId="52D69FB7">
            <w:pPr>
              <w:spacing w:line="440" w:lineRule="exact"/>
              <w:jc w:val="center"/>
              <w:textAlignment w:val="center"/>
              <w:rPr>
                <w:rFonts w:ascii="华文细黑" w:hAnsi="华文细黑"/>
                <w:sz w:val="24"/>
              </w:rPr>
            </w:pPr>
          </w:p>
        </w:tc>
        <w:tc>
          <w:tcPr>
            <w:tcW w:w="763" w:type="dxa"/>
            <w:noWrap w:val="0"/>
            <w:vAlign w:val="top"/>
          </w:tcPr>
          <w:p w14:paraId="2EE079C2">
            <w:pPr>
              <w:spacing w:line="440" w:lineRule="exact"/>
              <w:jc w:val="center"/>
              <w:textAlignment w:val="center"/>
              <w:rPr>
                <w:rFonts w:ascii="华文细黑" w:hAnsi="华文细黑"/>
                <w:sz w:val="24"/>
              </w:rPr>
            </w:pPr>
          </w:p>
        </w:tc>
      </w:tr>
      <w:tr w14:paraId="5E8AAA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9" w:type="dxa"/>
            <w:noWrap w:val="0"/>
            <w:vAlign w:val="top"/>
          </w:tcPr>
          <w:p w14:paraId="37F950AE">
            <w:pPr>
              <w:spacing w:line="440" w:lineRule="exact"/>
              <w:jc w:val="center"/>
              <w:textAlignment w:val="center"/>
              <w:rPr>
                <w:rFonts w:ascii="华文细黑" w:hAnsi="华文细黑"/>
                <w:sz w:val="24"/>
              </w:rPr>
            </w:pPr>
          </w:p>
        </w:tc>
        <w:tc>
          <w:tcPr>
            <w:tcW w:w="1206" w:type="dxa"/>
            <w:noWrap w:val="0"/>
            <w:vAlign w:val="top"/>
          </w:tcPr>
          <w:p w14:paraId="4CE8D671">
            <w:pPr>
              <w:spacing w:line="440" w:lineRule="exact"/>
              <w:jc w:val="center"/>
              <w:textAlignment w:val="center"/>
              <w:rPr>
                <w:rFonts w:ascii="华文细黑" w:hAnsi="华文细黑"/>
                <w:sz w:val="24"/>
              </w:rPr>
            </w:pPr>
          </w:p>
        </w:tc>
        <w:tc>
          <w:tcPr>
            <w:tcW w:w="844" w:type="dxa"/>
            <w:noWrap w:val="0"/>
            <w:vAlign w:val="top"/>
          </w:tcPr>
          <w:p w14:paraId="40933F4E">
            <w:pPr>
              <w:spacing w:line="440" w:lineRule="exact"/>
              <w:jc w:val="center"/>
              <w:textAlignment w:val="center"/>
              <w:rPr>
                <w:rFonts w:ascii="华文细黑" w:hAnsi="华文细黑"/>
                <w:sz w:val="24"/>
              </w:rPr>
            </w:pPr>
          </w:p>
        </w:tc>
        <w:tc>
          <w:tcPr>
            <w:tcW w:w="1099" w:type="dxa"/>
            <w:noWrap w:val="0"/>
            <w:vAlign w:val="top"/>
          </w:tcPr>
          <w:p w14:paraId="712C046D">
            <w:pPr>
              <w:spacing w:line="440" w:lineRule="exact"/>
              <w:jc w:val="center"/>
              <w:textAlignment w:val="center"/>
              <w:rPr>
                <w:rFonts w:ascii="华文细黑" w:hAnsi="华文细黑"/>
                <w:sz w:val="24"/>
              </w:rPr>
            </w:pPr>
          </w:p>
        </w:tc>
        <w:tc>
          <w:tcPr>
            <w:tcW w:w="746" w:type="dxa"/>
            <w:noWrap w:val="0"/>
            <w:vAlign w:val="top"/>
          </w:tcPr>
          <w:p w14:paraId="33FE9E7E">
            <w:pPr>
              <w:spacing w:line="440" w:lineRule="exact"/>
              <w:jc w:val="center"/>
              <w:textAlignment w:val="center"/>
              <w:rPr>
                <w:rFonts w:ascii="华文细黑" w:hAnsi="华文细黑"/>
                <w:sz w:val="24"/>
              </w:rPr>
            </w:pPr>
          </w:p>
        </w:tc>
        <w:tc>
          <w:tcPr>
            <w:tcW w:w="819" w:type="dxa"/>
            <w:noWrap w:val="0"/>
            <w:vAlign w:val="top"/>
          </w:tcPr>
          <w:p w14:paraId="5F475B93">
            <w:pPr>
              <w:spacing w:line="440" w:lineRule="exact"/>
              <w:jc w:val="center"/>
              <w:textAlignment w:val="center"/>
              <w:rPr>
                <w:rFonts w:ascii="华文细黑" w:hAnsi="华文细黑"/>
                <w:sz w:val="24"/>
              </w:rPr>
            </w:pPr>
          </w:p>
        </w:tc>
        <w:tc>
          <w:tcPr>
            <w:tcW w:w="1346" w:type="dxa"/>
            <w:noWrap w:val="0"/>
            <w:vAlign w:val="top"/>
          </w:tcPr>
          <w:p w14:paraId="0A8CB49D">
            <w:pPr>
              <w:spacing w:line="440" w:lineRule="exact"/>
              <w:jc w:val="center"/>
              <w:textAlignment w:val="center"/>
              <w:rPr>
                <w:rFonts w:ascii="华文细黑" w:hAnsi="华文细黑"/>
                <w:sz w:val="24"/>
              </w:rPr>
            </w:pPr>
          </w:p>
        </w:tc>
        <w:tc>
          <w:tcPr>
            <w:tcW w:w="1834" w:type="dxa"/>
            <w:noWrap w:val="0"/>
            <w:vAlign w:val="top"/>
          </w:tcPr>
          <w:p w14:paraId="72E1D869">
            <w:pPr>
              <w:spacing w:line="440" w:lineRule="exact"/>
              <w:jc w:val="center"/>
              <w:textAlignment w:val="center"/>
              <w:rPr>
                <w:rFonts w:ascii="华文细黑" w:hAnsi="华文细黑"/>
                <w:sz w:val="24"/>
              </w:rPr>
            </w:pPr>
          </w:p>
        </w:tc>
        <w:tc>
          <w:tcPr>
            <w:tcW w:w="763" w:type="dxa"/>
            <w:noWrap w:val="0"/>
            <w:vAlign w:val="top"/>
          </w:tcPr>
          <w:p w14:paraId="781DB6E9">
            <w:pPr>
              <w:spacing w:line="440" w:lineRule="exact"/>
              <w:jc w:val="center"/>
              <w:textAlignment w:val="center"/>
              <w:rPr>
                <w:rFonts w:ascii="华文细黑" w:hAnsi="华文细黑"/>
                <w:sz w:val="24"/>
              </w:rPr>
            </w:pPr>
          </w:p>
        </w:tc>
      </w:tr>
      <w:tr w14:paraId="34F120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9" w:type="dxa"/>
            <w:noWrap w:val="0"/>
            <w:vAlign w:val="top"/>
          </w:tcPr>
          <w:p w14:paraId="45D7CDF4">
            <w:pPr>
              <w:spacing w:line="440" w:lineRule="exact"/>
              <w:jc w:val="center"/>
              <w:textAlignment w:val="center"/>
              <w:rPr>
                <w:rFonts w:ascii="华文细黑" w:hAnsi="华文细黑"/>
                <w:sz w:val="24"/>
              </w:rPr>
            </w:pPr>
          </w:p>
        </w:tc>
        <w:tc>
          <w:tcPr>
            <w:tcW w:w="1206" w:type="dxa"/>
            <w:noWrap w:val="0"/>
            <w:vAlign w:val="top"/>
          </w:tcPr>
          <w:p w14:paraId="0C992210">
            <w:pPr>
              <w:spacing w:line="440" w:lineRule="exact"/>
              <w:jc w:val="center"/>
              <w:textAlignment w:val="center"/>
              <w:rPr>
                <w:rFonts w:ascii="华文细黑" w:hAnsi="华文细黑"/>
                <w:sz w:val="24"/>
              </w:rPr>
            </w:pPr>
          </w:p>
        </w:tc>
        <w:tc>
          <w:tcPr>
            <w:tcW w:w="844" w:type="dxa"/>
            <w:noWrap w:val="0"/>
            <w:vAlign w:val="top"/>
          </w:tcPr>
          <w:p w14:paraId="49335A7A">
            <w:pPr>
              <w:spacing w:line="440" w:lineRule="exact"/>
              <w:jc w:val="center"/>
              <w:textAlignment w:val="center"/>
              <w:rPr>
                <w:rFonts w:ascii="华文细黑" w:hAnsi="华文细黑"/>
                <w:sz w:val="24"/>
              </w:rPr>
            </w:pPr>
          </w:p>
        </w:tc>
        <w:tc>
          <w:tcPr>
            <w:tcW w:w="1099" w:type="dxa"/>
            <w:noWrap w:val="0"/>
            <w:vAlign w:val="top"/>
          </w:tcPr>
          <w:p w14:paraId="69527D80">
            <w:pPr>
              <w:spacing w:line="440" w:lineRule="exact"/>
              <w:jc w:val="center"/>
              <w:textAlignment w:val="center"/>
              <w:rPr>
                <w:rFonts w:ascii="华文细黑" w:hAnsi="华文细黑"/>
                <w:sz w:val="24"/>
              </w:rPr>
            </w:pPr>
          </w:p>
        </w:tc>
        <w:tc>
          <w:tcPr>
            <w:tcW w:w="746" w:type="dxa"/>
            <w:noWrap w:val="0"/>
            <w:vAlign w:val="top"/>
          </w:tcPr>
          <w:p w14:paraId="2D3B4A24">
            <w:pPr>
              <w:spacing w:line="440" w:lineRule="exact"/>
              <w:jc w:val="center"/>
              <w:textAlignment w:val="center"/>
              <w:rPr>
                <w:rFonts w:ascii="华文细黑" w:hAnsi="华文细黑"/>
                <w:sz w:val="24"/>
              </w:rPr>
            </w:pPr>
          </w:p>
        </w:tc>
        <w:tc>
          <w:tcPr>
            <w:tcW w:w="819" w:type="dxa"/>
            <w:noWrap w:val="0"/>
            <w:vAlign w:val="top"/>
          </w:tcPr>
          <w:p w14:paraId="0F9E9DF0">
            <w:pPr>
              <w:spacing w:line="440" w:lineRule="exact"/>
              <w:jc w:val="center"/>
              <w:textAlignment w:val="center"/>
              <w:rPr>
                <w:rFonts w:ascii="华文细黑" w:hAnsi="华文细黑"/>
                <w:sz w:val="24"/>
              </w:rPr>
            </w:pPr>
          </w:p>
        </w:tc>
        <w:tc>
          <w:tcPr>
            <w:tcW w:w="1346" w:type="dxa"/>
            <w:noWrap w:val="0"/>
            <w:vAlign w:val="top"/>
          </w:tcPr>
          <w:p w14:paraId="484806FB">
            <w:pPr>
              <w:spacing w:line="440" w:lineRule="exact"/>
              <w:jc w:val="center"/>
              <w:textAlignment w:val="center"/>
              <w:rPr>
                <w:rFonts w:ascii="华文细黑" w:hAnsi="华文细黑"/>
                <w:sz w:val="24"/>
              </w:rPr>
            </w:pPr>
          </w:p>
        </w:tc>
        <w:tc>
          <w:tcPr>
            <w:tcW w:w="1834" w:type="dxa"/>
            <w:noWrap w:val="0"/>
            <w:vAlign w:val="top"/>
          </w:tcPr>
          <w:p w14:paraId="5002BF91">
            <w:pPr>
              <w:spacing w:line="440" w:lineRule="exact"/>
              <w:jc w:val="center"/>
              <w:textAlignment w:val="center"/>
              <w:rPr>
                <w:rFonts w:ascii="华文细黑" w:hAnsi="华文细黑"/>
                <w:sz w:val="24"/>
              </w:rPr>
            </w:pPr>
          </w:p>
        </w:tc>
        <w:tc>
          <w:tcPr>
            <w:tcW w:w="763" w:type="dxa"/>
            <w:noWrap w:val="0"/>
            <w:vAlign w:val="top"/>
          </w:tcPr>
          <w:p w14:paraId="00505EE8">
            <w:pPr>
              <w:spacing w:line="440" w:lineRule="exact"/>
              <w:jc w:val="center"/>
              <w:textAlignment w:val="center"/>
              <w:rPr>
                <w:rFonts w:ascii="华文细黑" w:hAnsi="华文细黑"/>
                <w:sz w:val="24"/>
              </w:rPr>
            </w:pPr>
          </w:p>
        </w:tc>
      </w:tr>
      <w:tr w14:paraId="296653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9" w:type="dxa"/>
            <w:noWrap w:val="0"/>
            <w:vAlign w:val="top"/>
          </w:tcPr>
          <w:p w14:paraId="30C6A890">
            <w:pPr>
              <w:spacing w:line="440" w:lineRule="exact"/>
              <w:jc w:val="center"/>
              <w:textAlignment w:val="center"/>
              <w:rPr>
                <w:rFonts w:ascii="华文细黑" w:hAnsi="华文细黑"/>
                <w:sz w:val="24"/>
              </w:rPr>
            </w:pPr>
          </w:p>
        </w:tc>
        <w:tc>
          <w:tcPr>
            <w:tcW w:w="1206" w:type="dxa"/>
            <w:noWrap w:val="0"/>
            <w:vAlign w:val="top"/>
          </w:tcPr>
          <w:p w14:paraId="49D31D29">
            <w:pPr>
              <w:spacing w:line="440" w:lineRule="exact"/>
              <w:jc w:val="center"/>
              <w:textAlignment w:val="center"/>
              <w:rPr>
                <w:rFonts w:ascii="华文细黑" w:hAnsi="华文细黑"/>
                <w:sz w:val="24"/>
              </w:rPr>
            </w:pPr>
          </w:p>
        </w:tc>
        <w:tc>
          <w:tcPr>
            <w:tcW w:w="844" w:type="dxa"/>
            <w:noWrap w:val="0"/>
            <w:vAlign w:val="top"/>
          </w:tcPr>
          <w:p w14:paraId="16116588">
            <w:pPr>
              <w:spacing w:line="440" w:lineRule="exact"/>
              <w:jc w:val="center"/>
              <w:textAlignment w:val="center"/>
              <w:rPr>
                <w:rFonts w:ascii="华文细黑" w:hAnsi="华文细黑"/>
                <w:sz w:val="24"/>
              </w:rPr>
            </w:pPr>
          </w:p>
        </w:tc>
        <w:tc>
          <w:tcPr>
            <w:tcW w:w="1099" w:type="dxa"/>
            <w:noWrap w:val="0"/>
            <w:vAlign w:val="top"/>
          </w:tcPr>
          <w:p w14:paraId="40F33D85">
            <w:pPr>
              <w:spacing w:line="440" w:lineRule="exact"/>
              <w:jc w:val="center"/>
              <w:textAlignment w:val="center"/>
              <w:rPr>
                <w:rFonts w:ascii="华文细黑" w:hAnsi="华文细黑"/>
                <w:sz w:val="24"/>
              </w:rPr>
            </w:pPr>
          </w:p>
        </w:tc>
        <w:tc>
          <w:tcPr>
            <w:tcW w:w="746" w:type="dxa"/>
            <w:noWrap w:val="0"/>
            <w:vAlign w:val="top"/>
          </w:tcPr>
          <w:p w14:paraId="50DF6E96">
            <w:pPr>
              <w:spacing w:line="440" w:lineRule="exact"/>
              <w:jc w:val="center"/>
              <w:textAlignment w:val="center"/>
              <w:rPr>
                <w:rFonts w:ascii="华文细黑" w:hAnsi="华文细黑"/>
                <w:sz w:val="24"/>
              </w:rPr>
            </w:pPr>
          </w:p>
        </w:tc>
        <w:tc>
          <w:tcPr>
            <w:tcW w:w="819" w:type="dxa"/>
            <w:noWrap w:val="0"/>
            <w:vAlign w:val="top"/>
          </w:tcPr>
          <w:p w14:paraId="4A38F759">
            <w:pPr>
              <w:spacing w:line="440" w:lineRule="exact"/>
              <w:jc w:val="center"/>
              <w:textAlignment w:val="center"/>
              <w:rPr>
                <w:rFonts w:ascii="华文细黑" w:hAnsi="华文细黑"/>
                <w:sz w:val="24"/>
              </w:rPr>
            </w:pPr>
          </w:p>
        </w:tc>
        <w:tc>
          <w:tcPr>
            <w:tcW w:w="1346" w:type="dxa"/>
            <w:noWrap w:val="0"/>
            <w:vAlign w:val="top"/>
          </w:tcPr>
          <w:p w14:paraId="1A514081">
            <w:pPr>
              <w:spacing w:line="440" w:lineRule="exact"/>
              <w:jc w:val="center"/>
              <w:textAlignment w:val="center"/>
              <w:rPr>
                <w:rFonts w:ascii="华文细黑" w:hAnsi="华文细黑"/>
                <w:sz w:val="24"/>
              </w:rPr>
            </w:pPr>
          </w:p>
        </w:tc>
        <w:tc>
          <w:tcPr>
            <w:tcW w:w="1834" w:type="dxa"/>
            <w:noWrap w:val="0"/>
            <w:vAlign w:val="top"/>
          </w:tcPr>
          <w:p w14:paraId="5C153A91">
            <w:pPr>
              <w:spacing w:line="440" w:lineRule="exact"/>
              <w:jc w:val="center"/>
              <w:textAlignment w:val="center"/>
              <w:rPr>
                <w:rFonts w:ascii="华文细黑" w:hAnsi="华文细黑"/>
                <w:sz w:val="24"/>
              </w:rPr>
            </w:pPr>
          </w:p>
        </w:tc>
        <w:tc>
          <w:tcPr>
            <w:tcW w:w="763" w:type="dxa"/>
            <w:noWrap w:val="0"/>
            <w:vAlign w:val="top"/>
          </w:tcPr>
          <w:p w14:paraId="32003362">
            <w:pPr>
              <w:spacing w:line="440" w:lineRule="exact"/>
              <w:jc w:val="center"/>
              <w:textAlignment w:val="center"/>
              <w:rPr>
                <w:rFonts w:ascii="华文细黑" w:hAnsi="华文细黑"/>
                <w:sz w:val="24"/>
              </w:rPr>
            </w:pPr>
          </w:p>
        </w:tc>
      </w:tr>
      <w:tr w14:paraId="7A66A8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9" w:type="dxa"/>
            <w:noWrap w:val="0"/>
            <w:vAlign w:val="top"/>
          </w:tcPr>
          <w:p w14:paraId="7826B822">
            <w:pPr>
              <w:spacing w:line="440" w:lineRule="exact"/>
              <w:jc w:val="center"/>
              <w:textAlignment w:val="center"/>
              <w:rPr>
                <w:rFonts w:ascii="华文细黑" w:hAnsi="华文细黑"/>
                <w:sz w:val="24"/>
              </w:rPr>
            </w:pPr>
          </w:p>
        </w:tc>
        <w:tc>
          <w:tcPr>
            <w:tcW w:w="1206" w:type="dxa"/>
            <w:noWrap w:val="0"/>
            <w:vAlign w:val="top"/>
          </w:tcPr>
          <w:p w14:paraId="2A318B60">
            <w:pPr>
              <w:spacing w:line="440" w:lineRule="exact"/>
              <w:jc w:val="center"/>
              <w:textAlignment w:val="center"/>
              <w:rPr>
                <w:rFonts w:ascii="华文细黑" w:hAnsi="华文细黑"/>
                <w:sz w:val="24"/>
              </w:rPr>
            </w:pPr>
          </w:p>
        </w:tc>
        <w:tc>
          <w:tcPr>
            <w:tcW w:w="844" w:type="dxa"/>
            <w:noWrap w:val="0"/>
            <w:vAlign w:val="top"/>
          </w:tcPr>
          <w:p w14:paraId="346B6224">
            <w:pPr>
              <w:spacing w:line="440" w:lineRule="exact"/>
              <w:jc w:val="center"/>
              <w:textAlignment w:val="center"/>
              <w:rPr>
                <w:rFonts w:ascii="华文细黑" w:hAnsi="华文细黑"/>
                <w:sz w:val="24"/>
              </w:rPr>
            </w:pPr>
          </w:p>
        </w:tc>
        <w:tc>
          <w:tcPr>
            <w:tcW w:w="1099" w:type="dxa"/>
            <w:noWrap w:val="0"/>
            <w:vAlign w:val="top"/>
          </w:tcPr>
          <w:p w14:paraId="691BA244">
            <w:pPr>
              <w:spacing w:line="440" w:lineRule="exact"/>
              <w:jc w:val="center"/>
              <w:textAlignment w:val="center"/>
              <w:rPr>
                <w:rFonts w:ascii="华文细黑" w:hAnsi="华文细黑"/>
                <w:sz w:val="24"/>
              </w:rPr>
            </w:pPr>
          </w:p>
        </w:tc>
        <w:tc>
          <w:tcPr>
            <w:tcW w:w="746" w:type="dxa"/>
            <w:noWrap w:val="0"/>
            <w:vAlign w:val="top"/>
          </w:tcPr>
          <w:p w14:paraId="12B6B127">
            <w:pPr>
              <w:spacing w:line="440" w:lineRule="exact"/>
              <w:jc w:val="center"/>
              <w:textAlignment w:val="center"/>
              <w:rPr>
                <w:rFonts w:ascii="华文细黑" w:hAnsi="华文细黑"/>
                <w:sz w:val="24"/>
              </w:rPr>
            </w:pPr>
          </w:p>
        </w:tc>
        <w:tc>
          <w:tcPr>
            <w:tcW w:w="819" w:type="dxa"/>
            <w:noWrap w:val="0"/>
            <w:vAlign w:val="top"/>
          </w:tcPr>
          <w:p w14:paraId="44D14669">
            <w:pPr>
              <w:spacing w:line="440" w:lineRule="exact"/>
              <w:jc w:val="center"/>
              <w:textAlignment w:val="center"/>
              <w:rPr>
                <w:rFonts w:ascii="华文细黑" w:hAnsi="华文细黑"/>
                <w:sz w:val="24"/>
              </w:rPr>
            </w:pPr>
          </w:p>
        </w:tc>
        <w:tc>
          <w:tcPr>
            <w:tcW w:w="1346" w:type="dxa"/>
            <w:noWrap w:val="0"/>
            <w:vAlign w:val="top"/>
          </w:tcPr>
          <w:p w14:paraId="3CE9C957">
            <w:pPr>
              <w:spacing w:line="440" w:lineRule="exact"/>
              <w:jc w:val="center"/>
              <w:textAlignment w:val="center"/>
              <w:rPr>
                <w:rFonts w:ascii="华文细黑" w:hAnsi="华文细黑"/>
                <w:sz w:val="24"/>
              </w:rPr>
            </w:pPr>
          </w:p>
        </w:tc>
        <w:tc>
          <w:tcPr>
            <w:tcW w:w="1834" w:type="dxa"/>
            <w:noWrap w:val="0"/>
            <w:vAlign w:val="top"/>
          </w:tcPr>
          <w:p w14:paraId="6A9DC84A">
            <w:pPr>
              <w:spacing w:line="440" w:lineRule="exact"/>
              <w:jc w:val="center"/>
              <w:textAlignment w:val="center"/>
              <w:rPr>
                <w:rFonts w:ascii="华文细黑" w:hAnsi="华文细黑"/>
                <w:sz w:val="24"/>
              </w:rPr>
            </w:pPr>
          </w:p>
        </w:tc>
        <w:tc>
          <w:tcPr>
            <w:tcW w:w="763" w:type="dxa"/>
            <w:noWrap w:val="0"/>
            <w:vAlign w:val="top"/>
          </w:tcPr>
          <w:p w14:paraId="73528FD3">
            <w:pPr>
              <w:spacing w:line="440" w:lineRule="exact"/>
              <w:jc w:val="center"/>
              <w:textAlignment w:val="center"/>
              <w:rPr>
                <w:rFonts w:ascii="华文细黑" w:hAnsi="华文细黑"/>
                <w:sz w:val="24"/>
              </w:rPr>
            </w:pPr>
          </w:p>
        </w:tc>
      </w:tr>
      <w:tr w14:paraId="04E3A6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9" w:type="dxa"/>
            <w:noWrap w:val="0"/>
            <w:vAlign w:val="top"/>
          </w:tcPr>
          <w:p w14:paraId="684226C1">
            <w:pPr>
              <w:spacing w:line="440" w:lineRule="exact"/>
              <w:jc w:val="center"/>
              <w:textAlignment w:val="center"/>
              <w:rPr>
                <w:rFonts w:ascii="华文细黑" w:hAnsi="华文细黑"/>
                <w:sz w:val="24"/>
              </w:rPr>
            </w:pPr>
          </w:p>
        </w:tc>
        <w:tc>
          <w:tcPr>
            <w:tcW w:w="1206" w:type="dxa"/>
            <w:noWrap w:val="0"/>
            <w:vAlign w:val="top"/>
          </w:tcPr>
          <w:p w14:paraId="486E5995">
            <w:pPr>
              <w:spacing w:line="440" w:lineRule="exact"/>
              <w:jc w:val="center"/>
              <w:textAlignment w:val="center"/>
              <w:rPr>
                <w:rFonts w:ascii="华文细黑" w:hAnsi="华文细黑"/>
                <w:sz w:val="24"/>
              </w:rPr>
            </w:pPr>
          </w:p>
        </w:tc>
        <w:tc>
          <w:tcPr>
            <w:tcW w:w="844" w:type="dxa"/>
            <w:noWrap w:val="0"/>
            <w:vAlign w:val="top"/>
          </w:tcPr>
          <w:p w14:paraId="52443DF6">
            <w:pPr>
              <w:spacing w:line="440" w:lineRule="exact"/>
              <w:jc w:val="center"/>
              <w:textAlignment w:val="center"/>
              <w:rPr>
                <w:rFonts w:ascii="华文细黑" w:hAnsi="华文细黑"/>
                <w:sz w:val="24"/>
              </w:rPr>
            </w:pPr>
          </w:p>
        </w:tc>
        <w:tc>
          <w:tcPr>
            <w:tcW w:w="1099" w:type="dxa"/>
            <w:noWrap w:val="0"/>
            <w:vAlign w:val="top"/>
          </w:tcPr>
          <w:p w14:paraId="7BAB5983">
            <w:pPr>
              <w:spacing w:line="440" w:lineRule="exact"/>
              <w:jc w:val="center"/>
              <w:textAlignment w:val="center"/>
              <w:rPr>
                <w:rFonts w:ascii="华文细黑" w:hAnsi="华文细黑"/>
                <w:sz w:val="24"/>
              </w:rPr>
            </w:pPr>
          </w:p>
        </w:tc>
        <w:tc>
          <w:tcPr>
            <w:tcW w:w="746" w:type="dxa"/>
            <w:noWrap w:val="0"/>
            <w:vAlign w:val="top"/>
          </w:tcPr>
          <w:p w14:paraId="5590D484">
            <w:pPr>
              <w:spacing w:line="440" w:lineRule="exact"/>
              <w:jc w:val="center"/>
              <w:textAlignment w:val="center"/>
              <w:rPr>
                <w:rFonts w:ascii="华文细黑" w:hAnsi="华文细黑"/>
                <w:sz w:val="24"/>
              </w:rPr>
            </w:pPr>
          </w:p>
        </w:tc>
        <w:tc>
          <w:tcPr>
            <w:tcW w:w="819" w:type="dxa"/>
            <w:noWrap w:val="0"/>
            <w:vAlign w:val="top"/>
          </w:tcPr>
          <w:p w14:paraId="49E1794F">
            <w:pPr>
              <w:spacing w:line="440" w:lineRule="exact"/>
              <w:jc w:val="center"/>
              <w:textAlignment w:val="center"/>
              <w:rPr>
                <w:rFonts w:ascii="华文细黑" w:hAnsi="华文细黑"/>
                <w:sz w:val="24"/>
              </w:rPr>
            </w:pPr>
          </w:p>
        </w:tc>
        <w:tc>
          <w:tcPr>
            <w:tcW w:w="1346" w:type="dxa"/>
            <w:noWrap w:val="0"/>
            <w:vAlign w:val="top"/>
          </w:tcPr>
          <w:p w14:paraId="7D03268B">
            <w:pPr>
              <w:spacing w:line="440" w:lineRule="exact"/>
              <w:jc w:val="center"/>
              <w:textAlignment w:val="center"/>
              <w:rPr>
                <w:rFonts w:ascii="华文细黑" w:hAnsi="华文细黑"/>
                <w:sz w:val="24"/>
              </w:rPr>
            </w:pPr>
          </w:p>
        </w:tc>
        <w:tc>
          <w:tcPr>
            <w:tcW w:w="1834" w:type="dxa"/>
            <w:noWrap w:val="0"/>
            <w:vAlign w:val="top"/>
          </w:tcPr>
          <w:p w14:paraId="4C8EBCFE">
            <w:pPr>
              <w:spacing w:line="440" w:lineRule="exact"/>
              <w:jc w:val="center"/>
              <w:textAlignment w:val="center"/>
              <w:rPr>
                <w:rFonts w:ascii="华文细黑" w:hAnsi="华文细黑"/>
                <w:sz w:val="24"/>
              </w:rPr>
            </w:pPr>
          </w:p>
        </w:tc>
        <w:tc>
          <w:tcPr>
            <w:tcW w:w="763" w:type="dxa"/>
            <w:noWrap w:val="0"/>
            <w:vAlign w:val="top"/>
          </w:tcPr>
          <w:p w14:paraId="47F9621C">
            <w:pPr>
              <w:spacing w:line="440" w:lineRule="exact"/>
              <w:jc w:val="center"/>
              <w:textAlignment w:val="center"/>
              <w:rPr>
                <w:rFonts w:ascii="华文细黑" w:hAnsi="华文细黑"/>
                <w:sz w:val="24"/>
              </w:rPr>
            </w:pPr>
          </w:p>
        </w:tc>
      </w:tr>
      <w:tr w14:paraId="71EC19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9" w:type="dxa"/>
            <w:noWrap w:val="0"/>
            <w:vAlign w:val="top"/>
          </w:tcPr>
          <w:p w14:paraId="1E13104B">
            <w:pPr>
              <w:spacing w:line="440" w:lineRule="exact"/>
              <w:jc w:val="center"/>
              <w:textAlignment w:val="center"/>
              <w:rPr>
                <w:rFonts w:ascii="华文细黑" w:hAnsi="华文细黑"/>
                <w:sz w:val="24"/>
              </w:rPr>
            </w:pPr>
          </w:p>
        </w:tc>
        <w:tc>
          <w:tcPr>
            <w:tcW w:w="1206" w:type="dxa"/>
            <w:noWrap w:val="0"/>
            <w:vAlign w:val="top"/>
          </w:tcPr>
          <w:p w14:paraId="16C5385B">
            <w:pPr>
              <w:spacing w:line="440" w:lineRule="exact"/>
              <w:jc w:val="center"/>
              <w:textAlignment w:val="center"/>
              <w:rPr>
                <w:rFonts w:ascii="华文细黑" w:hAnsi="华文细黑"/>
                <w:sz w:val="24"/>
              </w:rPr>
            </w:pPr>
          </w:p>
        </w:tc>
        <w:tc>
          <w:tcPr>
            <w:tcW w:w="844" w:type="dxa"/>
            <w:noWrap w:val="0"/>
            <w:vAlign w:val="top"/>
          </w:tcPr>
          <w:p w14:paraId="3ACDAA01">
            <w:pPr>
              <w:spacing w:line="440" w:lineRule="exact"/>
              <w:jc w:val="center"/>
              <w:textAlignment w:val="center"/>
              <w:rPr>
                <w:rFonts w:ascii="华文细黑" w:hAnsi="华文细黑"/>
                <w:sz w:val="24"/>
              </w:rPr>
            </w:pPr>
          </w:p>
        </w:tc>
        <w:tc>
          <w:tcPr>
            <w:tcW w:w="1099" w:type="dxa"/>
            <w:noWrap w:val="0"/>
            <w:vAlign w:val="top"/>
          </w:tcPr>
          <w:p w14:paraId="548EA1F7">
            <w:pPr>
              <w:spacing w:line="440" w:lineRule="exact"/>
              <w:jc w:val="center"/>
              <w:textAlignment w:val="center"/>
              <w:rPr>
                <w:rFonts w:ascii="华文细黑" w:hAnsi="华文细黑"/>
                <w:sz w:val="24"/>
              </w:rPr>
            </w:pPr>
          </w:p>
        </w:tc>
        <w:tc>
          <w:tcPr>
            <w:tcW w:w="746" w:type="dxa"/>
            <w:noWrap w:val="0"/>
            <w:vAlign w:val="top"/>
          </w:tcPr>
          <w:p w14:paraId="07F8241D">
            <w:pPr>
              <w:spacing w:line="440" w:lineRule="exact"/>
              <w:jc w:val="center"/>
              <w:textAlignment w:val="center"/>
              <w:rPr>
                <w:rFonts w:ascii="华文细黑" w:hAnsi="华文细黑"/>
                <w:sz w:val="24"/>
              </w:rPr>
            </w:pPr>
          </w:p>
        </w:tc>
        <w:tc>
          <w:tcPr>
            <w:tcW w:w="819" w:type="dxa"/>
            <w:noWrap w:val="0"/>
            <w:vAlign w:val="top"/>
          </w:tcPr>
          <w:p w14:paraId="2DAE60AF">
            <w:pPr>
              <w:spacing w:line="440" w:lineRule="exact"/>
              <w:jc w:val="center"/>
              <w:textAlignment w:val="center"/>
              <w:rPr>
                <w:rFonts w:ascii="华文细黑" w:hAnsi="华文细黑"/>
                <w:sz w:val="24"/>
              </w:rPr>
            </w:pPr>
          </w:p>
        </w:tc>
        <w:tc>
          <w:tcPr>
            <w:tcW w:w="1346" w:type="dxa"/>
            <w:noWrap w:val="0"/>
            <w:vAlign w:val="top"/>
          </w:tcPr>
          <w:p w14:paraId="55562EC7">
            <w:pPr>
              <w:spacing w:line="440" w:lineRule="exact"/>
              <w:jc w:val="center"/>
              <w:textAlignment w:val="center"/>
              <w:rPr>
                <w:rFonts w:ascii="华文细黑" w:hAnsi="华文细黑"/>
                <w:sz w:val="24"/>
              </w:rPr>
            </w:pPr>
          </w:p>
        </w:tc>
        <w:tc>
          <w:tcPr>
            <w:tcW w:w="1834" w:type="dxa"/>
            <w:noWrap w:val="0"/>
            <w:vAlign w:val="top"/>
          </w:tcPr>
          <w:p w14:paraId="1D1CF7F9">
            <w:pPr>
              <w:spacing w:line="440" w:lineRule="exact"/>
              <w:jc w:val="center"/>
              <w:textAlignment w:val="center"/>
              <w:rPr>
                <w:rFonts w:ascii="华文细黑" w:hAnsi="华文细黑"/>
                <w:sz w:val="24"/>
              </w:rPr>
            </w:pPr>
          </w:p>
        </w:tc>
        <w:tc>
          <w:tcPr>
            <w:tcW w:w="763" w:type="dxa"/>
            <w:noWrap w:val="0"/>
            <w:vAlign w:val="top"/>
          </w:tcPr>
          <w:p w14:paraId="0969CE25">
            <w:pPr>
              <w:spacing w:line="440" w:lineRule="exact"/>
              <w:jc w:val="center"/>
              <w:textAlignment w:val="center"/>
              <w:rPr>
                <w:rFonts w:ascii="华文细黑" w:hAnsi="华文细黑"/>
                <w:sz w:val="24"/>
              </w:rPr>
            </w:pPr>
          </w:p>
        </w:tc>
      </w:tr>
      <w:tr w14:paraId="6F4AD9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9" w:type="dxa"/>
            <w:noWrap w:val="0"/>
            <w:vAlign w:val="top"/>
          </w:tcPr>
          <w:p w14:paraId="54233521">
            <w:pPr>
              <w:spacing w:line="440" w:lineRule="exact"/>
              <w:jc w:val="center"/>
              <w:textAlignment w:val="center"/>
              <w:rPr>
                <w:rFonts w:ascii="华文细黑" w:hAnsi="华文细黑"/>
                <w:sz w:val="24"/>
              </w:rPr>
            </w:pPr>
          </w:p>
        </w:tc>
        <w:tc>
          <w:tcPr>
            <w:tcW w:w="1206" w:type="dxa"/>
            <w:noWrap w:val="0"/>
            <w:vAlign w:val="top"/>
          </w:tcPr>
          <w:p w14:paraId="00213955">
            <w:pPr>
              <w:spacing w:line="440" w:lineRule="exact"/>
              <w:jc w:val="center"/>
              <w:textAlignment w:val="center"/>
              <w:rPr>
                <w:rFonts w:ascii="华文细黑" w:hAnsi="华文细黑"/>
                <w:sz w:val="24"/>
              </w:rPr>
            </w:pPr>
          </w:p>
        </w:tc>
        <w:tc>
          <w:tcPr>
            <w:tcW w:w="844" w:type="dxa"/>
            <w:noWrap w:val="0"/>
            <w:vAlign w:val="top"/>
          </w:tcPr>
          <w:p w14:paraId="5F6CEC7D">
            <w:pPr>
              <w:spacing w:line="440" w:lineRule="exact"/>
              <w:jc w:val="center"/>
              <w:textAlignment w:val="center"/>
              <w:rPr>
                <w:rFonts w:ascii="华文细黑" w:hAnsi="华文细黑"/>
                <w:sz w:val="24"/>
              </w:rPr>
            </w:pPr>
          </w:p>
        </w:tc>
        <w:tc>
          <w:tcPr>
            <w:tcW w:w="1099" w:type="dxa"/>
            <w:noWrap w:val="0"/>
            <w:vAlign w:val="top"/>
          </w:tcPr>
          <w:p w14:paraId="4CBA9684">
            <w:pPr>
              <w:spacing w:line="440" w:lineRule="exact"/>
              <w:jc w:val="center"/>
              <w:textAlignment w:val="center"/>
              <w:rPr>
                <w:rFonts w:ascii="华文细黑" w:hAnsi="华文细黑"/>
                <w:sz w:val="24"/>
              </w:rPr>
            </w:pPr>
          </w:p>
        </w:tc>
        <w:tc>
          <w:tcPr>
            <w:tcW w:w="746" w:type="dxa"/>
            <w:noWrap w:val="0"/>
            <w:vAlign w:val="top"/>
          </w:tcPr>
          <w:p w14:paraId="415AB5F9">
            <w:pPr>
              <w:spacing w:line="440" w:lineRule="exact"/>
              <w:jc w:val="center"/>
              <w:textAlignment w:val="center"/>
              <w:rPr>
                <w:rFonts w:ascii="华文细黑" w:hAnsi="华文细黑"/>
                <w:sz w:val="24"/>
              </w:rPr>
            </w:pPr>
          </w:p>
        </w:tc>
        <w:tc>
          <w:tcPr>
            <w:tcW w:w="819" w:type="dxa"/>
            <w:noWrap w:val="0"/>
            <w:vAlign w:val="top"/>
          </w:tcPr>
          <w:p w14:paraId="342C82EC">
            <w:pPr>
              <w:spacing w:line="440" w:lineRule="exact"/>
              <w:jc w:val="center"/>
              <w:textAlignment w:val="center"/>
              <w:rPr>
                <w:rFonts w:ascii="华文细黑" w:hAnsi="华文细黑"/>
                <w:sz w:val="24"/>
              </w:rPr>
            </w:pPr>
          </w:p>
        </w:tc>
        <w:tc>
          <w:tcPr>
            <w:tcW w:w="1346" w:type="dxa"/>
            <w:noWrap w:val="0"/>
            <w:vAlign w:val="top"/>
          </w:tcPr>
          <w:p w14:paraId="6A236A3A">
            <w:pPr>
              <w:spacing w:line="440" w:lineRule="exact"/>
              <w:jc w:val="center"/>
              <w:textAlignment w:val="center"/>
              <w:rPr>
                <w:rFonts w:ascii="华文细黑" w:hAnsi="华文细黑"/>
                <w:sz w:val="24"/>
              </w:rPr>
            </w:pPr>
          </w:p>
        </w:tc>
        <w:tc>
          <w:tcPr>
            <w:tcW w:w="1834" w:type="dxa"/>
            <w:noWrap w:val="0"/>
            <w:vAlign w:val="top"/>
          </w:tcPr>
          <w:p w14:paraId="7F45C976">
            <w:pPr>
              <w:spacing w:line="440" w:lineRule="exact"/>
              <w:jc w:val="center"/>
              <w:textAlignment w:val="center"/>
              <w:rPr>
                <w:rFonts w:ascii="华文细黑" w:hAnsi="华文细黑"/>
                <w:sz w:val="24"/>
              </w:rPr>
            </w:pPr>
          </w:p>
        </w:tc>
        <w:tc>
          <w:tcPr>
            <w:tcW w:w="763" w:type="dxa"/>
            <w:noWrap w:val="0"/>
            <w:vAlign w:val="top"/>
          </w:tcPr>
          <w:p w14:paraId="796684EC">
            <w:pPr>
              <w:spacing w:line="440" w:lineRule="exact"/>
              <w:jc w:val="center"/>
              <w:textAlignment w:val="center"/>
              <w:rPr>
                <w:rFonts w:ascii="华文细黑" w:hAnsi="华文细黑"/>
                <w:sz w:val="24"/>
              </w:rPr>
            </w:pPr>
          </w:p>
        </w:tc>
      </w:tr>
    </w:tbl>
    <w:p w14:paraId="0FB59855">
      <w:pPr>
        <w:spacing w:line="440" w:lineRule="exact"/>
        <w:rPr>
          <w:rFonts w:eastAsia="黑体"/>
          <w:sz w:val="20"/>
          <w:szCs w:val="20"/>
        </w:rPr>
      </w:pPr>
      <w:r>
        <w:rPr>
          <w:rFonts w:eastAsia="黑体"/>
          <w:sz w:val="20"/>
          <w:szCs w:val="20"/>
        </w:rPr>
        <w:br w:type="page"/>
      </w:r>
    </w:p>
    <w:p w14:paraId="420140C7">
      <w:pPr>
        <w:pStyle w:val="87"/>
      </w:pPr>
      <w:bookmarkStart w:id="1586" w:name="_Toc152042588"/>
      <w:bookmarkStart w:id="1587" w:name="_Toc399073556"/>
      <w:bookmarkStart w:id="1588" w:name="_Toc144974867"/>
      <w:bookmarkStart w:id="1589" w:name="_Toc16268913"/>
      <w:bookmarkStart w:id="1590" w:name="_Toc251248804"/>
      <w:bookmarkStart w:id="1591" w:name="_Toc152045799"/>
      <w:bookmarkStart w:id="1592" w:name="_Toc16268402"/>
      <w:bookmarkStart w:id="1593" w:name="_Toc100487597"/>
      <w:r>
        <w:t>附表三：劳动力计划表</w:t>
      </w:r>
      <w:bookmarkEnd w:id="1586"/>
      <w:bookmarkEnd w:id="1587"/>
      <w:bookmarkEnd w:id="1588"/>
      <w:bookmarkEnd w:id="1589"/>
      <w:bookmarkEnd w:id="1590"/>
      <w:bookmarkEnd w:id="1591"/>
      <w:bookmarkEnd w:id="1592"/>
      <w:bookmarkEnd w:id="1593"/>
    </w:p>
    <w:p w14:paraId="2AE291BB">
      <w:pPr>
        <w:spacing w:line="440" w:lineRule="exact"/>
        <w:ind w:right="200"/>
        <w:jc w:val="right"/>
        <w:rPr>
          <w:rFonts w:eastAsia="黑体"/>
          <w:szCs w:val="21"/>
        </w:rPr>
      </w:pPr>
      <w:r>
        <w:rPr>
          <w:rFonts w:eastAsia="黑体"/>
          <w:szCs w:val="21"/>
        </w:rPr>
        <w:t>单位：人</w:t>
      </w:r>
    </w:p>
    <w:tbl>
      <w:tblPr>
        <w:tblStyle w:val="42"/>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20"/>
        <w:gridCol w:w="1447"/>
        <w:gridCol w:w="1182"/>
        <w:gridCol w:w="1182"/>
        <w:gridCol w:w="1182"/>
        <w:gridCol w:w="1182"/>
        <w:gridCol w:w="1182"/>
        <w:gridCol w:w="1180"/>
      </w:tblGrid>
      <w:tr w14:paraId="31F1CA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20" w:type="dxa"/>
            <w:noWrap w:val="0"/>
            <w:vAlign w:val="center"/>
          </w:tcPr>
          <w:p w14:paraId="33AAF27A">
            <w:pPr>
              <w:spacing w:line="440" w:lineRule="exact"/>
              <w:jc w:val="center"/>
              <w:textAlignment w:val="center"/>
              <w:rPr>
                <w:rFonts w:ascii="华文细黑" w:hAnsi="华文细黑"/>
                <w:sz w:val="24"/>
              </w:rPr>
            </w:pPr>
            <w:r>
              <w:rPr>
                <w:rFonts w:ascii="华文细黑" w:hAnsi="华文细黑"/>
                <w:sz w:val="24"/>
              </w:rPr>
              <w:t>工种</w:t>
            </w:r>
          </w:p>
        </w:tc>
        <w:tc>
          <w:tcPr>
            <w:tcW w:w="8537" w:type="dxa"/>
            <w:gridSpan w:val="7"/>
            <w:noWrap w:val="0"/>
            <w:vAlign w:val="center"/>
          </w:tcPr>
          <w:p w14:paraId="528863CA">
            <w:pPr>
              <w:spacing w:line="440" w:lineRule="exact"/>
              <w:jc w:val="center"/>
              <w:textAlignment w:val="center"/>
              <w:rPr>
                <w:rFonts w:ascii="华文细黑" w:hAnsi="华文细黑"/>
                <w:sz w:val="24"/>
              </w:rPr>
            </w:pPr>
            <w:r>
              <w:rPr>
                <w:rFonts w:ascii="华文细黑" w:hAnsi="华文细黑"/>
                <w:sz w:val="24"/>
              </w:rPr>
              <w:t>按工程施工阶段投入劳动力情况</w:t>
            </w:r>
          </w:p>
        </w:tc>
      </w:tr>
      <w:tr w14:paraId="72A5F6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20" w:type="dxa"/>
            <w:noWrap w:val="0"/>
            <w:vAlign w:val="center"/>
          </w:tcPr>
          <w:p w14:paraId="7BCFE6E8">
            <w:pPr>
              <w:spacing w:line="440" w:lineRule="exact"/>
              <w:jc w:val="center"/>
              <w:textAlignment w:val="center"/>
              <w:rPr>
                <w:rFonts w:ascii="华文细黑" w:hAnsi="华文细黑"/>
                <w:sz w:val="24"/>
              </w:rPr>
            </w:pPr>
          </w:p>
        </w:tc>
        <w:tc>
          <w:tcPr>
            <w:tcW w:w="1447" w:type="dxa"/>
            <w:noWrap w:val="0"/>
            <w:vAlign w:val="center"/>
          </w:tcPr>
          <w:p w14:paraId="56B53222">
            <w:pPr>
              <w:spacing w:line="440" w:lineRule="exact"/>
              <w:jc w:val="center"/>
              <w:textAlignment w:val="center"/>
              <w:rPr>
                <w:rFonts w:ascii="华文细黑" w:hAnsi="华文细黑"/>
                <w:sz w:val="24"/>
              </w:rPr>
            </w:pPr>
          </w:p>
        </w:tc>
        <w:tc>
          <w:tcPr>
            <w:tcW w:w="1182" w:type="dxa"/>
            <w:noWrap w:val="0"/>
            <w:vAlign w:val="center"/>
          </w:tcPr>
          <w:p w14:paraId="549C7E33">
            <w:pPr>
              <w:spacing w:line="440" w:lineRule="exact"/>
              <w:jc w:val="center"/>
              <w:textAlignment w:val="center"/>
              <w:rPr>
                <w:rFonts w:ascii="华文细黑" w:hAnsi="华文细黑"/>
                <w:sz w:val="24"/>
              </w:rPr>
            </w:pPr>
          </w:p>
        </w:tc>
        <w:tc>
          <w:tcPr>
            <w:tcW w:w="1182" w:type="dxa"/>
            <w:noWrap w:val="0"/>
            <w:vAlign w:val="center"/>
          </w:tcPr>
          <w:p w14:paraId="51704050">
            <w:pPr>
              <w:spacing w:line="440" w:lineRule="exact"/>
              <w:jc w:val="center"/>
              <w:textAlignment w:val="center"/>
              <w:rPr>
                <w:rFonts w:ascii="华文细黑" w:hAnsi="华文细黑"/>
                <w:sz w:val="24"/>
              </w:rPr>
            </w:pPr>
          </w:p>
        </w:tc>
        <w:tc>
          <w:tcPr>
            <w:tcW w:w="1182" w:type="dxa"/>
            <w:noWrap w:val="0"/>
            <w:vAlign w:val="center"/>
          </w:tcPr>
          <w:p w14:paraId="75597490">
            <w:pPr>
              <w:spacing w:line="440" w:lineRule="exact"/>
              <w:jc w:val="center"/>
              <w:textAlignment w:val="center"/>
              <w:rPr>
                <w:rFonts w:ascii="华文细黑" w:hAnsi="华文细黑"/>
                <w:sz w:val="24"/>
              </w:rPr>
            </w:pPr>
          </w:p>
        </w:tc>
        <w:tc>
          <w:tcPr>
            <w:tcW w:w="1182" w:type="dxa"/>
            <w:noWrap w:val="0"/>
            <w:vAlign w:val="center"/>
          </w:tcPr>
          <w:p w14:paraId="4A960B60">
            <w:pPr>
              <w:spacing w:line="440" w:lineRule="exact"/>
              <w:jc w:val="center"/>
              <w:textAlignment w:val="center"/>
              <w:rPr>
                <w:rFonts w:ascii="华文细黑" w:hAnsi="华文细黑"/>
                <w:sz w:val="24"/>
              </w:rPr>
            </w:pPr>
          </w:p>
        </w:tc>
        <w:tc>
          <w:tcPr>
            <w:tcW w:w="1182" w:type="dxa"/>
            <w:noWrap w:val="0"/>
            <w:vAlign w:val="center"/>
          </w:tcPr>
          <w:p w14:paraId="22713E53">
            <w:pPr>
              <w:spacing w:line="440" w:lineRule="exact"/>
              <w:jc w:val="center"/>
              <w:textAlignment w:val="center"/>
              <w:rPr>
                <w:rFonts w:ascii="华文细黑" w:hAnsi="华文细黑"/>
                <w:sz w:val="24"/>
              </w:rPr>
            </w:pPr>
          </w:p>
        </w:tc>
        <w:tc>
          <w:tcPr>
            <w:tcW w:w="1180" w:type="dxa"/>
            <w:noWrap w:val="0"/>
            <w:vAlign w:val="center"/>
          </w:tcPr>
          <w:p w14:paraId="54BDE1AF">
            <w:pPr>
              <w:spacing w:line="440" w:lineRule="exact"/>
              <w:jc w:val="center"/>
              <w:textAlignment w:val="center"/>
              <w:rPr>
                <w:rFonts w:ascii="华文细黑" w:hAnsi="华文细黑"/>
                <w:sz w:val="24"/>
              </w:rPr>
            </w:pPr>
          </w:p>
        </w:tc>
      </w:tr>
      <w:tr w14:paraId="2BDDC6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20" w:type="dxa"/>
            <w:noWrap w:val="0"/>
            <w:vAlign w:val="center"/>
          </w:tcPr>
          <w:p w14:paraId="7BFF6F1A">
            <w:pPr>
              <w:spacing w:line="440" w:lineRule="exact"/>
              <w:jc w:val="center"/>
              <w:textAlignment w:val="center"/>
              <w:rPr>
                <w:rFonts w:ascii="华文细黑" w:hAnsi="华文细黑"/>
                <w:sz w:val="24"/>
              </w:rPr>
            </w:pPr>
          </w:p>
        </w:tc>
        <w:tc>
          <w:tcPr>
            <w:tcW w:w="1447" w:type="dxa"/>
            <w:noWrap w:val="0"/>
            <w:vAlign w:val="center"/>
          </w:tcPr>
          <w:p w14:paraId="433C5F0F">
            <w:pPr>
              <w:spacing w:line="440" w:lineRule="exact"/>
              <w:jc w:val="center"/>
              <w:textAlignment w:val="center"/>
              <w:rPr>
                <w:rFonts w:ascii="华文细黑" w:hAnsi="华文细黑"/>
                <w:sz w:val="24"/>
              </w:rPr>
            </w:pPr>
          </w:p>
        </w:tc>
        <w:tc>
          <w:tcPr>
            <w:tcW w:w="1182" w:type="dxa"/>
            <w:noWrap w:val="0"/>
            <w:vAlign w:val="center"/>
          </w:tcPr>
          <w:p w14:paraId="049662B0">
            <w:pPr>
              <w:spacing w:line="440" w:lineRule="exact"/>
              <w:jc w:val="center"/>
              <w:textAlignment w:val="center"/>
              <w:rPr>
                <w:rFonts w:ascii="华文细黑" w:hAnsi="华文细黑"/>
                <w:sz w:val="24"/>
              </w:rPr>
            </w:pPr>
          </w:p>
        </w:tc>
        <w:tc>
          <w:tcPr>
            <w:tcW w:w="1182" w:type="dxa"/>
            <w:noWrap w:val="0"/>
            <w:vAlign w:val="center"/>
          </w:tcPr>
          <w:p w14:paraId="0CBEF85A">
            <w:pPr>
              <w:spacing w:line="440" w:lineRule="exact"/>
              <w:jc w:val="center"/>
              <w:textAlignment w:val="center"/>
              <w:rPr>
                <w:rFonts w:ascii="华文细黑" w:hAnsi="华文细黑"/>
                <w:sz w:val="24"/>
              </w:rPr>
            </w:pPr>
          </w:p>
        </w:tc>
        <w:tc>
          <w:tcPr>
            <w:tcW w:w="1182" w:type="dxa"/>
            <w:noWrap w:val="0"/>
            <w:vAlign w:val="center"/>
          </w:tcPr>
          <w:p w14:paraId="0C105AB4">
            <w:pPr>
              <w:spacing w:line="440" w:lineRule="exact"/>
              <w:jc w:val="center"/>
              <w:textAlignment w:val="center"/>
              <w:rPr>
                <w:rFonts w:ascii="华文细黑" w:hAnsi="华文细黑"/>
                <w:sz w:val="24"/>
              </w:rPr>
            </w:pPr>
          </w:p>
        </w:tc>
        <w:tc>
          <w:tcPr>
            <w:tcW w:w="1182" w:type="dxa"/>
            <w:noWrap w:val="0"/>
            <w:vAlign w:val="center"/>
          </w:tcPr>
          <w:p w14:paraId="13E72E28">
            <w:pPr>
              <w:spacing w:line="440" w:lineRule="exact"/>
              <w:jc w:val="center"/>
              <w:textAlignment w:val="center"/>
              <w:rPr>
                <w:rFonts w:ascii="华文细黑" w:hAnsi="华文细黑"/>
                <w:sz w:val="24"/>
              </w:rPr>
            </w:pPr>
          </w:p>
        </w:tc>
        <w:tc>
          <w:tcPr>
            <w:tcW w:w="1182" w:type="dxa"/>
            <w:noWrap w:val="0"/>
            <w:vAlign w:val="center"/>
          </w:tcPr>
          <w:p w14:paraId="763F4D6A">
            <w:pPr>
              <w:spacing w:line="440" w:lineRule="exact"/>
              <w:jc w:val="center"/>
              <w:textAlignment w:val="center"/>
              <w:rPr>
                <w:rFonts w:ascii="华文细黑" w:hAnsi="华文细黑"/>
                <w:sz w:val="24"/>
              </w:rPr>
            </w:pPr>
          </w:p>
        </w:tc>
        <w:tc>
          <w:tcPr>
            <w:tcW w:w="1180" w:type="dxa"/>
            <w:noWrap w:val="0"/>
            <w:vAlign w:val="center"/>
          </w:tcPr>
          <w:p w14:paraId="6C049CCB">
            <w:pPr>
              <w:spacing w:line="440" w:lineRule="exact"/>
              <w:jc w:val="center"/>
              <w:textAlignment w:val="center"/>
              <w:rPr>
                <w:rFonts w:ascii="华文细黑" w:hAnsi="华文细黑"/>
                <w:sz w:val="24"/>
              </w:rPr>
            </w:pPr>
          </w:p>
        </w:tc>
      </w:tr>
      <w:tr w14:paraId="627BF7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20" w:type="dxa"/>
            <w:noWrap w:val="0"/>
            <w:vAlign w:val="top"/>
          </w:tcPr>
          <w:p w14:paraId="1214C4E1">
            <w:pPr>
              <w:spacing w:line="440" w:lineRule="exact"/>
              <w:jc w:val="center"/>
              <w:textAlignment w:val="center"/>
              <w:rPr>
                <w:rFonts w:ascii="华文细黑" w:hAnsi="华文细黑"/>
                <w:sz w:val="24"/>
              </w:rPr>
            </w:pPr>
          </w:p>
        </w:tc>
        <w:tc>
          <w:tcPr>
            <w:tcW w:w="1447" w:type="dxa"/>
            <w:noWrap w:val="0"/>
            <w:vAlign w:val="top"/>
          </w:tcPr>
          <w:p w14:paraId="263DE533">
            <w:pPr>
              <w:spacing w:line="440" w:lineRule="exact"/>
              <w:jc w:val="center"/>
              <w:textAlignment w:val="center"/>
              <w:rPr>
                <w:rFonts w:ascii="华文细黑" w:hAnsi="华文细黑"/>
                <w:sz w:val="24"/>
              </w:rPr>
            </w:pPr>
          </w:p>
        </w:tc>
        <w:tc>
          <w:tcPr>
            <w:tcW w:w="1182" w:type="dxa"/>
            <w:noWrap w:val="0"/>
            <w:vAlign w:val="top"/>
          </w:tcPr>
          <w:p w14:paraId="66DF09A4">
            <w:pPr>
              <w:spacing w:line="440" w:lineRule="exact"/>
              <w:jc w:val="center"/>
              <w:textAlignment w:val="center"/>
              <w:rPr>
                <w:rFonts w:ascii="华文细黑" w:hAnsi="华文细黑"/>
                <w:sz w:val="24"/>
              </w:rPr>
            </w:pPr>
          </w:p>
        </w:tc>
        <w:tc>
          <w:tcPr>
            <w:tcW w:w="1182" w:type="dxa"/>
            <w:noWrap w:val="0"/>
            <w:vAlign w:val="top"/>
          </w:tcPr>
          <w:p w14:paraId="5F9505CA">
            <w:pPr>
              <w:spacing w:line="440" w:lineRule="exact"/>
              <w:jc w:val="center"/>
              <w:textAlignment w:val="center"/>
              <w:rPr>
                <w:rFonts w:ascii="华文细黑" w:hAnsi="华文细黑"/>
                <w:sz w:val="24"/>
              </w:rPr>
            </w:pPr>
          </w:p>
        </w:tc>
        <w:tc>
          <w:tcPr>
            <w:tcW w:w="1182" w:type="dxa"/>
            <w:noWrap w:val="0"/>
            <w:vAlign w:val="top"/>
          </w:tcPr>
          <w:p w14:paraId="63F84B60">
            <w:pPr>
              <w:spacing w:line="440" w:lineRule="exact"/>
              <w:jc w:val="center"/>
              <w:textAlignment w:val="center"/>
              <w:rPr>
                <w:rFonts w:ascii="华文细黑" w:hAnsi="华文细黑"/>
                <w:sz w:val="24"/>
              </w:rPr>
            </w:pPr>
          </w:p>
        </w:tc>
        <w:tc>
          <w:tcPr>
            <w:tcW w:w="1182" w:type="dxa"/>
            <w:noWrap w:val="0"/>
            <w:vAlign w:val="top"/>
          </w:tcPr>
          <w:p w14:paraId="6C163568">
            <w:pPr>
              <w:spacing w:line="440" w:lineRule="exact"/>
              <w:jc w:val="center"/>
              <w:textAlignment w:val="center"/>
              <w:rPr>
                <w:rFonts w:ascii="华文细黑" w:hAnsi="华文细黑"/>
                <w:sz w:val="24"/>
              </w:rPr>
            </w:pPr>
          </w:p>
        </w:tc>
        <w:tc>
          <w:tcPr>
            <w:tcW w:w="1182" w:type="dxa"/>
            <w:noWrap w:val="0"/>
            <w:vAlign w:val="top"/>
          </w:tcPr>
          <w:p w14:paraId="2BA4D6EA">
            <w:pPr>
              <w:spacing w:line="440" w:lineRule="exact"/>
              <w:jc w:val="center"/>
              <w:textAlignment w:val="center"/>
              <w:rPr>
                <w:rFonts w:ascii="华文细黑" w:hAnsi="华文细黑"/>
                <w:sz w:val="24"/>
              </w:rPr>
            </w:pPr>
          </w:p>
        </w:tc>
        <w:tc>
          <w:tcPr>
            <w:tcW w:w="1180" w:type="dxa"/>
            <w:noWrap w:val="0"/>
            <w:vAlign w:val="top"/>
          </w:tcPr>
          <w:p w14:paraId="38756A71">
            <w:pPr>
              <w:spacing w:line="440" w:lineRule="exact"/>
              <w:jc w:val="center"/>
              <w:textAlignment w:val="center"/>
              <w:rPr>
                <w:rFonts w:ascii="华文细黑" w:hAnsi="华文细黑"/>
                <w:sz w:val="24"/>
              </w:rPr>
            </w:pPr>
          </w:p>
        </w:tc>
      </w:tr>
      <w:tr w14:paraId="0062C7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20" w:type="dxa"/>
            <w:noWrap w:val="0"/>
            <w:vAlign w:val="top"/>
          </w:tcPr>
          <w:p w14:paraId="07227491">
            <w:pPr>
              <w:spacing w:line="440" w:lineRule="exact"/>
              <w:jc w:val="center"/>
              <w:textAlignment w:val="center"/>
              <w:rPr>
                <w:rFonts w:ascii="华文细黑" w:hAnsi="华文细黑"/>
                <w:sz w:val="24"/>
              </w:rPr>
            </w:pPr>
          </w:p>
        </w:tc>
        <w:tc>
          <w:tcPr>
            <w:tcW w:w="1447" w:type="dxa"/>
            <w:noWrap w:val="0"/>
            <w:vAlign w:val="top"/>
          </w:tcPr>
          <w:p w14:paraId="4FF92209">
            <w:pPr>
              <w:spacing w:line="440" w:lineRule="exact"/>
              <w:jc w:val="center"/>
              <w:textAlignment w:val="center"/>
              <w:rPr>
                <w:rFonts w:ascii="华文细黑" w:hAnsi="华文细黑"/>
                <w:sz w:val="24"/>
              </w:rPr>
            </w:pPr>
          </w:p>
        </w:tc>
        <w:tc>
          <w:tcPr>
            <w:tcW w:w="1182" w:type="dxa"/>
            <w:noWrap w:val="0"/>
            <w:vAlign w:val="top"/>
          </w:tcPr>
          <w:p w14:paraId="2F12EEB5">
            <w:pPr>
              <w:spacing w:line="440" w:lineRule="exact"/>
              <w:jc w:val="center"/>
              <w:textAlignment w:val="center"/>
              <w:rPr>
                <w:rFonts w:ascii="华文细黑" w:hAnsi="华文细黑"/>
                <w:sz w:val="24"/>
              </w:rPr>
            </w:pPr>
          </w:p>
        </w:tc>
        <w:tc>
          <w:tcPr>
            <w:tcW w:w="1182" w:type="dxa"/>
            <w:noWrap w:val="0"/>
            <w:vAlign w:val="top"/>
          </w:tcPr>
          <w:p w14:paraId="6E7E1F91">
            <w:pPr>
              <w:spacing w:line="440" w:lineRule="exact"/>
              <w:jc w:val="center"/>
              <w:textAlignment w:val="center"/>
              <w:rPr>
                <w:rFonts w:ascii="华文细黑" w:hAnsi="华文细黑"/>
                <w:sz w:val="24"/>
              </w:rPr>
            </w:pPr>
          </w:p>
        </w:tc>
        <w:tc>
          <w:tcPr>
            <w:tcW w:w="1182" w:type="dxa"/>
            <w:noWrap w:val="0"/>
            <w:vAlign w:val="top"/>
          </w:tcPr>
          <w:p w14:paraId="03730E83">
            <w:pPr>
              <w:spacing w:line="440" w:lineRule="exact"/>
              <w:jc w:val="center"/>
              <w:textAlignment w:val="center"/>
              <w:rPr>
                <w:rFonts w:ascii="华文细黑" w:hAnsi="华文细黑"/>
                <w:sz w:val="24"/>
              </w:rPr>
            </w:pPr>
          </w:p>
        </w:tc>
        <w:tc>
          <w:tcPr>
            <w:tcW w:w="1182" w:type="dxa"/>
            <w:noWrap w:val="0"/>
            <w:vAlign w:val="top"/>
          </w:tcPr>
          <w:p w14:paraId="5E5B61F9">
            <w:pPr>
              <w:spacing w:line="440" w:lineRule="exact"/>
              <w:jc w:val="center"/>
              <w:textAlignment w:val="center"/>
              <w:rPr>
                <w:rFonts w:ascii="华文细黑" w:hAnsi="华文细黑"/>
                <w:sz w:val="24"/>
              </w:rPr>
            </w:pPr>
          </w:p>
        </w:tc>
        <w:tc>
          <w:tcPr>
            <w:tcW w:w="1182" w:type="dxa"/>
            <w:noWrap w:val="0"/>
            <w:vAlign w:val="top"/>
          </w:tcPr>
          <w:p w14:paraId="0329D524">
            <w:pPr>
              <w:spacing w:line="440" w:lineRule="exact"/>
              <w:jc w:val="center"/>
              <w:textAlignment w:val="center"/>
              <w:rPr>
                <w:rFonts w:ascii="华文细黑" w:hAnsi="华文细黑"/>
                <w:sz w:val="24"/>
              </w:rPr>
            </w:pPr>
          </w:p>
        </w:tc>
        <w:tc>
          <w:tcPr>
            <w:tcW w:w="1180" w:type="dxa"/>
            <w:noWrap w:val="0"/>
            <w:vAlign w:val="top"/>
          </w:tcPr>
          <w:p w14:paraId="4F67C3BD">
            <w:pPr>
              <w:spacing w:line="440" w:lineRule="exact"/>
              <w:jc w:val="center"/>
              <w:textAlignment w:val="center"/>
              <w:rPr>
                <w:rFonts w:ascii="华文细黑" w:hAnsi="华文细黑"/>
                <w:sz w:val="24"/>
              </w:rPr>
            </w:pPr>
          </w:p>
        </w:tc>
      </w:tr>
      <w:tr w14:paraId="702BBE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20" w:type="dxa"/>
            <w:noWrap w:val="0"/>
            <w:vAlign w:val="top"/>
          </w:tcPr>
          <w:p w14:paraId="577AD910">
            <w:pPr>
              <w:spacing w:line="440" w:lineRule="exact"/>
              <w:jc w:val="center"/>
              <w:textAlignment w:val="center"/>
              <w:rPr>
                <w:rFonts w:ascii="华文细黑" w:hAnsi="华文细黑"/>
                <w:sz w:val="24"/>
              </w:rPr>
            </w:pPr>
          </w:p>
        </w:tc>
        <w:tc>
          <w:tcPr>
            <w:tcW w:w="1447" w:type="dxa"/>
            <w:noWrap w:val="0"/>
            <w:vAlign w:val="top"/>
          </w:tcPr>
          <w:p w14:paraId="0EF81419">
            <w:pPr>
              <w:spacing w:line="440" w:lineRule="exact"/>
              <w:jc w:val="center"/>
              <w:textAlignment w:val="center"/>
              <w:rPr>
                <w:rFonts w:ascii="华文细黑" w:hAnsi="华文细黑"/>
                <w:sz w:val="24"/>
              </w:rPr>
            </w:pPr>
          </w:p>
        </w:tc>
        <w:tc>
          <w:tcPr>
            <w:tcW w:w="1182" w:type="dxa"/>
            <w:noWrap w:val="0"/>
            <w:vAlign w:val="top"/>
          </w:tcPr>
          <w:p w14:paraId="4094B3B4">
            <w:pPr>
              <w:spacing w:line="440" w:lineRule="exact"/>
              <w:jc w:val="center"/>
              <w:textAlignment w:val="center"/>
              <w:rPr>
                <w:rFonts w:ascii="华文细黑" w:hAnsi="华文细黑"/>
                <w:sz w:val="24"/>
              </w:rPr>
            </w:pPr>
          </w:p>
        </w:tc>
        <w:tc>
          <w:tcPr>
            <w:tcW w:w="1182" w:type="dxa"/>
            <w:noWrap w:val="0"/>
            <w:vAlign w:val="top"/>
          </w:tcPr>
          <w:p w14:paraId="4AEB3ED1">
            <w:pPr>
              <w:spacing w:line="440" w:lineRule="exact"/>
              <w:jc w:val="center"/>
              <w:textAlignment w:val="center"/>
              <w:rPr>
                <w:rFonts w:ascii="华文细黑" w:hAnsi="华文细黑"/>
                <w:sz w:val="24"/>
              </w:rPr>
            </w:pPr>
          </w:p>
        </w:tc>
        <w:tc>
          <w:tcPr>
            <w:tcW w:w="1182" w:type="dxa"/>
            <w:noWrap w:val="0"/>
            <w:vAlign w:val="top"/>
          </w:tcPr>
          <w:p w14:paraId="71832455">
            <w:pPr>
              <w:spacing w:line="440" w:lineRule="exact"/>
              <w:jc w:val="center"/>
              <w:textAlignment w:val="center"/>
              <w:rPr>
                <w:rFonts w:ascii="华文细黑" w:hAnsi="华文细黑"/>
                <w:sz w:val="24"/>
              </w:rPr>
            </w:pPr>
          </w:p>
        </w:tc>
        <w:tc>
          <w:tcPr>
            <w:tcW w:w="1182" w:type="dxa"/>
            <w:noWrap w:val="0"/>
            <w:vAlign w:val="top"/>
          </w:tcPr>
          <w:p w14:paraId="2E9D85DA">
            <w:pPr>
              <w:spacing w:line="440" w:lineRule="exact"/>
              <w:jc w:val="center"/>
              <w:textAlignment w:val="center"/>
              <w:rPr>
                <w:rFonts w:ascii="华文细黑" w:hAnsi="华文细黑"/>
                <w:sz w:val="24"/>
              </w:rPr>
            </w:pPr>
          </w:p>
        </w:tc>
        <w:tc>
          <w:tcPr>
            <w:tcW w:w="1182" w:type="dxa"/>
            <w:noWrap w:val="0"/>
            <w:vAlign w:val="top"/>
          </w:tcPr>
          <w:p w14:paraId="27315862">
            <w:pPr>
              <w:spacing w:line="440" w:lineRule="exact"/>
              <w:jc w:val="center"/>
              <w:textAlignment w:val="center"/>
              <w:rPr>
                <w:rFonts w:ascii="华文细黑" w:hAnsi="华文细黑"/>
                <w:sz w:val="24"/>
              </w:rPr>
            </w:pPr>
          </w:p>
        </w:tc>
        <w:tc>
          <w:tcPr>
            <w:tcW w:w="1180" w:type="dxa"/>
            <w:noWrap w:val="0"/>
            <w:vAlign w:val="top"/>
          </w:tcPr>
          <w:p w14:paraId="00971927">
            <w:pPr>
              <w:spacing w:line="440" w:lineRule="exact"/>
              <w:jc w:val="center"/>
              <w:textAlignment w:val="center"/>
              <w:rPr>
                <w:rFonts w:ascii="华文细黑" w:hAnsi="华文细黑"/>
                <w:sz w:val="24"/>
              </w:rPr>
            </w:pPr>
          </w:p>
        </w:tc>
      </w:tr>
      <w:tr w14:paraId="382A91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20" w:type="dxa"/>
            <w:noWrap w:val="0"/>
            <w:vAlign w:val="top"/>
          </w:tcPr>
          <w:p w14:paraId="2F318DC4">
            <w:pPr>
              <w:spacing w:line="440" w:lineRule="exact"/>
              <w:jc w:val="center"/>
              <w:textAlignment w:val="center"/>
              <w:rPr>
                <w:rFonts w:ascii="华文细黑" w:hAnsi="华文细黑"/>
                <w:sz w:val="24"/>
              </w:rPr>
            </w:pPr>
          </w:p>
        </w:tc>
        <w:tc>
          <w:tcPr>
            <w:tcW w:w="1447" w:type="dxa"/>
            <w:noWrap w:val="0"/>
            <w:vAlign w:val="top"/>
          </w:tcPr>
          <w:p w14:paraId="2D6E9870">
            <w:pPr>
              <w:spacing w:line="440" w:lineRule="exact"/>
              <w:jc w:val="center"/>
              <w:textAlignment w:val="center"/>
              <w:rPr>
                <w:rFonts w:ascii="华文细黑" w:hAnsi="华文细黑"/>
                <w:sz w:val="24"/>
              </w:rPr>
            </w:pPr>
          </w:p>
        </w:tc>
        <w:tc>
          <w:tcPr>
            <w:tcW w:w="1182" w:type="dxa"/>
            <w:noWrap w:val="0"/>
            <w:vAlign w:val="top"/>
          </w:tcPr>
          <w:p w14:paraId="7AEF21AC">
            <w:pPr>
              <w:spacing w:line="440" w:lineRule="exact"/>
              <w:jc w:val="center"/>
              <w:textAlignment w:val="center"/>
              <w:rPr>
                <w:rFonts w:ascii="华文细黑" w:hAnsi="华文细黑"/>
                <w:sz w:val="24"/>
              </w:rPr>
            </w:pPr>
          </w:p>
        </w:tc>
        <w:tc>
          <w:tcPr>
            <w:tcW w:w="1182" w:type="dxa"/>
            <w:noWrap w:val="0"/>
            <w:vAlign w:val="top"/>
          </w:tcPr>
          <w:p w14:paraId="4F14C2DB">
            <w:pPr>
              <w:spacing w:line="440" w:lineRule="exact"/>
              <w:jc w:val="center"/>
              <w:textAlignment w:val="center"/>
              <w:rPr>
                <w:rFonts w:ascii="华文细黑" w:hAnsi="华文细黑"/>
                <w:sz w:val="24"/>
              </w:rPr>
            </w:pPr>
          </w:p>
        </w:tc>
        <w:tc>
          <w:tcPr>
            <w:tcW w:w="1182" w:type="dxa"/>
            <w:noWrap w:val="0"/>
            <w:vAlign w:val="top"/>
          </w:tcPr>
          <w:p w14:paraId="3FCF744A">
            <w:pPr>
              <w:spacing w:line="440" w:lineRule="exact"/>
              <w:jc w:val="center"/>
              <w:textAlignment w:val="center"/>
              <w:rPr>
                <w:rFonts w:ascii="华文细黑" w:hAnsi="华文细黑"/>
                <w:sz w:val="24"/>
              </w:rPr>
            </w:pPr>
          </w:p>
        </w:tc>
        <w:tc>
          <w:tcPr>
            <w:tcW w:w="1182" w:type="dxa"/>
            <w:noWrap w:val="0"/>
            <w:vAlign w:val="top"/>
          </w:tcPr>
          <w:p w14:paraId="11B47553">
            <w:pPr>
              <w:spacing w:line="440" w:lineRule="exact"/>
              <w:jc w:val="center"/>
              <w:textAlignment w:val="center"/>
              <w:rPr>
                <w:rFonts w:ascii="华文细黑" w:hAnsi="华文细黑"/>
                <w:sz w:val="24"/>
              </w:rPr>
            </w:pPr>
          </w:p>
        </w:tc>
        <w:tc>
          <w:tcPr>
            <w:tcW w:w="1182" w:type="dxa"/>
            <w:noWrap w:val="0"/>
            <w:vAlign w:val="top"/>
          </w:tcPr>
          <w:p w14:paraId="0D6A4218">
            <w:pPr>
              <w:spacing w:line="440" w:lineRule="exact"/>
              <w:jc w:val="center"/>
              <w:textAlignment w:val="center"/>
              <w:rPr>
                <w:rFonts w:ascii="华文细黑" w:hAnsi="华文细黑"/>
                <w:sz w:val="24"/>
              </w:rPr>
            </w:pPr>
          </w:p>
        </w:tc>
        <w:tc>
          <w:tcPr>
            <w:tcW w:w="1180" w:type="dxa"/>
            <w:noWrap w:val="0"/>
            <w:vAlign w:val="top"/>
          </w:tcPr>
          <w:p w14:paraId="38A19233">
            <w:pPr>
              <w:spacing w:line="440" w:lineRule="exact"/>
              <w:jc w:val="center"/>
              <w:textAlignment w:val="center"/>
              <w:rPr>
                <w:rFonts w:ascii="华文细黑" w:hAnsi="华文细黑"/>
                <w:sz w:val="24"/>
              </w:rPr>
            </w:pPr>
          </w:p>
        </w:tc>
      </w:tr>
      <w:tr w14:paraId="0A79B0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20" w:type="dxa"/>
            <w:noWrap w:val="0"/>
            <w:vAlign w:val="top"/>
          </w:tcPr>
          <w:p w14:paraId="328CB2B3">
            <w:pPr>
              <w:spacing w:line="440" w:lineRule="exact"/>
              <w:jc w:val="center"/>
              <w:textAlignment w:val="center"/>
              <w:rPr>
                <w:rFonts w:ascii="华文细黑" w:hAnsi="华文细黑"/>
                <w:sz w:val="24"/>
              </w:rPr>
            </w:pPr>
          </w:p>
        </w:tc>
        <w:tc>
          <w:tcPr>
            <w:tcW w:w="1447" w:type="dxa"/>
            <w:noWrap w:val="0"/>
            <w:vAlign w:val="top"/>
          </w:tcPr>
          <w:p w14:paraId="0C218184">
            <w:pPr>
              <w:spacing w:line="440" w:lineRule="exact"/>
              <w:jc w:val="center"/>
              <w:textAlignment w:val="center"/>
              <w:rPr>
                <w:rFonts w:ascii="华文细黑" w:hAnsi="华文细黑"/>
                <w:sz w:val="24"/>
              </w:rPr>
            </w:pPr>
          </w:p>
        </w:tc>
        <w:tc>
          <w:tcPr>
            <w:tcW w:w="1182" w:type="dxa"/>
            <w:noWrap w:val="0"/>
            <w:vAlign w:val="top"/>
          </w:tcPr>
          <w:p w14:paraId="60DA8D16">
            <w:pPr>
              <w:spacing w:line="440" w:lineRule="exact"/>
              <w:jc w:val="center"/>
              <w:textAlignment w:val="center"/>
              <w:rPr>
                <w:rFonts w:ascii="华文细黑" w:hAnsi="华文细黑"/>
                <w:sz w:val="24"/>
              </w:rPr>
            </w:pPr>
          </w:p>
        </w:tc>
        <w:tc>
          <w:tcPr>
            <w:tcW w:w="1182" w:type="dxa"/>
            <w:noWrap w:val="0"/>
            <w:vAlign w:val="top"/>
          </w:tcPr>
          <w:p w14:paraId="6BEFC045">
            <w:pPr>
              <w:spacing w:line="440" w:lineRule="exact"/>
              <w:jc w:val="center"/>
              <w:textAlignment w:val="center"/>
              <w:rPr>
                <w:rFonts w:ascii="华文细黑" w:hAnsi="华文细黑"/>
                <w:sz w:val="24"/>
              </w:rPr>
            </w:pPr>
          </w:p>
        </w:tc>
        <w:tc>
          <w:tcPr>
            <w:tcW w:w="1182" w:type="dxa"/>
            <w:noWrap w:val="0"/>
            <w:vAlign w:val="top"/>
          </w:tcPr>
          <w:p w14:paraId="39B355D8">
            <w:pPr>
              <w:spacing w:line="440" w:lineRule="exact"/>
              <w:jc w:val="center"/>
              <w:textAlignment w:val="center"/>
              <w:rPr>
                <w:rFonts w:ascii="华文细黑" w:hAnsi="华文细黑"/>
                <w:sz w:val="24"/>
              </w:rPr>
            </w:pPr>
          </w:p>
        </w:tc>
        <w:tc>
          <w:tcPr>
            <w:tcW w:w="1182" w:type="dxa"/>
            <w:noWrap w:val="0"/>
            <w:vAlign w:val="top"/>
          </w:tcPr>
          <w:p w14:paraId="39594075">
            <w:pPr>
              <w:spacing w:line="440" w:lineRule="exact"/>
              <w:jc w:val="center"/>
              <w:textAlignment w:val="center"/>
              <w:rPr>
                <w:rFonts w:ascii="华文细黑" w:hAnsi="华文细黑"/>
                <w:sz w:val="24"/>
              </w:rPr>
            </w:pPr>
          </w:p>
        </w:tc>
        <w:tc>
          <w:tcPr>
            <w:tcW w:w="1182" w:type="dxa"/>
            <w:noWrap w:val="0"/>
            <w:vAlign w:val="top"/>
          </w:tcPr>
          <w:p w14:paraId="487B6B3C">
            <w:pPr>
              <w:spacing w:line="440" w:lineRule="exact"/>
              <w:jc w:val="center"/>
              <w:textAlignment w:val="center"/>
              <w:rPr>
                <w:rFonts w:ascii="华文细黑" w:hAnsi="华文细黑"/>
                <w:sz w:val="24"/>
              </w:rPr>
            </w:pPr>
          </w:p>
        </w:tc>
        <w:tc>
          <w:tcPr>
            <w:tcW w:w="1180" w:type="dxa"/>
            <w:noWrap w:val="0"/>
            <w:vAlign w:val="top"/>
          </w:tcPr>
          <w:p w14:paraId="1D0384DF">
            <w:pPr>
              <w:spacing w:line="440" w:lineRule="exact"/>
              <w:jc w:val="center"/>
              <w:textAlignment w:val="center"/>
              <w:rPr>
                <w:rFonts w:ascii="华文细黑" w:hAnsi="华文细黑"/>
                <w:sz w:val="24"/>
              </w:rPr>
            </w:pPr>
          </w:p>
        </w:tc>
      </w:tr>
      <w:tr w14:paraId="1E2A6B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20" w:type="dxa"/>
            <w:noWrap w:val="0"/>
            <w:vAlign w:val="top"/>
          </w:tcPr>
          <w:p w14:paraId="76CAB4C0">
            <w:pPr>
              <w:spacing w:line="440" w:lineRule="exact"/>
              <w:jc w:val="center"/>
              <w:textAlignment w:val="center"/>
              <w:rPr>
                <w:rFonts w:ascii="华文细黑" w:hAnsi="华文细黑"/>
                <w:sz w:val="24"/>
              </w:rPr>
            </w:pPr>
          </w:p>
        </w:tc>
        <w:tc>
          <w:tcPr>
            <w:tcW w:w="1447" w:type="dxa"/>
            <w:noWrap w:val="0"/>
            <w:vAlign w:val="top"/>
          </w:tcPr>
          <w:p w14:paraId="0B7C85AC">
            <w:pPr>
              <w:spacing w:line="440" w:lineRule="exact"/>
              <w:jc w:val="center"/>
              <w:textAlignment w:val="center"/>
              <w:rPr>
                <w:rFonts w:ascii="华文细黑" w:hAnsi="华文细黑"/>
                <w:sz w:val="24"/>
              </w:rPr>
            </w:pPr>
          </w:p>
        </w:tc>
        <w:tc>
          <w:tcPr>
            <w:tcW w:w="1182" w:type="dxa"/>
            <w:noWrap w:val="0"/>
            <w:vAlign w:val="top"/>
          </w:tcPr>
          <w:p w14:paraId="2F1A1309">
            <w:pPr>
              <w:spacing w:line="440" w:lineRule="exact"/>
              <w:jc w:val="center"/>
              <w:textAlignment w:val="center"/>
              <w:rPr>
                <w:rFonts w:ascii="华文细黑" w:hAnsi="华文细黑"/>
                <w:sz w:val="24"/>
              </w:rPr>
            </w:pPr>
          </w:p>
        </w:tc>
        <w:tc>
          <w:tcPr>
            <w:tcW w:w="1182" w:type="dxa"/>
            <w:noWrap w:val="0"/>
            <w:vAlign w:val="top"/>
          </w:tcPr>
          <w:p w14:paraId="2910ED33">
            <w:pPr>
              <w:spacing w:line="440" w:lineRule="exact"/>
              <w:jc w:val="center"/>
              <w:textAlignment w:val="center"/>
              <w:rPr>
                <w:rFonts w:ascii="华文细黑" w:hAnsi="华文细黑"/>
                <w:sz w:val="24"/>
              </w:rPr>
            </w:pPr>
          </w:p>
        </w:tc>
        <w:tc>
          <w:tcPr>
            <w:tcW w:w="1182" w:type="dxa"/>
            <w:noWrap w:val="0"/>
            <w:vAlign w:val="top"/>
          </w:tcPr>
          <w:p w14:paraId="21754D40">
            <w:pPr>
              <w:spacing w:line="440" w:lineRule="exact"/>
              <w:jc w:val="center"/>
              <w:textAlignment w:val="center"/>
              <w:rPr>
                <w:rFonts w:ascii="华文细黑" w:hAnsi="华文细黑"/>
                <w:sz w:val="24"/>
              </w:rPr>
            </w:pPr>
          </w:p>
        </w:tc>
        <w:tc>
          <w:tcPr>
            <w:tcW w:w="1182" w:type="dxa"/>
            <w:noWrap w:val="0"/>
            <w:vAlign w:val="top"/>
          </w:tcPr>
          <w:p w14:paraId="4900CDDF">
            <w:pPr>
              <w:spacing w:line="440" w:lineRule="exact"/>
              <w:jc w:val="center"/>
              <w:textAlignment w:val="center"/>
              <w:rPr>
                <w:rFonts w:ascii="华文细黑" w:hAnsi="华文细黑"/>
                <w:sz w:val="24"/>
              </w:rPr>
            </w:pPr>
          </w:p>
        </w:tc>
        <w:tc>
          <w:tcPr>
            <w:tcW w:w="1182" w:type="dxa"/>
            <w:noWrap w:val="0"/>
            <w:vAlign w:val="top"/>
          </w:tcPr>
          <w:p w14:paraId="786F122C">
            <w:pPr>
              <w:spacing w:line="440" w:lineRule="exact"/>
              <w:jc w:val="center"/>
              <w:textAlignment w:val="center"/>
              <w:rPr>
                <w:rFonts w:ascii="华文细黑" w:hAnsi="华文细黑"/>
                <w:sz w:val="24"/>
              </w:rPr>
            </w:pPr>
          </w:p>
        </w:tc>
        <w:tc>
          <w:tcPr>
            <w:tcW w:w="1180" w:type="dxa"/>
            <w:noWrap w:val="0"/>
            <w:vAlign w:val="top"/>
          </w:tcPr>
          <w:p w14:paraId="2870F0DE">
            <w:pPr>
              <w:spacing w:line="440" w:lineRule="exact"/>
              <w:jc w:val="center"/>
              <w:textAlignment w:val="center"/>
              <w:rPr>
                <w:rFonts w:ascii="华文细黑" w:hAnsi="华文细黑"/>
                <w:sz w:val="24"/>
              </w:rPr>
            </w:pPr>
          </w:p>
        </w:tc>
      </w:tr>
      <w:tr w14:paraId="390489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20" w:type="dxa"/>
            <w:noWrap w:val="0"/>
            <w:vAlign w:val="top"/>
          </w:tcPr>
          <w:p w14:paraId="265EDB27">
            <w:pPr>
              <w:spacing w:line="440" w:lineRule="exact"/>
              <w:jc w:val="center"/>
              <w:textAlignment w:val="center"/>
              <w:rPr>
                <w:rFonts w:ascii="华文细黑" w:hAnsi="华文细黑"/>
                <w:sz w:val="24"/>
              </w:rPr>
            </w:pPr>
          </w:p>
        </w:tc>
        <w:tc>
          <w:tcPr>
            <w:tcW w:w="1447" w:type="dxa"/>
            <w:noWrap w:val="0"/>
            <w:vAlign w:val="top"/>
          </w:tcPr>
          <w:p w14:paraId="329E32E0">
            <w:pPr>
              <w:spacing w:line="440" w:lineRule="exact"/>
              <w:jc w:val="center"/>
              <w:textAlignment w:val="center"/>
              <w:rPr>
                <w:rFonts w:ascii="华文细黑" w:hAnsi="华文细黑"/>
                <w:sz w:val="24"/>
              </w:rPr>
            </w:pPr>
          </w:p>
        </w:tc>
        <w:tc>
          <w:tcPr>
            <w:tcW w:w="1182" w:type="dxa"/>
            <w:noWrap w:val="0"/>
            <w:vAlign w:val="top"/>
          </w:tcPr>
          <w:p w14:paraId="7B95DB3C">
            <w:pPr>
              <w:spacing w:line="440" w:lineRule="exact"/>
              <w:jc w:val="center"/>
              <w:textAlignment w:val="center"/>
              <w:rPr>
                <w:rFonts w:ascii="华文细黑" w:hAnsi="华文细黑"/>
                <w:sz w:val="24"/>
              </w:rPr>
            </w:pPr>
          </w:p>
        </w:tc>
        <w:tc>
          <w:tcPr>
            <w:tcW w:w="1182" w:type="dxa"/>
            <w:noWrap w:val="0"/>
            <w:vAlign w:val="top"/>
          </w:tcPr>
          <w:p w14:paraId="57827E89">
            <w:pPr>
              <w:spacing w:line="440" w:lineRule="exact"/>
              <w:jc w:val="center"/>
              <w:textAlignment w:val="center"/>
              <w:rPr>
                <w:rFonts w:ascii="华文细黑" w:hAnsi="华文细黑"/>
                <w:sz w:val="24"/>
              </w:rPr>
            </w:pPr>
          </w:p>
        </w:tc>
        <w:tc>
          <w:tcPr>
            <w:tcW w:w="1182" w:type="dxa"/>
            <w:noWrap w:val="0"/>
            <w:vAlign w:val="top"/>
          </w:tcPr>
          <w:p w14:paraId="6AD680CF">
            <w:pPr>
              <w:spacing w:line="440" w:lineRule="exact"/>
              <w:jc w:val="center"/>
              <w:textAlignment w:val="center"/>
              <w:rPr>
                <w:rFonts w:ascii="华文细黑" w:hAnsi="华文细黑"/>
                <w:sz w:val="24"/>
              </w:rPr>
            </w:pPr>
          </w:p>
        </w:tc>
        <w:tc>
          <w:tcPr>
            <w:tcW w:w="1182" w:type="dxa"/>
            <w:noWrap w:val="0"/>
            <w:vAlign w:val="top"/>
          </w:tcPr>
          <w:p w14:paraId="0C4EAA3D">
            <w:pPr>
              <w:spacing w:line="440" w:lineRule="exact"/>
              <w:jc w:val="center"/>
              <w:textAlignment w:val="center"/>
              <w:rPr>
                <w:rFonts w:ascii="华文细黑" w:hAnsi="华文细黑"/>
                <w:sz w:val="24"/>
              </w:rPr>
            </w:pPr>
          </w:p>
        </w:tc>
        <w:tc>
          <w:tcPr>
            <w:tcW w:w="1182" w:type="dxa"/>
            <w:noWrap w:val="0"/>
            <w:vAlign w:val="top"/>
          </w:tcPr>
          <w:p w14:paraId="39455CED">
            <w:pPr>
              <w:spacing w:line="440" w:lineRule="exact"/>
              <w:jc w:val="center"/>
              <w:textAlignment w:val="center"/>
              <w:rPr>
                <w:rFonts w:ascii="华文细黑" w:hAnsi="华文细黑"/>
                <w:sz w:val="24"/>
              </w:rPr>
            </w:pPr>
          </w:p>
        </w:tc>
        <w:tc>
          <w:tcPr>
            <w:tcW w:w="1180" w:type="dxa"/>
            <w:noWrap w:val="0"/>
            <w:vAlign w:val="top"/>
          </w:tcPr>
          <w:p w14:paraId="4ADC1E49">
            <w:pPr>
              <w:spacing w:line="440" w:lineRule="exact"/>
              <w:jc w:val="center"/>
              <w:textAlignment w:val="center"/>
              <w:rPr>
                <w:rFonts w:ascii="华文细黑" w:hAnsi="华文细黑"/>
                <w:sz w:val="24"/>
              </w:rPr>
            </w:pPr>
          </w:p>
        </w:tc>
      </w:tr>
      <w:tr w14:paraId="590A42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20" w:type="dxa"/>
            <w:noWrap w:val="0"/>
            <w:vAlign w:val="top"/>
          </w:tcPr>
          <w:p w14:paraId="402EE4F4">
            <w:pPr>
              <w:spacing w:line="440" w:lineRule="exact"/>
              <w:jc w:val="center"/>
              <w:textAlignment w:val="center"/>
              <w:rPr>
                <w:rFonts w:ascii="华文细黑" w:hAnsi="华文细黑"/>
                <w:sz w:val="24"/>
              </w:rPr>
            </w:pPr>
          </w:p>
        </w:tc>
        <w:tc>
          <w:tcPr>
            <w:tcW w:w="1447" w:type="dxa"/>
            <w:noWrap w:val="0"/>
            <w:vAlign w:val="top"/>
          </w:tcPr>
          <w:p w14:paraId="38B902E7">
            <w:pPr>
              <w:spacing w:line="440" w:lineRule="exact"/>
              <w:jc w:val="center"/>
              <w:textAlignment w:val="center"/>
              <w:rPr>
                <w:rFonts w:ascii="华文细黑" w:hAnsi="华文细黑"/>
                <w:sz w:val="24"/>
              </w:rPr>
            </w:pPr>
          </w:p>
        </w:tc>
        <w:tc>
          <w:tcPr>
            <w:tcW w:w="1182" w:type="dxa"/>
            <w:noWrap w:val="0"/>
            <w:vAlign w:val="top"/>
          </w:tcPr>
          <w:p w14:paraId="77944941">
            <w:pPr>
              <w:spacing w:line="440" w:lineRule="exact"/>
              <w:jc w:val="center"/>
              <w:textAlignment w:val="center"/>
              <w:rPr>
                <w:rFonts w:ascii="华文细黑" w:hAnsi="华文细黑"/>
                <w:sz w:val="24"/>
              </w:rPr>
            </w:pPr>
          </w:p>
        </w:tc>
        <w:tc>
          <w:tcPr>
            <w:tcW w:w="1182" w:type="dxa"/>
            <w:noWrap w:val="0"/>
            <w:vAlign w:val="top"/>
          </w:tcPr>
          <w:p w14:paraId="2442E66F">
            <w:pPr>
              <w:spacing w:line="440" w:lineRule="exact"/>
              <w:jc w:val="center"/>
              <w:textAlignment w:val="center"/>
              <w:rPr>
                <w:rFonts w:ascii="华文细黑" w:hAnsi="华文细黑"/>
                <w:sz w:val="24"/>
              </w:rPr>
            </w:pPr>
          </w:p>
        </w:tc>
        <w:tc>
          <w:tcPr>
            <w:tcW w:w="1182" w:type="dxa"/>
            <w:noWrap w:val="0"/>
            <w:vAlign w:val="top"/>
          </w:tcPr>
          <w:p w14:paraId="0B9AE624">
            <w:pPr>
              <w:spacing w:line="440" w:lineRule="exact"/>
              <w:jc w:val="center"/>
              <w:textAlignment w:val="center"/>
              <w:rPr>
                <w:rFonts w:ascii="华文细黑" w:hAnsi="华文细黑"/>
                <w:sz w:val="24"/>
              </w:rPr>
            </w:pPr>
          </w:p>
        </w:tc>
        <w:tc>
          <w:tcPr>
            <w:tcW w:w="1182" w:type="dxa"/>
            <w:noWrap w:val="0"/>
            <w:vAlign w:val="top"/>
          </w:tcPr>
          <w:p w14:paraId="53DE2782">
            <w:pPr>
              <w:spacing w:line="440" w:lineRule="exact"/>
              <w:jc w:val="center"/>
              <w:textAlignment w:val="center"/>
              <w:rPr>
                <w:rFonts w:ascii="华文细黑" w:hAnsi="华文细黑"/>
                <w:sz w:val="24"/>
              </w:rPr>
            </w:pPr>
          </w:p>
        </w:tc>
        <w:tc>
          <w:tcPr>
            <w:tcW w:w="1182" w:type="dxa"/>
            <w:noWrap w:val="0"/>
            <w:vAlign w:val="top"/>
          </w:tcPr>
          <w:p w14:paraId="579E00DD">
            <w:pPr>
              <w:spacing w:line="440" w:lineRule="exact"/>
              <w:jc w:val="center"/>
              <w:textAlignment w:val="center"/>
              <w:rPr>
                <w:rFonts w:ascii="华文细黑" w:hAnsi="华文细黑"/>
                <w:sz w:val="24"/>
              </w:rPr>
            </w:pPr>
          </w:p>
        </w:tc>
        <w:tc>
          <w:tcPr>
            <w:tcW w:w="1180" w:type="dxa"/>
            <w:noWrap w:val="0"/>
            <w:vAlign w:val="top"/>
          </w:tcPr>
          <w:p w14:paraId="673EE8A9">
            <w:pPr>
              <w:spacing w:line="440" w:lineRule="exact"/>
              <w:jc w:val="center"/>
              <w:textAlignment w:val="center"/>
              <w:rPr>
                <w:rFonts w:ascii="华文细黑" w:hAnsi="华文细黑"/>
                <w:sz w:val="24"/>
              </w:rPr>
            </w:pPr>
          </w:p>
        </w:tc>
      </w:tr>
      <w:tr w14:paraId="5EB8F5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20" w:type="dxa"/>
            <w:noWrap w:val="0"/>
            <w:vAlign w:val="top"/>
          </w:tcPr>
          <w:p w14:paraId="4D5CC897">
            <w:pPr>
              <w:spacing w:line="440" w:lineRule="exact"/>
              <w:jc w:val="center"/>
              <w:textAlignment w:val="center"/>
              <w:rPr>
                <w:rFonts w:ascii="华文细黑" w:hAnsi="华文细黑"/>
                <w:sz w:val="24"/>
              </w:rPr>
            </w:pPr>
          </w:p>
        </w:tc>
        <w:tc>
          <w:tcPr>
            <w:tcW w:w="1447" w:type="dxa"/>
            <w:noWrap w:val="0"/>
            <w:vAlign w:val="top"/>
          </w:tcPr>
          <w:p w14:paraId="6FD12A78">
            <w:pPr>
              <w:spacing w:line="440" w:lineRule="exact"/>
              <w:jc w:val="center"/>
              <w:textAlignment w:val="center"/>
              <w:rPr>
                <w:rFonts w:ascii="华文细黑" w:hAnsi="华文细黑"/>
                <w:sz w:val="24"/>
              </w:rPr>
            </w:pPr>
          </w:p>
        </w:tc>
        <w:tc>
          <w:tcPr>
            <w:tcW w:w="1182" w:type="dxa"/>
            <w:noWrap w:val="0"/>
            <w:vAlign w:val="top"/>
          </w:tcPr>
          <w:p w14:paraId="72F711B2">
            <w:pPr>
              <w:spacing w:line="440" w:lineRule="exact"/>
              <w:jc w:val="center"/>
              <w:textAlignment w:val="center"/>
              <w:rPr>
                <w:rFonts w:ascii="华文细黑" w:hAnsi="华文细黑"/>
                <w:sz w:val="24"/>
              </w:rPr>
            </w:pPr>
          </w:p>
        </w:tc>
        <w:tc>
          <w:tcPr>
            <w:tcW w:w="1182" w:type="dxa"/>
            <w:noWrap w:val="0"/>
            <w:vAlign w:val="top"/>
          </w:tcPr>
          <w:p w14:paraId="1BFADA2B">
            <w:pPr>
              <w:spacing w:line="440" w:lineRule="exact"/>
              <w:jc w:val="center"/>
              <w:textAlignment w:val="center"/>
              <w:rPr>
                <w:rFonts w:ascii="华文细黑" w:hAnsi="华文细黑"/>
                <w:sz w:val="24"/>
              </w:rPr>
            </w:pPr>
          </w:p>
        </w:tc>
        <w:tc>
          <w:tcPr>
            <w:tcW w:w="1182" w:type="dxa"/>
            <w:noWrap w:val="0"/>
            <w:vAlign w:val="top"/>
          </w:tcPr>
          <w:p w14:paraId="476A18AC">
            <w:pPr>
              <w:spacing w:line="440" w:lineRule="exact"/>
              <w:jc w:val="center"/>
              <w:textAlignment w:val="center"/>
              <w:rPr>
                <w:rFonts w:ascii="华文细黑" w:hAnsi="华文细黑"/>
                <w:sz w:val="24"/>
              </w:rPr>
            </w:pPr>
          </w:p>
        </w:tc>
        <w:tc>
          <w:tcPr>
            <w:tcW w:w="1182" w:type="dxa"/>
            <w:noWrap w:val="0"/>
            <w:vAlign w:val="top"/>
          </w:tcPr>
          <w:p w14:paraId="03EB26EC">
            <w:pPr>
              <w:spacing w:line="440" w:lineRule="exact"/>
              <w:jc w:val="center"/>
              <w:textAlignment w:val="center"/>
              <w:rPr>
                <w:rFonts w:ascii="华文细黑" w:hAnsi="华文细黑"/>
                <w:sz w:val="24"/>
              </w:rPr>
            </w:pPr>
          </w:p>
        </w:tc>
        <w:tc>
          <w:tcPr>
            <w:tcW w:w="1182" w:type="dxa"/>
            <w:noWrap w:val="0"/>
            <w:vAlign w:val="top"/>
          </w:tcPr>
          <w:p w14:paraId="5FCD5920">
            <w:pPr>
              <w:spacing w:line="440" w:lineRule="exact"/>
              <w:jc w:val="center"/>
              <w:textAlignment w:val="center"/>
              <w:rPr>
                <w:rFonts w:ascii="华文细黑" w:hAnsi="华文细黑"/>
                <w:sz w:val="24"/>
              </w:rPr>
            </w:pPr>
          </w:p>
        </w:tc>
        <w:tc>
          <w:tcPr>
            <w:tcW w:w="1180" w:type="dxa"/>
            <w:noWrap w:val="0"/>
            <w:vAlign w:val="top"/>
          </w:tcPr>
          <w:p w14:paraId="7DCBA878">
            <w:pPr>
              <w:spacing w:line="440" w:lineRule="exact"/>
              <w:jc w:val="center"/>
              <w:textAlignment w:val="center"/>
              <w:rPr>
                <w:rFonts w:ascii="华文细黑" w:hAnsi="华文细黑"/>
                <w:sz w:val="24"/>
              </w:rPr>
            </w:pPr>
          </w:p>
        </w:tc>
      </w:tr>
      <w:tr w14:paraId="70F6DA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20" w:type="dxa"/>
            <w:noWrap w:val="0"/>
            <w:vAlign w:val="top"/>
          </w:tcPr>
          <w:p w14:paraId="26F37D55">
            <w:pPr>
              <w:spacing w:line="440" w:lineRule="exact"/>
              <w:jc w:val="center"/>
              <w:textAlignment w:val="center"/>
              <w:rPr>
                <w:rFonts w:ascii="华文细黑" w:hAnsi="华文细黑"/>
                <w:sz w:val="24"/>
              </w:rPr>
            </w:pPr>
          </w:p>
        </w:tc>
        <w:tc>
          <w:tcPr>
            <w:tcW w:w="1447" w:type="dxa"/>
            <w:noWrap w:val="0"/>
            <w:vAlign w:val="top"/>
          </w:tcPr>
          <w:p w14:paraId="6A7A51E3">
            <w:pPr>
              <w:spacing w:line="440" w:lineRule="exact"/>
              <w:jc w:val="center"/>
              <w:textAlignment w:val="center"/>
              <w:rPr>
                <w:rFonts w:ascii="华文细黑" w:hAnsi="华文细黑"/>
                <w:sz w:val="24"/>
              </w:rPr>
            </w:pPr>
          </w:p>
        </w:tc>
        <w:tc>
          <w:tcPr>
            <w:tcW w:w="1182" w:type="dxa"/>
            <w:noWrap w:val="0"/>
            <w:vAlign w:val="top"/>
          </w:tcPr>
          <w:p w14:paraId="3BF4699F">
            <w:pPr>
              <w:spacing w:line="440" w:lineRule="exact"/>
              <w:jc w:val="center"/>
              <w:textAlignment w:val="center"/>
              <w:rPr>
                <w:rFonts w:ascii="华文细黑" w:hAnsi="华文细黑"/>
                <w:sz w:val="24"/>
              </w:rPr>
            </w:pPr>
          </w:p>
        </w:tc>
        <w:tc>
          <w:tcPr>
            <w:tcW w:w="1182" w:type="dxa"/>
            <w:noWrap w:val="0"/>
            <w:vAlign w:val="top"/>
          </w:tcPr>
          <w:p w14:paraId="4F89944D">
            <w:pPr>
              <w:spacing w:line="440" w:lineRule="exact"/>
              <w:jc w:val="center"/>
              <w:textAlignment w:val="center"/>
              <w:rPr>
                <w:rFonts w:ascii="华文细黑" w:hAnsi="华文细黑"/>
                <w:sz w:val="24"/>
              </w:rPr>
            </w:pPr>
          </w:p>
        </w:tc>
        <w:tc>
          <w:tcPr>
            <w:tcW w:w="1182" w:type="dxa"/>
            <w:noWrap w:val="0"/>
            <w:vAlign w:val="top"/>
          </w:tcPr>
          <w:p w14:paraId="23345A68">
            <w:pPr>
              <w:spacing w:line="440" w:lineRule="exact"/>
              <w:jc w:val="center"/>
              <w:textAlignment w:val="center"/>
              <w:rPr>
                <w:rFonts w:ascii="华文细黑" w:hAnsi="华文细黑"/>
                <w:sz w:val="24"/>
              </w:rPr>
            </w:pPr>
          </w:p>
        </w:tc>
        <w:tc>
          <w:tcPr>
            <w:tcW w:w="1182" w:type="dxa"/>
            <w:noWrap w:val="0"/>
            <w:vAlign w:val="top"/>
          </w:tcPr>
          <w:p w14:paraId="7670AD77">
            <w:pPr>
              <w:spacing w:line="440" w:lineRule="exact"/>
              <w:jc w:val="center"/>
              <w:textAlignment w:val="center"/>
              <w:rPr>
                <w:rFonts w:ascii="华文细黑" w:hAnsi="华文细黑"/>
                <w:sz w:val="24"/>
              </w:rPr>
            </w:pPr>
          </w:p>
        </w:tc>
        <w:tc>
          <w:tcPr>
            <w:tcW w:w="1182" w:type="dxa"/>
            <w:noWrap w:val="0"/>
            <w:vAlign w:val="top"/>
          </w:tcPr>
          <w:p w14:paraId="1951736E">
            <w:pPr>
              <w:spacing w:line="440" w:lineRule="exact"/>
              <w:jc w:val="center"/>
              <w:textAlignment w:val="center"/>
              <w:rPr>
                <w:rFonts w:ascii="华文细黑" w:hAnsi="华文细黑"/>
                <w:sz w:val="24"/>
              </w:rPr>
            </w:pPr>
          </w:p>
        </w:tc>
        <w:tc>
          <w:tcPr>
            <w:tcW w:w="1180" w:type="dxa"/>
            <w:noWrap w:val="0"/>
            <w:vAlign w:val="top"/>
          </w:tcPr>
          <w:p w14:paraId="2737FCE1">
            <w:pPr>
              <w:spacing w:line="440" w:lineRule="exact"/>
              <w:jc w:val="center"/>
              <w:textAlignment w:val="center"/>
              <w:rPr>
                <w:rFonts w:ascii="华文细黑" w:hAnsi="华文细黑"/>
                <w:sz w:val="24"/>
              </w:rPr>
            </w:pPr>
          </w:p>
        </w:tc>
      </w:tr>
      <w:tr w14:paraId="739E41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20" w:type="dxa"/>
            <w:noWrap w:val="0"/>
            <w:vAlign w:val="top"/>
          </w:tcPr>
          <w:p w14:paraId="2F71FE87">
            <w:pPr>
              <w:spacing w:line="440" w:lineRule="exact"/>
              <w:jc w:val="center"/>
              <w:textAlignment w:val="center"/>
              <w:rPr>
                <w:rFonts w:ascii="华文细黑" w:hAnsi="华文细黑"/>
                <w:sz w:val="24"/>
              </w:rPr>
            </w:pPr>
          </w:p>
        </w:tc>
        <w:tc>
          <w:tcPr>
            <w:tcW w:w="1447" w:type="dxa"/>
            <w:noWrap w:val="0"/>
            <w:vAlign w:val="top"/>
          </w:tcPr>
          <w:p w14:paraId="5DA2CADE">
            <w:pPr>
              <w:spacing w:line="440" w:lineRule="exact"/>
              <w:jc w:val="center"/>
              <w:textAlignment w:val="center"/>
              <w:rPr>
                <w:rFonts w:ascii="华文细黑" w:hAnsi="华文细黑"/>
                <w:sz w:val="24"/>
              </w:rPr>
            </w:pPr>
          </w:p>
        </w:tc>
        <w:tc>
          <w:tcPr>
            <w:tcW w:w="1182" w:type="dxa"/>
            <w:noWrap w:val="0"/>
            <w:vAlign w:val="top"/>
          </w:tcPr>
          <w:p w14:paraId="2AF16BA8">
            <w:pPr>
              <w:spacing w:line="440" w:lineRule="exact"/>
              <w:jc w:val="center"/>
              <w:textAlignment w:val="center"/>
              <w:rPr>
                <w:rFonts w:ascii="华文细黑" w:hAnsi="华文细黑"/>
                <w:sz w:val="24"/>
              </w:rPr>
            </w:pPr>
          </w:p>
        </w:tc>
        <w:tc>
          <w:tcPr>
            <w:tcW w:w="1182" w:type="dxa"/>
            <w:noWrap w:val="0"/>
            <w:vAlign w:val="top"/>
          </w:tcPr>
          <w:p w14:paraId="03EA7842">
            <w:pPr>
              <w:spacing w:line="440" w:lineRule="exact"/>
              <w:jc w:val="center"/>
              <w:textAlignment w:val="center"/>
              <w:rPr>
                <w:rFonts w:ascii="华文细黑" w:hAnsi="华文细黑"/>
                <w:sz w:val="24"/>
              </w:rPr>
            </w:pPr>
          </w:p>
        </w:tc>
        <w:tc>
          <w:tcPr>
            <w:tcW w:w="1182" w:type="dxa"/>
            <w:noWrap w:val="0"/>
            <w:vAlign w:val="top"/>
          </w:tcPr>
          <w:p w14:paraId="7B1C5605">
            <w:pPr>
              <w:spacing w:line="440" w:lineRule="exact"/>
              <w:jc w:val="center"/>
              <w:textAlignment w:val="center"/>
              <w:rPr>
                <w:rFonts w:ascii="华文细黑" w:hAnsi="华文细黑"/>
                <w:sz w:val="24"/>
              </w:rPr>
            </w:pPr>
          </w:p>
        </w:tc>
        <w:tc>
          <w:tcPr>
            <w:tcW w:w="1182" w:type="dxa"/>
            <w:noWrap w:val="0"/>
            <w:vAlign w:val="top"/>
          </w:tcPr>
          <w:p w14:paraId="3052703A">
            <w:pPr>
              <w:spacing w:line="440" w:lineRule="exact"/>
              <w:jc w:val="center"/>
              <w:textAlignment w:val="center"/>
              <w:rPr>
                <w:rFonts w:ascii="华文细黑" w:hAnsi="华文细黑"/>
                <w:sz w:val="24"/>
              </w:rPr>
            </w:pPr>
          </w:p>
        </w:tc>
        <w:tc>
          <w:tcPr>
            <w:tcW w:w="1182" w:type="dxa"/>
            <w:noWrap w:val="0"/>
            <w:vAlign w:val="top"/>
          </w:tcPr>
          <w:p w14:paraId="18A03B8F">
            <w:pPr>
              <w:spacing w:line="440" w:lineRule="exact"/>
              <w:jc w:val="center"/>
              <w:textAlignment w:val="center"/>
              <w:rPr>
                <w:rFonts w:ascii="华文细黑" w:hAnsi="华文细黑"/>
                <w:sz w:val="24"/>
              </w:rPr>
            </w:pPr>
          </w:p>
        </w:tc>
        <w:tc>
          <w:tcPr>
            <w:tcW w:w="1180" w:type="dxa"/>
            <w:noWrap w:val="0"/>
            <w:vAlign w:val="top"/>
          </w:tcPr>
          <w:p w14:paraId="1F7A6217">
            <w:pPr>
              <w:spacing w:line="440" w:lineRule="exact"/>
              <w:jc w:val="center"/>
              <w:textAlignment w:val="center"/>
              <w:rPr>
                <w:rFonts w:ascii="华文细黑" w:hAnsi="华文细黑"/>
                <w:sz w:val="24"/>
              </w:rPr>
            </w:pPr>
          </w:p>
        </w:tc>
      </w:tr>
      <w:tr w14:paraId="398E93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20" w:type="dxa"/>
            <w:noWrap w:val="0"/>
            <w:vAlign w:val="top"/>
          </w:tcPr>
          <w:p w14:paraId="0E14C039">
            <w:pPr>
              <w:spacing w:line="440" w:lineRule="exact"/>
              <w:jc w:val="center"/>
              <w:textAlignment w:val="center"/>
              <w:rPr>
                <w:rFonts w:ascii="华文细黑" w:hAnsi="华文细黑"/>
                <w:sz w:val="24"/>
              </w:rPr>
            </w:pPr>
          </w:p>
        </w:tc>
        <w:tc>
          <w:tcPr>
            <w:tcW w:w="1447" w:type="dxa"/>
            <w:noWrap w:val="0"/>
            <w:vAlign w:val="top"/>
          </w:tcPr>
          <w:p w14:paraId="3C949815">
            <w:pPr>
              <w:spacing w:line="440" w:lineRule="exact"/>
              <w:jc w:val="center"/>
              <w:textAlignment w:val="center"/>
              <w:rPr>
                <w:rFonts w:ascii="华文细黑" w:hAnsi="华文细黑"/>
                <w:sz w:val="24"/>
              </w:rPr>
            </w:pPr>
          </w:p>
        </w:tc>
        <w:tc>
          <w:tcPr>
            <w:tcW w:w="1182" w:type="dxa"/>
            <w:noWrap w:val="0"/>
            <w:vAlign w:val="top"/>
          </w:tcPr>
          <w:p w14:paraId="092C2BE3">
            <w:pPr>
              <w:spacing w:line="440" w:lineRule="exact"/>
              <w:jc w:val="center"/>
              <w:textAlignment w:val="center"/>
              <w:rPr>
                <w:rFonts w:ascii="华文细黑" w:hAnsi="华文细黑"/>
                <w:sz w:val="24"/>
              </w:rPr>
            </w:pPr>
          </w:p>
        </w:tc>
        <w:tc>
          <w:tcPr>
            <w:tcW w:w="1182" w:type="dxa"/>
            <w:noWrap w:val="0"/>
            <w:vAlign w:val="top"/>
          </w:tcPr>
          <w:p w14:paraId="03D28F9C">
            <w:pPr>
              <w:spacing w:line="440" w:lineRule="exact"/>
              <w:jc w:val="center"/>
              <w:textAlignment w:val="center"/>
              <w:rPr>
                <w:rFonts w:ascii="华文细黑" w:hAnsi="华文细黑"/>
                <w:sz w:val="24"/>
              </w:rPr>
            </w:pPr>
          </w:p>
        </w:tc>
        <w:tc>
          <w:tcPr>
            <w:tcW w:w="1182" w:type="dxa"/>
            <w:noWrap w:val="0"/>
            <w:vAlign w:val="top"/>
          </w:tcPr>
          <w:p w14:paraId="7345B69B">
            <w:pPr>
              <w:spacing w:line="440" w:lineRule="exact"/>
              <w:jc w:val="center"/>
              <w:textAlignment w:val="center"/>
              <w:rPr>
                <w:rFonts w:ascii="华文细黑" w:hAnsi="华文细黑"/>
                <w:sz w:val="24"/>
              </w:rPr>
            </w:pPr>
          </w:p>
        </w:tc>
        <w:tc>
          <w:tcPr>
            <w:tcW w:w="1182" w:type="dxa"/>
            <w:noWrap w:val="0"/>
            <w:vAlign w:val="top"/>
          </w:tcPr>
          <w:p w14:paraId="3ED0D1DA">
            <w:pPr>
              <w:spacing w:line="440" w:lineRule="exact"/>
              <w:jc w:val="center"/>
              <w:textAlignment w:val="center"/>
              <w:rPr>
                <w:rFonts w:ascii="华文细黑" w:hAnsi="华文细黑"/>
                <w:sz w:val="24"/>
              </w:rPr>
            </w:pPr>
          </w:p>
        </w:tc>
        <w:tc>
          <w:tcPr>
            <w:tcW w:w="1182" w:type="dxa"/>
            <w:noWrap w:val="0"/>
            <w:vAlign w:val="top"/>
          </w:tcPr>
          <w:p w14:paraId="5BDAA7A0">
            <w:pPr>
              <w:spacing w:line="440" w:lineRule="exact"/>
              <w:jc w:val="center"/>
              <w:textAlignment w:val="center"/>
              <w:rPr>
                <w:rFonts w:ascii="华文细黑" w:hAnsi="华文细黑"/>
                <w:sz w:val="24"/>
              </w:rPr>
            </w:pPr>
          </w:p>
        </w:tc>
        <w:tc>
          <w:tcPr>
            <w:tcW w:w="1180" w:type="dxa"/>
            <w:noWrap w:val="0"/>
            <w:vAlign w:val="top"/>
          </w:tcPr>
          <w:p w14:paraId="15A33ED1">
            <w:pPr>
              <w:spacing w:line="440" w:lineRule="exact"/>
              <w:jc w:val="center"/>
              <w:textAlignment w:val="center"/>
              <w:rPr>
                <w:rFonts w:ascii="华文细黑" w:hAnsi="华文细黑"/>
                <w:sz w:val="24"/>
              </w:rPr>
            </w:pPr>
          </w:p>
        </w:tc>
      </w:tr>
      <w:tr w14:paraId="0DEDB4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20" w:type="dxa"/>
            <w:noWrap w:val="0"/>
            <w:vAlign w:val="top"/>
          </w:tcPr>
          <w:p w14:paraId="4B09133A">
            <w:pPr>
              <w:spacing w:line="440" w:lineRule="exact"/>
              <w:jc w:val="center"/>
              <w:textAlignment w:val="center"/>
              <w:rPr>
                <w:rFonts w:ascii="华文细黑" w:hAnsi="华文细黑"/>
                <w:sz w:val="24"/>
              </w:rPr>
            </w:pPr>
          </w:p>
        </w:tc>
        <w:tc>
          <w:tcPr>
            <w:tcW w:w="1447" w:type="dxa"/>
            <w:noWrap w:val="0"/>
            <w:vAlign w:val="top"/>
          </w:tcPr>
          <w:p w14:paraId="269F5773">
            <w:pPr>
              <w:spacing w:line="440" w:lineRule="exact"/>
              <w:jc w:val="center"/>
              <w:textAlignment w:val="center"/>
              <w:rPr>
                <w:rFonts w:ascii="华文细黑" w:hAnsi="华文细黑"/>
                <w:sz w:val="24"/>
              </w:rPr>
            </w:pPr>
          </w:p>
        </w:tc>
        <w:tc>
          <w:tcPr>
            <w:tcW w:w="1182" w:type="dxa"/>
            <w:noWrap w:val="0"/>
            <w:vAlign w:val="top"/>
          </w:tcPr>
          <w:p w14:paraId="73F5F74F">
            <w:pPr>
              <w:spacing w:line="440" w:lineRule="exact"/>
              <w:jc w:val="center"/>
              <w:textAlignment w:val="center"/>
              <w:rPr>
                <w:rFonts w:ascii="华文细黑" w:hAnsi="华文细黑"/>
                <w:sz w:val="24"/>
              </w:rPr>
            </w:pPr>
          </w:p>
        </w:tc>
        <w:tc>
          <w:tcPr>
            <w:tcW w:w="1182" w:type="dxa"/>
            <w:noWrap w:val="0"/>
            <w:vAlign w:val="top"/>
          </w:tcPr>
          <w:p w14:paraId="52D79E03">
            <w:pPr>
              <w:spacing w:line="440" w:lineRule="exact"/>
              <w:jc w:val="center"/>
              <w:textAlignment w:val="center"/>
              <w:rPr>
                <w:rFonts w:ascii="华文细黑" w:hAnsi="华文细黑"/>
                <w:sz w:val="24"/>
              </w:rPr>
            </w:pPr>
          </w:p>
        </w:tc>
        <w:tc>
          <w:tcPr>
            <w:tcW w:w="1182" w:type="dxa"/>
            <w:noWrap w:val="0"/>
            <w:vAlign w:val="top"/>
          </w:tcPr>
          <w:p w14:paraId="588E7E79">
            <w:pPr>
              <w:spacing w:line="440" w:lineRule="exact"/>
              <w:jc w:val="center"/>
              <w:textAlignment w:val="center"/>
              <w:rPr>
                <w:rFonts w:ascii="华文细黑" w:hAnsi="华文细黑"/>
                <w:sz w:val="24"/>
              </w:rPr>
            </w:pPr>
          </w:p>
        </w:tc>
        <w:tc>
          <w:tcPr>
            <w:tcW w:w="1182" w:type="dxa"/>
            <w:noWrap w:val="0"/>
            <w:vAlign w:val="top"/>
          </w:tcPr>
          <w:p w14:paraId="787EA093">
            <w:pPr>
              <w:spacing w:line="440" w:lineRule="exact"/>
              <w:jc w:val="center"/>
              <w:textAlignment w:val="center"/>
              <w:rPr>
                <w:rFonts w:ascii="华文细黑" w:hAnsi="华文细黑"/>
                <w:sz w:val="24"/>
              </w:rPr>
            </w:pPr>
          </w:p>
        </w:tc>
        <w:tc>
          <w:tcPr>
            <w:tcW w:w="1182" w:type="dxa"/>
            <w:noWrap w:val="0"/>
            <w:vAlign w:val="top"/>
          </w:tcPr>
          <w:p w14:paraId="5A013B3A">
            <w:pPr>
              <w:spacing w:line="440" w:lineRule="exact"/>
              <w:jc w:val="center"/>
              <w:textAlignment w:val="center"/>
              <w:rPr>
                <w:rFonts w:ascii="华文细黑" w:hAnsi="华文细黑"/>
                <w:sz w:val="24"/>
              </w:rPr>
            </w:pPr>
          </w:p>
        </w:tc>
        <w:tc>
          <w:tcPr>
            <w:tcW w:w="1180" w:type="dxa"/>
            <w:noWrap w:val="0"/>
            <w:vAlign w:val="top"/>
          </w:tcPr>
          <w:p w14:paraId="7A0BAED4">
            <w:pPr>
              <w:spacing w:line="440" w:lineRule="exact"/>
              <w:jc w:val="center"/>
              <w:textAlignment w:val="center"/>
              <w:rPr>
                <w:rFonts w:ascii="华文细黑" w:hAnsi="华文细黑"/>
                <w:sz w:val="24"/>
              </w:rPr>
            </w:pPr>
          </w:p>
        </w:tc>
      </w:tr>
      <w:tr w14:paraId="5FC2AA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20" w:type="dxa"/>
            <w:noWrap w:val="0"/>
            <w:vAlign w:val="top"/>
          </w:tcPr>
          <w:p w14:paraId="07407D04">
            <w:pPr>
              <w:spacing w:line="440" w:lineRule="exact"/>
              <w:jc w:val="center"/>
              <w:textAlignment w:val="center"/>
              <w:rPr>
                <w:rFonts w:ascii="华文细黑" w:hAnsi="华文细黑"/>
                <w:sz w:val="24"/>
              </w:rPr>
            </w:pPr>
          </w:p>
        </w:tc>
        <w:tc>
          <w:tcPr>
            <w:tcW w:w="1447" w:type="dxa"/>
            <w:noWrap w:val="0"/>
            <w:vAlign w:val="top"/>
          </w:tcPr>
          <w:p w14:paraId="24733CF9">
            <w:pPr>
              <w:spacing w:line="440" w:lineRule="exact"/>
              <w:jc w:val="center"/>
              <w:textAlignment w:val="center"/>
              <w:rPr>
                <w:rFonts w:ascii="华文细黑" w:hAnsi="华文细黑"/>
                <w:sz w:val="24"/>
              </w:rPr>
            </w:pPr>
          </w:p>
        </w:tc>
        <w:tc>
          <w:tcPr>
            <w:tcW w:w="1182" w:type="dxa"/>
            <w:noWrap w:val="0"/>
            <w:vAlign w:val="top"/>
          </w:tcPr>
          <w:p w14:paraId="64D4124A">
            <w:pPr>
              <w:spacing w:line="440" w:lineRule="exact"/>
              <w:jc w:val="center"/>
              <w:textAlignment w:val="center"/>
              <w:rPr>
                <w:rFonts w:ascii="华文细黑" w:hAnsi="华文细黑"/>
                <w:sz w:val="24"/>
              </w:rPr>
            </w:pPr>
          </w:p>
        </w:tc>
        <w:tc>
          <w:tcPr>
            <w:tcW w:w="1182" w:type="dxa"/>
            <w:noWrap w:val="0"/>
            <w:vAlign w:val="top"/>
          </w:tcPr>
          <w:p w14:paraId="6DC7B115">
            <w:pPr>
              <w:spacing w:line="440" w:lineRule="exact"/>
              <w:jc w:val="center"/>
              <w:textAlignment w:val="center"/>
              <w:rPr>
                <w:rFonts w:ascii="华文细黑" w:hAnsi="华文细黑"/>
                <w:sz w:val="24"/>
              </w:rPr>
            </w:pPr>
          </w:p>
        </w:tc>
        <w:tc>
          <w:tcPr>
            <w:tcW w:w="1182" w:type="dxa"/>
            <w:noWrap w:val="0"/>
            <w:vAlign w:val="top"/>
          </w:tcPr>
          <w:p w14:paraId="016DC96C">
            <w:pPr>
              <w:spacing w:line="440" w:lineRule="exact"/>
              <w:jc w:val="center"/>
              <w:textAlignment w:val="center"/>
              <w:rPr>
                <w:rFonts w:ascii="华文细黑" w:hAnsi="华文细黑"/>
                <w:sz w:val="24"/>
              </w:rPr>
            </w:pPr>
          </w:p>
        </w:tc>
        <w:tc>
          <w:tcPr>
            <w:tcW w:w="1182" w:type="dxa"/>
            <w:noWrap w:val="0"/>
            <w:vAlign w:val="top"/>
          </w:tcPr>
          <w:p w14:paraId="4F73DA1A">
            <w:pPr>
              <w:spacing w:line="440" w:lineRule="exact"/>
              <w:jc w:val="center"/>
              <w:textAlignment w:val="center"/>
              <w:rPr>
                <w:rFonts w:ascii="华文细黑" w:hAnsi="华文细黑"/>
                <w:sz w:val="24"/>
              </w:rPr>
            </w:pPr>
          </w:p>
        </w:tc>
        <w:tc>
          <w:tcPr>
            <w:tcW w:w="1182" w:type="dxa"/>
            <w:noWrap w:val="0"/>
            <w:vAlign w:val="top"/>
          </w:tcPr>
          <w:p w14:paraId="589ACDBF">
            <w:pPr>
              <w:spacing w:line="440" w:lineRule="exact"/>
              <w:jc w:val="center"/>
              <w:textAlignment w:val="center"/>
              <w:rPr>
                <w:rFonts w:ascii="华文细黑" w:hAnsi="华文细黑"/>
                <w:sz w:val="24"/>
              </w:rPr>
            </w:pPr>
          </w:p>
        </w:tc>
        <w:tc>
          <w:tcPr>
            <w:tcW w:w="1180" w:type="dxa"/>
            <w:noWrap w:val="0"/>
            <w:vAlign w:val="top"/>
          </w:tcPr>
          <w:p w14:paraId="045CA117">
            <w:pPr>
              <w:spacing w:line="440" w:lineRule="exact"/>
              <w:jc w:val="center"/>
              <w:textAlignment w:val="center"/>
              <w:rPr>
                <w:rFonts w:ascii="华文细黑" w:hAnsi="华文细黑"/>
                <w:sz w:val="24"/>
              </w:rPr>
            </w:pPr>
          </w:p>
        </w:tc>
      </w:tr>
      <w:tr w14:paraId="2AFB28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20" w:type="dxa"/>
            <w:noWrap w:val="0"/>
            <w:vAlign w:val="top"/>
          </w:tcPr>
          <w:p w14:paraId="0B42A749">
            <w:pPr>
              <w:spacing w:line="440" w:lineRule="exact"/>
              <w:jc w:val="center"/>
              <w:textAlignment w:val="center"/>
              <w:rPr>
                <w:rFonts w:ascii="华文细黑" w:hAnsi="华文细黑"/>
                <w:sz w:val="24"/>
              </w:rPr>
            </w:pPr>
          </w:p>
        </w:tc>
        <w:tc>
          <w:tcPr>
            <w:tcW w:w="1447" w:type="dxa"/>
            <w:noWrap w:val="0"/>
            <w:vAlign w:val="top"/>
          </w:tcPr>
          <w:p w14:paraId="0BA3FC78">
            <w:pPr>
              <w:spacing w:line="440" w:lineRule="exact"/>
              <w:jc w:val="center"/>
              <w:textAlignment w:val="center"/>
              <w:rPr>
                <w:rFonts w:ascii="华文细黑" w:hAnsi="华文细黑"/>
                <w:sz w:val="24"/>
              </w:rPr>
            </w:pPr>
          </w:p>
        </w:tc>
        <w:tc>
          <w:tcPr>
            <w:tcW w:w="1182" w:type="dxa"/>
            <w:noWrap w:val="0"/>
            <w:vAlign w:val="top"/>
          </w:tcPr>
          <w:p w14:paraId="49EE9B92">
            <w:pPr>
              <w:spacing w:line="440" w:lineRule="exact"/>
              <w:jc w:val="center"/>
              <w:textAlignment w:val="center"/>
              <w:rPr>
                <w:rFonts w:ascii="华文细黑" w:hAnsi="华文细黑"/>
                <w:sz w:val="24"/>
              </w:rPr>
            </w:pPr>
          </w:p>
        </w:tc>
        <w:tc>
          <w:tcPr>
            <w:tcW w:w="1182" w:type="dxa"/>
            <w:noWrap w:val="0"/>
            <w:vAlign w:val="top"/>
          </w:tcPr>
          <w:p w14:paraId="10B21751">
            <w:pPr>
              <w:spacing w:line="440" w:lineRule="exact"/>
              <w:jc w:val="center"/>
              <w:textAlignment w:val="center"/>
              <w:rPr>
                <w:rFonts w:ascii="华文细黑" w:hAnsi="华文细黑"/>
                <w:sz w:val="24"/>
              </w:rPr>
            </w:pPr>
          </w:p>
        </w:tc>
        <w:tc>
          <w:tcPr>
            <w:tcW w:w="1182" w:type="dxa"/>
            <w:noWrap w:val="0"/>
            <w:vAlign w:val="top"/>
          </w:tcPr>
          <w:p w14:paraId="58F693CD">
            <w:pPr>
              <w:spacing w:line="440" w:lineRule="exact"/>
              <w:jc w:val="center"/>
              <w:textAlignment w:val="center"/>
              <w:rPr>
                <w:rFonts w:ascii="华文细黑" w:hAnsi="华文细黑"/>
                <w:sz w:val="24"/>
              </w:rPr>
            </w:pPr>
          </w:p>
        </w:tc>
        <w:tc>
          <w:tcPr>
            <w:tcW w:w="1182" w:type="dxa"/>
            <w:noWrap w:val="0"/>
            <w:vAlign w:val="top"/>
          </w:tcPr>
          <w:p w14:paraId="09BAFC2E">
            <w:pPr>
              <w:spacing w:line="440" w:lineRule="exact"/>
              <w:jc w:val="center"/>
              <w:textAlignment w:val="center"/>
              <w:rPr>
                <w:rFonts w:ascii="华文细黑" w:hAnsi="华文细黑"/>
                <w:sz w:val="24"/>
              </w:rPr>
            </w:pPr>
          </w:p>
        </w:tc>
        <w:tc>
          <w:tcPr>
            <w:tcW w:w="1182" w:type="dxa"/>
            <w:noWrap w:val="0"/>
            <w:vAlign w:val="top"/>
          </w:tcPr>
          <w:p w14:paraId="2472029C">
            <w:pPr>
              <w:spacing w:line="440" w:lineRule="exact"/>
              <w:jc w:val="center"/>
              <w:textAlignment w:val="center"/>
              <w:rPr>
                <w:rFonts w:ascii="华文细黑" w:hAnsi="华文细黑"/>
                <w:sz w:val="24"/>
              </w:rPr>
            </w:pPr>
          </w:p>
        </w:tc>
        <w:tc>
          <w:tcPr>
            <w:tcW w:w="1180" w:type="dxa"/>
            <w:noWrap w:val="0"/>
            <w:vAlign w:val="top"/>
          </w:tcPr>
          <w:p w14:paraId="4972945A">
            <w:pPr>
              <w:spacing w:line="440" w:lineRule="exact"/>
              <w:jc w:val="center"/>
              <w:textAlignment w:val="center"/>
              <w:rPr>
                <w:rFonts w:ascii="华文细黑" w:hAnsi="华文细黑"/>
                <w:sz w:val="24"/>
              </w:rPr>
            </w:pPr>
          </w:p>
        </w:tc>
      </w:tr>
      <w:tr w14:paraId="3E58EE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20" w:type="dxa"/>
            <w:noWrap w:val="0"/>
            <w:vAlign w:val="top"/>
          </w:tcPr>
          <w:p w14:paraId="45C5D81A">
            <w:pPr>
              <w:spacing w:line="440" w:lineRule="exact"/>
              <w:jc w:val="center"/>
              <w:textAlignment w:val="center"/>
              <w:rPr>
                <w:rFonts w:ascii="华文细黑" w:hAnsi="华文细黑"/>
                <w:sz w:val="24"/>
              </w:rPr>
            </w:pPr>
          </w:p>
        </w:tc>
        <w:tc>
          <w:tcPr>
            <w:tcW w:w="1447" w:type="dxa"/>
            <w:noWrap w:val="0"/>
            <w:vAlign w:val="top"/>
          </w:tcPr>
          <w:p w14:paraId="7759520E">
            <w:pPr>
              <w:spacing w:line="440" w:lineRule="exact"/>
              <w:jc w:val="center"/>
              <w:textAlignment w:val="center"/>
              <w:rPr>
                <w:rFonts w:ascii="华文细黑" w:hAnsi="华文细黑"/>
                <w:sz w:val="24"/>
              </w:rPr>
            </w:pPr>
          </w:p>
        </w:tc>
        <w:tc>
          <w:tcPr>
            <w:tcW w:w="1182" w:type="dxa"/>
            <w:noWrap w:val="0"/>
            <w:vAlign w:val="top"/>
          </w:tcPr>
          <w:p w14:paraId="068CB3FE">
            <w:pPr>
              <w:spacing w:line="440" w:lineRule="exact"/>
              <w:jc w:val="center"/>
              <w:textAlignment w:val="center"/>
              <w:rPr>
                <w:rFonts w:ascii="华文细黑" w:hAnsi="华文细黑"/>
                <w:sz w:val="24"/>
              </w:rPr>
            </w:pPr>
          </w:p>
        </w:tc>
        <w:tc>
          <w:tcPr>
            <w:tcW w:w="1182" w:type="dxa"/>
            <w:noWrap w:val="0"/>
            <w:vAlign w:val="top"/>
          </w:tcPr>
          <w:p w14:paraId="590A26DB">
            <w:pPr>
              <w:spacing w:line="440" w:lineRule="exact"/>
              <w:jc w:val="center"/>
              <w:textAlignment w:val="center"/>
              <w:rPr>
                <w:rFonts w:ascii="华文细黑" w:hAnsi="华文细黑"/>
                <w:sz w:val="24"/>
              </w:rPr>
            </w:pPr>
          </w:p>
        </w:tc>
        <w:tc>
          <w:tcPr>
            <w:tcW w:w="1182" w:type="dxa"/>
            <w:noWrap w:val="0"/>
            <w:vAlign w:val="top"/>
          </w:tcPr>
          <w:p w14:paraId="1F5B913A">
            <w:pPr>
              <w:spacing w:line="440" w:lineRule="exact"/>
              <w:jc w:val="center"/>
              <w:textAlignment w:val="center"/>
              <w:rPr>
                <w:rFonts w:ascii="华文细黑" w:hAnsi="华文细黑"/>
                <w:sz w:val="24"/>
              </w:rPr>
            </w:pPr>
          </w:p>
        </w:tc>
        <w:tc>
          <w:tcPr>
            <w:tcW w:w="1182" w:type="dxa"/>
            <w:noWrap w:val="0"/>
            <w:vAlign w:val="top"/>
          </w:tcPr>
          <w:p w14:paraId="4C36AE66">
            <w:pPr>
              <w:spacing w:line="440" w:lineRule="exact"/>
              <w:jc w:val="center"/>
              <w:textAlignment w:val="center"/>
              <w:rPr>
                <w:rFonts w:ascii="华文细黑" w:hAnsi="华文细黑"/>
                <w:sz w:val="24"/>
              </w:rPr>
            </w:pPr>
          </w:p>
        </w:tc>
        <w:tc>
          <w:tcPr>
            <w:tcW w:w="1182" w:type="dxa"/>
            <w:noWrap w:val="0"/>
            <w:vAlign w:val="top"/>
          </w:tcPr>
          <w:p w14:paraId="3D481645">
            <w:pPr>
              <w:spacing w:line="440" w:lineRule="exact"/>
              <w:jc w:val="center"/>
              <w:textAlignment w:val="center"/>
              <w:rPr>
                <w:rFonts w:ascii="华文细黑" w:hAnsi="华文细黑"/>
                <w:sz w:val="24"/>
              </w:rPr>
            </w:pPr>
          </w:p>
        </w:tc>
        <w:tc>
          <w:tcPr>
            <w:tcW w:w="1180" w:type="dxa"/>
            <w:noWrap w:val="0"/>
            <w:vAlign w:val="top"/>
          </w:tcPr>
          <w:p w14:paraId="39577B23">
            <w:pPr>
              <w:spacing w:line="440" w:lineRule="exact"/>
              <w:jc w:val="center"/>
              <w:textAlignment w:val="center"/>
              <w:rPr>
                <w:rFonts w:ascii="华文细黑" w:hAnsi="华文细黑"/>
                <w:sz w:val="24"/>
              </w:rPr>
            </w:pPr>
          </w:p>
        </w:tc>
      </w:tr>
      <w:tr w14:paraId="1FD325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20" w:type="dxa"/>
            <w:noWrap w:val="0"/>
            <w:vAlign w:val="top"/>
          </w:tcPr>
          <w:p w14:paraId="375B361F">
            <w:pPr>
              <w:spacing w:line="440" w:lineRule="exact"/>
              <w:jc w:val="center"/>
              <w:textAlignment w:val="center"/>
              <w:rPr>
                <w:rFonts w:ascii="华文细黑" w:hAnsi="华文细黑"/>
                <w:sz w:val="24"/>
              </w:rPr>
            </w:pPr>
          </w:p>
        </w:tc>
        <w:tc>
          <w:tcPr>
            <w:tcW w:w="1447" w:type="dxa"/>
            <w:noWrap w:val="0"/>
            <w:vAlign w:val="top"/>
          </w:tcPr>
          <w:p w14:paraId="65B8333F">
            <w:pPr>
              <w:spacing w:line="440" w:lineRule="exact"/>
              <w:jc w:val="center"/>
              <w:textAlignment w:val="center"/>
              <w:rPr>
                <w:rFonts w:ascii="华文细黑" w:hAnsi="华文细黑"/>
                <w:sz w:val="24"/>
              </w:rPr>
            </w:pPr>
          </w:p>
        </w:tc>
        <w:tc>
          <w:tcPr>
            <w:tcW w:w="1182" w:type="dxa"/>
            <w:noWrap w:val="0"/>
            <w:vAlign w:val="top"/>
          </w:tcPr>
          <w:p w14:paraId="2E86B29B">
            <w:pPr>
              <w:spacing w:line="440" w:lineRule="exact"/>
              <w:jc w:val="center"/>
              <w:textAlignment w:val="center"/>
              <w:rPr>
                <w:rFonts w:ascii="华文细黑" w:hAnsi="华文细黑"/>
                <w:sz w:val="24"/>
              </w:rPr>
            </w:pPr>
          </w:p>
        </w:tc>
        <w:tc>
          <w:tcPr>
            <w:tcW w:w="1182" w:type="dxa"/>
            <w:noWrap w:val="0"/>
            <w:vAlign w:val="top"/>
          </w:tcPr>
          <w:p w14:paraId="491C1F64">
            <w:pPr>
              <w:spacing w:line="440" w:lineRule="exact"/>
              <w:jc w:val="center"/>
              <w:textAlignment w:val="center"/>
              <w:rPr>
                <w:rFonts w:ascii="华文细黑" w:hAnsi="华文细黑"/>
                <w:sz w:val="24"/>
              </w:rPr>
            </w:pPr>
          </w:p>
        </w:tc>
        <w:tc>
          <w:tcPr>
            <w:tcW w:w="1182" w:type="dxa"/>
            <w:noWrap w:val="0"/>
            <w:vAlign w:val="top"/>
          </w:tcPr>
          <w:p w14:paraId="48F90FE7">
            <w:pPr>
              <w:spacing w:line="440" w:lineRule="exact"/>
              <w:jc w:val="center"/>
              <w:textAlignment w:val="center"/>
              <w:rPr>
                <w:rFonts w:ascii="华文细黑" w:hAnsi="华文细黑"/>
                <w:sz w:val="24"/>
              </w:rPr>
            </w:pPr>
          </w:p>
        </w:tc>
        <w:tc>
          <w:tcPr>
            <w:tcW w:w="1182" w:type="dxa"/>
            <w:noWrap w:val="0"/>
            <w:vAlign w:val="top"/>
          </w:tcPr>
          <w:p w14:paraId="11CF0E42">
            <w:pPr>
              <w:spacing w:line="440" w:lineRule="exact"/>
              <w:jc w:val="center"/>
              <w:textAlignment w:val="center"/>
              <w:rPr>
                <w:rFonts w:ascii="华文细黑" w:hAnsi="华文细黑"/>
                <w:sz w:val="24"/>
              </w:rPr>
            </w:pPr>
          </w:p>
        </w:tc>
        <w:tc>
          <w:tcPr>
            <w:tcW w:w="1182" w:type="dxa"/>
            <w:noWrap w:val="0"/>
            <w:vAlign w:val="top"/>
          </w:tcPr>
          <w:p w14:paraId="5875C249">
            <w:pPr>
              <w:spacing w:line="440" w:lineRule="exact"/>
              <w:jc w:val="center"/>
              <w:textAlignment w:val="center"/>
              <w:rPr>
                <w:rFonts w:ascii="华文细黑" w:hAnsi="华文细黑"/>
                <w:sz w:val="24"/>
              </w:rPr>
            </w:pPr>
          </w:p>
        </w:tc>
        <w:tc>
          <w:tcPr>
            <w:tcW w:w="1180" w:type="dxa"/>
            <w:noWrap w:val="0"/>
            <w:vAlign w:val="top"/>
          </w:tcPr>
          <w:p w14:paraId="36D37052">
            <w:pPr>
              <w:spacing w:line="440" w:lineRule="exact"/>
              <w:jc w:val="center"/>
              <w:textAlignment w:val="center"/>
              <w:rPr>
                <w:rFonts w:ascii="华文细黑" w:hAnsi="华文细黑"/>
                <w:sz w:val="24"/>
              </w:rPr>
            </w:pPr>
          </w:p>
        </w:tc>
      </w:tr>
      <w:tr w14:paraId="094784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20" w:type="dxa"/>
            <w:noWrap w:val="0"/>
            <w:vAlign w:val="top"/>
          </w:tcPr>
          <w:p w14:paraId="13732225">
            <w:pPr>
              <w:spacing w:line="440" w:lineRule="exact"/>
              <w:jc w:val="center"/>
              <w:textAlignment w:val="center"/>
              <w:rPr>
                <w:rFonts w:ascii="华文细黑" w:hAnsi="华文细黑"/>
                <w:sz w:val="24"/>
              </w:rPr>
            </w:pPr>
          </w:p>
        </w:tc>
        <w:tc>
          <w:tcPr>
            <w:tcW w:w="1447" w:type="dxa"/>
            <w:noWrap w:val="0"/>
            <w:vAlign w:val="top"/>
          </w:tcPr>
          <w:p w14:paraId="2BD07FDE">
            <w:pPr>
              <w:spacing w:line="440" w:lineRule="exact"/>
              <w:jc w:val="center"/>
              <w:textAlignment w:val="center"/>
              <w:rPr>
                <w:rFonts w:ascii="华文细黑" w:hAnsi="华文细黑"/>
                <w:sz w:val="24"/>
              </w:rPr>
            </w:pPr>
          </w:p>
        </w:tc>
        <w:tc>
          <w:tcPr>
            <w:tcW w:w="1182" w:type="dxa"/>
            <w:noWrap w:val="0"/>
            <w:vAlign w:val="top"/>
          </w:tcPr>
          <w:p w14:paraId="66C15DD2">
            <w:pPr>
              <w:spacing w:line="440" w:lineRule="exact"/>
              <w:jc w:val="center"/>
              <w:textAlignment w:val="center"/>
              <w:rPr>
                <w:rFonts w:ascii="华文细黑" w:hAnsi="华文细黑"/>
                <w:sz w:val="24"/>
              </w:rPr>
            </w:pPr>
          </w:p>
        </w:tc>
        <w:tc>
          <w:tcPr>
            <w:tcW w:w="1182" w:type="dxa"/>
            <w:noWrap w:val="0"/>
            <w:vAlign w:val="top"/>
          </w:tcPr>
          <w:p w14:paraId="6757CCAE">
            <w:pPr>
              <w:spacing w:line="440" w:lineRule="exact"/>
              <w:jc w:val="center"/>
              <w:textAlignment w:val="center"/>
              <w:rPr>
                <w:rFonts w:ascii="华文细黑" w:hAnsi="华文细黑"/>
                <w:sz w:val="24"/>
              </w:rPr>
            </w:pPr>
          </w:p>
        </w:tc>
        <w:tc>
          <w:tcPr>
            <w:tcW w:w="1182" w:type="dxa"/>
            <w:noWrap w:val="0"/>
            <w:vAlign w:val="top"/>
          </w:tcPr>
          <w:p w14:paraId="6E08AE3C">
            <w:pPr>
              <w:spacing w:line="440" w:lineRule="exact"/>
              <w:jc w:val="center"/>
              <w:textAlignment w:val="center"/>
              <w:rPr>
                <w:rFonts w:ascii="华文细黑" w:hAnsi="华文细黑"/>
                <w:sz w:val="24"/>
              </w:rPr>
            </w:pPr>
          </w:p>
        </w:tc>
        <w:tc>
          <w:tcPr>
            <w:tcW w:w="1182" w:type="dxa"/>
            <w:noWrap w:val="0"/>
            <w:vAlign w:val="top"/>
          </w:tcPr>
          <w:p w14:paraId="1F4B3A08">
            <w:pPr>
              <w:spacing w:line="440" w:lineRule="exact"/>
              <w:jc w:val="center"/>
              <w:textAlignment w:val="center"/>
              <w:rPr>
                <w:rFonts w:ascii="华文细黑" w:hAnsi="华文细黑"/>
                <w:sz w:val="24"/>
              </w:rPr>
            </w:pPr>
          </w:p>
        </w:tc>
        <w:tc>
          <w:tcPr>
            <w:tcW w:w="1182" w:type="dxa"/>
            <w:noWrap w:val="0"/>
            <w:vAlign w:val="top"/>
          </w:tcPr>
          <w:p w14:paraId="7995EBCD">
            <w:pPr>
              <w:spacing w:line="440" w:lineRule="exact"/>
              <w:jc w:val="center"/>
              <w:textAlignment w:val="center"/>
              <w:rPr>
                <w:rFonts w:ascii="华文细黑" w:hAnsi="华文细黑"/>
                <w:sz w:val="24"/>
              </w:rPr>
            </w:pPr>
          </w:p>
        </w:tc>
        <w:tc>
          <w:tcPr>
            <w:tcW w:w="1180" w:type="dxa"/>
            <w:noWrap w:val="0"/>
            <w:vAlign w:val="top"/>
          </w:tcPr>
          <w:p w14:paraId="1F173F7D">
            <w:pPr>
              <w:spacing w:line="440" w:lineRule="exact"/>
              <w:jc w:val="center"/>
              <w:textAlignment w:val="center"/>
              <w:rPr>
                <w:rFonts w:ascii="华文细黑" w:hAnsi="华文细黑"/>
                <w:sz w:val="24"/>
              </w:rPr>
            </w:pPr>
          </w:p>
        </w:tc>
      </w:tr>
      <w:tr w14:paraId="58F9DBC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20" w:type="dxa"/>
            <w:noWrap w:val="0"/>
            <w:vAlign w:val="top"/>
          </w:tcPr>
          <w:p w14:paraId="3DBE0BAF">
            <w:pPr>
              <w:spacing w:line="440" w:lineRule="exact"/>
              <w:jc w:val="center"/>
              <w:textAlignment w:val="center"/>
              <w:rPr>
                <w:rFonts w:ascii="华文细黑" w:hAnsi="华文细黑"/>
                <w:sz w:val="24"/>
              </w:rPr>
            </w:pPr>
          </w:p>
        </w:tc>
        <w:tc>
          <w:tcPr>
            <w:tcW w:w="1447" w:type="dxa"/>
            <w:noWrap w:val="0"/>
            <w:vAlign w:val="top"/>
          </w:tcPr>
          <w:p w14:paraId="43A31C1E">
            <w:pPr>
              <w:spacing w:line="440" w:lineRule="exact"/>
              <w:jc w:val="center"/>
              <w:textAlignment w:val="center"/>
              <w:rPr>
                <w:rFonts w:ascii="华文细黑" w:hAnsi="华文细黑"/>
                <w:sz w:val="24"/>
              </w:rPr>
            </w:pPr>
          </w:p>
        </w:tc>
        <w:tc>
          <w:tcPr>
            <w:tcW w:w="1182" w:type="dxa"/>
            <w:noWrap w:val="0"/>
            <w:vAlign w:val="top"/>
          </w:tcPr>
          <w:p w14:paraId="7A6A76EF">
            <w:pPr>
              <w:spacing w:line="440" w:lineRule="exact"/>
              <w:jc w:val="center"/>
              <w:textAlignment w:val="center"/>
              <w:rPr>
                <w:rFonts w:ascii="华文细黑" w:hAnsi="华文细黑"/>
                <w:sz w:val="24"/>
              </w:rPr>
            </w:pPr>
          </w:p>
        </w:tc>
        <w:tc>
          <w:tcPr>
            <w:tcW w:w="1182" w:type="dxa"/>
            <w:noWrap w:val="0"/>
            <w:vAlign w:val="top"/>
          </w:tcPr>
          <w:p w14:paraId="17B9BD5C">
            <w:pPr>
              <w:spacing w:line="440" w:lineRule="exact"/>
              <w:jc w:val="center"/>
              <w:textAlignment w:val="center"/>
              <w:rPr>
                <w:rFonts w:ascii="华文细黑" w:hAnsi="华文细黑"/>
                <w:sz w:val="24"/>
              </w:rPr>
            </w:pPr>
          </w:p>
        </w:tc>
        <w:tc>
          <w:tcPr>
            <w:tcW w:w="1182" w:type="dxa"/>
            <w:noWrap w:val="0"/>
            <w:vAlign w:val="top"/>
          </w:tcPr>
          <w:p w14:paraId="66267B38">
            <w:pPr>
              <w:spacing w:line="440" w:lineRule="exact"/>
              <w:jc w:val="center"/>
              <w:textAlignment w:val="center"/>
              <w:rPr>
                <w:rFonts w:ascii="华文细黑" w:hAnsi="华文细黑"/>
                <w:sz w:val="24"/>
              </w:rPr>
            </w:pPr>
          </w:p>
        </w:tc>
        <w:tc>
          <w:tcPr>
            <w:tcW w:w="1182" w:type="dxa"/>
            <w:noWrap w:val="0"/>
            <w:vAlign w:val="top"/>
          </w:tcPr>
          <w:p w14:paraId="729E72DB">
            <w:pPr>
              <w:spacing w:line="440" w:lineRule="exact"/>
              <w:jc w:val="center"/>
              <w:textAlignment w:val="center"/>
              <w:rPr>
                <w:rFonts w:ascii="华文细黑" w:hAnsi="华文细黑"/>
                <w:sz w:val="24"/>
              </w:rPr>
            </w:pPr>
          </w:p>
        </w:tc>
        <w:tc>
          <w:tcPr>
            <w:tcW w:w="1182" w:type="dxa"/>
            <w:noWrap w:val="0"/>
            <w:vAlign w:val="top"/>
          </w:tcPr>
          <w:p w14:paraId="12EA04A6">
            <w:pPr>
              <w:spacing w:line="440" w:lineRule="exact"/>
              <w:jc w:val="center"/>
              <w:textAlignment w:val="center"/>
              <w:rPr>
                <w:rFonts w:ascii="华文细黑" w:hAnsi="华文细黑"/>
                <w:sz w:val="24"/>
              </w:rPr>
            </w:pPr>
          </w:p>
        </w:tc>
        <w:tc>
          <w:tcPr>
            <w:tcW w:w="1180" w:type="dxa"/>
            <w:noWrap w:val="0"/>
            <w:vAlign w:val="top"/>
          </w:tcPr>
          <w:p w14:paraId="1892774E">
            <w:pPr>
              <w:spacing w:line="440" w:lineRule="exact"/>
              <w:jc w:val="center"/>
              <w:textAlignment w:val="center"/>
              <w:rPr>
                <w:rFonts w:ascii="华文细黑" w:hAnsi="华文细黑"/>
                <w:sz w:val="24"/>
              </w:rPr>
            </w:pPr>
          </w:p>
        </w:tc>
      </w:tr>
      <w:tr w14:paraId="7F1CDE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20" w:type="dxa"/>
            <w:noWrap w:val="0"/>
            <w:vAlign w:val="top"/>
          </w:tcPr>
          <w:p w14:paraId="509D5CE6">
            <w:pPr>
              <w:spacing w:line="440" w:lineRule="exact"/>
              <w:jc w:val="center"/>
              <w:textAlignment w:val="center"/>
              <w:rPr>
                <w:rFonts w:ascii="华文细黑" w:hAnsi="华文细黑"/>
                <w:sz w:val="24"/>
              </w:rPr>
            </w:pPr>
          </w:p>
        </w:tc>
        <w:tc>
          <w:tcPr>
            <w:tcW w:w="1447" w:type="dxa"/>
            <w:noWrap w:val="0"/>
            <w:vAlign w:val="top"/>
          </w:tcPr>
          <w:p w14:paraId="2E29277E">
            <w:pPr>
              <w:spacing w:line="440" w:lineRule="exact"/>
              <w:jc w:val="center"/>
              <w:textAlignment w:val="center"/>
              <w:rPr>
                <w:rFonts w:ascii="华文细黑" w:hAnsi="华文细黑"/>
                <w:sz w:val="24"/>
              </w:rPr>
            </w:pPr>
          </w:p>
        </w:tc>
        <w:tc>
          <w:tcPr>
            <w:tcW w:w="1182" w:type="dxa"/>
            <w:noWrap w:val="0"/>
            <w:vAlign w:val="top"/>
          </w:tcPr>
          <w:p w14:paraId="2319FC1C">
            <w:pPr>
              <w:spacing w:line="440" w:lineRule="exact"/>
              <w:jc w:val="center"/>
              <w:textAlignment w:val="center"/>
              <w:rPr>
                <w:rFonts w:ascii="华文细黑" w:hAnsi="华文细黑"/>
                <w:sz w:val="24"/>
              </w:rPr>
            </w:pPr>
          </w:p>
        </w:tc>
        <w:tc>
          <w:tcPr>
            <w:tcW w:w="1182" w:type="dxa"/>
            <w:noWrap w:val="0"/>
            <w:vAlign w:val="top"/>
          </w:tcPr>
          <w:p w14:paraId="496E909B">
            <w:pPr>
              <w:spacing w:line="440" w:lineRule="exact"/>
              <w:jc w:val="center"/>
              <w:textAlignment w:val="center"/>
              <w:rPr>
                <w:rFonts w:ascii="华文细黑" w:hAnsi="华文细黑"/>
                <w:sz w:val="24"/>
              </w:rPr>
            </w:pPr>
          </w:p>
        </w:tc>
        <w:tc>
          <w:tcPr>
            <w:tcW w:w="1182" w:type="dxa"/>
            <w:noWrap w:val="0"/>
            <w:vAlign w:val="top"/>
          </w:tcPr>
          <w:p w14:paraId="27BBA9E9">
            <w:pPr>
              <w:spacing w:line="440" w:lineRule="exact"/>
              <w:jc w:val="center"/>
              <w:textAlignment w:val="center"/>
              <w:rPr>
                <w:rFonts w:ascii="华文细黑" w:hAnsi="华文细黑"/>
                <w:sz w:val="24"/>
              </w:rPr>
            </w:pPr>
          </w:p>
        </w:tc>
        <w:tc>
          <w:tcPr>
            <w:tcW w:w="1182" w:type="dxa"/>
            <w:noWrap w:val="0"/>
            <w:vAlign w:val="top"/>
          </w:tcPr>
          <w:p w14:paraId="69F61C4D">
            <w:pPr>
              <w:spacing w:line="440" w:lineRule="exact"/>
              <w:jc w:val="center"/>
              <w:textAlignment w:val="center"/>
              <w:rPr>
                <w:rFonts w:ascii="华文细黑" w:hAnsi="华文细黑"/>
                <w:sz w:val="24"/>
              </w:rPr>
            </w:pPr>
          </w:p>
        </w:tc>
        <w:tc>
          <w:tcPr>
            <w:tcW w:w="1182" w:type="dxa"/>
            <w:noWrap w:val="0"/>
            <w:vAlign w:val="top"/>
          </w:tcPr>
          <w:p w14:paraId="55F2A8FE">
            <w:pPr>
              <w:spacing w:line="440" w:lineRule="exact"/>
              <w:jc w:val="center"/>
              <w:textAlignment w:val="center"/>
              <w:rPr>
                <w:rFonts w:ascii="华文细黑" w:hAnsi="华文细黑"/>
                <w:sz w:val="24"/>
              </w:rPr>
            </w:pPr>
          </w:p>
        </w:tc>
        <w:tc>
          <w:tcPr>
            <w:tcW w:w="1180" w:type="dxa"/>
            <w:noWrap w:val="0"/>
            <w:vAlign w:val="top"/>
          </w:tcPr>
          <w:p w14:paraId="12568D36">
            <w:pPr>
              <w:spacing w:line="440" w:lineRule="exact"/>
              <w:jc w:val="center"/>
              <w:textAlignment w:val="center"/>
              <w:rPr>
                <w:rFonts w:ascii="华文细黑" w:hAnsi="华文细黑"/>
                <w:sz w:val="24"/>
              </w:rPr>
            </w:pPr>
          </w:p>
        </w:tc>
      </w:tr>
      <w:tr w14:paraId="4B9E33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20" w:type="dxa"/>
            <w:noWrap w:val="0"/>
            <w:vAlign w:val="top"/>
          </w:tcPr>
          <w:p w14:paraId="443D20D7">
            <w:pPr>
              <w:spacing w:line="440" w:lineRule="exact"/>
              <w:jc w:val="center"/>
              <w:textAlignment w:val="center"/>
              <w:rPr>
                <w:rFonts w:ascii="华文细黑" w:hAnsi="华文细黑"/>
                <w:sz w:val="24"/>
              </w:rPr>
            </w:pPr>
          </w:p>
        </w:tc>
        <w:tc>
          <w:tcPr>
            <w:tcW w:w="1447" w:type="dxa"/>
            <w:noWrap w:val="0"/>
            <w:vAlign w:val="top"/>
          </w:tcPr>
          <w:p w14:paraId="612F4289">
            <w:pPr>
              <w:spacing w:line="440" w:lineRule="exact"/>
              <w:jc w:val="center"/>
              <w:textAlignment w:val="center"/>
              <w:rPr>
                <w:rFonts w:ascii="华文细黑" w:hAnsi="华文细黑"/>
                <w:sz w:val="24"/>
              </w:rPr>
            </w:pPr>
          </w:p>
        </w:tc>
        <w:tc>
          <w:tcPr>
            <w:tcW w:w="1182" w:type="dxa"/>
            <w:noWrap w:val="0"/>
            <w:vAlign w:val="top"/>
          </w:tcPr>
          <w:p w14:paraId="7FB1B784">
            <w:pPr>
              <w:spacing w:line="440" w:lineRule="exact"/>
              <w:jc w:val="center"/>
              <w:textAlignment w:val="center"/>
              <w:rPr>
                <w:rFonts w:ascii="华文细黑" w:hAnsi="华文细黑"/>
                <w:sz w:val="24"/>
              </w:rPr>
            </w:pPr>
          </w:p>
        </w:tc>
        <w:tc>
          <w:tcPr>
            <w:tcW w:w="1182" w:type="dxa"/>
            <w:noWrap w:val="0"/>
            <w:vAlign w:val="top"/>
          </w:tcPr>
          <w:p w14:paraId="2705492A">
            <w:pPr>
              <w:spacing w:line="440" w:lineRule="exact"/>
              <w:jc w:val="center"/>
              <w:textAlignment w:val="center"/>
              <w:rPr>
                <w:rFonts w:ascii="华文细黑" w:hAnsi="华文细黑"/>
                <w:sz w:val="24"/>
              </w:rPr>
            </w:pPr>
          </w:p>
        </w:tc>
        <w:tc>
          <w:tcPr>
            <w:tcW w:w="1182" w:type="dxa"/>
            <w:noWrap w:val="0"/>
            <w:vAlign w:val="top"/>
          </w:tcPr>
          <w:p w14:paraId="0C662D97">
            <w:pPr>
              <w:spacing w:line="440" w:lineRule="exact"/>
              <w:jc w:val="center"/>
              <w:textAlignment w:val="center"/>
              <w:rPr>
                <w:rFonts w:ascii="华文细黑" w:hAnsi="华文细黑"/>
                <w:sz w:val="24"/>
              </w:rPr>
            </w:pPr>
          </w:p>
        </w:tc>
        <w:tc>
          <w:tcPr>
            <w:tcW w:w="1182" w:type="dxa"/>
            <w:noWrap w:val="0"/>
            <w:vAlign w:val="top"/>
          </w:tcPr>
          <w:p w14:paraId="1EC78CFC">
            <w:pPr>
              <w:spacing w:line="440" w:lineRule="exact"/>
              <w:jc w:val="center"/>
              <w:textAlignment w:val="center"/>
              <w:rPr>
                <w:rFonts w:ascii="华文细黑" w:hAnsi="华文细黑"/>
                <w:sz w:val="24"/>
              </w:rPr>
            </w:pPr>
          </w:p>
        </w:tc>
        <w:tc>
          <w:tcPr>
            <w:tcW w:w="1182" w:type="dxa"/>
            <w:noWrap w:val="0"/>
            <w:vAlign w:val="top"/>
          </w:tcPr>
          <w:p w14:paraId="121673D9">
            <w:pPr>
              <w:spacing w:line="440" w:lineRule="exact"/>
              <w:jc w:val="center"/>
              <w:textAlignment w:val="center"/>
              <w:rPr>
                <w:rFonts w:ascii="华文细黑" w:hAnsi="华文细黑"/>
                <w:sz w:val="24"/>
              </w:rPr>
            </w:pPr>
          </w:p>
        </w:tc>
        <w:tc>
          <w:tcPr>
            <w:tcW w:w="1180" w:type="dxa"/>
            <w:noWrap w:val="0"/>
            <w:vAlign w:val="top"/>
          </w:tcPr>
          <w:p w14:paraId="1BF3BB95">
            <w:pPr>
              <w:spacing w:line="440" w:lineRule="exact"/>
              <w:jc w:val="center"/>
              <w:textAlignment w:val="center"/>
              <w:rPr>
                <w:rFonts w:ascii="华文细黑" w:hAnsi="华文细黑"/>
                <w:sz w:val="24"/>
              </w:rPr>
            </w:pPr>
          </w:p>
        </w:tc>
      </w:tr>
      <w:tr w14:paraId="5AF1CB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20" w:type="dxa"/>
            <w:noWrap w:val="0"/>
            <w:vAlign w:val="top"/>
          </w:tcPr>
          <w:p w14:paraId="17F84480">
            <w:pPr>
              <w:spacing w:line="440" w:lineRule="exact"/>
              <w:jc w:val="center"/>
              <w:textAlignment w:val="center"/>
              <w:rPr>
                <w:rFonts w:ascii="华文细黑" w:hAnsi="华文细黑"/>
                <w:sz w:val="24"/>
              </w:rPr>
            </w:pPr>
          </w:p>
        </w:tc>
        <w:tc>
          <w:tcPr>
            <w:tcW w:w="1447" w:type="dxa"/>
            <w:noWrap w:val="0"/>
            <w:vAlign w:val="top"/>
          </w:tcPr>
          <w:p w14:paraId="5B9219B5">
            <w:pPr>
              <w:spacing w:line="440" w:lineRule="exact"/>
              <w:jc w:val="center"/>
              <w:textAlignment w:val="center"/>
              <w:rPr>
                <w:rFonts w:ascii="华文细黑" w:hAnsi="华文细黑"/>
                <w:sz w:val="24"/>
              </w:rPr>
            </w:pPr>
          </w:p>
        </w:tc>
        <w:tc>
          <w:tcPr>
            <w:tcW w:w="1182" w:type="dxa"/>
            <w:noWrap w:val="0"/>
            <w:vAlign w:val="top"/>
          </w:tcPr>
          <w:p w14:paraId="4E0A791A">
            <w:pPr>
              <w:spacing w:line="440" w:lineRule="exact"/>
              <w:jc w:val="center"/>
              <w:textAlignment w:val="center"/>
              <w:rPr>
                <w:rFonts w:ascii="华文细黑" w:hAnsi="华文细黑"/>
                <w:sz w:val="24"/>
              </w:rPr>
            </w:pPr>
          </w:p>
        </w:tc>
        <w:tc>
          <w:tcPr>
            <w:tcW w:w="1182" w:type="dxa"/>
            <w:noWrap w:val="0"/>
            <w:vAlign w:val="top"/>
          </w:tcPr>
          <w:p w14:paraId="5446D125">
            <w:pPr>
              <w:spacing w:line="440" w:lineRule="exact"/>
              <w:jc w:val="center"/>
              <w:textAlignment w:val="center"/>
              <w:rPr>
                <w:rFonts w:ascii="华文细黑" w:hAnsi="华文细黑"/>
                <w:sz w:val="24"/>
              </w:rPr>
            </w:pPr>
          </w:p>
        </w:tc>
        <w:tc>
          <w:tcPr>
            <w:tcW w:w="1182" w:type="dxa"/>
            <w:noWrap w:val="0"/>
            <w:vAlign w:val="top"/>
          </w:tcPr>
          <w:p w14:paraId="4E2F6103">
            <w:pPr>
              <w:spacing w:line="440" w:lineRule="exact"/>
              <w:jc w:val="center"/>
              <w:textAlignment w:val="center"/>
              <w:rPr>
                <w:rFonts w:ascii="华文细黑" w:hAnsi="华文细黑"/>
                <w:sz w:val="24"/>
              </w:rPr>
            </w:pPr>
          </w:p>
        </w:tc>
        <w:tc>
          <w:tcPr>
            <w:tcW w:w="1182" w:type="dxa"/>
            <w:noWrap w:val="0"/>
            <w:vAlign w:val="top"/>
          </w:tcPr>
          <w:p w14:paraId="1AB95835">
            <w:pPr>
              <w:spacing w:line="440" w:lineRule="exact"/>
              <w:jc w:val="center"/>
              <w:textAlignment w:val="center"/>
              <w:rPr>
                <w:rFonts w:ascii="华文细黑" w:hAnsi="华文细黑"/>
                <w:sz w:val="24"/>
              </w:rPr>
            </w:pPr>
          </w:p>
        </w:tc>
        <w:tc>
          <w:tcPr>
            <w:tcW w:w="1182" w:type="dxa"/>
            <w:noWrap w:val="0"/>
            <w:vAlign w:val="top"/>
          </w:tcPr>
          <w:p w14:paraId="103E5442">
            <w:pPr>
              <w:spacing w:line="440" w:lineRule="exact"/>
              <w:jc w:val="center"/>
              <w:textAlignment w:val="center"/>
              <w:rPr>
                <w:rFonts w:ascii="华文细黑" w:hAnsi="华文细黑"/>
                <w:sz w:val="24"/>
              </w:rPr>
            </w:pPr>
          </w:p>
        </w:tc>
        <w:tc>
          <w:tcPr>
            <w:tcW w:w="1180" w:type="dxa"/>
            <w:noWrap w:val="0"/>
            <w:vAlign w:val="top"/>
          </w:tcPr>
          <w:p w14:paraId="44E73E5E">
            <w:pPr>
              <w:spacing w:line="440" w:lineRule="exact"/>
              <w:jc w:val="center"/>
              <w:textAlignment w:val="center"/>
              <w:rPr>
                <w:rFonts w:ascii="华文细黑" w:hAnsi="华文细黑"/>
                <w:sz w:val="24"/>
              </w:rPr>
            </w:pPr>
          </w:p>
        </w:tc>
      </w:tr>
      <w:tr w14:paraId="621112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20" w:type="dxa"/>
            <w:noWrap w:val="0"/>
            <w:vAlign w:val="top"/>
          </w:tcPr>
          <w:p w14:paraId="03243459">
            <w:pPr>
              <w:spacing w:line="440" w:lineRule="exact"/>
              <w:jc w:val="center"/>
              <w:textAlignment w:val="center"/>
              <w:rPr>
                <w:rFonts w:ascii="华文细黑" w:hAnsi="华文细黑"/>
                <w:sz w:val="24"/>
              </w:rPr>
            </w:pPr>
          </w:p>
        </w:tc>
        <w:tc>
          <w:tcPr>
            <w:tcW w:w="1447" w:type="dxa"/>
            <w:noWrap w:val="0"/>
            <w:vAlign w:val="top"/>
          </w:tcPr>
          <w:p w14:paraId="40C0C71B">
            <w:pPr>
              <w:spacing w:line="440" w:lineRule="exact"/>
              <w:jc w:val="center"/>
              <w:textAlignment w:val="center"/>
              <w:rPr>
                <w:rFonts w:ascii="华文细黑" w:hAnsi="华文细黑"/>
                <w:sz w:val="24"/>
              </w:rPr>
            </w:pPr>
          </w:p>
        </w:tc>
        <w:tc>
          <w:tcPr>
            <w:tcW w:w="1182" w:type="dxa"/>
            <w:noWrap w:val="0"/>
            <w:vAlign w:val="top"/>
          </w:tcPr>
          <w:p w14:paraId="71182517">
            <w:pPr>
              <w:spacing w:line="440" w:lineRule="exact"/>
              <w:jc w:val="center"/>
              <w:textAlignment w:val="center"/>
              <w:rPr>
                <w:rFonts w:ascii="华文细黑" w:hAnsi="华文细黑"/>
                <w:sz w:val="24"/>
              </w:rPr>
            </w:pPr>
          </w:p>
        </w:tc>
        <w:tc>
          <w:tcPr>
            <w:tcW w:w="1182" w:type="dxa"/>
            <w:noWrap w:val="0"/>
            <w:vAlign w:val="top"/>
          </w:tcPr>
          <w:p w14:paraId="45C19AF9">
            <w:pPr>
              <w:spacing w:line="440" w:lineRule="exact"/>
              <w:jc w:val="center"/>
              <w:textAlignment w:val="center"/>
              <w:rPr>
                <w:rFonts w:ascii="华文细黑" w:hAnsi="华文细黑"/>
                <w:sz w:val="24"/>
              </w:rPr>
            </w:pPr>
          </w:p>
        </w:tc>
        <w:tc>
          <w:tcPr>
            <w:tcW w:w="1182" w:type="dxa"/>
            <w:noWrap w:val="0"/>
            <w:vAlign w:val="top"/>
          </w:tcPr>
          <w:p w14:paraId="275F0A50">
            <w:pPr>
              <w:spacing w:line="440" w:lineRule="exact"/>
              <w:jc w:val="center"/>
              <w:textAlignment w:val="center"/>
              <w:rPr>
                <w:rFonts w:ascii="华文细黑" w:hAnsi="华文细黑"/>
                <w:sz w:val="24"/>
              </w:rPr>
            </w:pPr>
          </w:p>
        </w:tc>
        <w:tc>
          <w:tcPr>
            <w:tcW w:w="1182" w:type="dxa"/>
            <w:noWrap w:val="0"/>
            <w:vAlign w:val="top"/>
          </w:tcPr>
          <w:p w14:paraId="2108BA08">
            <w:pPr>
              <w:spacing w:line="440" w:lineRule="exact"/>
              <w:jc w:val="center"/>
              <w:textAlignment w:val="center"/>
              <w:rPr>
                <w:rFonts w:ascii="华文细黑" w:hAnsi="华文细黑"/>
                <w:sz w:val="24"/>
              </w:rPr>
            </w:pPr>
          </w:p>
        </w:tc>
        <w:tc>
          <w:tcPr>
            <w:tcW w:w="1182" w:type="dxa"/>
            <w:noWrap w:val="0"/>
            <w:vAlign w:val="top"/>
          </w:tcPr>
          <w:p w14:paraId="762C1590">
            <w:pPr>
              <w:spacing w:line="440" w:lineRule="exact"/>
              <w:jc w:val="center"/>
              <w:textAlignment w:val="center"/>
              <w:rPr>
                <w:rFonts w:ascii="华文细黑" w:hAnsi="华文细黑"/>
                <w:sz w:val="24"/>
              </w:rPr>
            </w:pPr>
          </w:p>
        </w:tc>
        <w:tc>
          <w:tcPr>
            <w:tcW w:w="1180" w:type="dxa"/>
            <w:noWrap w:val="0"/>
            <w:vAlign w:val="top"/>
          </w:tcPr>
          <w:p w14:paraId="2F16052A">
            <w:pPr>
              <w:spacing w:line="440" w:lineRule="exact"/>
              <w:jc w:val="center"/>
              <w:textAlignment w:val="center"/>
              <w:rPr>
                <w:rFonts w:ascii="华文细黑" w:hAnsi="华文细黑"/>
                <w:sz w:val="24"/>
              </w:rPr>
            </w:pPr>
          </w:p>
        </w:tc>
      </w:tr>
    </w:tbl>
    <w:p w14:paraId="0C20D1D0">
      <w:pPr>
        <w:spacing w:line="440" w:lineRule="exact"/>
        <w:rPr>
          <w:rFonts w:eastAsia="黑体"/>
          <w:sz w:val="20"/>
          <w:szCs w:val="20"/>
        </w:rPr>
      </w:pPr>
    </w:p>
    <w:p w14:paraId="398DAF62">
      <w:pPr>
        <w:spacing w:line="440" w:lineRule="exact"/>
        <w:rPr>
          <w:rFonts w:eastAsia="黑体"/>
          <w:sz w:val="20"/>
          <w:szCs w:val="20"/>
        </w:rPr>
      </w:pPr>
    </w:p>
    <w:p w14:paraId="323D5D1D">
      <w:pPr>
        <w:topLinePunct/>
        <w:spacing w:line="440" w:lineRule="exact"/>
        <w:jc w:val="center"/>
        <w:rPr>
          <w:rFonts w:hint="eastAsia"/>
        </w:rPr>
      </w:pPr>
    </w:p>
    <w:p w14:paraId="688AFB45">
      <w:pPr>
        <w:pStyle w:val="87"/>
      </w:pPr>
      <w:bookmarkStart w:id="1594" w:name="_Toc152042589"/>
      <w:bookmarkStart w:id="1595" w:name="_Toc152045800"/>
      <w:bookmarkStart w:id="1596" w:name="_Toc144974868"/>
      <w:bookmarkStart w:id="1597" w:name="_Toc251248805"/>
      <w:bookmarkStart w:id="1598" w:name="_Toc16268403"/>
      <w:bookmarkStart w:id="1599" w:name="_Toc16268914"/>
      <w:bookmarkStart w:id="1600" w:name="_Toc399073557"/>
      <w:bookmarkStart w:id="1601" w:name="_Toc100487598"/>
      <w:r>
        <w:t>附表四：计划开、</w:t>
      </w:r>
      <w:r>
        <w:rPr>
          <w:rFonts w:hint="eastAsia"/>
        </w:rPr>
        <w:t>竣工</w:t>
      </w:r>
      <w:r>
        <w:t>日期和施工进度网络图</w:t>
      </w:r>
      <w:bookmarkEnd w:id="1594"/>
      <w:bookmarkEnd w:id="1595"/>
      <w:bookmarkEnd w:id="1596"/>
      <w:bookmarkEnd w:id="1597"/>
      <w:bookmarkEnd w:id="1598"/>
      <w:bookmarkEnd w:id="1599"/>
      <w:bookmarkEnd w:id="1600"/>
      <w:bookmarkEnd w:id="1601"/>
    </w:p>
    <w:p w14:paraId="024328D0">
      <w:pPr>
        <w:spacing w:line="440" w:lineRule="exact"/>
        <w:rPr>
          <w:rFonts w:eastAsia="黑体"/>
          <w:sz w:val="20"/>
          <w:szCs w:val="20"/>
        </w:rPr>
      </w:pPr>
    </w:p>
    <w:p w14:paraId="65038596">
      <w:pPr>
        <w:spacing w:line="440" w:lineRule="exact"/>
        <w:ind w:firstLine="480" w:firstLineChars="200"/>
        <w:rPr>
          <w:sz w:val="24"/>
        </w:rPr>
      </w:pPr>
      <w:r>
        <w:rPr>
          <w:sz w:val="24"/>
        </w:rPr>
        <w:t>1. 投标人应递交施工进度网络图或施工进度表，说明按招标文件要求的计划工期进行施工的各个关键日期。</w:t>
      </w:r>
    </w:p>
    <w:p w14:paraId="5BA79767">
      <w:pPr>
        <w:spacing w:line="440" w:lineRule="exact"/>
        <w:ind w:firstLine="480" w:firstLineChars="200"/>
        <w:rPr>
          <w:sz w:val="24"/>
        </w:rPr>
      </w:pPr>
      <w:r>
        <w:rPr>
          <w:sz w:val="24"/>
        </w:rPr>
        <w:t>2. 施工进度表可采用网络图（或横道图）表示。</w:t>
      </w:r>
    </w:p>
    <w:p w14:paraId="2DD677AC">
      <w:pPr>
        <w:spacing w:line="440" w:lineRule="exact"/>
        <w:rPr>
          <w:sz w:val="20"/>
          <w:szCs w:val="20"/>
        </w:rPr>
      </w:pPr>
    </w:p>
    <w:p w14:paraId="75A92FF2">
      <w:pPr>
        <w:spacing w:line="440" w:lineRule="exact"/>
        <w:rPr>
          <w:rFonts w:eastAsia="黑体"/>
          <w:sz w:val="20"/>
          <w:szCs w:val="20"/>
        </w:rPr>
      </w:pPr>
    </w:p>
    <w:p w14:paraId="06499701">
      <w:pPr>
        <w:spacing w:line="440" w:lineRule="exact"/>
        <w:rPr>
          <w:rFonts w:hint="eastAsia"/>
        </w:rPr>
      </w:pPr>
      <w:r>
        <w:rPr>
          <w:rFonts w:eastAsia="黑体"/>
          <w:sz w:val="20"/>
          <w:szCs w:val="20"/>
        </w:rPr>
        <w:br w:type="page"/>
      </w:r>
    </w:p>
    <w:p w14:paraId="48341990">
      <w:pPr>
        <w:pStyle w:val="85"/>
        <w:jc w:val="center"/>
        <w:rPr>
          <w:sz w:val="30"/>
          <w:szCs w:val="30"/>
        </w:rPr>
      </w:pPr>
      <w:bookmarkStart w:id="1602" w:name="_Toc100487599"/>
      <w:bookmarkStart w:id="1603" w:name="_Toc144974871"/>
      <w:bookmarkStart w:id="1604" w:name="_Toc152042592"/>
      <w:bookmarkStart w:id="1605" w:name="_Toc152045803"/>
      <w:r>
        <w:rPr>
          <w:rFonts w:hint="eastAsia"/>
          <w:sz w:val="30"/>
          <w:szCs w:val="30"/>
        </w:rPr>
        <w:t>七</w:t>
      </w:r>
      <w:r>
        <w:rPr>
          <w:sz w:val="30"/>
          <w:szCs w:val="30"/>
        </w:rPr>
        <w:t>、项目管理机构</w:t>
      </w:r>
      <w:bookmarkEnd w:id="1602"/>
      <w:bookmarkEnd w:id="1603"/>
      <w:bookmarkEnd w:id="1604"/>
      <w:bookmarkEnd w:id="1605"/>
    </w:p>
    <w:p w14:paraId="27AE2564">
      <w:pPr>
        <w:spacing w:line="440" w:lineRule="exact"/>
        <w:jc w:val="center"/>
        <w:rPr>
          <w:rFonts w:eastAsia="黑体"/>
          <w:sz w:val="23"/>
          <w:szCs w:val="23"/>
        </w:rPr>
      </w:pPr>
    </w:p>
    <w:p w14:paraId="2695D66B">
      <w:pPr>
        <w:pStyle w:val="87"/>
        <w:rPr>
          <w:szCs w:val="23"/>
        </w:rPr>
      </w:pPr>
      <w:bookmarkStart w:id="1606" w:name="_Toc251248809"/>
      <w:bookmarkStart w:id="1607" w:name="_Toc100487600"/>
      <w:bookmarkStart w:id="1608" w:name="_Toc144974872"/>
      <w:bookmarkStart w:id="1609" w:name="_Toc152042593"/>
      <w:bookmarkStart w:id="1610" w:name="_Toc152045804"/>
      <w:r>
        <w:rPr>
          <w:szCs w:val="23"/>
        </w:rPr>
        <w:t>（一）项目管理机构组成表</w:t>
      </w:r>
      <w:bookmarkEnd w:id="1606"/>
      <w:bookmarkEnd w:id="1607"/>
      <w:bookmarkEnd w:id="1608"/>
      <w:bookmarkEnd w:id="1609"/>
      <w:bookmarkEnd w:id="1610"/>
    </w:p>
    <w:p w14:paraId="4040612D">
      <w:pPr>
        <w:spacing w:line="440" w:lineRule="exact"/>
        <w:jc w:val="center"/>
        <w:rPr>
          <w:rFonts w:eastAsia="黑体"/>
          <w:sz w:val="23"/>
          <w:szCs w:val="23"/>
        </w:rPr>
      </w:pPr>
    </w:p>
    <w:tbl>
      <w:tblPr>
        <w:tblStyle w:val="42"/>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20"/>
        <w:gridCol w:w="800"/>
        <w:gridCol w:w="798"/>
        <w:gridCol w:w="1199"/>
        <w:gridCol w:w="798"/>
        <w:gridCol w:w="800"/>
        <w:gridCol w:w="798"/>
        <w:gridCol w:w="2799"/>
        <w:gridCol w:w="745"/>
      </w:tblGrid>
      <w:tr w14:paraId="4EEEE3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20" w:type="dxa"/>
            <w:vMerge w:val="restart"/>
            <w:noWrap w:val="0"/>
            <w:vAlign w:val="center"/>
          </w:tcPr>
          <w:p w14:paraId="673E6469">
            <w:pPr>
              <w:spacing w:line="440" w:lineRule="exact"/>
              <w:jc w:val="center"/>
              <w:textAlignment w:val="center"/>
              <w:rPr>
                <w:rFonts w:ascii="华文细黑" w:hAnsi="华文细黑"/>
                <w:sz w:val="24"/>
              </w:rPr>
            </w:pPr>
            <w:r>
              <w:rPr>
                <w:rFonts w:ascii="华文细黑" w:hAnsi="华文细黑"/>
                <w:sz w:val="24"/>
              </w:rPr>
              <w:t>职务</w:t>
            </w:r>
          </w:p>
        </w:tc>
        <w:tc>
          <w:tcPr>
            <w:tcW w:w="800" w:type="dxa"/>
            <w:vMerge w:val="restart"/>
            <w:noWrap w:val="0"/>
            <w:vAlign w:val="center"/>
          </w:tcPr>
          <w:p w14:paraId="5FCB9601">
            <w:pPr>
              <w:spacing w:line="440" w:lineRule="exact"/>
              <w:jc w:val="center"/>
              <w:textAlignment w:val="center"/>
              <w:rPr>
                <w:rFonts w:ascii="华文细黑" w:hAnsi="华文细黑"/>
                <w:sz w:val="24"/>
              </w:rPr>
            </w:pPr>
            <w:r>
              <w:rPr>
                <w:rFonts w:ascii="华文细黑" w:hAnsi="华文细黑"/>
                <w:sz w:val="24"/>
              </w:rPr>
              <w:t>姓名</w:t>
            </w:r>
          </w:p>
        </w:tc>
        <w:tc>
          <w:tcPr>
            <w:tcW w:w="798" w:type="dxa"/>
            <w:vMerge w:val="restart"/>
            <w:noWrap w:val="0"/>
            <w:vAlign w:val="center"/>
          </w:tcPr>
          <w:p w14:paraId="0D3B422A">
            <w:pPr>
              <w:spacing w:line="440" w:lineRule="exact"/>
              <w:jc w:val="center"/>
              <w:textAlignment w:val="center"/>
              <w:rPr>
                <w:rFonts w:ascii="华文细黑" w:hAnsi="华文细黑"/>
                <w:sz w:val="24"/>
              </w:rPr>
            </w:pPr>
            <w:r>
              <w:rPr>
                <w:rFonts w:ascii="华文细黑" w:hAnsi="华文细黑"/>
                <w:sz w:val="24"/>
              </w:rPr>
              <w:t>职称</w:t>
            </w:r>
          </w:p>
        </w:tc>
        <w:tc>
          <w:tcPr>
            <w:tcW w:w="6394" w:type="dxa"/>
            <w:gridSpan w:val="5"/>
            <w:noWrap w:val="0"/>
            <w:vAlign w:val="center"/>
          </w:tcPr>
          <w:p w14:paraId="1CCFFDF6">
            <w:pPr>
              <w:spacing w:line="440" w:lineRule="exact"/>
              <w:jc w:val="center"/>
              <w:textAlignment w:val="center"/>
              <w:rPr>
                <w:rFonts w:ascii="华文细黑" w:hAnsi="华文细黑"/>
                <w:sz w:val="24"/>
              </w:rPr>
            </w:pPr>
            <w:r>
              <w:rPr>
                <w:rFonts w:ascii="华文细黑" w:hAnsi="华文细黑"/>
                <w:sz w:val="24"/>
              </w:rPr>
              <w:t>执业或职业资格证明</w:t>
            </w:r>
          </w:p>
        </w:tc>
        <w:tc>
          <w:tcPr>
            <w:tcW w:w="745" w:type="dxa"/>
            <w:noWrap w:val="0"/>
            <w:vAlign w:val="center"/>
          </w:tcPr>
          <w:p w14:paraId="63CB3791">
            <w:pPr>
              <w:spacing w:line="440" w:lineRule="exact"/>
              <w:jc w:val="center"/>
              <w:textAlignment w:val="center"/>
              <w:rPr>
                <w:rFonts w:ascii="华文细黑" w:hAnsi="华文细黑"/>
                <w:sz w:val="24"/>
              </w:rPr>
            </w:pPr>
            <w:r>
              <w:rPr>
                <w:rFonts w:ascii="华文细黑" w:hAnsi="华文细黑"/>
                <w:sz w:val="24"/>
              </w:rPr>
              <w:t>备注</w:t>
            </w:r>
          </w:p>
        </w:tc>
      </w:tr>
      <w:tr w14:paraId="3785BF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20" w:type="dxa"/>
            <w:vMerge w:val="continue"/>
            <w:noWrap w:val="0"/>
            <w:vAlign w:val="center"/>
          </w:tcPr>
          <w:p w14:paraId="2E204126">
            <w:pPr>
              <w:spacing w:line="440" w:lineRule="exact"/>
              <w:jc w:val="center"/>
              <w:textAlignment w:val="center"/>
              <w:rPr>
                <w:rFonts w:ascii="华文细黑" w:hAnsi="华文细黑"/>
                <w:sz w:val="24"/>
              </w:rPr>
            </w:pPr>
          </w:p>
        </w:tc>
        <w:tc>
          <w:tcPr>
            <w:tcW w:w="800" w:type="dxa"/>
            <w:vMerge w:val="continue"/>
            <w:noWrap w:val="0"/>
            <w:vAlign w:val="center"/>
          </w:tcPr>
          <w:p w14:paraId="101C75E6">
            <w:pPr>
              <w:spacing w:line="440" w:lineRule="exact"/>
              <w:jc w:val="center"/>
              <w:textAlignment w:val="center"/>
              <w:rPr>
                <w:rFonts w:ascii="华文细黑" w:hAnsi="华文细黑"/>
                <w:sz w:val="24"/>
              </w:rPr>
            </w:pPr>
          </w:p>
        </w:tc>
        <w:tc>
          <w:tcPr>
            <w:tcW w:w="798" w:type="dxa"/>
            <w:vMerge w:val="continue"/>
            <w:noWrap w:val="0"/>
            <w:vAlign w:val="center"/>
          </w:tcPr>
          <w:p w14:paraId="456A3E81">
            <w:pPr>
              <w:spacing w:line="440" w:lineRule="exact"/>
              <w:jc w:val="center"/>
              <w:textAlignment w:val="center"/>
              <w:rPr>
                <w:rFonts w:ascii="华文细黑" w:hAnsi="华文细黑"/>
                <w:sz w:val="24"/>
              </w:rPr>
            </w:pPr>
          </w:p>
        </w:tc>
        <w:tc>
          <w:tcPr>
            <w:tcW w:w="1199" w:type="dxa"/>
            <w:noWrap w:val="0"/>
            <w:vAlign w:val="center"/>
          </w:tcPr>
          <w:p w14:paraId="48216778">
            <w:pPr>
              <w:spacing w:line="440" w:lineRule="exact"/>
              <w:jc w:val="center"/>
              <w:textAlignment w:val="center"/>
              <w:rPr>
                <w:rFonts w:ascii="华文细黑" w:hAnsi="华文细黑"/>
                <w:sz w:val="24"/>
              </w:rPr>
            </w:pPr>
            <w:r>
              <w:rPr>
                <w:rFonts w:ascii="华文细黑" w:hAnsi="华文细黑"/>
                <w:sz w:val="24"/>
              </w:rPr>
              <w:t>证书名称</w:t>
            </w:r>
          </w:p>
        </w:tc>
        <w:tc>
          <w:tcPr>
            <w:tcW w:w="798" w:type="dxa"/>
            <w:noWrap w:val="0"/>
            <w:vAlign w:val="center"/>
          </w:tcPr>
          <w:p w14:paraId="3F656F9B">
            <w:pPr>
              <w:spacing w:line="440" w:lineRule="exact"/>
              <w:jc w:val="center"/>
              <w:textAlignment w:val="center"/>
              <w:rPr>
                <w:rFonts w:ascii="华文细黑" w:hAnsi="华文细黑"/>
                <w:sz w:val="24"/>
              </w:rPr>
            </w:pPr>
            <w:r>
              <w:rPr>
                <w:rFonts w:ascii="华文细黑" w:hAnsi="华文细黑"/>
                <w:sz w:val="24"/>
              </w:rPr>
              <w:t>级别</w:t>
            </w:r>
          </w:p>
        </w:tc>
        <w:tc>
          <w:tcPr>
            <w:tcW w:w="800" w:type="dxa"/>
            <w:noWrap w:val="0"/>
            <w:vAlign w:val="center"/>
          </w:tcPr>
          <w:p w14:paraId="0788EB0E">
            <w:pPr>
              <w:spacing w:line="440" w:lineRule="exact"/>
              <w:jc w:val="center"/>
              <w:textAlignment w:val="center"/>
              <w:rPr>
                <w:rFonts w:ascii="华文细黑" w:hAnsi="华文细黑"/>
                <w:sz w:val="24"/>
              </w:rPr>
            </w:pPr>
            <w:r>
              <w:rPr>
                <w:rFonts w:ascii="华文细黑" w:hAnsi="华文细黑"/>
                <w:sz w:val="24"/>
              </w:rPr>
              <w:t>证号</w:t>
            </w:r>
          </w:p>
        </w:tc>
        <w:tc>
          <w:tcPr>
            <w:tcW w:w="798" w:type="dxa"/>
            <w:noWrap w:val="0"/>
            <w:vAlign w:val="center"/>
          </w:tcPr>
          <w:p w14:paraId="2AF5D52B">
            <w:pPr>
              <w:spacing w:line="440" w:lineRule="exact"/>
              <w:jc w:val="center"/>
              <w:textAlignment w:val="center"/>
              <w:rPr>
                <w:rFonts w:ascii="华文细黑" w:hAnsi="华文细黑"/>
                <w:sz w:val="24"/>
              </w:rPr>
            </w:pPr>
            <w:r>
              <w:rPr>
                <w:rFonts w:ascii="华文细黑" w:hAnsi="华文细黑"/>
                <w:sz w:val="24"/>
              </w:rPr>
              <w:t>专业</w:t>
            </w:r>
          </w:p>
        </w:tc>
        <w:tc>
          <w:tcPr>
            <w:tcW w:w="2799" w:type="dxa"/>
            <w:noWrap w:val="0"/>
            <w:vAlign w:val="center"/>
          </w:tcPr>
          <w:p w14:paraId="5E372A5F">
            <w:pPr>
              <w:spacing w:line="440" w:lineRule="exact"/>
              <w:jc w:val="center"/>
              <w:textAlignment w:val="center"/>
              <w:rPr>
                <w:rFonts w:ascii="华文细黑" w:hAnsi="华文细黑"/>
                <w:sz w:val="24"/>
              </w:rPr>
            </w:pPr>
            <w:r>
              <w:rPr>
                <w:rFonts w:ascii="华文细黑" w:hAnsi="华文细黑"/>
                <w:sz w:val="24"/>
              </w:rPr>
              <w:t>养老保险</w:t>
            </w:r>
          </w:p>
        </w:tc>
        <w:tc>
          <w:tcPr>
            <w:tcW w:w="745" w:type="dxa"/>
            <w:noWrap w:val="0"/>
            <w:vAlign w:val="center"/>
          </w:tcPr>
          <w:p w14:paraId="765C742F">
            <w:pPr>
              <w:spacing w:line="440" w:lineRule="exact"/>
              <w:jc w:val="center"/>
              <w:textAlignment w:val="center"/>
              <w:rPr>
                <w:rFonts w:ascii="华文细黑" w:hAnsi="华文细黑"/>
                <w:sz w:val="24"/>
              </w:rPr>
            </w:pPr>
          </w:p>
        </w:tc>
      </w:tr>
      <w:tr w14:paraId="714C18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20" w:type="dxa"/>
            <w:noWrap w:val="0"/>
            <w:vAlign w:val="center"/>
          </w:tcPr>
          <w:p w14:paraId="094B694D">
            <w:pPr>
              <w:spacing w:line="440" w:lineRule="exact"/>
              <w:jc w:val="center"/>
              <w:textAlignment w:val="center"/>
              <w:rPr>
                <w:rFonts w:ascii="华文细黑" w:hAnsi="华文细黑"/>
                <w:sz w:val="24"/>
              </w:rPr>
            </w:pPr>
          </w:p>
        </w:tc>
        <w:tc>
          <w:tcPr>
            <w:tcW w:w="800" w:type="dxa"/>
            <w:noWrap w:val="0"/>
            <w:vAlign w:val="center"/>
          </w:tcPr>
          <w:p w14:paraId="0197A4BD">
            <w:pPr>
              <w:spacing w:line="440" w:lineRule="exact"/>
              <w:jc w:val="center"/>
              <w:textAlignment w:val="center"/>
              <w:rPr>
                <w:rFonts w:ascii="华文细黑" w:hAnsi="华文细黑"/>
                <w:sz w:val="24"/>
              </w:rPr>
            </w:pPr>
          </w:p>
        </w:tc>
        <w:tc>
          <w:tcPr>
            <w:tcW w:w="798" w:type="dxa"/>
            <w:noWrap w:val="0"/>
            <w:vAlign w:val="center"/>
          </w:tcPr>
          <w:p w14:paraId="78B8B491">
            <w:pPr>
              <w:spacing w:line="440" w:lineRule="exact"/>
              <w:jc w:val="center"/>
              <w:textAlignment w:val="center"/>
              <w:rPr>
                <w:rFonts w:ascii="华文细黑" w:hAnsi="华文细黑"/>
                <w:sz w:val="24"/>
              </w:rPr>
            </w:pPr>
          </w:p>
        </w:tc>
        <w:tc>
          <w:tcPr>
            <w:tcW w:w="1199" w:type="dxa"/>
            <w:noWrap w:val="0"/>
            <w:vAlign w:val="center"/>
          </w:tcPr>
          <w:p w14:paraId="4CC186B1">
            <w:pPr>
              <w:spacing w:line="440" w:lineRule="exact"/>
              <w:jc w:val="center"/>
              <w:textAlignment w:val="center"/>
              <w:rPr>
                <w:rFonts w:ascii="华文细黑" w:hAnsi="华文细黑"/>
                <w:sz w:val="24"/>
              </w:rPr>
            </w:pPr>
          </w:p>
        </w:tc>
        <w:tc>
          <w:tcPr>
            <w:tcW w:w="798" w:type="dxa"/>
            <w:noWrap w:val="0"/>
            <w:vAlign w:val="center"/>
          </w:tcPr>
          <w:p w14:paraId="1059271A">
            <w:pPr>
              <w:spacing w:line="440" w:lineRule="exact"/>
              <w:jc w:val="center"/>
              <w:textAlignment w:val="center"/>
              <w:rPr>
                <w:rFonts w:ascii="华文细黑" w:hAnsi="华文细黑"/>
                <w:sz w:val="24"/>
              </w:rPr>
            </w:pPr>
          </w:p>
        </w:tc>
        <w:tc>
          <w:tcPr>
            <w:tcW w:w="800" w:type="dxa"/>
            <w:noWrap w:val="0"/>
            <w:vAlign w:val="center"/>
          </w:tcPr>
          <w:p w14:paraId="50E2C98B">
            <w:pPr>
              <w:spacing w:line="440" w:lineRule="exact"/>
              <w:jc w:val="center"/>
              <w:textAlignment w:val="center"/>
              <w:rPr>
                <w:rFonts w:ascii="华文细黑" w:hAnsi="华文细黑"/>
                <w:sz w:val="24"/>
              </w:rPr>
            </w:pPr>
          </w:p>
        </w:tc>
        <w:tc>
          <w:tcPr>
            <w:tcW w:w="798" w:type="dxa"/>
            <w:noWrap w:val="0"/>
            <w:vAlign w:val="center"/>
          </w:tcPr>
          <w:p w14:paraId="2AF0E480">
            <w:pPr>
              <w:spacing w:line="440" w:lineRule="exact"/>
              <w:jc w:val="center"/>
              <w:textAlignment w:val="center"/>
              <w:rPr>
                <w:rFonts w:ascii="华文细黑" w:hAnsi="华文细黑"/>
                <w:sz w:val="24"/>
              </w:rPr>
            </w:pPr>
          </w:p>
        </w:tc>
        <w:tc>
          <w:tcPr>
            <w:tcW w:w="2799" w:type="dxa"/>
            <w:noWrap w:val="0"/>
            <w:vAlign w:val="center"/>
          </w:tcPr>
          <w:p w14:paraId="0D8BB5BF">
            <w:pPr>
              <w:spacing w:line="440" w:lineRule="exact"/>
              <w:jc w:val="center"/>
              <w:textAlignment w:val="center"/>
              <w:rPr>
                <w:rFonts w:ascii="华文细黑" w:hAnsi="华文细黑"/>
                <w:sz w:val="24"/>
              </w:rPr>
            </w:pPr>
          </w:p>
        </w:tc>
        <w:tc>
          <w:tcPr>
            <w:tcW w:w="745" w:type="dxa"/>
            <w:noWrap w:val="0"/>
            <w:vAlign w:val="center"/>
          </w:tcPr>
          <w:p w14:paraId="6FE65688">
            <w:pPr>
              <w:spacing w:line="440" w:lineRule="exact"/>
              <w:jc w:val="center"/>
              <w:textAlignment w:val="center"/>
              <w:rPr>
                <w:rFonts w:ascii="华文细黑" w:hAnsi="华文细黑"/>
                <w:sz w:val="24"/>
              </w:rPr>
            </w:pPr>
          </w:p>
        </w:tc>
      </w:tr>
      <w:tr w14:paraId="666BC0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20" w:type="dxa"/>
            <w:noWrap w:val="0"/>
            <w:vAlign w:val="top"/>
          </w:tcPr>
          <w:p w14:paraId="6AA22E6C">
            <w:pPr>
              <w:spacing w:line="440" w:lineRule="exact"/>
              <w:jc w:val="center"/>
              <w:textAlignment w:val="center"/>
              <w:rPr>
                <w:rFonts w:ascii="华文细黑" w:hAnsi="华文细黑"/>
                <w:sz w:val="24"/>
              </w:rPr>
            </w:pPr>
          </w:p>
        </w:tc>
        <w:tc>
          <w:tcPr>
            <w:tcW w:w="800" w:type="dxa"/>
            <w:noWrap w:val="0"/>
            <w:vAlign w:val="top"/>
          </w:tcPr>
          <w:p w14:paraId="079962BE">
            <w:pPr>
              <w:spacing w:line="440" w:lineRule="exact"/>
              <w:jc w:val="center"/>
              <w:textAlignment w:val="center"/>
              <w:rPr>
                <w:rFonts w:ascii="华文细黑" w:hAnsi="华文细黑"/>
                <w:sz w:val="24"/>
              </w:rPr>
            </w:pPr>
          </w:p>
        </w:tc>
        <w:tc>
          <w:tcPr>
            <w:tcW w:w="798" w:type="dxa"/>
            <w:noWrap w:val="0"/>
            <w:vAlign w:val="top"/>
          </w:tcPr>
          <w:p w14:paraId="19743614">
            <w:pPr>
              <w:spacing w:line="440" w:lineRule="exact"/>
              <w:jc w:val="center"/>
              <w:textAlignment w:val="center"/>
              <w:rPr>
                <w:rFonts w:ascii="华文细黑" w:hAnsi="华文细黑"/>
                <w:sz w:val="24"/>
              </w:rPr>
            </w:pPr>
          </w:p>
        </w:tc>
        <w:tc>
          <w:tcPr>
            <w:tcW w:w="1199" w:type="dxa"/>
            <w:noWrap w:val="0"/>
            <w:vAlign w:val="top"/>
          </w:tcPr>
          <w:p w14:paraId="0C73554A">
            <w:pPr>
              <w:spacing w:line="440" w:lineRule="exact"/>
              <w:jc w:val="center"/>
              <w:textAlignment w:val="center"/>
              <w:rPr>
                <w:rFonts w:ascii="华文细黑" w:hAnsi="华文细黑"/>
                <w:sz w:val="24"/>
              </w:rPr>
            </w:pPr>
          </w:p>
        </w:tc>
        <w:tc>
          <w:tcPr>
            <w:tcW w:w="798" w:type="dxa"/>
            <w:noWrap w:val="0"/>
            <w:vAlign w:val="top"/>
          </w:tcPr>
          <w:p w14:paraId="37AC9C92">
            <w:pPr>
              <w:spacing w:line="440" w:lineRule="exact"/>
              <w:jc w:val="center"/>
              <w:textAlignment w:val="center"/>
              <w:rPr>
                <w:rFonts w:ascii="华文细黑" w:hAnsi="华文细黑"/>
                <w:sz w:val="24"/>
              </w:rPr>
            </w:pPr>
          </w:p>
        </w:tc>
        <w:tc>
          <w:tcPr>
            <w:tcW w:w="800" w:type="dxa"/>
            <w:noWrap w:val="0"/>
            <w:vAlign w:val="top"/>
          </w:tcPr>
          <w:p w14:paraId="7DAEACAD">
            <w:pPr>
              <w:spacing w:line="440" w:lineRule="exact"/>
              <w:jc w:val="center"/>
              <w:textAlignment w:val="center"/>
              <w:rPr>
                <w:rFonts w:ascii="华文细黑" w:hAnsi="华文细黑"/>
                <w:sz w:val="24"/>
              </w:rPr>
            </w:pPr>
          </w:p>
        </w:tc>
        <w:tc>
          <w:tcPr>
            <w:tcW w:w="798" w:type="dxa"/>
            <w:noWrap w:val="0"/>
            <w:vAlign w:val="top"/>
          </w:tcPr>
          <w:p w14:paraId="2E769BDA">
            <w:pPr>
              <w:spacing w:line="440" w:lineRule="exact"/>
              <w:jc w:val="center"/>
              <w:textAlignment w:val="center"/>
              <w:rPr>
                <w:rFonts w:ascii="华文细黑" w:hAnsi="华文细黑"/>
                <w:sz w:val="24"/>
              </w:rPr>
            </w:pPr>
          </w:p>
        </w:tc>
        <w:tc>
          <w:tcPr>
            <w:tcW w:w="2799" w:type="dxa"/>
            <w:noWrap w:val="0"/>
            <w:vAlign w:val="top"/>
          </w:tcPr>
          <w:p w14:paraId="7FBD038B">
            <w:pPr>
              <w:spacing w:line="440" w:lineRule="exact"/>
              <w:jc w:val="center"/>
              <w:textAlignment w:val="center"/>
              <w:rPr>
                <w:rFonts w:ascii="华文细黑" w:hAnsi="华文细黑"/>
                <w:sz w:val="24"/>
              </w:rPr>
            </w:pPr>
          </w:p>
        </w:tc>
        <w:tc>
          <w:tcPr>
            <w:tcW w:w="745" w:type="dxa"/>
            <w:noWrap w:val="0"/>
            <w:vAlign w:val="top"/>
          </w:tcPr>
          <w:p w14:paraId="7E4FE9EC">
            <w:pPr>
              <w:spacing w:line="440" w:lineRule="exact"/>
              <w:jc w:val="center"/>
              <w:textAlignment w:val="center"/>
              <w:rPr>
                <w:rFonts w:ascii="华文细黑" w:hAnsi="华文细黑"/>
                <w:sz w:val="24"/>
              </w:rPr>
            </w:pPr>
          </w:p>
        </w:tc>
      </w:tr>
      <w:tr w14:paraId="62C6B4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20" w:type="dxa"/>
            <w:noWrap w:val="0"/>
            <w:vAlign w:val="top"/>
          </w:tcPr>
          <w:p w14:paraId="7FCECD25">
            <w:pPr>
              <w:spacing w:line="440" w:lineRule="exact"/>
              <w:jc w:val="center"/>
              <w:textAlignment w:val="center"/>
              <w:rPr>
                <w:rFonts w:ascii="华文细黑" w:hAnsi="华文细黑"/>
                <w:sz w:val="24"/>
              </w:rPr>
            </w:pPr>
          </w:p>
        </w:tc>
        <w:tc>
          <w:tcPr>
            <w:tcW w:w="800" w:type="dxa"/>
            <w:noWrap w:val="0"/>
            <w:vAlign w:val="top"/>
          </w:tcPr>
          <w:p w14:paraId="4B4C7C83">
            <w:pPr>
              <w:spacing w:line="440" w:lineRule="exact"/>
              <w:jc w:val="center"/>
              <w:textAlignment w:val="center"/>
              <w:rPr>
                <w:rFonts w:ascii="华文细黑" w:hAnsi="华文细黑"/>
                <w:sz w:val="24"/>
              </w:rPr>
            </w:pPr>
          </w:p>
        </w:tc>
        <w:tc>
          <w:tcPr>
            <w:tcW w:w="798" w:type="dxa"/>
            <w:noWrap w:val="0"/>
            <w:vAlign w:val="top"/>
          </w:tcPr>
          <w:p w14:paraId="07CD75BB">
            <w:pPr>
              <w:spacing w:line="440" w:lineRule="exact"/>
              <w:jc w:val="center"/>
              <w:textAlignment w:val="center"/>
              <w:rPr>
                <w:rFonts w:ascii="华文细黑" w:hAnsi="华文细黑"/>
                <w:sz w:val="24"/>
              </w:rPr>
            </w:pPr>
          </w:p>
        </w:tc>
        <w:tc>
          <w:tcPr>
            <w:tcW w:w="1199" w:type="dxa"/>
            <w:noWrap w:val="0"/>
            <w:vAlign w:val="top"/>
          </w:tcPr>
          <w:p w14:paraId="6730F961">
            <w:pPr>
              <w:spacing w:line="440" w:lineRule="exact"/>
              <w:jc w:val="center"/>
              <w:textAlignment w:val="center"/>
              <w:rPr>
                <w:rFonts w:ascii="华文细黑" w:hAnsi="华文细黑"/>
                <w:sz w:val="24"/>
              </w:rPr>
            </w:pPr>
          </w:p>
        </w:tc>
        <w:tc>
          <w:tcPr>
            <w:tcW w:w="798" w:type="dxa"/>
            <w:noWrap w:val="0"/>
            <w:vAlign w:val="top"/>
          </w:tcPr>
          <w:p w14:paraId="2B6535CB">
            <w:pPr>
              <w:spacing w:line="440" w:lineRule="exact"/>
              <w:jc w:val="center"/>
              <w:textAlignment w:val="center"/>
              <w:rPr>
                <w:rFonts w:ascii="华文细黑" w:hAnsi="华文细黑"/>
                <w:sz w:val="24"/>
              </w:rPr>
            </w:pPr>
          </w:p>
        </w:tc>
        <w:tc>
          <w:tcPr>
            <w:tcW w:w="800" w:type="dxa"/>
            <w:noWrap w:val="0"/>
            <w:vAlign w:val="top"/>
          </w:tcPr>
          <w:p w14:paraId="77ECB376">
            <w:pPr>
              <w:spacing w:line="440" w:lineRule="exact"/>
              <w:jc w:val="center"/>
              <w:textAlignment w:val="center"/>
              <w:rPr>
                <w:rFonts w:ascii="华文细黑" w:hAnsi="华文细黑"/>
                <w:sz w:val="24"/>
              </w:rPr>
            </w:pPr>
          </w:p>
        </w:tc>
        <w:tc>
          <w:tcPr>
            <w:tcW w:w="798" w:type="dxa"/>
            <w:noWrap w:val="0"/>
            <w:vAlign w:val="top"/>
          </w:tcPr>
          <w:p w14:paraId="1D80AD0F">
            <w:pPr>
              <w:spacing w:line="440" w:lineRule="exact"/>
              <w:jc w:val="center"/>
              <w:textAlignment w:val="center"/>
              <w:rPr>
                <w:rFonts w:ascii="华文细黑" w:hAnsi="华文细黑"/>
                <w:sz w:val="24"/>
              </w:rPr>
            </w:pPr>
          </w:p>
        </w:tc>
        <w:tc>
          <w:tcPr>
            <w:tcW w:w="2799" w:type="dxa"/>
            <w:noWrap w:val="0"/>
            <w:vAlign w:val="top"/>
          </w:tcPr>
          <w:p w14:paraId="51DD2210">
            <w:pPr>
              <w:spacing w:line="440" w:lineRule="exact"/>
              <w:jc w:val="center"/>
              <w:textAlignment w:val="center"/>
              <w:rPr>
                <w:rFonts w:ascii="华文细黑" w:hAnsi="华文细黑"/>
                <w:sz w:val="24"/>
              </w:rPr>
            </w:pPr>
          </w:p>
        </w:tc>
        <w:tc>
          <w:tcPr>
            <w:tcW w:w="745" w:type="dxa"/>
            <w:noWrap w:val="0"/>
            <w:vAlign w:val="top"/>
          </w:tcPr>
          <w:p w14:paraId="5DBD3230">
            <w:pPr>
              <w:spacing w:line="440" w:lineRule="exact"/>
              <w:jc w:val="center"/>
              <w:textAlignment w:val="center"/>
              <w:rPr>
                <w:rFonts w:ascii="华文细黑" w:hAnsi="华文细黑"/>
                <w:sz w:val="24"/>
              </w:rPr>
            </w:pPr>
          </w:p>
        </w:tc>
      </w:tr>
      <w:tr w14:paraId="64548C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20" w:type="dxa"/>
            <w:noWrap w:val="0"/>
            <w:vAlign w:val="top"/>
          </w:tcPr>
          <w:p w14:paraId="2CE9270A">
            <w:pPr>
              <w:spacing w:line="440" w:lineRule="exact"/>
              <w:jc w:val="center"/>
              <w:textAlignment w:val="center"/>
              <w:rPr>
                <w:rFonts w:ascii="华文细黑" w:hAnsi="华文细黑"/>
                <w:sz w:val="24"/>
              </w:rPr>
            </w:pPr>
          </w:p>
        </w:tc>
        <w:tc>
          <w:tcPr>
            <w:tcW w:w="800" w:type="dxa"/>
            <w:noWrap w:val="0"/>
            <w:vAlign w:val="top"/>
          </w:tcPr>
          <w:p w14:paraId="5E5203A5">
            <w:pPr>
              <w:spacing w:line="440" w:lineRule="exact"/>
              <w:jc w:val="center"/>
              <w:textAlignment w:val="center"/>
              <w:rPr>
                <w:rFonts w:ascii="华文细黑" w:hAnsi="华文细黑"/>
                <w:sz w:val="24"/>
              </w:rPr>
            </w:pPr>
          </w:p>
        </w:tc>
        <w:tc>
          <w:tcPr>
            <w:tcW w:w="798" w:type="dxa"/>
            <w:noWrap w:val="0"/>
            <w:vAlign w:val="top"/>
          </w:tcPr>
          <w:p w14:paraId="761D8ECE">
            <w:pPr>
              <w:spacing w:line="440" w:lineRule="exact"/>
              <w:jc w:val="center"/>
              <w:textAlignment w:val="center"/>
              <w:rPr>
                <w:rFonts w:ascii="华文细黑" w:hAnsi="华文细黑"/>
                <w:sz w:val="24"/>
              </w:rPr>
            </w:pPr>
          </w:p>
        </w:tc>
        <w:tc>
          <w:tcPr>
            <w:tcW w:w="1199" w:type="dxa"/>
            <w:noWrap w:val="0"/>
            <w:vAlign w:val="top"/>
          </w:tcPr>
          <w:p w14:paraId="2419B4FD">
            <w:pPr>
              <w:spacing w:line="440" w:lineRule="exact"/>
              <w:jc w:val="center"/>
              <w:textAlignment w:val="center"/>
              <w:rPr>
                <w:rFonts w:ascii="华文细黑" w:hAnsi="华文细黑"/>
                <w:sz w:val="24"/>
              </w:rPr>
            </w:pPr>
          </w:p>
        </w:tc>
        <w:tc>
          <w:tcPr>
            <w:tcW w:w="798" w:type="dxa"/>
            <w:noWrap w:val="0"/>
            <w:vAlign w:val="top"/>
          </w:tcPr>
          <w:p w14:paraId="012862D9">
            <w:pPr>
              <w:spacing w:line="440" w:lineRule="exact"/>
              <w:jc w:val="center"/>
              <w:textAlignment w:val="center"/>
              <w:rPr>
                <w:rFonts w:ascii="华文细黑" w:hAnsi="华文细黑"/>
                <w:sz w:val="24"/>
              </w:rPr>
            </w:pPr>
          </w:p>
        </w:tc>
        <w:tc>
          <w:tcPr>
            <w:tcW w:w="800" w:type="dxa"/>
            <w:noWrap w:val="0"/>
            <w:vAlign w:val="top"/>
          </w:tcPr>
          <w:p w14:paraId="652296DF">
            <w:pPr>
              <w:spacing w:line="440" w:lineRule="exact"/>
              <w:jc w:val="center"/>
              <w:textAlignment w:val="center"/>
              <w:rPr>
                <w:rFonts w:ascii="华文细黑" w:hAnsi="华文细黑"/>
                <w:sz w:val="24"/>
              </w:rPr>
            </w:pPr>
          </w:p>
        </w:tc>
        <w:tc>
          <w:tcPr>
            <w:tcW w:w="798" w:type="dxa"/>
            <w:noWrap w:val="0"/>
            <w:vAlign w:val="top"/>
          </w:tcPr>
          <w:p w14:paraId="799AB224">
            <w:pPr>
              <w:spacing w:line="440" w:lineRule="exact"/>
              <w:jc w:val="center"/>
              <w:textAlignment w:val="center"/>
              <w:rPr>
                <w:rFonts w:ascii="华文细黑" w:hAnsi="华文细黑"/>
                <w:sz w:val="24"/>
              </w:rPr>
            </w:pPr>
          </w:p>
        </w:tc>
        <w:tc>
          <w:tcPr>
            <w:tcW w:w="2799" w:type="dxa"/>
            <w:noWrap w:val="0"/>
            <w:vAlign w:val="top"/>
          </w:tcPr>
          <w:p w14:paraId="35F2B681">
            <w:pPr>
              <w:spacing w:line="440" w:lineRule="exact"/>
              <w:jc w:val="center"/>
              <w:textAlignment w:val="center"/>
              <w:rPr>
                <w:rFonts w:ascii="华文细黑" w:hAnsi="华文细黑"/>
                <w:sz w:val="24"/>
              </w:rPr>
            </w:pPr>
          </w:p>
        </w:tc>
        <w:tc>
          <w:tcPr>
            <w:tcW w:w="745" w:type="dxa"/>
            <w:noWrap w:val="0"/>
            <w:vAlign w:val="top"/>
          </w:tcPr>
          <w:p w14:paraId="1917A7BC">
            <w:pPr>
              <w:spacing w:line="440" w:lineRule="exact"/>
              <w:jc w:val="center"/>
              <w:textAlignment w:val="center"/>
              <w:rPr>
                <w:rFonts w:ascii="华文细黑" w:hAnsi="华文细黑"/>
                <w:sz w:val="24"/>
              </w:rPr>
            </w:pPr>
          </w:p>
        </w:tc>
      </w:tr>
      <w:tr w14:paraId="128ABD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20" w:type="dxa"/>
            <w:noWrap w:val="0"/>
            <w:vAlign w:val="top"/>
          </w:tcPr>
          <w:p w14:paraId="54C5BE5D">
            <w:pPr>
              <w:spacing w:line="440" w:lineRule="exact"/>
              <w:jc w:val="center"/>
              <w:textAlignment w:val="center"/>
              <w:rPr>
                <w:rFonts w:ascii="华文细黑" w:hAnsi="华文细黑"/>
                <w:sz w:val="24"/>
              </w:rPr>
            </w:pPr>
          </w:p>
        </w:tc>
        <w:tc>
          <w:tcPr>
            <w:tcW w:w="800" w:type="dxa"/>
            <w:noWrap w:val="0"/>
            <w:vAlign w:val="top"/>
          </w:tcPr>
          <w:p w14:paraId="2EF8ABB6">
            <w:pPr>
              <w:spacing w:line="440" w:lineRule="exact"/>
              <w:jc w:val="center"/>
              <w:textAlignment w:val="center"/>
              <w:rPr>
                <w:rFonts w:ascii="华文细黑" w:hAnsi="华文细黑"/>
                <w:sz w:val="24"/>
              </w:rPr>
            </w:pPr>
          </w:p>
        </w:tc>
        <w:tc>
          <w:tcPr>
            <w:tcW w:w="798" w:type="dxa"/>
            <w:noWrap w:val="0"/>
            <w:vAlign w:val="top"/>
          </w:tcPr>
          <w:p w14:paraId="47844D67">
            <w:pPr>
              <w:spacing w:line="440" w:lineRule="exact"/>
              <w:jc w:val="center"/>
              <w:textAlignment w:val="center"/>
              <w:rPr>
                <w:rFonts w:ascii="华文细黑" w:hAnsi="华文细黑"/>
                <w:sz w:val="24"/>
              </w:rPr>
            </w:pPr>
          </w:p>
        </w:tc>
        <w:tc>
          <w:tcPr>
            <w:tcW w:w="1199" w:type="dxa"/>
            <w:noWrap w:val="0"/>
            <w:vAlign w:val="top"/>
          </w:tcPr>
          <w:p w14:paraId="2A339163">
            <w:pPr>
              <w:spacing w:line="440" w:lineRule="exact"/>
              <w:jc w:val="center"/>
              <w:textAlignment w:val="center"/>
              <w:rPr>
                <w:rFonts w:ascii="华文细黑" w:hAnsi="华文细黑"/>
                <w:sz w:val="24"/>
              </w:rPr>
            </w:pPr>
          </w:p>
        </w:tc>
        <w:tc>
          <w:tcPr>
            <w:tcW w:w="798" w:type="dxa"/>
            <w:noWrap w:val="0"/>
            <w:vAlign w:val="top"/>
          </w:tcPr>
          <w:p w14:paraId="729E49F4">
            <w:pPr>
              <w:spacing w:line="440" w:lineRule="exact"/>
              <w:jc w:val="center"/>
              <w:textAlignment w:val="center"/>
              <w:rPr>
                <w:rFonts w:ascii="华文细黑" w:hAnsi="华文细黑"/>
                <w:sz w:val="24"/>
              </w:rPr>
            </w:pPr>
          </w:p>
        </w:tc>
        <w:tc>
          <w:tcPr>
            <w:tcW w:w="800" w:type="dxa"/>
            <w:noWrap w:val="0"/>
            <w:vAlign w:val="top"/>
          </w:tcPr>
          <w:p w14:paraId="2CE9E2D0">
            <w:pPr>
              <w:spacing w:line="440" w:lineRule="exact"/>
              <w:jc w:val="center"/>
              <w:textAlignment w:val="center"/>
              <w:rPr>
                <w:rFonts w:ascii="华文细黑" w:hAnsi="华文细黑"/>
                <w:sz w:val="24"/>
              </w:rPr>
            </w:pPr>
          </w:p>
        </w:tc>
        <w:tc>
          <w:tcPr>
            <w:tcW w:w="798" w:type="dxa"/>
            <w:noWrap w:val="0"/>
            <w:vAlign w:val="top"/>
          </w:tcPr>
          <w:p w14:paraId="1A226965">
            <w:pPr>
              <w:spacing w:line="440" w:lineRule="exact"/>
              <w:jc w:val="center"/>
              <w:textAlignment w:val="center"/>
              <w:rPr>
                <w:rFonts w:ascii="华文细黑" w:hAnsi="华文细黑"/>
                <w:sz w:val="24"/>
              </w:rPr>
            </w:pPr>
          </w:p>
        </w:tc>
        <w:tc>
          <w:tcPr>
            <w:tcW w:w="2799" w:type="dxa"/>
            <w:noWrap w:val="0"/>
            <w:vAlign w:val="top"/>
          </w:tcPr>
          <w:p w14:paraId="4C53671D">
            <w:pPr>
              <w:spacing w:line="440" w:lineRule="exact"/>
              <w:jc w:val="center"/>
              <w:textAlignment w:val="center"/>
              <w:rPr>
                <w:rFonts w:ascii="华文细黑" w:hAnsi="华文细黑"/>
                <w:sz w:val="24"/>
              </w:rPr>
            </w:pPr>
          </w:p>
        </w:tc>
        <w:tc>
          <w:tcPr>
            <w:tcW w:w="745" w:type="dxa"/>
            <w:noWrap w:val="0"/>
            <w:vAlign w:val="top"/>
          </w:tcPr>
          <w:p w14:paraId="47ECF931">
            <w:pPr>
              <w:spacing w:line="440" w:lineRule="exact"/>
              <w:jc w:val="center"/>
              <w:textAlignment w:val="center"/>
              <w:rPr>
                <w:rFonts w:ascii="华文细黑" w:hAnsi="华文细黑"/>
                <w:sz w:val="24"/>
              </w:rPr>
            </w:pPr>
          </w:p>
        </w:tc>
      </w:tr>
      <w:tr w14:paraId="6879C6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20" w:type="dxa"/>
            <w:noWrap w:val="0"/>
            <w:vAlign w:val="top"/>
          </w:tcPr>
          <w:p w14:paraId="7EEF1D7B">
            <w:pPr>
              <w:spacing w:line="440" w:lineRule="exact"/>
              <w:jc w:val="center"/>
              <w:textAlignment w:val="center"/>
              <w:rPr>
                <w:rFonts w:ascii="华文细黑" w:hAnsi="华文细黑"/>
                <w:sz w:val="24"/>
              </w:rPr>
            </w:pPr>
          </w:p>
        </w:tc>
        <w:tc>
          <w:tcPr>
            <w:tcW w:w="800" w:type="dxa"/>
            <w:noWrap w:val="0"/>
            <w:vAlign w:val="top"/>
          </w:tcPr>
          <w:p w14:paraId="1CB5C85F">
            <w:pPr>
              <w:spacing w:line="440" w:lineRule="exact"/>
              <w:jc w:val="center"/>
              <w:textAlignment w:val="center"/>
              <w:rPr>
                <w:rFonts w:ascii="华文细黑" w:hAnsi="华文细黑"/>
                <w:sz w:val="24"/>
              </w:rPr>
            </w:pPr>
          </w:p>
        </w:tc>
        <w:tc>
          <w:tcPr>
            <w:tcW w:w="798" w:type="dxa"/>
            <w:noWrap w:val="0"/>
            <w:vAlign w:val="top"/>
          </w:tcPr>
          <w:p w14:paraId="0A81BA14">
            <w:pPr>
              <w:spacing w:line="440" w:lineRule="exact"/>
              <w:jc w:val="center"/>
              <w:textAlignment w:val="center"/>
              <w:rPr>
                <w:rFonts w:ascii="华文细黑" w:hAnsi="华文细黑"/>
                <w:sz w:val="24"/>
              </w:rPr>
            </w:pPr>
          </w:p>
        </w:tc>
        <w:tc>
          <w:tcPr>
            <w:tcW w:w="1199" w:type="dxa"/>
            <w:noWrap w:val="0"/>
            <w:vAlign w:val="top"/>
          </w:tcPr>
          <w:p w14:paraId="2247FA4D">
            <w:pPr>
              <w:spacing w:line="440" w:lineRule="exact"/>
              <w:jc w:val="center"/>
              <w:textAlignment w:val="center"/>
              <w:rPr>
                <w:rFonts w:ascii="华文细黑" w:hAnsi="华文细黑"/>
                <w:sz w:val="24"/>
              </w:rPr>
            </w:pPr>
          </w:p>
        </w:tc>
        <w:tc>
          <w:tcPr>
            <w:tcW w:w="798" w:type="dxa"/>
            <w:noWrap w:val="0"/>
            <w:vAlign w:val="top"/>
          </w:tcPr>
          <w:p w14:paraId="4B670383">
            <w:pPr>
              <w:spacing w:line="440" w:lineRule="exact"/>
              <w:jc w:val="center"/>
              <w:textAlignment w:val="center"/>
              <w:rPr>
                <w:rFonts w:ascii="华文细黑" w:hAnsi="华文细黑"/>
                <w:sz w:val="24"/>
              </w:rPr>
            </w:pPr>
          </w:p>
        </w:tc>
        <w:tc>
          <w:tcPr>
            <w:tcW w:w="800" w:type="dxa"/>
            <w:noWrap w:val="0"/>
            <w:vAlign w:val="top"/>
          </w:tcPr>
          <w:p w14:paraId="0C0A4EB0">
            <w:pPr>
              <w:spacing w:line="440" w:lineRule="exact"/>
              <w:jc w:val="center"/>
              <w:textAlignment w:val="center"/>
              <w:rPr>
                <w:rFonts w:ascii="华文细黑" w:hAnsi="华文细黑"/>
                <w:sz w:val="24"/>
              </w:rPr>
            </w:pPr>
          </w:p>
        </w:tc>
        <w:tc>
          <w:tcPr>
            <w:tcW w:w="798" w:type="dxa"/>
            <w:noWrap w:val="0"/>
            <w:vAlign w:val="top"/>
          </w:tcPr>
          <w:p w14:paraId="0C67F994">
            <w:pPr>
              <w:spacing w:line="440" w:lineRule="exact"/>
              <w:jc w:val="center"/>
              <w:textAlignment w:val="center"/>
              <w:rPr>
                <w:rFonts w:ascii="华文细黑" w:hAnsi="华文细黑"/>
                <w:sz w:val="24"/>
              </w:rPr>
            </w:pPr>
          </w:p>
        </w:tc>
        <w:tc>
          <w:tcPr>
            <w:tcW w:w="2799" w:type="dxa"/>
            <w:noWrap w:val="0"/>
            <w:vAlign w:val="top"/>
          </w:tcPr>
          <w:p w14:paraId="73E70CB5">
            <w:pPr>
              <w:spacing w:line="440" w:lineRule="exact"/>
              <w:jc w:val="center"/>
              <w:textAlignment w:val="center"/>
              <w:rPr>
                <w:rFonts w:ascii="华文细黑" w:hAnsi="华文细黑"/>
                <w:sz w:val="24"/>
              </w:rPr>
            </w:pPr>
          </w:p>
        </w:tc>
        <w:tc>
          <w:tcPr>
            <w:tcW w:w="745" w:type="dxa"/>
            <w:noWrap w:val="0"/>
            <w:vAlign w:val="top"/>
          </w:tcPr>
          <w:p w14:paraId="7C129BF8">
            <w:pPr>
              <w:spacing w:line="440" w:lineRule="exact"/>
              <w:jc w:val="center"/>
              <w:textAlignment w:val="center"/>
              <w:rPr>
                <w:rFonts w:ascii="华文细黑" w:hAnsi="华文细黑"/>
                <w:sz w:val="24"/>
              </w:rPr>
            </w:pPr>
          </w:p>
        </w:tc>
      </w:tr>
      <w:tr w14:paraId="3BB5B4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20" w:type="dxa"/>
            <w:noWrap w:val="0"/>
            <w:vAlign w:val="top"/>
          </w:tcPr>
          <w:p w14:paraId="75DA8993">
            <w:pPr>
              <w:spacing w:line="440" w:lineRule="exact"/>
              <w:jc w:val="center"/>
              <w:textAlignment w:val="center"/>
              <w:rPr>
                <w:rFonts w:ascii="华文细黑" w:hAnsi="华文细黑"/>
                <w:sz w:val="24"/>
              </w:rPr>
            </w:pPr>
          </w:p>
        </w:tc>
        <w:tc>
          <w:tcPr>
            <w:tcW w:w="800" w:type="dxa"/>
            <w:noWrap w:val="0"/>
            <w:vAlign w:val="top"/>
          </w:tcPr>
          <w:p w14:paraId="01341148">
            <w:pPr>
              <w:spacing w:line="440" w:lineRule="exact"/>
              <w:jc w:val="center"/>
              <w:textAlignment w:val="center"/>
              <w:rPr>
                <w:rFonts w:ascii="华文细黑" w:hAnsi="华文细黑"/>
                <w:sz w:val="24"/>
              </w:rPr>
            </w:pPr>
          </w:p>
        </w:tc>
        <w:tc>
          <w:tcPr>
            <w:tcW w:w="798" w:type="dxa"/>
            <w:noWrap w:val="0"/>
            <w:vAlign w:val="top"/>
          </w:tcPr>
          <w:p w14:paraId="1B376C2F">
            <w:pPr>
              <w:spacing w:line="440" w:lineRule="exact"/>
              <w:jc w:val="center"/>
              <w:textAlignment w:val="center"/>
              <w:rPr>
                <w:rFonts w:ascii="华文细黑" w:hAnsi="华文细黑"/>
                <w:sz w:val="24"/>
              </w:rPr>
            </w:pPr>
          </w:p>
        </w:tc>
        <w:tc>
          <w:tcPr>
            <w:tcW w:w="1199" w:type="dxa"/>
            <w:noWrap w:val="0"/>
            <w:vAlign w:val="top"/>
          </w:tcPr>
          <w:p w14:paraId="2A8F6752">
            <w:pPr>
              <w:spacing w:line="440" w:lineRule="exact"/>
              <w:jc w:val="center"/>
              <w:textAlignment w:val="center"/>
              <w:rPr>
                <w:rFonts w:ascii="华文细黑" w:hAnsi="华文细黑"/>
                <w:sz w:val="24"/>
              </w:rPr>
            </w:pPr>
          </w:p>
        </w:tc>
        <w:tc>
          <w:tcPr>
            <w:tcW w:w="798" w:type="dxa"/>
            <w:noWrap w:val="0"/>
            <w:vAlign w:val="top"/>
          </w:tcPr>
          <w:p w14:paraId="3608F036">
            <w:pPr>
              <w:spacing w:line="440" w:lineRule="exact"/>
              <w:jc w:val="center"/>
              <w:textAlignment w:val="center"/>
              <w:rPr>
                <w:rFonts w:ascii="华文细黑" w:hAnsi="华文细黑"/>
                <w:sz w:val="24"/>
              </w:rPr>
            </w:pPr>
          </w:p>
        </w:tc>
        <w:tc>
          <w:tcPr>
            <w:tcW w:w="800" w:type="dxa"/>
            <w:noWrap w:val="0"/>
            <w:vAlign w:val="top"/>
          </w:tcPr>
          <w:p w14:paraId="38A023BE">
            <w:pPr>
              <w:spacing w:line="440" w:lineRule="exact"/>
              <w:jc w:val="center"/>
              <w:textAlignment w:val="center"/>
              <w:rPr>
                <w:rFonts w:ascii="华文细黑" w:hAnsi="华文细黑"/>
                <w:sz w:val="24"/>
              </w:rPr>
            </w:pPr>
          </w:p>
        </w:tc>
        <w:tc>
          <w:tcPr>
            <w:tcW w:w="798" w:type="dxa"/>
            <w:noWrap w:val="0"/>
            <w:vAlign w:val="top"/>
          </w:tcPr>
          <w:p w14:paraId="3D46E5F2">
            <w:pPr>
              <w:spacing w:line="440" w:lineRule="exact"/>
              <w:jc w:val="center"/>
              <w:textAlignment w:val="center"/>
              <w:rPr>
                <w:rFonts w:ascii="华文细黑" w:hAnsi="华文细黑"/>
                <w:sz w:val="24"/>
              </w:rPr>
            </w:pPr>
          </w:p>
        </w:tc>
        <w:tc>
          <w:tcPr>
            <w:tcW w:w="2799" w:type="dxa"/>
            <w:noWrap w:val="0"/>
            <w:vAlign w:val="top"/>
          </w:tcPr>
          <w:p w14:paraId="2742F525">
            <w:pPr>
              <w:spacing w:line="440" w:lineRule="exact"/>
              <w:jc w:val="center"/>
              <w:textAlignment w:val="center"/>
              <w:rPr>
                <w:rFonts w:ascii="华文细黑" w:hAnsi="华文细黑"/>
                <w:sz w:val="24"/>
              </w:rPr>
            </w:pPr>
          </w:p>
        </w:tc>
        <w:tc>
          <w:tcPr>
            <w:tcW w:w="745" w:type="dxa"/>
            <w:noWrap w:val="0"/>
            <w:vAlign w:val="top"/>
          </w:tcPr>
          <w:p w14:paraId="1F5672C0">
            <w:pPr>
              <w:spacing w:line="440" w:lineRule="exact"/>
              <w:jc w:val="center"/>
              <w:textAlignment w:val="center"/>
              <w:rPr>
                <w:rFonts w:ascii="华文细黑" w:hAnsi="华文细黑"/>
                <w:sz w:val="24"/>
              </w:rPr>
            </w:pPr>
          </w:p>
        </w:tc>
      </w:tr>
      <w:tr w14:paraId="0D1BB4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20" w:type="dxa"/>
            <w:noWrap w:val="0"/>
            <w:vAlign w:val="top"/>
          </w:tcPr>
          <w:p w14:paraId="14A72FEC">
            <w:pPr>
              <w:spacing w:line="440" w:lineRule="exact"/>
              <w:jc w:val="center"/>
              <w:textAlignment w:val="center"/>
              <w:rPr>
                <w:rFonts w:ascii="华文细黑" w:hAnsi="华文细黑"/>
                <w:sz w:val="24"/>
              </w:rPr>
            </w:pPr>
          </w:p>
        </w:tc>
        <w:tc>
          <w:tcPr>
            <w:tcW w:w="800" w:type="dxa"/>
            <w:noWrap w:val="0"/>
            <w:vAlign w:val="top"/>
          </w:tcPr>
          <w:p w14:paraId="7DEA8080">
            <w:pPr>
              <w:spacing w:line="440" w:lineRule="exact"/>
              <w:jc w:val="center"/>
              <w:textAlignment w:val="center"/>
              <w:rPr>
                <w:rFonts w:ascii="华文细黑" w:hAnsi="华文细黑"/>
                <w:sz w:val="24"/>
              </w:rPr>
            </w:pPr>
          </w:p>
        </w:tc>
        <w:tc>
          <w:tcPr>
            <w:tcW w:w="798" w:type="dxa"/>
            <w:noWrap w:val="0"/>
            <w:vAlign w:val="top"/>
          </w:tcPr>
          <w:p w14:paraId="34E860AA">
            <w:pPr>
              <w:spacing w:line="440" w:lineRule="exact"/>
              <w:jc w:val="center"/>
              <w:textAlignment w:val="center"/>
              <w:rPr>
                <w:rFonts w:ascii="华文细黑" w:hAnsi="华文细黑"/>
                <w:sz w:val="24"/>
              </w:rPr>
            </w:pPr>
          </w:p>
        </w:tc>
        <w:tc>
          <w:tcPr>
            <w:tcW w:w="1199" w:type="dxa"/>
            <w:noWrap w:val="0"/>
            <w:vAlign w:val="top"/>
          </w:tcPr>
          <w:p w14:paraId="75D49C18">
            <w:pPr>
              <w:spacing w:line="440" w:lineRule="exact"/>
              <w:jc w:val="center"/>
              <w:textAlignment w:val="center"/>
              <w:rPr>
                <w:rFonts w:ascii="华文细黑" w:hAnsi="华文细黑"/>
                <w:sz w:val="24"/>
              </w:rPr>
            </w:pPr>
          </w:p>
        </w:tc>
        <w:tc>
          <w:tcPr>
            <w:tcW w:w="798" w:type="dxa"/>
            <w:noWrap w:val="0"/>
            <w:vAlign w:val="top"/>
          </w:tcPr>
          <w:p w14:paraId="01F137A8">
            <w:pPr>
              <w:spacing w:line="440" w:lineRule="exact"/>
              <w:jc w:val="center"/>
              <w:textAlignment w:val="center"/>
              <w:rPr>
                <w:rFonts w:ascii="华文细黑" w:hAnsi="华文细黑"/>
                <w:sz w:val="24"/>
              </w:rPr>
            </w:pPr>
          </w:p>
        </w:tc>
        <w:tc>
          <w:tcPr>
            <w:tcW w:w="800" w:type="dxa"/>
            <w:noWrap w:val="0"/>
            <w:vAlign w:val="top"/>
          </w:tcPr>
          <w:p w14:paraId="46F7BEF7">
            <w:pPr>
              <w:spacing w:line="440" w:lineRule="exact"/>
              <w:jc w:val="center"/>
              <w:textAlignment w:val="center"/>
              <w:rPr>
                <w:rFonts w:ascii="华文细黑" w:hAnsi="华文细黑"/>
                <w:sz w:val="24"/>
              </w:rPr>
            </w:pPr>
          </w:p>
        </w:tc>
        <w:tc>
          <w:tcPr>
            <w:tcW w:w="798" w:type="dxa"/>
            <w:noWrap w:val="0"/>
            <w:vAlign w:val="top"/>
          </w:tcPr>
          <w:p w14:paraId="5B05ABE0">
            <w:pPr>
              <w:spacing w:line="440" w:lineRule="exact"/>
              <w:jc w:val="center"/>
              <w:textAlignment w:val="center"/>
              <w:rPr>
                <w:rFonts w:ascii="华文细黑" w:hAnsi="华文细黑"/>
                <w:sz w:val="24"/>
              </w:rPr>
            </w:pPr>
          </w:p>
        </w:tc>
        <w:tc>
          <w:tcPr>
            <w:tcW w:w="2799" w:type="dxa"/>
            <w:noWrap w:val="0"/>
            <w:vAlign w:val="top"/>
          </w:tcPr>
          <w:p w14:paraId="5BCA1B15">
            <w:pPr>
              <w:spacing w:line="440" w:lineRule="exact"/>
              <w:jc w:val="center"/>
              <w:textAlignment w:val="center"/>
              <w:rPr>
                <w:rFonts w:ascii="华文细黑" w:hAnsi="华文细黑"/>
                <w:sz w:val="24"/>
              </w:rPr>
            </w:pPr>
          </w:p>
        </w:tc>
        <w:tc>
          <w:tcPr>
            <w:tcW w:w="745" w:type="dxa"/>
            <w:noWrap w:val="0"/>
            <w:vAlign w:val="top"/>
          </w:tcPr>
          <w:p w14:paraId="41A16174">
            <w:pPr>
              <w:spacing w:line="440" w:lineRule="exact"/>
              <w:jc w:val="center"/>
              <w:textAlignment w:val="center"/>
              <w:rPr>
                <w:rFonts w:ascii="华文细黑" w:hAnsi="华文细黑"/>
                <w:sz w:val="24"/>
              </w:rPr>
            </w:pPr>
          </w:p>
        </w:tc>
      </w:tr>
      <w:tr w14:paraId="143744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20" w:type="dxa"/>
            <w:noWrap w:val="0"/>
            <w:vAlign w:val="top"/>
          </w:tcPr>
          <w:p w14:paraId="2FD3076E">
            <w:pPr>
              <w:spacing w:line="440" w:lineRule="exact"/>
              <w:jc w:val="center"/>
              <w:textAlignment w:val="center"/>
              <w:rPr>
                <w:rFonts w:ascii="华文细黑" w:hAnsi="华文细黑"/>
                <w:sz w:val="24"/>
              </w:rPr>
            </w:pPr>
          </w:p>
        </w:tc>
        <w:tc>
          <w:tcPr>
            <w:tcW w:w="800" w:type="dxa"/>
            <w:noWrap w:val="0"/>
            <w:vAlign w:val="top"/>
          </w:tcPr>
          <w:p w14:paraId="628D4441">
            <w:pPr>
              <w:spacing w:line="440" w:lineRule="exact"/>
              <w:jc w:val="center"/>
              <w:textAlignment w:val="center"/>
              <w:rPr>
                <w:rFonts w:ascii="华文细黑" w:hAnsi="华文细黑"/>
                <w:sz w:val="24"/>
              </w:rPr>
            </w:pPr>
          </w:p>
        </w:tc>
        <w:tc>
          <w:tcPr>
            <w:tcW w:w="798" w:type="dxa"/>
            <w:noWrap w:val="0"/>
            <w:vAlign w:val="top"/>
          </w:tcPr>
          <w:p w14:paraId="2E12700A">
            <w:pPr>
              <w:spacing w:line="440" w:lineRule="exact"/>
              <w:jc w:val="center"/>
              <w:textAlignment w:val="center"/>
              <w:rPr>
                <w:rFonts w:ascii="华文细黑" w:hAnsi="华文细黑"/>
                <w:sz w:val="24"/>
              </w:rPr>
            </w:pPr>
          </w:p>
        </w:tc>
        <w:tc>
          <w:tcPr>
            <w:tcW w:w="1199" w:type="dxa"/>
            <w:noWrap w:val="0"/>
            <w:vAlign w:val="top"/>
          </w:tcPr>
          <w:p w14:paraId="46EC9E43">
            <w:pPr>
              <w:spacing w:line="440" w:lineRule="exact"/>
              <w:jc w:val="center"/>
              <w:textAlignment w:val="center"/>
              <w:rPr>
                <w:rFonts w:ascii="华文细黑" w:hAnsi="华文细黑"/>
                <w:sz w:val="24"/>
              </w:rPr>
            </w:pPr>
          </w:p>
        </w:tc>
        <w:tc>
          <w:tcPr>
            <w:tcW w:w="798" w:type="dxa"/>
            <w:noWrap w:val="0"/>
            <w:vAlign w:val="top"/>
          </w:tcPr>
          <w:p w14:paraId="49BEE1E6">
            <w:pPr>
              <w:spacing w:line="440" w:lineRule="exact"/>
              <w:jc w:val="center"/>
              <w:textAlignment w:val="center"/>
              <w:rPr>
                <w:rFonts w:ascii="华文细黑" w:hAnsi="华文细黑"/>
                <w:sz w:val="24"/>
              </w:rPr>
            </w:pPr>
          </w:p>
        </w:tc>
        <w:tc>
          <w:tcPr>
            <w:tcW w:w="800" w:type="dxa"/>
            <w:noWrap w:val="0"/>
            <w:vAlign w:val="top"/>
          </w:tcPr>
          <w:p w14:paraId="3D99348D">
            <w:pPr>
              <w:spacing w:line="440" w:lineRule="exact"/>
              <w:jc w:val="center"/>
              <w:textAlignment w:val="center"/>
              <w:rPr>
                <w:rFonts w:ascii="华文细黑" w:hAnsi="华文细黑"/>
                <w:sz w:val="24"/>
              </w:rPr>
            </w:pPr>
          </w:p>
        </w:tc>
        <w:tc>
          <w:tcPr>
            <w:tcW w:w="798" w:type="dxa"/>
            <w:noWrap w:val="0"/>
            <w:vAlign w:val="top"/>
          </w:tcPr>
          <w:p w14:paraId="01581ABA">
            <w:pPr>
              <w:spacing w:line="440" w:lineRule="exact"/>
              <w:jc w:val="center"/>
              <w:textAlignment w:val="center"/>
              <w:rPr>
                <w:rFonts w:ascii="华文细黑" w:hAnsi="华文细黑"/>
                <w:sz w:val="24"/>
              </w:rPr>
            </w:pPr>
          </w:p>
        </w:tc>
        <w:tc>
          <w:tcPr>
            <w:tcW w:w="2799" w:type="dxa"/>
            <w:noWrap w:val="0"/>
            <w:vAlign w:val="top"/>
          </w:tcPr>
          <w:p w14:paraId="1AFC0ADB">
            <w:pPr>
              <w:spacing w:line="440" w:lineRule="exact"/>
              <w:jc w:val="center"/>
              <w:textAlignment w:val="center"/>
              <w:rPr>
                <w:rFonts w:ascii="华文细黑" w:hAnsi="华文细黑"/>
                <w:sz w:val="24"/>
              </w:rPr>
            </w:pPr>
          </w:p>
        </w:tc>
        <w:tc>
          <w:tcPr>
            <w:tcW w:w="745" w:type="dxa"/>
            <w:noWrap w:val="0"/>
            <w:vAlign w:val="top"/>
          </w:tcPr>
          <w:p w14:paraId="1AD00E00">
            <w:pPr>
              <w:spacing w:line="440" w:lineRule="exact"/>
              <w:jc w:val="center"/>
              <w:textAlignment w:val="center"/>
              <w:rPr>
                <w:rFonts w:ascii="华文细黑" w:hAnsi="华文细黑"/>
                <w:sz w:val="24"/>
              </w:rPr>
            </w:pPr>
          </w:p>
        </w:tc>
      </w:tr>
      <w:tr w14:paraId="21325D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20" w:type="dxa"/>
            <w:noWrap w:val="0"/>
            <w:vAlign w:val="top"/>
          </w:tcPr>
          <w:p w14:paraId="7CBE93CE">
            <w:pPr>
              <w:spacing w:line="440" w:lineRule="exact"/>
              <w:jc w:val="center"/>
              <w:textAlignment w:val="center"/>
              <w:rPr>
                <w:rFonts w:ascii="华文细黑" w:hAnsi="华文细黑"/>
                <w:sz w:val="24"/>
              </w:rPr>
            </w:pPr>
          </w:p>
        </w:tc>
        <w:tc>
          <w:tcPr>
            <w:tcW w:w="800" w:type="dxa"/>
            <w:noWrap w:val="0"/>
            <w:vAlign w:val="top"/>
          </w:tcPr>
          <w:p w14:paraId="60E7B029">
            <w:pPr>
              <w:spacing w:line="440" w:lineRule="exact"/>
              <w:jc w:val="center"/>
              <w:textAlignment w:val="center"/>
              <w:rPr>
                <w:rFonts w:ascii="华文细黑" w:hAnsi="华文细黑"/>
                <w:sz w:val="24"/>
              </w:rPr>
            </w:pPr>
          </w:p>
        </w:tc>
        <w:tc>
          <w:tcPr>
            <w:tcW w:w="798" w:type="dxa"/>
            <w:noWrap w:val="0"/>
            <w:vAlign w:val="top"/>
          </w:tcPr>
          <w:p w14:paraId="0B646114">
            <w:pPr>
              <w:spacing w:line="440" w:lineRule="exact"/>
              <w:jc w:val="center"/>
              <w:textAlignment w:val="center"/>
              <w:rPr>
                <w:rFonts w:ascii="华文细黑" w:hAnsi="华文细黑"/>
                <w:sz w:val="24"/>
              </w:rPr>
            </w:pPr>
          </w:p>
        </w:tc>
        <w:tc>
          <w:tcPr>
            <w:tcW w:w="1199" w:type="dxa"/>
            <w:noWrap w:val="0"/>
            <w:vAlign w:val="top"/>
          </w:tcPr>
          <w:p w14:paraId="0A9E8ECE">
            <w:pPr>
              <w:spacing w:line="440" w:lineRule="exact"/>
              <w:jc w:val="center"/>
              <w:textAlignment w:val="center"/>
              <w:rPr>
                <w:rFonts w:ascii="华文细黑" w:hAnsi="华文细黑"/>
                <w:sz w:val="24"/>
              </w:rPr>
            </w:pPr>
          </w:p>
        </w:tc>
        <w:tc>
          <w:tcPr>
            <w:tcW w:w="798" w:type="dxa"/>
            <w:noWrap w:val="0"/>
            <w:vAlign w:val="top"/>
          </w:tcPr>
          <w:p w14:paraId="715336D4">
            <w:pPr>
              <w:spacing w:line="440" w:lineRule="exact"/>
              <w:jc w:val="center"/>
              <w:textAlignment w:val="center"/>
              <w:rPr>
                <w:rFonts w:ascii="华文细黑" w:hAnsi="华文细黑"/>
                <w:sz w:val="24"/>
              </w:rPr>
            </w:pPr>
          </w:p>
        </w:tc>
        <w:tc>
          <w:tcPr>
            <w:tcW w:w="800" w:type="dxa"/>
            <w:noWrap w:val="0"/>
            <w:vAlign w:val="top"/>
          </w:tcPr>
          <w:p w14:paraId="4095D2B7">
            <w:pPr>
              <w:spacing w:line="440" w:lineRule="exact"/>
              <w:jc w:val="center"/>
              <w:textAlignment w:val="center"/>
              <w:rPr>
                <w:rFonts w:ascii="华文细黑" w:hAnsi="华文细黑"/>
                <w:sz w:val="24"/>
              </w:rPr>
            </w:pPr>
          </w:p>
        </w:tc>
        <w:tc>
          <w:tcPr>
            <w:tcW w:w="798" w:type="dxa"/>
            <w:noWrap w:val="0"/>
            <w:vAlign w:val="top"/>
          </w:tcPr>
          <w:p w14:paraId="08ED7062">
            <w:pPr>
              <w:spacing w:line="440" w:lineRule="exact"/>
              <w:jc w:val="center"/>
              <w:textAlignment w:val="center"/>
              <w:rPr>
                <w:rFonts w:ascii="华文细黑" w:hAnsi="华文细黑"/>
                <w:sz w:val="24"/>
              </w:rPr>
            </w:pPr>
          </w:p>
        </w:tc>
        <w:tc>
          <w:tcPr>
            <w:tcW w:w="2799" w:type="dxa"/>
            <w:noWrap w:val="0"/>
            <w:vAlign w:val="top"/>
          </w:tcPr>
          <w:p w14:paraId="64412AB8">
            <w:pPr>
              <w:spacing w:line="440" w:lineRule="exact"/>
              <w:jc w:val="center"/>
              <w:textAlignment w:val="center"/>
              <w:rPr>
                <w:rFonts w:ascii="华文细黑" w:hAnsi="华文细黑"/>
                <w:sz w:val="24"/>
              </w:rPr>
            </w:pPr>
          </w:p>
        </w:tc>
        <w:tc>
          <w:tcPr>
            <w:tcW w:w="745" w:type="dxa"/>
            <w:noWrap w:val="0"/>
            <w:vAlign w:val="top"/>
          </w:tcPr>
          <w:p w14:paraId="79A94543">
            <w:pPr>
              <w:spacing w:line="440" w:lineRule="exact"/>
              <w:jc w:val="center"/>
              <w:textAlignment w:val="center"/>
              <w:rPr>
                <w:rFonts w:ascii="华文细黑" w:hAnsi="华文细黑"/>
                <w:sz w:val="24"/>
              </w:rPr>
            </w:pPr>
          </w:p>
        </w:tc>
      </w:tr>
      <w:tr w14:paraId="0B3B94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20" w:type="dxa"/>
            <w:noWrap w:val="0"/>
            <w:vAlign w:val="top"/>
          </w:tcPr>
          <w:p w14:paraId="1F0575E9">
            <w:pPr>
              <w:spacing w:line="440" w:lineRule="exact"/>
              <w:jc w:val="center"/>
              <w:textAlignment w:val="center"/>
              <w:rPr>
                <w:rFonts w:ascii="华文细黑" w:hAnsi="华文细黑"/>
                <w:sz w:val="24"/>
              </w:rPr>
            </w:pPr>
          </w:p>
        </w:tc>
        <w:tc>
          <w:tcPr>
            <w:tcW w:w="800" w:type="dxa"/>
            <w:noWrap w:val="0"/>
            <w:vAlign w:val="top"/>
          </w:tcPr>
          <w:p w14:paraId="23902140">
            <w:pPr>
              <w:spacing w:line="440" w:lineRule="exact"/>
              <w:jc w:val="center"/>
              <w:textAlignment w:val="center"/>
              <w:rPr>
                <w:rFonts w:ascii="华文细黑" w:hAnsi="华文细黑"/>
                <w:sz w:val="24"/>
              </w:rPr>
            </w:pPr>
          </w:p>
        </w:tc>
        <w:tc>
          <w:tcPr>
            <w:tcW w:w="798" w:type="dxa"/>
            <w:noWrap w:val="0"/>
            <w:vAlign w:val="top"/>
          </w:tcPr>
          <w:p w14:paraId="2CFD0075">
            <w:pPr>
              <w:spacing w:line="440" w:lineRule="exact"/>
              <w:jc w:val="center"/>
              <w:textAlignment w:val="center"/>
              <w:rPr>
                <w:rFonts w:ascii="华文细黑" w:hAnsi="华文细黑"/>
                <w:sz w:val="24"/>
              </w:rPr>
            </w:pPr>
          </w:p>
        </w:tc>
        <w:tc>
          <w:tcPr>
            <w:tcW w:w="1199" w:type="dxa"/>
            <w:noWrap w:val="0"/>
            <w:vAlign w:val="top"/>
          </w:tcPr>
          <w:p w14:paraId="287585C8">
            <w:pPr>
              <w:spacing w:line="440" w:lineRule="exact"/>
              <w:jc w:val="center"/>
              <w:textAlignment w:val="center"/>
              <w:rPr>
                <w:rFonts w:ascii="华文细黑" w:hAnsi="华文细黑"/>
                <w:sz w:val="24"/>
              </w:rPr>
            </w:pPr>
          </w:p>
        </w:tc>
        <w:tc>
          <w:tcPr>
            <w:tcW w:w="798" w:type="dxa"/>
            <w:noWrap w:val="0"/>
            <w:vAlign w:val="top"/>
          </w:tcPr>
          <w:p w14:paraId="271DF091">
            <w:pPr>
              <w:spacing w:line="440" w:lineRule="exact"/>
              <w:jc w:val="center"/>
              <w:textAlignment w:val="center"/>
              <w:rPr>
                <w:rFonts w:ascii="华文细黑" w:hAnsi="华文细黑"/>
                <w:sz w:val="24"/>
              </w:rPr>
            </w:pPr>
          </w:p>
        </w:tc>
        <w:tc>
          <w:tcPr>
            <w:tcW w:w="800" w:type="dxa"/>
            <w:noWrap w:val="0"/>
            <w:vAlign w:val="top"/>
          </w:tcPr>
          <w:p w14:paraId="6906AD66">
            <w:pPr>
              <w:spacing w:line="440" w:lineRule="exact"/>
              <w:jc w:val="center"/>
              <w:textAlignment w:val="center"/>
              <w:rPr>
                <w:rFonts w:ascii="华文细黑" w:hAnsi="华文细黑"/>
                <w:sz w:val="24"/>
              </w:rPr>
            </w:pPr>
          </w:p>
        </w:tc>
        <w:tc>
          <w:tcPr>
            <w:tcW w:w="798" w:type="dxa"/>
            <w:noWrap w:val="0"/>
            <w:vAlign w:val="top"/>
          </w:tcPr>
          <w:p w14:paraId="0C4A1F75">
            <w:pPr>
              <w:spacing w:line="440" w:lineRule="exact"/>
              <w:jc w:val="center"/>
              <w:textAlignment w:val="center"/>
              <w:rPr>
                <w:rFonts w:ascii="华文细黑" w:hAnsi="华文细黑"/>
                <w:sz w:val="24"/>
              </w:rPr>
            </w:pPr>
          </w:p>
        </w:tc>
        <w:tc>
          <w:tcPr>
            <w:tcW w:w="2799" w:type="dxa"/>
            <w:noWrap w:val="0"/>
            <w:vAlign w:val="top"/>
          </w:tcPr>
          <w:p w14:paraId="676AD105">
            <w:pPr>
              <w:spacing w:line="440" w:lineRule="exact"/>
              <w:jc w:val="center"/>
              <w:textAlignment w:val="center"/>
              <w:rPr>
                <w:rFonts w:ascii="华文细黑" w:hAnsi="华文细黑"/>
                <w:sz w:val="24"/>
              </w:rPr>
            </w:pPr>
          </w:p>
        </w:tc>
        <w:tc>
          <w:tcPr>
            <w:tcW w:w="745" w:type="dxa"/>
            <w:noWrap w:val="0"/>
            <w:vAlign w:val="top"/>
          </w:tcPr>
          <w:p w14:paraId="4BD863BC">
            <w:pPr>
              <w:spacing w:line="440" w:lineRule="exact"/>
              <w:jc w:val="center"/>
              <w:textAlignment w:val="center"/>
              <w:rPr>
                <w:rFonts w:ascii="华文细黑" w:hAnsi="华文细黑"/>
                <w:sz w:val="24"/>
              </w:rPr>
            </w:pPr>
          </w:p>
        </w:tc>
      </w:tr>
      <w:tr w14:paraId="124FDB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20" w:type="dxa"/>
            <w:noWrap w:val="0"/>
            <w:vAlign w:val="top"/>
          </w:tcPr>
          <w:p w14:paraId="29D55D6D">
            <w:pPr>
              <w:spacing w:line="440" w:lineRule="exact"/>
              <w:jc w:val="center"/>
              <w:textAlignment w:val="center"/>
              <w:rPr>
                <w:rFonts w:ascii="华文细黑" w:hAnsi="华文细黑"/>
                <w:sz w:val="24"/>
              </w:rPr>
            </w:pPr>
          </w:p>
        </w:tc>
        <w:tc>
          <w:tcPr>
            <w:tcW w:w="800" w:type="dxa"/>
            <w:noWrap w:val="0"/>
            <w:vAlign w:val="top"/>
          </w:tcPr>
          <w:p w14:paraId="2E5DBC7A">
            <w:pPr>
              <w:spacing w:line="440" w:lineRule="exact"/>
              <w:jc w:val="center"/>
              <w:textAlignment w:val="center"/>
              <w:rPr>
                <w:rFonts w:ascii="华文细黑" w:hAnsi="华文细黑"/>
                <w:sz w:val="24"/>
              </w:rPr>
            </w:pPr>
          </w:p>
        </w:tc>
        <w:tc>
          <w:tcPr>
            <w:tcW w:w="798" w:type="dxa"/>
            <w:noWrap w:val="0"/>
            <w:vAlign w:val="top"/>
          </w:tcPr>
          <w:p w14:paraId="1FDAD8A3">
            <w:pPr>
              <w:spacing w:line="440" w:lineRule="exact"/>
              <w:jc w:val="center"/>
              <w:textAlignment w:val="center"/>
              <w:rPr>
                <w:rFonts w:ascii="华文细黑" w:hAnsi="华文细黑"/>
                <w:sz w:val="24"/>
              </w:rPr>
            </w:pPr>
          </w:p>
        </w:tc>
        <w:tc>
          <w:tcPr>
            <w:tcW w:w="1199" w:type="dxa"/>
            <w:noWrap w:val="0"/>
            <w:vAlign w:val="top"/>
          </w:tcPr>
          <w:p w14:paraId="7888611B">
            <w:pPr>
              <w:spacing w:line="440" w:lineRule="exact"/>
              <w:jc w:val="center"/>
              <w:textAlignment w:val="center"/>
              <w:rPr>
                <w:rFonts w:ascii="华文细黑" w:hAnsi="华文细黑"/>
                <w:sz w:val="24"/>
              </w:rPr>
            </w:pPr>
          </w:p>
        </w:tc>
        <w:tc>
          <w:tcPr>
            <w:tcW w:w="798" w:type="dxa"/>
            <w:noWrap w:val="0"/>
            <w:vAlign w:val="top"/>
          </w:tcPr>
          <w:p w14:paraId="1D18B1C2">
            <w:pPr>
              <w:spacing w:line="440" w:lineRule="exact"/>
              <w:jc w:val="center"/>
              <w:textAlignment w:val="center"/>
              <w:rPr>
                <w:rFonts w:ascii="华文细黑" w:hAnsi="华文细黑"/>
                <w:sz w:val="24"/>
              </w:rPr>
            </w:pPr>
          </w:p>
        </w:tc>
        <w:tc>
          <w:tcPr>
            <w:tcW w:w="800" w:type="dxa"/>
            <w:noWrap w:val="0"/>
            <w:vAlign w:val="top"/>
          </w:tcPr>
          <w:p w14:paraId="026EBF51">
            <w:pPr>
              <w:spacing w:line="440" w:lineRule="exact"/>
              <w:jc w:val="center"/>
              <w:textAlignment w:val="center"/>
              <w:rPr>
                <w:rFonts w:ascii="华文细黑" w:hAnsi="华文细黑"/>
                <w:sz w:val="24"/>
              </w:rPr>
            </w:pPr>
          </w:p>
        </w:tc>
        <w:tc>
          <w:tcPr>
            <w:tcW w:w="798" w:type="dxa"/>
            <w:noWrap w:val="0"/>
            <w:vAlign w:val="top"/>
          </w:tcPr>
          <w:p w14:paraId="24685DF6">
            <w:pPr>
              <w:spacing w:line="440" w:lineRule="exact"/>
              <w:jc w:val="center"/>
              <w:textAlignment w:val="center"/>
              <w:rPr>
                <w:rFonts w:ascii="华文细黑" w:hAnsi="华文细黑"/>
                <w:sz w:val="24"/>
              </w:rPr>
            </w:pPr>
          </w:p>
        </w:tc>
        <w:tc>
          <w:tcPr>
            <w:tcW w:w="2799" w:type="dxa"/>
            <w:noWrap w:val="0"/>
            <w:vAlign w:val="top"/>
          </w:tcPr>
          <w:p w14:paraId="4F72E018">
            <w:pPr>
              <w:spacing w:line="440" w:lineRule="exact"/>
              <w:jc w:val="center"/>
              <w:textAlignment w:val="center"/>
              <w:rPr>
                <w:rFonts w:ascii="华文细黑" w:hAnsi="华文细黑"/>
                <w:sz w:val="24"/>
              </w:rPr>
            </w:pPr>
          </w:p>
        </w:tc>
        <w:tc>
          <w:tcPr>
            <w:tcW w:w="745" w:type="dxa"/>
            <w:noWrap w:val="0"/>
            <w:vAlign w:val="top"/>
          </w:tcPr>
          <w:p w14:paraId="07565560">
            <w:pPr>
              <w:spacing w:line="440" w:lineRule="exact"/>
              <w:jc w:val="center"/>
              <w:textAlignment w:val="center"/>
              <w:rPr>
                <w:rFonts w:ascii="华文细黑" w:hAnsi="华文细黑"/>
                <w:sz w:val="24"/>
              </w:rPr>
            </w:pPr>
          </w:p>
        </w:tc>
      </w:tr>
      <w:tr w14:paraId="138241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20" w:type="dxa"/>
            <w:noWrap w:val="0"/>
            <w:vAlign w:val="top"/>
          </w:tcPr>
          <w:p w14:paraId="206CAAD5">
            <w:pPr>
              <w:spacing w:line="440" w:lineRule="exact"/>
              <w:jc w:val="center"/>
              <w:textAlignment w:val="center"/>
              <w:rPr>
                <w:rFonts w:ascii="华文细黑" w:hAnsi="华文细黑"/>
                <w:sz w:val="24"/>
              </w:rPr>
            </w:pPr>
          </w:p>
        </w:tc>
        <w:tc>
          <w:tcPr>
            <w:tcW w:w="800" w:type="dxa"/>
            <w:noWrap w:val="0"/>
            <w:vAlign w:val="top"/>
          </w:tcPr>
          <w:p w14:paraId="3ADF7D5B">
            <w:pPr>
              <w:spacing w:line="440" w:lineRule="exact"/>
              <w:jc w:val="center"/>
              <w:textAlignment w:val="center"/>
              <w:rPr>
                <w:rFonts w:ascii="华文细黑" w:hAnsi="华文细黑"/>
                <w:sz w:val="24"/>
              </w:rPr>
            </w:pPr>
          </w:p>
        </w:tc>
        <w:tc>
          <w:tcPr>
            <w:tcW w:w="798" w:type="dxa"/>
            <w:noWrap w:val="0"/>
            <w:vAlign w:val="top"/>
          </w:tcPr>
          <w:p w14:paraId="0E5F8165">
            <w:pPr>
              <w:spacing w:line="440" w:lineRule="exact"/>
              <w:jc w:val="center"/>
              <w:textAlignment w:val="center"/>
              <w:rPr>
                <w:rFonts w:ascii="华文细黑" w:hAnsi="华文细黑"/>
                <w:sz w:val="24"/>
              </w:rPr>
            </w:pPr>
          </w:p>
        </w:tc>
        <w:tc>
          <w:tcPr>
            <w:tcW w:w="1199" w:type="dxa"/>
            <w:noWrap w:val="0"/>
            <w:vAlign w:val="top"/>
          </w:tcPr>
          <w:p w14:paraId="63B0D98F">
            <w:pPr>
              <w:spacing w:line="440" w:lineRule="exact"/>
              <w:jc w:val="center"/>
              <w:textAlignment w:val="center"/>
              <w:rPr>
                <w:rFonts w:ascii="华文细黑" w:hAnsi="华文细黑"/>
                <w:sz w:val="24"/>
              </w:rPr>
            </w:pPr>
          </w:p>
        </w:tc>
        <w:tc>
          <w:tcPr>
            <w:tcW w:w="798" w:type="dxa"/>
            <w:noWrap w:val="0"/>
            <w:vAlign w:val="top"/>
          </w:tcPr>
          <w:p w14:paraId="42B9F0CB">
            <w:pPr>
              <w:spacing w:line="440" w:lineRule="exact"/>
              <w:jc w:val="center"/>
              <w:textAlignment w:val="center"/>
              <w:rPr>
                <w:rFonts w:ascii="华文细黑" w:hAnsi="华文细黑"/>
                <w:sz w:val="24"/>
              </w:rPr>
            </w:pPr>
          </w:p>
        </w:tc>
        <w:tc>
          <w:tcPr>
            <w:tcW w:w="800" w:type="dxa"/>
            <w:noWrap w:val="0"/>
            <w:vAlign w:val="top"/>
          </w:tcPr>
          <w:p w14:paraId="67A4F182">
            <w:pPr>
              <w:spacing w:line="440" w:lineRule="exact"/>
              <w:jc w:val="center"/>
              <w:textAlignment w:val="center"/>
              <w:rPr>
                <w:rFonts w:ascii="华文细黑" w:hAnsi="华文细黑"/>
                <w:sz w:val="24"/>
              </w:rPr>
            </w:pPr>
          </w:p>
        </w:tc>
        <w:tc>
          <w:tcPr>
            <w:tcW w:w="798" w:type="dxa"/>
            <w:noWrap w:val="0"/>
            <w:vAlign w:val="top"/>
          </w:tcPr>
          <w:p w14:paraId="490F55FC">
            <w:pPr>
              <w:spacing w:line="440" w:lineRule="exact"/>
              <w:jc w:val="center"/>
              <w:textAlignment w:val="center"/>
              <w:rPr>
                <w:rFonts w:ascii="华文细黑" w:hAnsi="华文细黑"/>
                <w:sz w:val="24"/>
              </w:rPr>
            </w:pPr>
          </w:p>
        </w:tc>
        <w:tc>
          <w:tcPr>
            <w:tcW w:w="2799" w:type="dxa"/>
            <w:noWrap w:val="0"/>
            <w:vAlign w:val="top"/>
          </w:tcPr>
          <w:p w14:paraId="576AD234">
            <w:pPr>
              <w:spacing w:line="440" w:lineRule="exact"/>
              <w:jc w:val="center"/>
              <w:textAlignment w:val="center"/>
              <w:rPr>
                <w:rFonts w:ascii="华文细黑" w:hAnsi="华文细黑"/>
                <w:sz w:val="24"/>
              </w:rPr>
            </w:pPr>
          </w:p>
        </w:tc>
        <w:tc>
          <w:tcPr>
            <w:tcW w:w="745" w:type="dxa"/>
            <w:noWrap w:val="0"/>
            <w:vAlign w:val="top"/>
          </w:tcPr>
          <w:p w14:paraId="2732C040">
            <w:pPr>
              <w:spacing w:line="440" w:lineRule="exact"/>
              <w:jc w:val="center"/>
              <w:textAlignment w:val="center"/>
              <w:rPr>
                <w:rFonts w:ascii="华文细黑" w:hAnsi="华文细黑"/>
                <w:sz w:val="24"/>
              </w:rPr>
            </w:pPr>
          </w:p>
        </w:tc>
      </w:tr>
      <w:tr w14:paraId="14F67A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20" w:type="dxa"/>
            <w:noWrap w:val="0"/>
            <w:vAlign w:val="top"/>
          </w:tcPr>
          <w:p w14:paraId="26349FE6">
            <w:pPr>
              <w:spacing w:line="440" w:lineRule="exact"/>
              <w:jc w:val="center"/>
              <w:textAlignment w:val="center"/>
              <w:rPr>
                <w:rFonts w:ascii="华文细黑" w:hAnsi="华文细黑"/>
                <w:sz w:val="24"/>
              </w:rPr>
            </w:pPr>
          </w:p>
        </w:tc>
        <w:tc>
          <w:tcPr>
            <w:tcW w:w="800" w:type="dxa"/>
            <w:noWrap w:val="0"/>
            <w:vAlign w:val="top"/>
          </w:tcPr>
          <w:p w14:paraId="6A2D9F24">
            <w:pPr>
              <w:spacing w:line="440" w:lineRule="exact"/>
              <w:jc w:val="center"/>
              <w:textAlignment w:val="center"/>
              <w:rPr>
                <w:rFonts w:ascii="华文细黑" w:hAnsi="华文细黑"/>
                <w:sz w:val="24"/>
              </w:rPr>
            </w:pPr>
          </w:p>
        </w:tc>
        <w:tc>
          <w:tcPr>
            <w:tcW w:w="798" w:type="dxa"/>
            <w:noWrap w:val="0"/>
            <w:vAlign w:val="top"/>
          </w:tcPr>
          <w:p w14:paraId="19BC6093">
            <w:pPr>
              <w:spacing w:line="440" w:lineRule="exact"/>
              <w:jc w:val="center"/>
              <w:textAlignment w:val="center"/>
              <w:rPr>
                <w:rFonts w:ascii="华文细黑" w:hAnsi="华文细黑"/>
                <w:sz w:val="24"/>
              </w:rPr>
            </w:pPr>
          </w:p>
        </w:tc>
        <w:tc>
          <w:tcPr>
            <w:tcW w:w="1199" w:type="dxa"/>
            <w:noWrap w:val="0"/>
            <w:vAlign w:val="top"/>
          </w:tcPr>
          <w:p w14:paraId="46EF0565">
            <w:pPr>
              <w:spacing w:line="440" w:lineRule="exact"/>
              <w:jc w:val="center"/>
              <w:textAlignment w:val="center"/>
              <w:rPr>
                <w:rFonts w:ascii="华文细黑" w:hAnsi="华文细黑"/>
                <w:sz w:val="24"/>
              </w:rPr>
            </w:pPr>
          </w:p>
        </w:tc>
        <w:tc>
          <w:tcPr>
            <w:tcW w:w="798" w:type="dxa"/>
            <w:noWrap w:val="0"/>
            <w:vAlign w:val="top"/>
          </w:tcPr>
          <w:p w14:paraId="7085746E">
            <w:pPr>
              <w:spacing w:line="440" w:lineRule="exact"/>
              <w:jc w:val="center"/>
              <w:textAlignment w:val="center"/>
              <w:rPr>
                <w:rFonts w:ascii="华文细黑" w:hAnsi="华文细黑"/>
                <w:sz w:val="24"/>
              </w:rPr>
            </w:pPr>
          </w:p>
        </w:tc>
        <w:tc>
          <w:tcPr>
            <w:tcW w:w="800" w:type="dxa"/>
            <w:noWrap w:val="0"/>
            <w:vAlign w:val="top"/>
          </w:tcPr>
          <w:p w14:paraId="666A721B">
            <w:pPr>
              <w:spacing w:line="440" w:lineRule="exact"/>
              <w:jc w:val="center"/>
              <w:textAlignment w:val="center"/>
              <w:rPr>
                <w:rFonts w:ascii="华文细黑" w:hAnsi="华文细黑"/>
                <w:sz w:val="24"/>
              </w:rPr>
            </w:pPr>
          </w:p>
        </w:tc>
        <w:tc>
          <w:tcPr>
            <w:tcW w:w="798" w:type="dxa"/>
            <w:noWrap w:val="0"/>
            <w:vAlign w:val="top"/>
          </w:tcPr>
          <w:p w14:paraId="33BE3C29">
            <w:pPr>
              <w:spacing w:line="440" w:lineRule="exact"/>
              <w:jc w:val="center"/>
              <w:textAlignment w:val="center"/>
              <w:rPr>
                <w:rFonts w:ascii="华文细黑" w:hAnsi="华文细黑"/>
                <w:sz w:val="24"/>
              </w:rPr>
            </w:pPr>
          </w:p>
        </w:tc>
        <w:tc>
          <w:tcPr>
            <w:tcW w:w="2799" w:type="dxa"/>
            <w:noWrap w:val="0"/>
            <w:vAlign w:val="top"/>
          </w:tcPr>
          <w:p w14:paraId="4F8CCF7B">
            <w:pPr>
              <w:spacing w:line="440" w:lineRule="exact"/>
              <w:jc w:val="center"/>
              <w:textAlignment w:val="center"/>
              <w:rPr>
                <w:rFonts w:ascii="华文细黑" w:hAnsi="华文细黑"/>
                <w:sz w:val="24"/>
              </w:rPr>
            </w:pPr>
          </w:p>
        </w:tc>
        <w:tc>
          <w:tcPr>
            <w:tcW w:w="745" w:type="dxa"/>
            <w:noWrap w:val="0"/>
            <w:vAlign w:val="top"/>
          </w:tcPr>
          <w:p w14:paraId="23BD0956">
            <w:pPr>
              <w:spacing w:line="440" w:lineRule="exact"/>
              <w:jc w:val="center"/>
              <w:textAlignment w:val="center"/>
              <w:rPr>
                <w:rFonts w:ascii="华文细黑" w:hAnsi="华文细黑"/>
                <w:sz w:val="24"/>
              </w:rPr>
            </w:pPr>
          </w:p>
        </w:tc>
      </w:tr>
      <w:tr w14:paraId="19E56A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20" w:type="dxa"/>
            <w:noWrap w:val="0"/>
            <w:vAlign w:val="top"/>
          </w:tcPr>
          <w:p w14:paraId="40C944CD">
            <w:pPr>
              <w:spacing w:line="440" w:lineRule="exact"/>
              <w:jc w:val="center"/>
              <w:textAlignment w:val="center"/>
              <w:rPr>
                <w:rFonts w:ascii="华文细黑" w:hAnsi="华文细黑"/>
                <w:sz w:val="24"/>
              </w:rPr>
            </w:pPr>
          </w:p>
        </w:tc>
        <w:tc>
          <w:tcPr>
            <w:tcW w:w="800" w:type="dxa"/>
            <w:noWrap w:val="0"/>
            <w:vAlign w:val="top"/>
          </w:tcPr>
          <w:p w14:paraId="2AC616F6">
            <w:pPr>
              <w:spacing w:line="440" w:lineRule="exact"/>
              <w:jc w:val="center"/>
              <w:textAlignment w:val="center"/>
              <w:rPr>
                <w:rFonts w:ascii="华文细黑" w:hAnsi="华文细黑"/>
                <w:sz w:val="24"/>
              </w:rPr>
            </w:pPr>
          </w:p>
        </w:tc>
        <w:tc>
          <w:tcPr>
            <w:tcW w:w="798" w:type="dxa"/>
            <w:noWrap w:val="0"/>
            <w:vAlign w:val="top"/>
          </w:tcPr>
          <w:p w14:paraId="7C544D93">
            <w:pPr>
              <w:spacing w:line="440" w:lineRule="exact"/>
              <w:jc w:val="center"/>
              <w:textAlignment w:val="center"/>
              <w:rPr>
                <w:rFonts w:ascii="华文细黑" w:hAnsi="华文细黑"/>
                <w:sz w:val="24"/>
              </w:rPr>
            </w:pPr>
          </w:p>
        </w:tc>
        <w:tc>
          <w:tcPr>
            <w:tcW w:w="1199" w:type="dxa"/>
            <w:noWrap w:val="0"/>
            <w:vAlign w:val="top"/>
          </w:tcPr>
          <w:p w14:paraId="0DBF62DD">
            <w:pPr>
              <w:spacing w:line="440" w:lineRule="exact"/>
              <w:jc w:val="center"/>
              <w:textAlignment w:val="center"/>
              <w:rPr>
                <w:rFonts w:ascii="华文细黑" w:hAnsi="华文细黑"/>
                <w:sz w:val="24"/>
              </w:rPr>
            </w:pPr>
          </w:p>
        </w:tc>
        <w:tc>
          <w:tcPr>
            <w:tcW w:w="798" w:type="dxa"/>
            <w:noWrap w:val="0"/>
            <w:vAlign w:val="top"/>
          </w:tcPr>
          <w:p w14:paraId="090BCD3F">
            <w:pPr>
              <w:spacing w:line="440" w:lineRule="exact"/>
              <w:jc w:val="center"/>
              <w:textAlignment w:val="center"/>
              <w:rPr>
                <w:rFonts w:ascii="华文细黑" w:hAnsi="华文细黑"/>
                <w:sz w:val="24"/>
              </w:rPr>
            </w:pPr>
          </w:p>
        </w:tc>
        <w:tc>
          <w:tcPr>
            <w:tcW w:w="800" w:type="dxa"/>
            <w:noWrap w:val="0"/>
            <w:vAlign w:val="top"/>
          </w:tcPr>
          <w:p w14:paraId="3F6E2049">
            <w:pPr>
              <w:spacing w:line="440" w:lineRule="exact"/>
              <w:jc w:val="center"/>
              <w:textAlignment w:val="center"/>
              <w:rPr>
                <w:rFonts w:ascii="华文细黑" w:hAnsi="华文细黑"/>
                <w:sz w:val="24"/>
              </w:rPr>
            </w:pPr>
          </w:p>
        </w:tc>
        <w:tc>
          <w:tcPr>
            <w:tcW w:w="798" w:type="dxa"/>
            <w:noWrap w:val="0"/>
            <w:vAlign w:val="top"/>
          </w:tcPr>
          <w:p w14:paraId="5690D615">
            <w:pPr>
              <w:spacing w:line="440" w:lineRule="exact"/>
              <w:jc w:val="center"/>
              <w:textAlignment w:val="center"/>
              <w:rPr>
                <w:rFonts w:ascii="华文细黑" w:hAnsi="华文细黑"/>
                <w:sz w:val="24"/>
              </w:rPr>
            </w:pPr>
          </w:p>
        </w:tc>
        <w:tc>
          <w:tcPr>
            <w:tcW w:w="2799" w:type="dxa"/>
            <w:noWrap w:val="0"/>
            <w:vAlign w:val="top"/>
          </w:tcPr>
          <w:p w14:paraId="2D4532AB">
            <w:pPr>
              <w:spacing w:line="440" w:lineRule="exact"/>
              <w:jc w:val="center"/>
              <w:textAlignment w:val="center"/>
              <w:rPr>
                <w:rFonts w:ascii="华文细黑" w:hAnsi="华文细黑"/>
                <w:sz w:val="24"/>
              </w:rPr>
            </w:pPr>
          </w:p>
        </w:tc>
        <w:tc>
          <w:tcPr>
            <w:tcW w:w="745" w:type="dxa"/>
            <w:noWrap w:val="0"/>
            <w:vAlign w:val="top"/>
          </w:tcPr>
          <w:p w14:paraId="6A68B3EB">
            <w:pPr>
              <w:spacing w:line="440" w:lineRule="exact"/>
              <w:jc w:val="center"/>
              <w:textAlignment w:val="center"/>
              <w:rPr>
                <w:rFonts w:ascii="华文细黑" w:hAnsi="华文细黑"/>
                <w:sz w:val="24"/>
              </w:rPr>
            </w:pPr>
          </w:p>
        </w:tc>
      </w:tr>
      <w:tr w14:paraId="30A766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20" w:type="dxa"/>
            <w:noWrap w:val="0"/>
            <w:vAlign w:val="top"/>
          </w:tcPr>
          <w:p w14:paraId="2B172D1C">
            <w:pPr>
              <w:spacing w:line="440" w:lineRule="exact"/>
              <w:jc w:val="center"/>
              <w:textAlignment w:val="center"/>
              <w:rPr>
                <w:rFonts w:ascii="华文细黑" w:hAnsi="华文细黑"/>
                <w:sz w:val="24"/>
              </w:rPr>
            </w:pPr>
          </w:p>
        </w:tc>
        <w:tc>
          <w:tcPr>
            <w:tcW w:w="800" w:type="dxa"/>
            <w:noWrap w:val="0"/>
            <w:vAlign w:val="top"/>
          </w:tcPr>
          <w:p w14:paraId="00604F08">
            <w:pPr>
              <w:spacing w:line="440" w:lineRule="exact"/>
              <w:jc w:val="center"/>
              <w:textAlignment w:val="center"/>
              <w:rPr>
                <w:rFonts w:ascii="华文细黑" w:hAnsi="华文细黑"/>
                <w:sz w:val="24"/>
              </w:rPr>
            </w:pPr>
          </w:p>
        </w:tc>
        <w:tc>
          <w:tcPr>
            <w:tcW w:w="798" w:type="dxa"/>
            <w:noWrap w:val="0"/>
            <w:vAlign w:val="top"/>
          </w:tcPr>
          <w:p w14:paraId="71BF5F83">
            <w:pPr>
              <w:spacing w:line="440" w:lineRule="exact"/>
              <w:jc w:val="center"/>
              <w:textAlignment w:val="center"/>
              <w:rPr>
                <w:rFonts w:ascii="华文细黑" w:hAnsi="华文细黑"/>
                <w:sz w:val="24"/>
              </w:rPr>
            </w:pPr>
          </w:p>
        </w:tc>
        <w:tc>
          <w:tcPr>
            <w:tcW w:w="1199" w:type="dxa"/>
            <w:noWrap w:val="0"/>
            <w:vAlign w:val="top"/>
          </w:tcPr>
          <w:p w14:paraId="5998B568">
            <w:pPr>
              <w:spacing w:line="440" w:lineRule="exact"/>
              <w:jc w:val="center"/>
              <w:textAlignment w:val="center"/>
              <w:rPr>
                <w:rFonts w:ascii="华文细黑" w:hAnsi="华文细黑"/>
                <w:sz w:val="24"/>
              </w:rPr>
            </w:pPr>
          </w:p>
        </w:tc>
        <w:tc>
          <w:tcPr>
            <w:tcW w:w="798" w:type="dxa"/>
            <w:noWrap w:val="0"/>
            <w:vAlign w:val="top"/>
          </w:tcPr>
          <w:p w14:paraId="5172B824">
            <w:pPr>
              <w:spacing w:line="440" w:lineRule="exact"/>
              <w:jc w:val="center"/>
              <w:textAlignment w:val="center"/>
              <w:rPr>
                <w:rFonts w:ascii="华文细黑" w:hAnsi="华文细黑"/>
                <w:sz w:val="24"/>
              </w:rPr>
            </w:pPr>
          </w:p>
        </w:tc>
        <w:tc>
          <w:tcPr>
            <w:tcW w:w="800" w:type="dxa"/>
            <w:noWrap w:val="0"/>
            <w:vAlign w:val="top"/>
          </w:tcPr>
          <w:p w14:paraId="1B0FF1B3">
            <w:pPr>
              <w:spacing w:line="440" w:lineRule="exact"/>
              <w:jc w:val="center"/>
              <w:textAlignment w:val="center"/>
              <w:rPr>
                <w:rFonts w:ascii="华文细黑" w:hAnsi="华文细黑"/>
                <w:sz w:val="24"/>
              </w:rPr>
            </w:pPr>
          </w:p>
        </w:tc>
        <w:tc>
          <w:tcPr>
            <w:tcW w:w="798" w:type="dxa"/>
            <w:noWrap w:val="0"/>
            <w:vAlign w:val="top"/>
          </w:tcPr>
          <w:p w14:paraId="0E2D2778">
            <w:pPr>
              <w:spacing w:line="440" w:lineRule="exact"/>
              <w:jc w:val="center"/>
              <w:textAlignment w:val="center"/>
              <w:rPr>
                <w:rFonts w:ascii="华文细黑" w:hAnsi="华文细黑"/>
                <w:sz w:val="24"/>
              </w:rPr>
            </w:pPr>
          </w:p>
        </w:tc>
        <w:tc>
          <w:tcPr>
            <w:tcW w:w="2799" w:type="dxa"/>
            <w:noWrap w:val="0"/>
            <w:vAlign w:val="top"/>
          </w:tcPr>
          <w:p w14:paraId="6FE6473F">
            <w:pPr>
              <w:spacing w:line="440" w:lineRule="exact"/>
              <w:jc w:val="center"/>
              <w:textAlignment w:val="center"/>
              <w:rPr>
                <w:rFonts w:ascii="华文细黑" w:hAnsi="华文细黑"/>
                <w:sz w:val="24"/>
              </w:rPr>
            </w:pPr>
          </w:p>
        </w:tc>
        <w:tc>
          <w:tcPr>
            <w:tcW w:w="745" w:type="dxa"/>
            <w:noWrap w:val="0"/>
            <w:vAlign w:val="top"/>
          </w:tcPr>
          <w:p w14:paraId="3EBD00BA">
            <w:pPr>
              <w:spacing w:line="440" w:lineRule="exact"/>
              <w:jc w:val="center"/>
              <w:textAlignment w:val="center"/>
              <w:rPr>
                <w:rFonts w:ascii="华文细黑" w:hAnsi="华文细黑"/>
                <w:sz w:val="24"/>
              </w:rPr>
            </w:pPr>
          </w:p>
        </w:tc>
      </w:tr>
      <w:tr w14:paraId="5A5D35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20" w:type="dxa"/>
            <w:noWrap w:val="0"/>
            <w:vAlign w:val="top"/>
          </w:tcPr>
          <w:p w14:paraId="23DEDB40">
            <w:pPr>
              <w:spacing w:line="440" w:lineRule="exact"/>
              <w:jc w:val="center"/>
              <w:textAlignment w:val="center"/>
              <w:rPr>
                <w:rFonts w:ascii="华文细黑" w:hAnsi="华文细黑"/>
                <w:sz w:val="24"/>
              </w:rPr>
            </w:pPr>
          </w:p>
        </w:tc>
        <w:tc>
          <w:tcPr>
            <w:tcW w:w="800" w:type="dxa"/>
            <w:noWrap w:val="0"/>
            <w:vAlign w:val="top"/>
          </w:tcPr>
          <w:p w14:paraId="6C2B0067">
            <w:pPr>
              <w:spacing w:line="440" w:lineRule="exact"/>
              <w:jc w:val="center"/>
              <w:textAlignment w:val="center"/>
              <w:rPr>
                <w:rFonts w:ascii="华文细黑" w:hAnsi="华文细黑"/>
                <w:sz w:val="24"/>
              </w:rPr>
            </w:pPr>
          </w:p>
        </w:tc>
        <w:tc>
          <w:tcPr>
            <w:tcW w:w="798" w:type="dxa"/>
            <w:noWrap w:val="0"/>
            <w:vAlign w:val="top"/>
          </w:tcPr>
          <w:p w14:paraId="22A3BE97">
            <w:pPr>
              <w:spacing w:line="440" w:lineRule="exact"/>
              <w:jc w:val="center"/>
              <w:textAlignment w:val="center"/>
              <w:rPr>
                <w:rFonts w:ascii="华文细黑" w:hAnsi="华文细黑"/>
                <w:sz w:val="24"/>
              </w:rPr>
            </w:pPr>
          </w:p>
        </w:tc>
        <w:tc>
          <w:tcPr>
            <w:tcW w:w="1199" w:type="dxa"/>
            <w:noWrap w:val="0"/>
            <w:vAlign w:val="top"/>
          </w:tcPr>
          <w:p w14:paraId="0D25B054">
            <w:pPr>
              <w:spacing w:line="440" w:lineRule="exact"/>
              <w:jc w:val="center"/>
              <w:textAlignment w:val="center"/>
              <w:rPr>
                <w:rFonts w:ascii="华文细黑" w:hAnsi="华文细黑"/>
                <w:sz w:val="24"/>
              </w:rPr>
            </w:pPr>
          </w:p>
        </w:tc>
        <w:tc>
          <w:tcPr>
            <w:tcW w:w="798" w:type="dxa"/>
            <w:noWrap w:val="0"/>
            <w:vAlign w:val="top"/>
          </w:tcPr>
          <w:p w14:paraId="52971229">
            <w:pPr>
              <w:spacing w:line="440" w:lineRule="exact"/>
              <w:jc w:val="center"/>
              <w:textAlignment w:val="center"/>
              <w:rPr>
                <w:rFonts w:ascii="华文细黑" w:hAnsi="华文细黑"/>
                <w:sz w:val="24"/>
              </w:rPr>
            </w:pPr>
          </w:p>
        </w:tc>
        <w:tc>
          <w:tcPr>
            <w:tcW w:w="800" w:type="dxa"/>
            <w:noWrap w:val="0"/>
            <w:vAlign w:val="top"/>
          </w:tcPr>
          <w:p w14:paraId="445A44E1">
            <w:pPr>
              <w:spacing w:line="440" w:lineRule="exact"/>
              <w:jc w:val="center"/>
              <w:textAlignment w:val="center"/>
              <w:rPr>
                <w:rFonts w:ascii="华文细黑" w:hAnsi="华文细黑"/>
                <w:sz w:val="24"/>
              </w:rPr>
            </w:pPr>
          </w:p>
        </w:tc>
        <w:tc>
          <w:tcPr>
            <w:tcW w:w="798" w:type="dxa"/>
            <w:noWrap w:val="0"/>
            <w:vAlign w:val="top"/>
          </w:tcPr>
          <w:p w14:paraId="0FC0000F">
            <w:pPr>
              <w:spacing w:line="440" w:lineRule="exact"/>
              <w:jc w:val="center"/>
              <w:textAlignment w:val="center"/>
              <w:rPr>
                <w:rFonts w:ascii="华文细黑" w:hAnsi="华文细黑"/>
                <w:sz w:val="24"/>
              </w:rPr>
            </w:pPr>
          </w:p>
        </w:tc>
        <w:tc>
          <w:tcPr>
            <w:tcW w:w="2799" w:type="dxa"/>
            <w:noWrap w:val="0"/>
            <w:vAlign w:val="top"/>
          </w:tcPr>
          <w:p w14:paraId="5EB29263">
            <w:pPr>
              <w:spacing w:line="440" w:lineRule="exact"/>
              <w:jc w:val="center"/>
              <w:textAlignment w:val="center"/>
              <w:rPr>
                <w:rFonts w:ascii="华文细黑" w:hAnsi="华文细黑"/>
                <w:sz w:val="24"/>
              </w:rPr>
            </w:pPr>
          </w:p>
        </w:tc>
        <w:tc>
          <w:tcPr>
            <w:tcW w:w="745" w:type="dxa"/>
            <w:noWrap w:val="0"/>
            <w:vAlign w:val="top"/>
          </w:tcPr>
          <w:p w14:paraId="61C69637">
            <w:pPr>
              <w:spacing w:line="440" w:lineRule="exact"/>
              <w:jc w:val="center"/>
              <w:textAlignment w:val="center"/>
              <w:rPr>
                <w:rFonts w:ascii="华文细黑" w:hAnsi="华文细黑"/>
                <w:sz w:val="24"/>
              </w:rPr>
            </w:pPr>
          </w:p>
        </w:tc>
      </w:tr>
      <w:tr w14:paraId="293697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20" w:type="dxa"/>
            <w:noWrap w:val="0"/>
            <w:vAlign w:val="top"/>
          </w:tcPr>
          <w:p w14:paraId="39112396">
            <w:pPr>
              <w:spacing w:line="440" w:lineRule="exact"/>
              <w:jc w:val="center"/>
              <w:textAlignment w:val="center"/>
              <w:rPr>
                <w:rFonts w:ascii="华文细黑" w:hAnsi="华文细黑"/>
                <w:sz w:val="24"/>
              </w:rPr>
            </w:pPr>
          </w:p>
        </w:tc>
        <w:tc>
          <w:tcPr>
            <w:tcW w:w="800" w:type="dxa"/>
            <w:noWrap w:val="0"/>
            <w:vAlign w:val="top"/>
          </w:tcPr>
          <w:p w14:paraId="76DCD710">
            <w:pPr>
              <w:spacing w:line="440" w:lineRule="exact"/>
              <w:jc w:val="center"/>
              <w:textAlignment w:val="center"/>
              <w:rPr>
                <w:rFonts w:ascii="华文细黑" w:hAnsi="华文细黑"/>
                <w:sz w:val="24"/>
              </w:rPr>
            </w:pPr>
          </w:p>
        </w:tc>
        <w:tc>
          <w:tcPr>
            <w:tcW w:w="798" w:type="dxa"/>
            <w:noWrap w:val="0"/>
            <w:vAlign w:val="top"/>
          </w:tcPr>
          <w:p w14:paraId="0BB54067">
            <w:pPr>
              <w:spacing w:line="440" w:lineRule="exact"/>
              <w:jc w:val="center"/>
              <w:textAlignment w:val="center"/>
              <w:rPr>
                <w:rFonts w:ascii="华文细黑" w:hAnsi="华文细黑"/>
                <w:sz w:val="24"/>
              </w:rPr>
            </w:pPr>
          </w:p>
        </w:tc>
        <w:tc>
          <w:tcPr>
            <w:tcW w:w="1199" w:type="dxa"/>
            <w:noWrap w:val="0"/>
            <w:vAlign w:val="top"/>
          </w:tcPr>
          <w:p w14:paraId="3BAD2EC3">
            <w:pPr>
              <w:spacing w:line="440" w:lineRule="exact"/>
              <w:jc w:val="center"/>
              <w:textAlignment w:val="center"/>
              <w:rPr>
                <w:rFonts w:ascii="华文细黑" w:hAnsi="华文细黑"/>
                <w:sz w:val="24"/>
              </w:rPr>
            </w:pPr>
          </w:p>
        </w:tc>
        <w:tc>
          <w:tcPr>
            <w:tcW w:w="798" w:type="dxa"/>
            <w:noWrap w:val="0"/>
            <w:vAlign w:val="top"/>
          </w:tcPr>
          <w:p w14:paraId="15BEDAE9">
            <w:pPr>
              <w:spacing w:line="440" w:lineRule="exact"/>
              <w:jc w:val="center"/>
              <w:textAlignment w:val="center"/>
              <w:rPr>
                <w:rFonts w:ascii="华文细黑" w:hAnsi="华文细黑"/>
                <w:sz w:val="24"/>
              </w:rPr>
            </w:pPr>
          </w:p>
        </w:tc>
        <w:tc>
          <w:tcPr>
            <w:tcW w:w="800" w:type="dxa"/>
            <w:noWrap w:val="0"/>
            <w:vAlign w:val="top"/>
          </w:tcPr>
          <w:p w14:paraId="1C9532B2">
            <w:pPr>
              <w:spacing w:line="440" w:lineRule="exact"/>
              <w:jc w:val="center"/>
              <w:textAlignment w:val="center"/>
              <w:rPr>
                <w:rFonts w:ascii="华文细黑" w:hAnsi="华文细黑"/>
                <w:sz w:val="24"/>
              </w:rPr>
            </w:pPr>
          </w:p>
        </w:tc>
        <w:tc>
          <w:tcPr>
            <w:tcW w:w="798" w:type="dxa"/>
            <w:noWrap w:val="0"/>
            <w:vAlign w:val="top"/>
          </w:tcPr>
          <w:p w14:paraId="2565DDEC">
            <w:pPr>
              <w:spacing w:line="440" w:lineRule="exact"/>
              <w:jc w:val="center"/>
              <w:textAlignment w:val="center"/>
              <w:rPr>
                <w:rFonts w:ascii="华文细黑" w:hAnsi="华文细黑"/>
                <w:sz w:val="24"/>
              </w:rPr>
            </w:pPr>
          </w:p>
        </w:tc>
        <w:tc>
          <w:tcPr>
            <w:tcW w:w="2799" w:type="dxa"/>
            <w:noWrap w:val="0"/>
            <w:vAlign w:val="top"/>
          </w:tcPr>
          <w:p w14:paraId="048092AD">
            <w:pPr>
              <w:spacing w:line="440" w:lineRule="exact"/>
              <w:jc w:val="center"/>
              <w:textAlignment w:val="center"/>
              <w:rPr>
                <w:rFonts w:ascii="华文细黑" w:hAnsi="华文细黑"/>
                <w:sz w:val="24"/>
              </w:rPr>
            </w:pPr>
          </w:p>
        </w:tc>
        <w:tc>
          <w:tcPr>
            <w:tcW w:w="745" w:type="dxa"/>
            <w:noWrap w:val="0"/>
            <w:vAlign w:val="top"/>
          </w:tcPr>
          <w:p w14:paraId="3B929DC2">
            <w:pPr>
              <w:spacing w:line="440" w:lineRule="exact"/>
              <w:jc w:val="center"/>
              <w:textAlignment w:val="center"/>
              <w:rPr>
                <w:rFonts w:ascii="华文细黑" w:hAnsi="华文细黑"/>
                <w:sz w:val="24"/>
              </w:rPr>
            </w:pPr>
          </w:p>
        </w:tc>
      </w:tr>
      <w:tr w14:paraId="5C5FCD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20" w:type="dxa"/>
            <w:noWrap w:val="0"/>
            <w:vAlign w:val="top"/>
          </w:tcPr>
          <w:p w14:paraId="7326111E">
            <w:pPr>
              <w:spacing w:line="440" w:lineRule="exact"/>
              <w:jc w:val="center"/>
              <w:textAlignment w:val="center"/>
              <w:rPr>
                <w:rFonts w:ascii="华文细黑" w:hAnsi="华文细黑"/>
                <w:sz w:val="24"/>
              </w:rPr>
            </w:pPr>
          </w:p>
        </w:tc>
        <w:tc>
          <w:tcPr>
            <w:tcW w:w="800" w:type="dxa"/>
            <w:noWrap w:val="0"/>
            <w:vAlign w:val="top"/>
          </w:tcPr>
          <w:p w14:paraId="45E19FD5">
            <w:pPr>
              <w:spacing w:line="440" w:lineRule="exact"/>
              <w:jc w:val="center"/>
              <w:textAlignment w:val="center"/>
              <w:rPr>
                <w:rFonts w:ascii="华文细黑" w:hAnsi="华文细黑"/>
                <w:sz w:val="24"/>
              </w:rPr>
            </w:pPr>
          </w:p>
        </w:tc>
        <w:tc>
          <w:tcPr>
            <w:tcW w:w="798" w:type="dxa"/>
            <w:noWrap w:val="0"/>
            <w:vAlign w:val="top"/>
          </w:tcPr>
          <w:p w14:paraId="25248156">
            <w:pPr>
              <w:spacing w:line="440" w:lineRule="exact"/>
              <w:jc w:val="center"/>
              <w:textAlignment w:val="center"/>
              <w:rPr>
                <w:rFonts w:ascii="华文细黑" w:hAnsi="华文细黑"/>
                <w:sz w:val="24"/>
              </w:rPr>
            </w:pPr>
          </w:p>
        </w:tc>
        <w:tc>
          <w:tcPr>
            <w:tcW w:w="1199" w:type="dxa"/>
            <w:noWrap w:val="0"/>
            <w:vAlign w:val="top"/>
          </w:tcPr>
          <w:p w14:paraId="3FB00DE5">
            <w:pPr>
              <w:spacing w:line="440" w:lineRule="exact"/>
              <w:jc w:val="center"/>
              <w:textAlignment w:val="center"/>
              <w:rPr>
                <w:rFonts w:ascii="华文细黑" w:hAnsi="华文细黑"/>
                <w:sz w:val="24"/>
              </w:rPr>
            </w:pPr>
          </w:p>
        </w:tc>
        <w:tc>
          <w:tcPr>
            <w:tcW w:w="798" w:type="dxa"/>
            <w:noWrap w:val="0"/>
            <w:vAlign w:val="top"/>
          </w:tcPr>
          <w:p w14:paraId="1929AB1B">
            <w:pPr>
              <w:spacing w:line="440" w:lineRule="exact"/>
              <w:jc w:val="center"/>
              <w:textAlignment w:val="center"/>
              <w:rPr>
                <w:rFonts w:ascii="华文细黑" w:hAnsi="华文细黑"/>
                <w:sz w:val="24"/>
              </w:rPr>
            </w:pPr>
          </w:p>
        </w:tc>
        <w:tc>
          <w:tcPr>
            <w:tcW w:w="800" w:type="dxa"/>
            <w:noWrap w:val="0"/>
            <w:vAlign w:val="top"/>
          </w:tcPr>
          <w:p w14:paraId="7454A2EE">
            <w:pPr>
              <w:spacing w:line="440" w:lineRule="exact"/>
              <w:jc w:val="center"/>
              <w:textAlignment w:val="center"/>
              <w:rPr>
                <w:rFonts w:ascii="华文细黑" w:hAnsi="华文细黑"/>
                <w:sz w:val="24"/>
              </w:rPr>
            </w:pPr>
          </w:p>
        </w:tc>
        <w:tc>
          <w:tcPr>
            <w:tcW w:w="798" w:type="dxa"/>
            <w:noWrap w:val="0"/>
            <w:vAlign w:val="top"/>
          </w:tcPr>
          <w:p w14:paraId="2E853FB6">
            <w:pPr>
              <w:spacing w:line="440" w:lineRule="exact"/>
              <w:jc w:val="center"/>
              <w:textAlignment w:val="center"/>
              <w:rPr>
                <w:rFonts w:ascii="华文细黑" w:hAnsi="华文细黑"/>
                <w:sz w:val="24"/>
              </w:rPr>
            </w:pPr>
          </w:p>
        </w:tc>
        <w:tc>
          <w:tcPr>
            <w:tcW w:w="2799" w:type="dxa"/>
            <w:noWrap w:val="0"/>
            <w:vAlign w:val="top"/>
          </w:tcPr>
          <w:p w14:paraId="4218F17C">
            <w:pPr>
              <w:spacing w:line="440" w:lineRule="exact"/>
              <w:jc w:val="center"/>
              <w:textAlignment w:val="center"/>
              <w:rPr>
                <w:rFonts w:ascii="华文细黑" w:hAnsi="华文细黑"/>
                <w:sz w:val="24"/>
              </w:rPr>
            </w:pPr>
          </w:p>
        </w:tc>
        <w:tc>
          <w:tcPr>
            <w:tcW w:w="745" w:type="dxa"/>
            <w:noWrap w:val="0"/>
            <w:vAlign w:val="top"/>
          </w:tcPr>
          <w:p w14:paraId="5494F35F">
            <w:pPr>
              <w:spacing w:line="440" w:lineRule="exact"/>
              <w:jc w:val="center"/>
              <w:textAlignment w:val="center"/>
              <w:rPr>
                <w:rFonts w:ascii="华文细黑" w:hAnsi="华文细黑"/>
                <w:sz w:val="24"/>
              </w:rPr>
            </w:pPr>
          </w:p>
        </w:tc>
      </w:tr>
      <w:tr w14:paraId="020F76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20" w:type="dxa"/>
            <w:noWrap w:val="0"/>
            <w:vAlign w:val="top"/>
          </w:tcPr>
          <w:p w14:paraId="2B8C96E5">
            <w:pPr>
              <w:spacing w:line="440" w:lineRule="exact"/>
              <w:jc w:val="center"/>
              <w:textAlignment w:val="center"/>
              <w:rPr>
                <w:rFonts w:ascii="华文细黑" w:hAnsi="华文细黑"/>
                <w:sz w:val="24"/>
              </w:rPr>
            </w:pPr>
          </w:p>
        </w:tc>
        <w:tc>
          <w:tcPr>
            <w:tcW w:w="800" w:type="dxa"/>
            <w:noWrap w:val="0"/>
            <w:vAlign w:val="top"/>
          </w:tcPr>
          <w:p w14:paraId="1A9989FE">
            <w:pPr>
              <w:spacing w:line="440" w:lineRule="exact"/>
              <w:jc w:val="center"/>
              <w:textAlignment w:val="center"/>
              <w:rPr>
                <w:rFonts w:ascii="华文细黑" w:hAnsi="华文细黑"/>
                <w:sz w:val="24"/>
              </w:rPr>
            </w:pPr>
          </w:p>
        </w:tc>
        <w:tc>
          <w:tcPr>
            <w:tcW w:w="798" w:type="dxa"/>
            <w:noWrap w:val="0"/>
            <w:vAlign w:val="top"/>
          </w:tcPr>
          <w:p w14:paraId="460DA8C9">
            <w:pPr>
              <w:spacing w:line="440" w:lineRule="exact"/>
              <w:jc w:val="center"/>
              <w:textAlignment w:val="center"/>
              <w:rPr>
                <w:rFonts w:ascii="华文细黑" w:hAnsi="华文细黑"/>
                <w:sz w:val="24"/>
              </w:rPr>
            </w:pPr>
          </w:p>
        </w:tc>
        <w:tc>
          <w:tcPr>
            <w:tcW w:w="1199" w:type="dxa"/>
            <w:noWrap w:val="0"/>
            <w:vAlign w:val="top"/>
          </w:tcPr>
          <w:p w14:paraId="7EC1BC1D">
            <w:pPr>
              <w:spacing w:line="440" w:lineRule="exact"/>
              <w:jc w:val="center"/>
              <w:textAlignment w:val="center"/>
              <w:rPr>
                <w:rFonts w:ascii="华文细黑" w:hAnsi="华文细黑"/>
                <w:sz w:val="24"/>
              </w:rPr>
            </w:pPr>
          </w:p>
        </w:tc>
        <w:tc>
          <w:tcPr>
            <w:tcW w:w="798" w:type="dxa"/>
            <w:noWrap w:val="0"/>
            <w:vAlign w:val="top"/>
          </w:tcPr>
          <w:p w14:paraId="190AF1D3">
            <w:pPr>
              <w:spacing w:line="440" w:lineRule="exact"/>
              <w:jc w:val="center"/>
              <w:textAlignment w:val="center"/>
              <w:rPr>
                <w:rFonts w:ascii="华文细黑" w:hAnsi="华文细黑"/>
                <w:sz w:val="24"/>
              </w:rPr>
            </w:pPr>
          </w:p>
        </w:tc>
        <w:tc>
          <w:tcPr>
            <w:tcW w:w="800" w:type="dxa"/>
            <w:noWrap w:val="0"/>
            <w:vAlign w:val="top"/>
          </w:tcPr>
          <w:p w14:paraId="2C2C8E1A">
            <w:pPr>
              <w:spacing w:line="440" w:lineRule="exact"/>
              <w:jc w:val="center"/>
              <w:textAlignment w:val="center"/>
              <w:rPr>
                <w:rFonts w:ascii="华文细黑" w:hAnsi="华文细黑"/>
                <w:sz w:val="24"/>
              </w:rPr>
            </w:pPr>
          </w:p>
        </w:tc>
        <w:tc>
          <w:tcPr>
            <w:tcW w:w="798" w:type="dxa"/>
            <w:noWrap w:val="0"/>
            <w:vAlign w:val="top"/>
          </w:tcPr>
          <w:p w14:paraId="49B92BB5">
            <w:pPr>
              <w:spacing w:line="440" w:lineRule="exact"/>
              <w:jc w:val="center"/>
              <w:textAlignment w:val="center"/>
              <w:rPr>
                <w:rFonts w:ascii="华文细黑" w:hAnsi="华文细黑"/>
                <w:sz w:val="24"/>
              </w:rPr>
            </w:pPr>
          </w:p>
        </w:tc>
        <w:tc>
          <w:tcPr>
            <w:tcW w:w="2799" w:type="dxa"/>
            <w:noWrap w:val="0"/>
            <w:vAlign w:val="top"/>
          </w:tcPr>
          <w:p w14:paraId="0ACC3323">
            <w:pPr>
              <w:spacing w:line="440" w:lineRule="exact"/>
              <w:jc w:val="center"/>
              <w:textAlignment w:val="center"/>
              <w:rPr>
                <w:rFonts w:ascii="华文细黑" w:hAnsi="华文细黑"/>
                <w:sz w:val="24"/>
              </w:rPr>
            </w:pPr>
          </w:p>
        </w:tc>
        <w:tc>
          <w:tcPr>
            <w:tcW w:w="745" w:type="dxa"/>
            <w:noWrap w:val="0"/>
            <w:vAlign w:val="top"/>
          </w:tcPr>
          <w:p w14:paraId="6536A966">
            <w:pPr>
              <w:spacing w:line="440" w:lineRule="exact"/>
              <w:jc w:val="center"/>
              <w:textAlignment w:val="center"/>
              <w:rPr>
                <w:rFonts w:ascii="华文细黑" w:hAnsi="华文细黑"/>
                <w:sz w:val="24"/>
              </w:rPr>
            </w:pPr>
          </w:p>
        </w:tc>
      </w:tr>
      <w:tr w14:paraId="733A09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20" w:type="dxa"/>
            <w:noWrap w:val="0"/>
            <w:vAlign w:val="top"/>
          </w:tcPr>
          <w:p w14:paraId="7FCF825D">
            <w:pPr>
              <w:spacing w:line="440" w:lineRule="exact"/>
              <w:jc w:val="center"/>
              <w:textAlignment w:val="center"/>
              <w:rPr>
                <w:rFonts w:ascii="华文细黑" w:hAnsi="华文细黑"/>
                <w:sz w:val="24"/>
              </w:rPr>
            </w:pPr>
          </w:p>
        </w:tc>
        <w:tc>
          <w:tcPr>
            <w:tcW w:w="800" w:type="dxa"/>
            <w:noWrap w:val="0"/>
            <w:vAlign w:val="top"/>
          </w:tcPr>
          <w:p w14:paraId="5A537B8B">
            <w:pPr>
              <w:spacing w:line="440" w:lineRule="exact"/>
              <w:jc w:val="center"/>
              <w:textAlignment w:val="center"/>
              <w:rPr>
                <w:rFonts w:ascii="华文细黑" w:hAnsi="华文细黑"/>
                <w:sz w:val="24"/>
              </w:rPr>
            </w:pPr>
          </w:p>
        </w:tc>
        <w:tc>
          <w:tcPr>
            <w:tcW w:w="798" w:type="dxa"/>
            <w:noWrap w:val="0"/>
            <w:vAlign w:val="top"/>
          </w:tcPr>
          <w:p w14:paraId="4E187B22">
            <w:pPr>
              <w:spacing w:line="440" w:lineRule="exact"/>
              <w:jc w:val="center"/>
              <w:textAlignment w:val="center"/>
              <w:rPr>
                <w:rFonts w:ascii="华文细黑" w:hAnsi="华文细黑"/>
                <w:sz w:val="24"/>
              </w:rPr>
            </w:pPr>
          </w:p>
        </w:tc>
        <w:tc>
          <w:tcPr>
            <w:tcW w:w="1199" w:type="dxa"/>
            <w:noWrap w:val="0"/>
            <w:vAlign w:val="top"/>
          </w:tcPr>
          <w:p w14:paraId="3B9EF321">
            <w:pPr>
              <w:spacing w:line="440" w:lineRule="exact"/>
              <w:jc w:val="center"/>
              <w:textAlignment w:val="center"/>
              <w:rPr>
                <w:rFonts w:ascii="华文细黑" w:hAnsi="华文细黑"/>
                <w:sz w:val="24"/>
              </w:rPr>
            </w:pPr>
          </w:p>
        </w:tc>
        <w:tc>
          <w:tcPr>
            <w:tcW w:w="798" w:type="dxa"/>
            <w:noWrap w:val="0"/>
            <w:vAlign w:val="top"/>
          </w:tcPr>
          <w:p w14:paraId="6D65B607">
            <w:pPr>
              <w:spacing w:line="440" w:lineRule="exact"/>
              <w:jc w:val="center"/>
              <w:textAlignment w:val="center"/>
              <w:rPr>
                <w:rFonts w:ascii="华文细黑" w:hAnsi="华文细黑"/>
                <w:sz w:val="24"/>
              </w:rPr>
            </w:pPr>
          </w:p>
        </w:tc>
        <w:tc>
          <w:tcPr>
            <w:tcW w:w="800" w:type="dxa"/>
            <w:noWrap w:val="0"/>
            <w:vAlign w:val="top"/>
          </w:tcPr>
          <w:p w14:paraId="266578D3">
            <w:pPr>
              <w:spacing w:line="440" w:lineRule="exact"/>
              <w:jc w:val="center"/>
              <w:textAlignment w:val="center"/>
              <w:rPr>
                <w:rFonts w:ascii="华文细黑" w:hAnsi="华文细黑"/>
                <w:sz w:val="24"/>
              </w:rPr>
            </w:pPr>
          </w:p>
        </w:tc>
        <w:tc>
          <w:tcPr>
            <w:tcW w:w="798" w:type="dxa"/>
            <w:noWrap w:val="0"/>
            <w:vAlign w:val="top"/>
          </w:tcPr>
          <w:p w14:paraId="359DBF32">
            <w:pPr>
              <w:spacing w:line="440" w:lineRule="exact"/>
              <w:jc w:val="center"/>
              <w:textAlignment w:val="center"/>
              <w:rPr>
                <w:rFonts w:ascii="华文细黑" w:hAnsi="华文细黑"/>
                <w:sz w:val="24"/>
              </w:rPr>
            </w:pPr>
          </w:p>
        </w:tc>
        <w:tc>
          <w:tcPr>
            <w:tcW w:w="2799" w:type="dxa"/>
            <w:noWrap w:val="0"/>
            <w:vAlign w:val="top"/>
          </w:tcPr>
          <w:p w14:paraId="254B9FB2">
            <w:pPr>
              <w:spacing w:line="440" w:lineRule="exact"/>
              <w:jc w:val="center"/>
              <w:textAlignment w:val="center"/>
              <w:rPr>
                <w:rFonts w:ascii="华文细黑" w:hAnsi="华文细黑"/>
                <w:sz w:val="24"/>
              </w:rPr>
            </w:pPr>
          </w:p>
        </w:tc>
        <w:tc>
          <w:tcPr>
            <w:tcW w:w="745" w:type="dxa"/>
            <w:noWrap w:val="0"/>
            <w:vAlign w:val="top"/>
          </w:tcPr>
          <w:p w14:paraId="3AF2ECA2">
            <w:pPr>
              <w:spacing w:line="440" w:lineRule="exact"/>
              <w:jc w:val="center"/>
              <w:textAlignment w:val="center"/>
              <w:rPr>
                <w:rFonts w:ascii="华文细黑" w:hAnsi="华文细黑"/>
                <w:sz w:val="24"/>
              </w:rPr>
            </w:pPr>
          </w:p>
        </w:tc>
      </w:tr>
      <w:tr w14:paraId="6FA7C2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20" w:type="dxa"/>
            <w:noWrap w:val="0"/>
            <w:vAlign w:val="top"/>
          </w:tcPr>
          <w:p w14:paraId="1362AAA9">
            <w:pPr>
              <w:spacing w:line="440" w:lineRule="exact"/>
              <w:jc w:val="center"/>
              <w:textAlignment w:val="center"/>
              <w:rPr>
                <w:rFonts w:ascii="华文细黑" w:hAnsi="华文细黑"/>
                <w:sz w:val="24"/>
              </w:rPr>
            </w:pPr>
          </w:p>
        </w:tc>
        <w:tc>
          <w:tcPr>
            <w:tcW w:w="800" w:type="dxa"/>
            <w:noWrap w:val="0"/>
            <w:vAlign w:val="top"/>
          </w:tcPr>
          <w:p w14:paraId="41FBE855">
            <w:pPr>
              <w:spacing w:line="440" w:lineRule="exact"/>
              <w:jc w:val="center"/>
              <w:textAlignment w:val="center"/>
              <w:rPr>
                <w:rFonts w:ascii="华文细黑" w:hAnsi="华文细黑"/>
                <w:sz w:val="24"/>
              </w:rPr>
            </w:pPr>
          </w:p>
        </w:tc>
        <w:tc>
          <w:tcPr>
            <w:tcW w:w="798" w:type="dxa"/>
            <w:noWrap w:val="0"/>
            <w:vAlign w:val="top"/>
          </w:tcPr>
          <w:p w14:paraId="5846B8DF">
            <w:pPr>
              <w:spacing w:line="440" w:lineRule="exact"/>
              <w:jc w:val="center"/>
              <w:textAlignment w:val="center"/>
              <w:rPr>
                <w:rFonts w:ascii="华文细黑" w:hAnsi="华文细黑"/>
                <w:sz w:val="24"/>
              </w:rPr>
            </w:pPr>
          </w:p>
        </w:tc>
        <w:tc>
          <w:tcPr>
            <w:tcW w:w="1199" w:type="dxa"/>
            <w:noWrap w:val="0"/>
            <w:vAlign w:val="top"/>
          </w:tcPr>
          <w:p w14:paraId="5202E19C">
            <w:pPr>
              <w:spacing w:line="440" w:lineRule="exact"/>
              <w:jc w:val="center"/>
              <w:textAlignment w:val="center"/>
              <w:rPr>
                <w:rFonts w:ascii="华文细黑" w:hAnsi="华文细黑"/>
                <w:sz w:val="24"/>
              </w:rPr>
            </w:pPr>
          </w:p>
        </w:tc>
        <w:tc>
          <w:tcPr>
            <w:tcW w:w="798" w:type="dxa"/>
            <w:noWrap w:val="0"/>
            <w:vAlign w:val="top"/>
          </w:tcPr>
          <w:p w14:paraId="3FE25644">
            <w:pPr>
              <w:spacing w:line="440" w:lineRule="exact"/>
              <w:jc w:val="center"/>
              <w:textAlignment w:val="center"/>
              <w:rPr>
                <w:rFonts w:ascii="华文细黑" w:hAnsi="华文细黑"/>
                <w:sz w:val="24"/>
              </w:rPr>
            </w:pPr>
          </w:p>
        </w:tc>
        <w:tc>
          <w:tcPr>
            <w:tcW w:w="800" w:type="dxa"/>
            <w:noWrap w:val="0"/>
            <w:vAlign w:val="top"/>
          </w:tcPr>
          <w:p w14:paraId="77F54F69">
            <w:pPr>
              <w:spacing w:line="440" w:lineRule="exact"/>
              <w:jc w:val="center"/>
              <w:textAlignment w:val="center"/>
              <w:rPr>
                <w:rFonts w:ascii="华文细黑" w:hAnsi="华文细黑"/>
                <w:sz w:val="24"/>
              </w:rPr>
            </w:pPr>
          </w:p>
        </w:tc>
        <w:tc>
          <w:tcPr>
            <w:tcW w:w="798" w:type="dxa"/>
            <w:noWrap w:val="0"/>
            <w:vAlign w:val="top"/>
          </w:tcPr>
          <w:p w14:paraId="459EDB5A">
            <w:pPr>
              <w:spacing w:line="440" w:lineRule="exact"/>
              <w:jc w:val="center"/>
              <w:textAlignment w:val="center"/>
              <w:rPr>
                <w:rFonts w:ascii="华文细黑" w:hAnsi="华文细黑"/>
                <w:sz w:val="24"/>
              </w:rPr>
            </w:pPr>
          </w:p>
        </w:tc>
        <w:tc>
          <w:tcPr>
            <w:tcW w:w="2799" w:type="dxa"/>
            <w:noWrap w:val="0"/>
            <w:vAlign w:val="top"/>
          </w:tcPr>
          <w:p w14:paraId="2E1876B4">
            <w:pPr>
              <w:spacing w:line="440" w:lineRule="exact"/>
              <w:jc w:val="center"/>
              <w:textAlignment w:val="center"/>
              <w:rPr>
                <w:rFonts w:ascii="华文细黑" w:hAnsi="华文细黑"/>
                <w:sz w:val="24"/>
              </w:rPr>
            </w:pPr>
          </w:p>
        </w:tc>
        <w:tc>
          <w:tcPr>
            <w:tcW w:w="745" w:type="dxa"/>
            <w:noWrap w:val="0"/>
            <w:vAlign w:val="top"/>
          </w:tcPr>
          <w:p w14:paraId="00395E23">
            <w:pPr>
              <w:spacing w:line="440" w:lineRule="exact"/>
              <w:jc w:val="center"/>
              <w:textAlignment w:val="center"/>
              <w:rPr>
                <w:rFonts w:ascii="华文细黑" w:hAnsi="华文细黑"/>
                <w:sz w:val="24"/>
              </w:rPr>
            </w:pPr>
          </w:p>
        </w:tc>
      </w:tr>
    </w:tbl>
    <w:p w14:paraId="39D6C815">
      <w:pPr>
        <w:spacing w:line="440" w:lineRule="exact"/>
        <w:ind w:left="210" w:leftChars="100"/>
        <w:jc w:val="center"/>
        <w:rPr>
          <w:rFonts w:eastAsia="黑体"/>
          <w:sz w:val="20"/>
          <w:szCs w:val="20"/>
        </w:rPr>
      </w:pPr>
    </w:p>
    <w:p w14:paraId="44097875">
      <w:pPr>
        <w:topLinePunct/>
        <w:spacing w:line="440" w:lineRule="exact"/>
        <w:jc w:val="center"/>
        <w:rPr>
          <w:rFonts w:hint="eastAsia"/>
          <w:sz w:val="20"/>
        </w:rPr>
      </w:pPr>
      <w:r>
        <w:rPr>
          <w:sz w:val="20"/>
        </w:rPr>
        <w:br w:type="page"/>
      </w:r>
    </w:p>
    <w:p w14:paraId="63F64A5A">
      <w:pPr>
        <w:pStyle w:val="87"/>
        <w:rPr>
          <w:szCs w:val="23"/>
        </w:rPr>
      </w:pPr>
      <w:bookmarkStart w:id="1611" w:name="_Toc152045805"/>
      <w:bookmarkStart w:id="1612" w:name="_Toc251248810"/>
      <w:bookmarkStart w:id="1613" w:name="_Toc100487601"/>
      <w:bookmarkStart w:id="1614" w:name="_Toc144974873"/>
      <w:bookmarkStart w:id="1615" w:name="_Toc152042594"/>
      <w:r>
        <w:rPr>
          <w:szCs w:val="23"/>
        </w:rPr>
        <w:t>（二）主要人员简历表</w:t>
      </w:r>
      <w:bookmarkEnd w:id="1611"/>
      <w:bookmarkEnd w:id="1612"/>
      <w:bookmarkEnd w:id="1613"/>
      <w:bookmarkEnd w:id="1614"/>
      <w:bookmarkEnd w:id="1615"/>
    </w:p>
    <w:p w14:paraId="5A475648">
      <w:pPr>
        <w:spacing w:line="400" w:lineRule="exact"/>
        <w:ind w:firstLine="420" w:firstLineChars="200"/>
        <w:rPr>
          <w:rFonts w:hint="eastAsia"/>
        </w:rPr>
      </w:pPr>
    </w:p>
    <w:p w14:paraId="24FC180B">
      <w:pPr>
        <w:spacing w:line="400" w:lineRule="exact"/>
        <w:ind w:firstLine="480" w:firstLineChars="200"/>
        <w:rPr>
          <w:rFonts w:hint="eastAsia"/>
          <w:sz w:val="24"/>
        </w:rPr>
      </w:pPr>
      <w:r>
        <w:rPr>
          <w:rFonts w:hint="eastAsia"/>
          <w:sz w:val="24"/>
        </w:rPr>
        <w:t>“主要人员简历表”中的项目经理应附建造师注册证、安全考核证、身份证、职称证的复印件；技术负责人应附身份证、职称证复印件；其他主要人员应附职称证（执业证或上岗证书）复印件。</w:t>
      </w:r>
    </w:p>
    <w:p w14:paraId="59B42A57">
      <w:pPr>
        <w:topLinePunct/>
        <w:spacing w:line="440" w:lineRule="exact"/>
        <w:jc w:val="center"/>
        <w:rPr>
          <w:rFonts w:eastAsia="黑体"/>
          <w:sz w:val="23"/>
          <w:szCs w:val="23"/>
        </w:rPr>
      </w:pPr>
    </w:p>
    <w:tbl>
      <w:tblPr>
        <w:tblStyle w:val="42"/>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260"/>
        <w:gridCol w:w="382"/>
        <w:gridCol w:w="765"/>
        <w:gridCol w:w="985"/>
        <w:gridCol w:w="1132"/>
        <w:gridCol w:w="752"/>
        <w:gridCol w:w="1340"/>
        <w:gridCol w:w="171"/>
        <w:gridCol w:w="2269"/>
      </w:tblGrid>
      <w:tr w14:paraId="2E2DA1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5" w:hRule="atLeast"/>
          <w:jc w:val="center"/>
        </w:trPr>
        <w:tc>
          <w:tcPr>
            <w:tcW w:w="1260" w:type="dxa"/>
            <w:noWrap w:val="0"/>
            <w:vAlign w:val="center"/>
          </w:tcPr>
          <w:p w14:paraId="3C08D51A">
            <w:pPr>
              <w:spacing w:line="440" w:lineRule="exact"/>
              <w:rPr>
                <w:rFonts w:ascii="宋体" w:hAnsi="宋体"/>
                <w:sz w:val="24"/>
              </w:rPr>
            </w:pPr>
            <w:r>
              <w:rPr>
                <w:rFonts w:ascii="宋体" w:hAnsi="宋体"/>
                <w:sz w:val="24"/>
              </w:rPr>
              <w:t>姓  名</w:t>
            </w:r>
          </w:p>
        </w:tc>
        <w:tc>
          <w:tcPr>
            <w:tcW w:w="1147" w:type="dxa"/>
            <w:gridSpan w:val="2"/>
            <w:noWrap w:val="0"/>
            <w:vAlign w:val="center"/>
          </w:tcPr>
          <w:p w14:paraId="08844DEB">
            <w:pPr>
              <w:spacing w:line="440" w:lineRule="exact"/>
              <w:rPr>
                <w:rFonts w:ascii="宋体" w:hAnsi="宋体"/>
                <w:sz w:val="24"/>
              </w:rPr>
            </w:pPr>
          </w:p>
        </w:tc>
        <w:tc>
          <w:tcPr>
            <w:tcW w:w="985" w:type="dxa"/>
            <w:noWrap w:val="0"/>
            <w:vAlign w:val="center"/>
          </w:tcPr>
          <w:p w14:paraId="2E89A3F8">
            <w:pPr>
              <w:spacing w:line="440" w:lineRule="exact"/>
              <w:rPr>
                <w:rFonts w:ascii="宋体" w:hAnsi="宋体"/>
                <w:sz w:val="24"/>
              </w:rPr>
            </w:pPr>
            <w:r>
              <w:rPr>
                <w:rFonts w:ascii="宋体" w:hAnsi="宋体"/>
                <w:sz w:val="24"/>
              </w:rPr>
              <w:t>年 龄</w:t>
            </w:r>
          </w:p>
        </w:tc>
        <w:tc>
          <w:tcPr>
            <w:tcW w:w="1132" w:type="dxa"/>
            <w:noWrap w:val="0"/>
            <w:vAlign w:val="center"/>
          </w:tcPr>
          <w:p w14:paraId="6B564E19">
            <w:pPr>
              <w:spacing w:line="440" w:lineRule="exact"/>
              <w:rPr>
                <w:rFonts w:ascii="宋体" w:hAnsi="宋体"/>
                <w:sz w:val="24"/>
              </w:rPr>
            </w:pPr>
          </w:p>
        </w:tc>
        <w:tc>
          <w:tcPr>
            <w:tcW w:w="2263" w:type="dxa"/>
            <w:gridSpan w:val="3"/>
            <w:noWrap w:val="0"/>
            <w:vAlign w:val="center"/>
          </w:tcPr>
          <w:p w14:paraId="46D50053">
            <w:pPr>
              <w:spacing w:line="440" w:lineRule="exact"/>
              <w:rPr>
                <w:rFonts w:ascii="宋体" w:hAnsi="宋体"/>
                <w:sz w:val="24"/>
              </w:rPr>
            </w:pPr>
            <w:r>
              <w:rPr>
                <w:rFonts w:ascii="宋体" w:hAnsi="宋体"/>
                <w:sz w:val="24"/>
              </w:rPr>
              <w:t>学历</w:t>
            </w:r>
          </w:p>
        </w:tc>
        <w:tc>
          <w:tcPr>
            <w:tcW w:w="2269" w:type="dxa"/>
            <w:noWrap w:val="0"/>
            <w:vAlign w:val="center"/>
          </w:tcPr>
          <w:p w14:paraId="672849F7">
            <w:pPr>
              <w:spacing w:line="440" w:lineRule="exact"/>
              <w:rPr>
                <w:rFonts w:ascii="宋体" w:hAnsi="宋体"/>
                <w:sz w:val="24"/>
              </w:rPr>
            </w:pPr>
          </w:p>
        </w:tc>
      </w:tr>
      <w:tr w14:paraId="072BEA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5" w:hRule="atLeast"/>
          <w:jc w:val="center"/>
        </w:trPr>
        <w:tc>
          <w:tcPr>
            <w:tcW w:w="1260" w:type="dxa"/>
            <w:noWrap w:val="0"/>
            <w:vAlign w:val="center"/>
          </w:tcPr>
          <w:p w14:paraId="5E4E76AF">
            <w:pPr>
              <w:spacing w:line="440" w:lineRule="exact"/>
              <w:rPr>
                <w:rFonts w:ascii="宋体" w:hAnsi="宋体"/>
                <w:sz w:val="24"/>
              </w:rPr>
            </w:pPr>
            <w:r>
              <w:rPr>
                <w:rFonts w:ascii="宋体" w:hAnsi="宋体"/>
                <w:sz w:val="24"/>
              </w:rPr>
              <w:t>职  称</w:t>
            </w:r>
          </w:p>
        </w:tc>
        <w:tc>
          <w:tcPr>
            <w:tcW w:w="1147" w:type="dxa"/>
            <w:gridSpan w:val="2"/>
            <w:noWrap w:val="0"/>
            <w:vAlign w:val="center"/>
          </w:tcPr>
          <w:p w14:paraId="1C1DD602">
            <w:pPr>
              <w:spacing w:line="440" w:lineRule="exact"/>
              <w:rPr>
                <w:rFonts w:ascii="宋体" w:hAnsi="宋体"/>
                <w:sz w:val="24"/>
              </w:rPr>
            </w:pPr>
          </w:p>
        </w:tc>
        <w:tc>
          <w:tcPr>
            <w:tcW w:w="985" w:type="dxa"/>
            <w:noWrap w:val="0"/>
            <w:vAlign w:val="center"/>
          </w:tcPr>
          <w:p w14:paraId="4A7E3DB2">
            <w:pPr>
              <w:spacing w:line="440" w:lineRule="exact"/>
              <w:rPr>
                <w:rFonts w:ascii="宋体" w:hAnsi="宋体"/>
                <w:sz w:val="24"/>
              </w:rPr>
            </w:pPr>
            <w:r>
              <w:rPr>
                <w:rFonts w:ascii="宋体" w:hAnsi="宋体"/>
                <w:sz w:val="24"/>
              </w:rPr>
              <w:t>职 务</w:t>
            </w:r>
          </w:p>
        </w:tc>
        <w:tc>
          <w:tcPr>
            <w:tcW w:w="1132" w:type="dxa"/>
            <w:noWrap w:val="0"/>
            <w:vAlign w:val="center"/>
          </w:tcPr>
          <w:p w14:paraId="54C4871A">
            <w:pPr>
              <w:spacing w:line="440" w:lineRule="exact"/>
              <w:rPr>
                <w:rFonts w:ascii="宋体" w:hAnsi="宋体"/>
                <w:sz w:val="24"/>
              </w:rPr>
            </w:pPr>
          </w:p>
        </w:tc>
        <w:tc>
          <w:tcPr>
            <w:tcW w:w="2263" w:type="dxa"/>
            <w:gridSpan w:val="3"/>
            <w:noWrap w:val="0"/>
            <w:vAlign w:val="center"/>
          </w:tcPr>
          <w:p w14:paraId="047CD601">
            <w:pPr>
              <w:spacing w:line="440" w:lineRule="exact"/>
              <w:rPr>
                <w:rFonts w:ascii="宋体" w:hAnsi="宋体"/>
                <w:sz w:val="24"/>
              </w:rPr>
            </w:pPr>
            <w:r>
              <w:rPr>
                <w:rFonts w:ascii="宋体" w:hAnsi="宋体"/>
                <w:sz w:val="24"/>
              </w:rPr>
              <w:t>拟在本合同任职</w:t>
            </w:r>
          </w:p>
        </w:tc>
        <w:tc>
          <w:tcPr>
            <w:tcW w:w="2269" w:type="dxa"/>
            <w:noWrap w:val="0"/>
            <w:vAlign w:val="center"/>
          </w:tcPr>
          <w:p w14:paraId="3F0BC100">
            <w:pPr>
              <w:spacing w:line="440" w:lineRule="exact"/>
              <w:rPr>
                <w:rFonts w:ascii="宋体" w:hAnsi="宋体"/>
                <w:sz w:val="24"/>
              </w:rPr>
            </w:pPr>
          </w:p>
        </w:tc>
      </w:tr>
      <w:tr w14:paraId="68C979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5" w:hRule="atLeast"/>
          <w:jc w:val="center"/>
        </w:trPr>
        <w:tc>
          <w:tcPr>
            <w:tcW w:w="1260" w:type="dxa"/>
            <w:noWrap w:val="0"/>
            <w:vAlign w:val="center"/>
          </w:tcPr>
          <w:p w14:paraId="6AFB06A2">
            <w:pPr>
              <w:spacing w:line="440" w:lineRule="exact"/>
              <w:rPr>
                <w:rFonts w:ascii="宋体" w:hAnsi="宋体"/>
                <w:sz w:val="24"/>
              </w:rPr>
            </w:pPr>
            <w:r>
              <w:rPr>
                <w:rFonts w:ascii="宋体" w:hAnsi="宋体"/>
                <w:sz w:val="24"/>
              </w:rPr>
              <w:t>毕业学校</w:t>
            </w:r>
          </w:p>
        </w:tc>
        <w:tc>
          <w:tcPr>
            <w:tcW w:w="7796" w:type="dxa"/>
            <w:gridSpan w:val="8"/>
            <w:noWrap w:val="0"/>
            <w:vAlign w:val="top"/>
          </w:tcPr>
          <w:p w14:paraId="028A5DC7">
            <w:pPr>
              <w:spacing w:line="440" w:lineRule="exact"/>
              <w:rPr>
                <w:rFonts w:ascii="宋体" w:hAnsi="宋体"/>
                <w:sz w:val="24"/>
              </w:rPr>
            </w:pPr>
            <w:r>
              <w:rPr>
                <w:rFonts w:ascii="宋体" w:hAnsi="宋体"/>
                <w:sz w:val="24"/>
              </w:rPr>
              <w:t xml:space="preserve">      年毕业于            学校        专业</w:t>
            </w:r>
          </w:p>
        </w:tc>
      </w:tr>
      <w:tr w14:paraId="191427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5" w:hRule="atLeast"/>
          <w:jc w:val="center"/>
        </w:trPr>
        <w:tc>
          <w:tcPr>
            <w:tcW w:w="9056" w:type="dxa"/>
            <w:gridSpan w:val="9"/>
            <w:noWrap w:val="0"/>
            <w:vAlign w:val="center"/>
          </w:tcPr>
          <w:p w14:paraId="4C0FF6E5">
            <w:pPr>
              <w:spacing w:line="440" w:lineRule="exact"/>
              <w:rPr>
                <w:rFonts w:ascii="宋体" w:hAnsi="宋体"/>
                <w:sz w:val="24"/>
              </w:rPr>
            </w:pPr>
            <w:r>
              <w:rPr>
                <w:rFonts w:ascii="宋体" w:hAnsi="宋体"/>
                <w:sz w:val="24"/>
              </w:rPr>
              <w:t>主要工作经历</w:t>
            </w:r>
          </w:p>
        </w:tc>
      </w:tr>
      <w:tr w14:paraId="1BF86F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1642" w:type="dxa"/>
            <w:gridSpan w:val="2"/>
            <w:noWrap w:val="0"/>
            <w:vAlign w:val="center"/>
          </w:tcPr>
          <w:p w14:paraId="1C024EF3">
            <w:pPr>
              <w:spacing w:line="440" w:lineRule="exact"/>
              <w:rPr>
                <w:rFonts w:ascii="宋体" w:hAnsi="宋体"/>
                <w:sz w:val="24"/>
              </w:rPr>
            </w:pPr>
            <w:r>
              <w:rPr>
                <w:rFonts w:ascii="宋体" w:hAnsi="宋体"/>
                <w:sz w:val="24"/>
              </w:rPr>
              <w:t>时  间</w:t>
            </w:r>
          </w:p>
        </w:tc>
        <w:tc>
          <w:tcPr>
            <w:tcW w:w="3634" w:type="dxa"/>
            <w:gridSpan w:val="4"/>
            <w:noWrap w:val="0"/>
            <w:vAlign w:val="center"/>
          </w:tcPr>
          <w:p w14:paraId="3ABA1A43">
            <w:pPr>
              <w:spacing w:line="440" w:lineRule="exact"/>
              <w:rPr>
                <w:rFonts w:ascii="宋体" w:hAnsi="宋体"/>
                <w:sz w:val="24"/>
              </w:rPr>
            </w:pPr>
            <w:r>
              <w:rPr>
                <w:rFonts w:ascii="宋体" w:hAnsi="宋体"/>
                <w:sz w:val="24"/>
              </w:rPr>
              <w:t>参加过的类似项目</w:t>
            </w:r>
          </w:p>
        </w:tc>
        <w:tc>
          <w:tcPr>
            <w:tcW w:w="1340" w:type="dxa"/>
            <w:noWrap w:val="0"/>
            <w:vAlign w:val="center"/>
          </w:tcPr>
          <w:p w14:paraId="7C2DD720">
            <w:pPr>
              <w:spacing w:line="440" w:lineRule="exact"/>
              <w:rPr>
                <w:rFonts w:ascii="宋体" w:hAnsi="宋体"/>
                <w:sz w:val="24"/>
              </w:rPr>
            </w:pPr>
            <w:r>
              <w:rPr>
                <w:rFonts w:ascii="宋体" w:hAnsi="宋体"/>
                <w:sz w:val="24"/>
              </w:rPr>
              <w:t>担任职务</w:t>
            </w:r>
          </w:p>
        </w:tc>
        <w:tc>
          <w:tcPr>
            <w:tcW w:w="2440" w:type="dxa"/>
            <w:gridSpan w:val="2"/>
            <w:noWrap w:val="0"/>
            <w:vAlign w:val="center"/>
          </w:tcPr>
          <w:p w14:paraId="507227B9">
            <w:pPr>
              <w:spacing w:line="440" w:lineRule="exact"/>
              <w:rPr>
                <w:rFonts w:ascii="宋体" w:hAnsi="宋体"/>
                <w:sz w:val="24"/>
              </w:rPr>
            </w:pPr>
            <w:r>
              <w:rPr>
                <w:rFonts w:ascii="宋体" w:hAnsi="宋体"/>
                <w:sz w:val="24"/>
              </w:rPr>
              <w:t>发包人及联系电话</w:t>
            </w:r>
          </w:p>
        </w:tc>
      </w:tr>
      <w:tr w14:paraId="497ED4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2" w:hRule="atLeast"/>
          <w:jc w:val="center"/>
        </w:trPr>
        <w:tc>
          <w:tcPr>
            <w:tcW w:w="1642" w:type="dxa"/>
            <w:gridSpan w:val="2"/>
            <w:noWrap w:val="0"/>
            <w:vAlign w:val="top"/>
          </w:tcPr>
          <w:p w14:paraId="57AFFC4D">
            <w:pPr>
              <w:spacing w:line="440" w:lineRule="exact"/>
              <w:rPr>
                <w:rFonts w:eastAsia="黑体"/>
                <w:sz w:val="24"/>
              </w:rPr>
            </w:pPr>
          </w:p>
        </w:tc>
        <w:tc>
          <w:tcPr>
            <w:tcW w:w="3634" w:type="dxa"/>
            <w:gridSpan w:val="4"/>
            <w:noWrap w:val="0"/>
            <w:vAlign w:val="top"/>
          </w:tcPr>
          <w:p w14:paraId="5DAF7ACD">
            <w:pPr>
              <w:spacing w:line="440" w:lineRule="exact"/>
              <w:rPr>
                <w:rFonts w:eastAsia="黑体"/>
                <w:sz w:val="24"/>
              </w:rPr>
            </w:pPr>
          </w:p>
        </w:tc>
        <w:tc>
          <w:tcPr>
            <w:tcW w:w="1340" w:type="dxa"/>
            <w:noWrap w:val="0"/>
            <w:vAlign w:val="top"/>
          </w:tcPr>
          <w:p w14:paraId="05EF8961">
            <w:pPr>
              <w:spacing w:line="440" w:lineRule="exact"/>
              <w:rPr>
                <w:rFonts w:eastAsia="黑体"/>
                <w:sz w:val="24"/>
              </w:rPr>
            </w:pPr>
          </w:p>
        </w:tc>
        <w:tc>
          <w:tcPr>
            <w:tcW w:w="2440" w:type="dxa"/>
            <w:gridSpan w:val="2"/>
            <w:noWrap w:val="0"/>
            <w:vAlign w:val="top"/>
          </w:tcPr>
          <w:p w14:paraId="2C342B7A">
            <w:pPr>
              <w:spacing w:line="440" w:lineRule="exact"/>
              <w:rPr>
                <w:rFonts w:eastAsia="黑体"/>
                <w:sz w:val="24"/>
              </w:rPr>
            </w:pPr>
          </w:p>
        </w:tc>
      </w:tr>
      <w:tr w14:paraId="19B5AB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2" w:hRule="atLeast"/>
          <w:jc w:val="center"/>
        </w:trPr>
        <w:tc>
          <w:tcPr>
            <w:tcW w:w="1642" w:type="dxa"/>
            <w:gridSpan w:val="2"/>
            <w:noWrap w:val="0"/>
            <w:vAlign w:val="top"/>
          </w:tcPr>
          <w:p w14:paraId="370EFDE8">
            <w:pPr>
              <w:spacing w:line="440" w:lineRule="exact"/>
              <w:rPr>
                <w:rFonts w:eastAsia="黑体"/>
                <w:sz w:val="24"/>
              </w:rPr>
            </w:pPr>
          </w:p>
        </w:tc>
        <w:tc>
          <w:tcPr>
            <w:tcW w:w="3634" w:type="dxa"/>
            <w:gridSpan w:val="4"/>
            <w:noWrap w:val="0"/>
            <w:vAlign w:val="top"/>
          </w:tcPr>
          <w:p w14:paraId="216F50BF">
            <w:pPr>
              <w:spacing w:line="440" w:lineRule="exact"/>
              <w:rPr>
                <w:rFonts w:eastAsia="黑体"/>
                <w:sz w:val="24"/>
              </w:rPr>
            </w:pPr>
          </w:p>
        </w:tc>
        <w:tc>
          <w:tcPr>
            <w:tcW w:w="1340" w:type="dxa"/>
            <w:noWrap w:val="0"/>
            <w:vAlign w:val="top"/>
          </w:tcPr>
          <w:p w14:paraId="11C66F4A">
            <w:pPr>
              <w:spacing w:line="440" w:lineRule="exact"/>
              <w:rPr>
                <w:rFonts w:eastAsia="黑体"/>
                <w:sz w:val="24"/>
              </w:rPr>
            </w:pPr>
          </w:p>
        </w:tc>
        <w:tc>
          <w:tcPr>
            <w:tcW w:w="2440" w:type="dxa"/>
            <w:gridSpan w:val="2"/>
            <w:noWrap w:val="0"/>
            <w:vAlign w:val="top"/>
          </w:tcPr>
          <w:p w14:paraId="57859D3F">
            <w:pPr>
              <w:spacing w:line="440" w:lineRule="exact"/>
              <w:rPr>
                <w:rFonts w:eastAsia="黑体"/>
                <w:sz w:val="24"/>
              </w:rPr>
            </w:pPr>
          </w:p>
        </w:tc>
      </w:tr>
      <w:tr w14:paraId="701D60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2" w:hRule="atLeast"/>
          <w:jc w:val="center"/>
        </w:trPr>
        <w:tc>
          <w:tcPr>
            <w:tcW w:w="1642" w:type="dxa"/>
            <w:gridSpan w:val="2"/>
            <w:noWrap w:val="0"/>
            <w:vAlign w:val="top"/>
          </w:tcPr>
          <w:p w14:paraId="2AA68A7E">
            <w:pPr>
              <w:spacing w:line="440" w:lineRule="exact"/>
              <w:rPr>
                <w:rFonts w:eastAsia="黑体"/>
                <w:sz w:val="24"/>
              </w:rPr>
            </w:pPr>
          </w:p>
        </w:tc>
        <w:tc>
          <w:tcPr>
            <w:tcW w:w="3634" w:type="dxa"/>
            <w:gridSpan w:val="4"/>
            <w:noWrap w:val="0"/>
            <w:vAlign w:val="top"/>
          </w:tcPr>
          <w:p w14:paraId="52F11A9B">
            <w:pPr>
              <w:spacing w:line="440" w:lineRule="exact"/>
              <w:rPr>
                <w:rFonts w:eastAsia="黑体"/>
                <w:sz w:val="24"/>
              </w:rPr>
            </w:pPr>
          </w:p>
        </w:tc>
        <w:tc>
          <w:tcPr>
            <w:tcW w:w="1340" w:type="dxa"/>
            <w:noWrap w:val="0"/>
            <w:vAlign w:val="top"/>
          </w:tcPr>
          <w:p w14:paraId="41483B39">
            <w:pPr>
              <w:spacing w:line="440" w:lineRule="exact"/>
              <w:rPr>
                <w:rFonts w:eastAsia="黑体"/>
                <w:sz w:val="24"/>
              </w:rPr>
            </w:pPr>
          </w:p>
        </w:tc>
        <w:tc>
          <w:tcPr>
            <w:tcW w:w="2440" w:type="dxa"/>
            <w:gridSpan w:val="2"/>
            <w:noWrap w:val="0"/>
            <w:vAlign w:val="top"/>
          </w:tcPr>
          <w:p w14:paraId="4CCDAA5B">
            <w:pPr>
              <w:spacing w:line="440" w:lineRule="exact"/>
              <w:rPr>
                <w:rFonts w:eastAsia="黑体"/>
                <w:sz w:val="24"/>
              </w:rPr>
            </w:pPr>
          </w:p>
        </w:tc>
      </w:tr>
      <w:tr w14:paraId="43C4B6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2" w:hRule="atLeast"/>
          <w:jc w:val="center"/>
        </w:trPr>
        <w:tc>
          <w:tcPr>
            <w:tcW w:w="1642" w:type="dxa"/>
            <w:gridSpan w:val="2"/>
            <w:noWrap w:val="0"/>
            <w:vAlign w:val="center"/>
          </w:tcPr>
          <w:p w14:paraId="5278B577">
            <w:pPr>
              <w:spacing w:line="440" w:lineRule="exact"/>
              <w:rPr>
                <w:rFonts w:eastAsia="黑体"/>
                <w:sz w:val="24"/>
              </w:rPr>
            </w:pPr>
          </w:p>
        </w:tc>
        <w:tc>
          <w:tcPr>
            <w:tcW w:w="3634" w:type="dxa"/>
            <w:gridSpan w:val="4"/>
            <w:noWrap w:val="0"/>
            <w:vAlign w:val="center"/>
          </w:tcPr>
          <w:p w14:paraId="2B530C5D">
            <w:pPr>
              <w:spacing w:line="440" w:lineRule="exact"/>
              <w:rPr>
                <w:rFonts w:eastAsia="黑体"/>
                <w:sz w:val="24"/>
              </w:rPr>
            </w:pPr>
          </w:p>
        </w:tc>
        <w:tc>
          <w:tcPr>
            <w:tcW w:w="1340" w:type="dxa"/>
            <w:noWrap w:val="0"/>
            <w:vAlign w:val="center"/>
          </w:tcPr>
          <w:p w14:paraId="1E67E856">
            <w:pPr>
              <w:spacing w:line="440" w:lineRule="exact"/>
              <w:rPr>
                <w:rFonts w:eastAsia="黑体"/>
                <w:sz w:val="24"/>
              </w:rPr>
            </w:pPr>
          </w:p>
        </w:tc>
        <w:tc>
          <w:tcPr>
            <w:tcW w:w="2440" w:type="dxa"/>
            <w:gridSpan w:val="2"/>
            <w:noWrap w:val="0"/>
            <w:vAlign w:val="center"/>
          </w:tcPr>
          <w:p w14:paraId="515B8A4F">
            <w:pPr>
              <w:spacing w:line="440" w:lineRule="exact"/>
              <w:rPr>
                <w:rFonts w:eastAsia="黑体"/>
                <w:sz w:val="24"/>
              </w:rPr>
            </w:pPr>
          </w:p>
        </w:tc>
      </w:tr>
      <w:tr w14:paraId="2AD3C5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2" w:hRule="atLeast"/>
          <w:jc w:val="center"/>
        </w:trPr>
        <w:tc>
          <w:tcPr>
            <w:tcW w:w="1642" w:type="dxa"/>
            <w:gridSpan w:val="2"/>
            <w:noWrap w:val="0"/>
            <w:vAlign w:val="center"/>
          </w:tcPr>
          <w:p w14:paraId="22C20C02">
            <w:pPr>
              <w:spacing w:line="440" w:lineRule="exact"/>
              <w:rPr>
                <w:rFonts w:eastAsia="黑体"/>
                <w:sz w:val="24"/>
              </w:rPr>
            </w:pPr>
          </w:p>
        </w:tc>
        <w:tc>
          <w:tcPr>
            <w:tcW w:w="3634" w:type="dxa"/>
            <w:gridSpan w:val="4"/>
            <w:noWrap w:val="0"/>
            <w:vAlign w:val="center"/>
          </w:tcPr>
          <w:p w14:paraId="2EE7BA5C">
            <w:pPr>
              <w:spacing w:line="440" w:lineRule="exact"/>
              <w:rPr>
                <w:rFonts w:eastAsia="黑体"/>
                <w:sz w:val="24"/>
              </w:rPr>
            </w:pPr>
          </w:p>
        </w:tc>
        <w:tc>
          <w:tcPr>
            <w:tcW w:w="1340" w:type="dxa"/>
            <w:noWrap w:val="0"/>
            <w:vAlign w:val="center"/>
          </w:tcPr>
          <w:p w14:paraId="00F87FA6">
            <w:pPr>
              <w:spacing w:line="440" w:lineRule="exact"/>
              <w:rPr>
                <w:rFonts w:eastAsia="黑体"/>
                <w:sz w:val="24"/>
              </w:rPr>
            </w:pPr>
          </w:p>
        </w:tc>
        <w:tc>
          <w:tcPr>
            <w:tcW w:w="2440" w:type="dxa"/>
            <w:gridSpan w:val="2"/>
            <w:noWrap w:val="0"/>
            <w:vAlign w:val="center"/>
          </w:tcPr>
          <w:p w14:paraId="1CDD0065">
            <w:pPr>
              <w:spacing w:line="440" w:lineRule="exact"/>
              <w:rPr>
                <w:rFonts w:eastAsia="黑体"/>
                <w:sz w:val="24"/>
              </w:rPr>
            </w:pPr>
          </w:p>
        </w:tc>
      </w:tr>
      <w:tr w14:paraId="7AA511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2" w:hRule="atLeast"/>
          <w:jc w:val="center"/>
        </w:trPr>
        <w:tc>
          <w:tcPr>
            <w:tcW w:w="1642" w:type="dxa"/>
            <w:gridSpan w:val="2"/>
            <w:noWrap w:val="0"/>
            <w:vAlign w:val="center"/>
          </w:tcPr>
          <w:p w14:paraId="6F9C6B05">
            <w:pPr>
              <w:spacing w:line="440" w:lineRule="exact"/>
              <w:rPr>
                <w:rFonts w:eastAsia="黑体"/>
                <w:sz w:val="24"/>
              </w:rPr>
            </w:pPr>
          </w:p>
        </w:tc>
        <w:tc>
          <w:tcPr>
            <w:tcW w:w="3634" w:type="dxa"/>
            <w:gridSpan w:val="4"/>
            <w:noWrap w:val="0"/>
            <w:vAlign w:val="center"/>
          </w:tcPr>
          <w:p w14:paraId="5E7C6B5B">
            <w:pPr>
              <w:spacing w:line="440" w:lineRule="exact"/>
              <w:rPr>
                <w:rFonts w:eastAsia="黑体"/>
                <w:sz w:val="24"/>
              </w:rPr>
            </w:pPr>
          </w:p>
        </w:tc>
        <w:tc>
          <w:tcPr>
            <w:tcW w:w="1340" w:type="dxa"/>
            <w:noWrap w:val="0"/>
            <w:vAlign w:val="center"/>
          </w:tcPr>
          <w:p w14:paraId="555471D2">
            <w:pPr>
              <w:spacing w:line="440" w:lineRule="exact"/>
              <w:rPr>
                <w:rFonts w:eastAsia="黑体"/>
                <w:sz w:val="24"/>
              </w:rPr>
            </w:pPr>
          </w:p>
        </w:tc>
        <w:tc>
          <w:tcPr>
            <w:tcW w:w="2440" w:type="dxa"/>
            <w:gridSpan w:val="2"/>
            <w:noWrap w:val="0"/>
            <w:vAlign w:val="center"/>
          </w:tcPr>
          <w:p w14:paraId="015A96AB">
            <w:pPr>
              <w:spacing w:line="440" w:lineRule="exact"/>
              <w:rPr>
                <w:rFonts w:eastAsia="黑体"/>
                <w:sz w:val="24"/>
              </w:rPr>
            </w:pPr>
          </w:p>
        </w:tc>
      </w:tr>
      <w:tr w14:paraId="7B8982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2" w:hRule="atLeast"/>
          <w:jc w:val="center"/>
        </w:trPr>
        <w:tc>
          <w:tcPr>
            <w:tcW w:w="1642" w:type="dxa"/>
            <w:gridSpan w:val="2"/>
            <w:noWrap w:val="0"/>
            <w:vAlign w:val="center"/>
          </w:tcPr>
          <w:p w14:paraId="0CDA4F33">
            <w:pPr>
              <w:spacing w:line="440" w:lineRule="exact"/>
              <w:rPr>
                <w:rFonts w:eastAsia="黑体"/>
                <w:sz w:val="24"/>
              </w:rPr>
            </w:pPr>
          </w:p>
        </w:tc>
        <w:tc>
          <w:tcPr>
            <w:tcW w:w="3634" w:type="dxa"/>
            <w:gridSpan w:val="4"/>
            <w:noWrap w:val="0"/>
            <w:vAlign w:val="center"/>
          </w:tcPr>
          <w:p w14:paraId="00DBA92C">
            <w:pPr>
              <w:spacing w:line="440" w:lineRule="exact"/>
              <w:rPr>
                <w:rFonts w:eastAsia="黑体"/>
                <w:sz w:val="24"/>
              </w:rPr>
            </w:pPr>
          </w:p>
        </w:tc>
        <w:tc>
          <w:tcPr>
            <w:tcW w:w="1340" w:type="dxa"/>
            <w:noWrap w:val="0"/>
            <w:vAlign w:val="center"/>
          </w:tcPr>
          <w:p w14:paraId="15BA7D92">
            <w:pPr>
              <w:spacing w:line="440" w:lineRule="exact"/>
              <w:rPr>
                <w:rFonts w:eastAsia="黑体"/>
                <w:sz w:val="24"/>
              </w:rPr>
            </w:pPr>
          </w:p>
        </w:tc>
        <w:tc>
          <w:tcPr>
            <w:tcW w:w="2440" w:type="dxa"/>
            <w:gridSpan w:val="2"/>
            <w:noWrap w:val="0"/>
            <w:vAlign w:val="center"/>
          </w:tcPr>
          <w:p w14:paraId="6CD7E503">
            <w:pPr>
              <w:spacing w:line="440" w:lineRule="exact"/>
              <w:rPr>
                <w:rFonts w:eastAsia="黑体"/>
                <w:sz w:val="24"/>
              </w:rPr>
            </w:pPr>
          </w:p>
        </w:tc>
      </w:tr>
      <w:tr w14:paraId="3E8CAD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2" w:hRule="atLeast"/>
          <w:jc w:val="center"/>
        </w:trPr>
        <w:tc>
          <w:tcPr>
            <w:tcW w:w="1642" w:type="dxa"/>
            <w:gridSpan w:val="2"/>
            <w:noWrap w:val="0"/>
            <w:vAlign w:val="center"/>
          </w:tcPr>
          <w:p w14:paraId="7C935349">
            <w:pPr>
              <w:spacing w:line="440" w:lineRule="exact"/>
              <w:rPr>
                <w:rFonts w:eastAsia="黑体"/>
                <w:sz w:val="24"/>
              </w:rPr>
            </w:pPr>
          </w:p>
        </w:tc>
        <w:tc>
          <w:tcPr>
            <w:tcW w:w="3634" w:type="dxa"/>
            <w:gridSpan w:val="4"/>
            <w:noWrap w:val="0"/>
            <w:vAlign w:val="center"/>
          </w:tcPr>
          <w:p w14:paraId="61F5914C">
            <w:pPr>
              <w:spacing w:line="440" w:lineRule="exact"/>
              <w:rPr>
                <w:rFonts w:eastAsia="黑体"/>
                <w:sz w:val="24"/>
              </w:rPr>
            </w:pPr>
          </w:p>
        </w:tc>
        <w:tc>
          <w:tcPr>
            <w:tcW w:w="1340" w:type="dxa"/>
            <w:noWrap w:val="0"/>
            <w:vAlign w:val="center"/>
          </w:tcPr>
          <w:p w14:paraId="154E70E0">
            <w:pPr>
              <w:spacing w:line="440" w:lineRule="exact"/>
              <w:rPr>
                <w:rFonts w:eastAsia="黑体"/>
                <w:sz w:val="24"/>
              </w:rPr>
            </w:pPr>
          </w:p>
        </w:tc>
        <w:tc>
          <w:tcPr>
            <w:tcW w:w="2440" w:type="dxa"/>
            <w:gridSpan w:val="2"/>
            <w:noWrap w:val="0"/>
            <w:vAlign w:val="center"/>
          </w:tcPr>
          <w:p w14:paraId="11A2A44B">
            <w:pPr>
              <w:spacing w:line="440" w:lineRule="exact"/>
              <w:rPr>
                <w:rFonts w:eastAsia="黑体"/>
                <w:sz w:val="24"/>
              </w:rPr>
            </w:pPr>
          </w:p>
        </w:tc>
      </w:tr>
      <w:tr w14:paraId="7D4272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2" w:hRule="atLeast"/>
          <w:jc w:val="center"/>
        </w:trPr>
        <w:tc>
          <w:tcPr>
            <w:tcW w:w="1642" w:type="dxa"/>
            <w:gridSpan w:val="2"/>
            <w:noWrap w:val="0"/>
            <w:vAlign w:val="center"/>
          </w:tcPr>
          <w:p w14:paraId="06C94C67">
            <w:pPr>
              <w:spacing w:line="440" w:lineRule="exact"/>
              <w:rPr>
                <w:rFonts w:eastAsia="黑体"/>
                <w:sz w:val="24"/>
              </w:rPr>
            </w:pPr>
          </w:p>
        </w:tc>
        <w:tc>
          <w:tcPr>
            <w:tcW w:w="3634" w:type="dxa"/>
            <w:gridSpan w:val="4"/>
            <w:noWrap w:val="0"/>
            <w:vAlign w:val="center"/>
          </w:tcPr>
          <w:p w14:paraId="61469567">
            <w:pPr>
              <w:spacing w:line="440" w:lineRule="exact"/>
              <w:rPr>
                <w:rFonts w:eastAsia="黑体"/>
                <w:sz w:val="24"/>
              </w:rPr>
            </w:pPr>
          </w:p>
        </w:tc>
        <w:tc>
          <w:tcPr>
            <w:tcW w:w="1340" w:type="dxa"/>
            <w:noWrap w:val="0"/>
            <w:vAlign w:val="center"/>
          </w:tcPr>
          <w:p w14:paraId="4ECFF88C">
            <w:pPr>
              <w:spacing w:line="440" w:lineRule="exact"/>
              <w:rPr>
                <w:rFonts w:eastAsia="黑体"/>
                <w:sz w:val="24"/>
              </w:rPr>
            </w:pPr>
          </w:p>
        </w:tc>
        <w:tc>
          <w:tcPr>
            <w:tcW w:w="2440" w:type="dxa"/>
            <w:gridSpan w:val="2"/>
            <w:noWrap w:val="0"/>
            <w:vAlign w:val="center"/>
          </w:tcPr>
          <w:p w14:paraId="12231185">
            <w:pPr>
              <w:spacing w:line="440" w:lineRule="exact"/>
              <w:rPr>
                <w:rFonts w:eastAsia="黑体"/>
                <w:sz w:val="24"/>
              </w:rPr>
            </w:pPr>
          </w:p>
        </w:tc>
      </w:tr>
      <w:tr w14:paraId="45FAF1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2" w:hRule="atLeast"/>
          <w:jc w:val="center"/>
        </w:trPr>
        <w:tc>
          <w:tcPr>
            <w:tcW w:w="1642" w:type="dxa"/>
            <w:gridSpan w:val="2"/>
            <w:noWrap w:val="0"/>
            <w:vAlign w:val="center"/>
          </w:tcPr>
          <w:p w14:paraId="415B60AA">
            <w:pPr>
              <w:spacing w:line="440" w:lineRule="exact"/>
              <w:rPr>
                <w:rFonts w:eastAsia="黑体"/>
                <w:sz w:val="24"/>
              </w:rPr>
            </w:pPr>
          </w:p>
        </w:tc>
        <w:tc>
          <w:tcPr>
            <w:tcW w:w="3634" w:type="dxa"/>
            <w:gridSpan w:val="4"/>
            <w:noWrap w:val="0"/>
            <w:vAlign w:val="center"/>
          </w:tcPr>
          <w:p w14:paraId="6920B6D1">
            <w:pPr>
              <w:spacing w:line="440" w:lineRule="exact"/>
              <w:rPr>
                <w:rFonts w:eastAsia="黑体"/>
                <w:sz w:val="24"/>
              </w:rPr>
            </w:pPr>
          </w:p>
        </w:tc>
        <w:tc>
          <w:tcPr>
            <w:tcW w:w="1340" w:type="dxa"/>
            <w:noWrap w:val="0"/>
            <w:vAlign w:val="center"/>
          </w:tcPr>
          <w:p w14:paraId="2E046118">
            <w:pPr>
              <w:spacing w:line="440" w:lineRule="exact"/>
              <w:rPr>
                <w:rFonts w:eastAsia="黑体"/>
                <w:sz w:val="24"/>
              </w:rPr>
            </w:pPr>
          </w:p>
        </w:tc>
        <w:tc>
          <w:tcPr>
            <w:tcW w:w="2440" w:type="dxa"/>
            <w:gridSpan w:val="2"/>
            <w:noWrap w:val="0"/>
            <w:vAlign w:val="center"/>
          </w:tcPr>
          <w:p w14:paraId="51830193">
            <w:pPr>
              <w:spacing w:line="440" w:lineRule="exact"/>
              <w:rPr>
                <w:rFonts w:eastAsia="黑体"/>
                <w:sz w:val="24"/>
              </w:rPr>
            </w:pPr>
          </w:p>
        </w:tc>
      </w:tr>
      <w:tr w14:paraId="3D45D8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2" w:hRule="atLeast"/>
          <w:jc w:val="center"/>
        </w:trPr>
        <w:tc>
          <w:tcPr>
            <w:tcW w:w="1642" w:type="dxa"/>
            <w:gridSpan w:val="2"/>
            <w:noWrap w:val="0"/>
            <w:vAlign w:val="center"/>
          </w:tcPr>
          <w:p w14:paraId="4E6FB0DB">
            <w:pPr>
              <w:spacing w:line="440" w:lineRule="exact"/>
              <w:rPr>
                <w:rFonts w:eastAsia="黑体"/>
                <w:sz w:val="24"/>
              </w:rPr>
            </w:pPr>
          </w:p>
        </w:tc>
        <w:tc>
          <w:tcPr>
            <w:tcW w:w="3634" w:type="dxa"/>
            <w:gridSpan w:val="4"/>
            <w:noWrap w:val="0"/>
            <w:vAlign w:val="center"/>
          </w:tcPr>
          <w:p w14:paraId="2CCC90B3">
            <w:pPr>
              <w:spacing w:line="440" w:lineRule="exact"/>
              <w:rPr>
                <w:rFonts w:eastAsia="黑体"/>
                <w:sz w:val="24"/>
              </w:rPr>
            </w:pPr>
          </w:p>
        </w:tc>
        <w:tc>
          <w:tcPr>
            <w:tcW w:w="1340" w:type="dxa"/>
            <w:noWrap w:val="0"/>
            <w:vAlign w:val="center"/>
          </w:tcPr>
          <w:p w14:paraId="5B1DB409">
            <w:pPr>
              <w:spacing w:line="440" w:lineRule="exact"/>
              <w:rPr>
                <w:rFonts w:eastAsia="黑体"/>
                <w:sz w:val="24"/>
              </w:rPr>
            </w:pPr>
          </w:p>
        </w:tc>
        <w:tc>
          <w:tcPr>
            <w:tcW w:w="2440" w:type="dxa"/>
            <w:gridSpan w:val="2"/>
            <w:noWrap w:val="0"/>
            <w:vAlign w:val="center"/>
          </w:tcPr>
          <w:p w14:paraId="52D4EBC7">
            <w:pPr>
              <w:spacing w:line="440" w:lineRule="exact"/>
              <w:rPr>
                <w:rFonts w:eastAsia="黑体"/>
                <w:sz w:val="24"/>
              </w:rPr>
            </w:pPr>
          </w:p>
        </w:tc>
      </w:tr>
    </w:tbl>
    <w:p w14:paraId="2139B05C">
      <w:pPr>
        <w:spacing w:line="440" w:lineRule="exact"/>
        <w:rPr>
          <w:rFonts w:hint="eastAsia" w:eastAsia="黑体"/>
          <w:sz w:val="20"/>
          <w:szCs w:val="20"/>
        </w:rPr>
      </w:pPr>
    </w:p>
    <w:p w14:paraId="0E97DE7F">
      <w:pPr>
        <w:topLinePunct/>
        <w:spacing w:line="440" w:lineRule="exact"/>
        <w:jc w:val="center"/>
        <w:rPr>
          <w:rFonts w:hint="eastAsia"/>
        </w:rPr>
      </w:pPr>
      <w:r>
        <w:br w:type="page"/>
      </w:r>
    </w:p>
    <w:p w14:paraId="45371135">
      <w:pPr>
        <w:pStyle w:val="85"/>
        <w:jc w:val="center"/>
        <w:rPr>
          <w:sz w:val="30"/>
          <w:szCs w:val="30"/>
        </w:rPr>
      </w:pPr>
      <w:bookmarkStart w:id="1616" w:name="_Toc100487602"/>
      <w:bookmarkStart w:id="1617" w:name="_Toc152042595"/>
      <w:bookmarkStart w:id="1618" w:name="_Toc152045806"/>
      <w:bookmarkStart w:id="1619" w:name="_Toc144974874"/>
      <w:r>
        <w:rPr>
          <w:rFonts w:hint="eastAsia"/>
          <w:sz w:val="30"/>
          <w:szCs w:val="30"/>
        </w:rPr>
        <w:t>八</w:t>
      </w:r>
      <w:r>
        <w:rPr>
          <w:sz w:val="30"/>
          <w:szCs w:val="30"/>
        </w:rPr>
        <w:t>、拟分包项目情况表</w:t>
      </w:r>
      <w:bookmarkEnd w:id="1616"/>
      <w:bookmarkEnd w:id="1617"/>
      <w:bookmarkEnd w:id="1618"/>
      <w:bookmarkEnd w:id="1619"/>
    </w:p>
    <w:p w14:paraId="3DA039F2">
      <w:pPr>
        <w:spacing w:line="440" w:lineRule="exact"/>
        <w:rPr>
          <w:rFonts w:eastAsia="黑体"/>
          <w:sz w:val="20"/>
          <w:szCs w:val="20"/>
        </w:rPr>
      </w:pPr>
      <w:r>
        <w:rPr>
          <w:rFonts w:eastAsia="黑体"/>
          <w:sz w:val="20"/>
          <w:szCs w:val="20"/>
        </w:rPr>
        <w:t xml:space="preserve">                          </w:t>
      </w:r>
    </w:p>
    <w:tbl>
      <w:tblPr>
        <w:tblStyle w:val="42"/>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282"/>
        <w:gridCol w:w="2447"/>
        <w:gridCol w:w="1982"/>
        <w:gridCol w:w="2746"/>
      </w:tblGrid>
      <w:tr w14:paraId="4D89E3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82" w:type="dxa"/>
            <w:noWrap w:val="0"/>
            <w:vAlign w:val="center"/>
          </w:tcPr>
          <w:p w14:paraId="30D1CF4B">
            <w:pPr>
              <w:spacing w:line="440" w:lineRule="exact"/>
              <w:jc w:val="center"/>
              <w:textAlignment w:val="center"/>
              <w:rPr>
                <w:rFonts w:ascii="华文细黑" w:hAnsi="华文细黑"/>
                <w:sz w:val="24"/>
              </w:rPr>
            </w:pPr>
            <w:r>
              <w:rPr>
                <w:rFonts w:ascii="华文细黑" w:hAnsi="华文细黑"/>
                <w:sz w:val="24"/>
              </w:rPr>
              <w:t>分包人名称</w:t>
            </w:r>
          </w:p>
        </w:tc>
        <w:tc>
          <w:tcPr>
            <w:tcW w:w="2447" w:type="dxa"/>
            <w:noWrap w:val="0"/>
            <w:vAlign w:val="center"/>
          </w:tcPr>
          <w:p w14:paraId="51FA0CE9">
            <w:pPr>
              <w:spacing w:line="440" w:lineRule="exact"/>
              <w:jc w:val="center"/>
              <w:textAlignment w:val="center"/>
              <w:rPr>
                <w:rFonts w:ascii="华文细黑" w:hAnsi="华文细黑"/>
                <w:sz w:val="24"/>
              </w:rPr>
            </w:pPr>
          </w:p>
        </w:tc>
        <w:tc>
          <w:tcPr>
            <w:tcW w:w="1982" w:type="dxa"/>
            <w:noWrap w:val="0"/>
            <w:vAlign w:val="center"/>
          </w:tcPr>
          <w:p w14:paraId="5AD09741">
            <w:pPr>
              <w:spacing w:line="440" w:lineRule="exact"/>
              <w:jc w:val="center"/>
              <w:textAlignment w:val="center"/>
              <w:rPr>
                <w:rFonts w:ascii="华文细黑" w:hAnsi="华文细黑"/>
                <w:sz w:val="24"/>
              </w:rPr>
            </w:pPr>
            <w:r>
              <w:rPr>
                <w:rFonts w:ascii="华文细黑" w:hAnsi="华文细黑"/>
                <w:sz w:val="24"/>
              </w:rPr>
              <w:t>地 址</w:t>
            </w:r>
          </w:p>
        </w:tc>
        <w:tc>
          <w:tcPr>
            <w:tcW w:w="2746" w:type="dxa"/>
            <w:noWrap w:val="0"/>
            <w:vAlign w:val="center"/>
          </w:tcPr>
          <w:p w14:paraId="1833746B">
            <w:pPr>
              <w:spacing w:line="440" w:lineRule="exact"/>
              <w:jc w:val="center"/>
              <w:textAlignment w:val="center"/>
              <w:rPr>
                <w:rFonts w:ascii="华文细黑" w:hAnsi="华文细黑"/>
                <w:sz w:val="24"/>
              </w:rPr>
            </w:pPr>
          </w:p>
        </w:tc>
      </w:tr>
      <w:tr w14:paraId="67566D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82" w:type="dxa"/>
            <w:noWrap w:val="0"/>
            <w:vAlign w:val="center"/>
          </w:tcPr>
          <w:p w14:paraId="1475D244">
            <w:pPr>
              <w:spacing w:line="440" w:lineRule="exact"/>
              <w:jc w:val="center"/>
              <w:textAlignment w:val="center"/>
              <w:rPr>
                <w:rFonts w:ascii="华文细黑" w:hAnsi="华文细黑"/>
                <w:sz w:val="24"/>
              </w:rPr>
            </w:pPr>
            <w:r>
              <w:rPr>
                <w:rFonts w:ascii="华文细黑" w:hAnsi="华文细黑"/>
                <w:sz w:val="24"/>
              </w:rPr>
              <w:t>法定代表人</w:t>
            </w:r>
          </w:p>
        </w:tc>
        <w:tc>
          <w:tcPr>
            <w:tcW w:w="2447" w:type="dxa"/>
            <w:noWrap w:val="0"/>
            <w:vAlign w:val="center"/>
          </w:tcPr>
          <w:p w14:paraId="0C25DA66">
            <w:pPr>
              <w:spacing w:line="440" w:lineRule="exact"/>
              <w:jc w:val="center"/>
              <w:textAlignment w:val="center"/>
              <w:rPr>
                <w:rFonts w:ascii="华文细黑" w:hAnsi="华文细黑"/>
                <w:sz w:val="24"/>
              </w:rPr>
            </w:pPr>
          </w:p>
        </w:tc>
        <w:tc>
          <w:tcPr>
            <w:tcW w:w="1982" w:type="dxa"/>
            <w:noWrap w:val="0"/>
            <w:vAlign w:val="center"/>
          </w:tcPr>
          <w:p w14:paraId="3F23E916">
            <w:pPr>
              <w:spacing w:line="440" w:lineRule="exact"/>
              <w:jc w:val="center"/>
              <w:textAlignment w:val="center"/>
              <w:rPr>
                <w:rFonts w:ascii="华文细黑" w:hAnsi="华文细黑"/>
                <w:sz w:val="24"/>
              </w:rPr>
            </w:pPr>
            <w:r>
              <w:rPr>
                <w:rFonts w:ascii="华文细黑" w:hAnsi="华文细黑"/>
                <w:sz w:val="24"/>
              </w:rPr>
              <w:t>电</w:t>
            </w:r>
            <w:r>
              <w:rPr>
                <w:rFonts w:hint="eastAsia" w:ascii="华文细黑" w:hAnsi="华文细黑"/>
                <w:sz w:val="24"/>
              </w:rPr>
              <w:t xml:space="preserve"> </w:t>
            </w:r>
            <w:r>
              <w:rPr>
                <w:rFonts w:ascii="华文细黑" w:hAnsi="华文细黑"/>
                <w:sz w:val="24"/>
              </w:rPr>
              <w:t>话</w:t>
            </w:r>
          </w:p>
        </w:tc>
        <w:tc>
          <w:tcPr>
            <w:tcW w:w="2746" w:type="dxa"/>
            <w:noWrap w:val="0"/>
            <w:vAlign w:val="center"/>
          </w:tcPr>
          <w:p w14:paraId="0E81B7CC">
            <w:pPr>
              <w:spacing w:line="440" w:lineRule="exact"/>
              <w:jc w:val="center"/>
              <w:textAlignment w:val="center"/>
              <w:rPr>
                <w:rFonts w:ascii="华文细黑" w:hAnsi="华文细黑"/>
                <w:sz w:val="24"/>
              </w:rPr>
            </w:pPr>
          </w:p>
        </w:tc>
      </w:tr>
      <w:tr w14:paraId="14DA1C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82" w:type="dxa"/>
            <w:noWrap w:val="0"/>
            <w:vAlign w:val="center"/>
          </w:tcPr>
          <w:p w14:paraId="2E2E1644">
            <w:pPr>
              <w:spacing w:line="440" w:lineRule="exact"/>
              <w:jc w:val="center"/>
              <w:textAlignment w:val="center"/>
              <w:rPr>
                <w:rFonts w:ascii="华文细黑" w:hAnsi="华文细黑"/>
                <w:sz w:val="24"/>
              </w:rPr>
            </w:pPr>
            <w:r>
              <w:rPr>
                <w:rFonts w:ascii="华文细黑" w:hAnsi="华文细黑"/>
                <w:sz w:val="24"/>
              </w:rPr>
              <w:t>营业执照号码</w:t>
            </w:r>
          </w:p>
        </w:tc>
        <w:tc>
          <w:tcPr>
            <w:tcW w:w="2447" w:type="dxa"/>
            <w:noWrap w:val="0"/>
            <w:vAlign w:val="center"/>
          </w:tcPr>
          <w:p w14:paraId="4CC7CFFB">
            <w:pPr>
              <w:spacing w:line="440" w:lineRule="exact"/>
              <w:jc w:val="center"/>
              <w:textAlignment w:val="center"/>
              <w:rPr>
                <w:rFonts w:ascii="华文细黑" w:hAnsi="华文细黑"/>
                <w:sz w:val="24"/>
              </w:rPr>
            </w:pPr>
          </w:p>
        </w:tc>
        <w:tc>
          <w:tcPr>
            <w:tcW w:w="1982" w:type="dxa"/>
            <w:noWrap w:val="0"/>
            <w:vAlign w:val="center"/>
          </w:tcPr>
          <w:p w14:paraId="19C1DE42">
            <w:pPr>
              <w:spacing w:line="440" w:lineRule="exact"/>
              <w:jc w:val="center"/>
              <w:textAlignment w:val="center"/>
              <w:rPr>
                <w:rFonts w:ascii="华文细黑" w:hAnsi="华文细黑"/>
                <w:sz w:val="24"/>
              </w:rPr>
            </w:pPr>
            <w:r>
              <w:rPr>
                <w:rFonts w:ascii="华文细黑" w:hAnsi="华文细黑"/>
                <w:sz w:val="24"/>
              </w:rPr>
              <w:t>资质等级</w:t>
            </w:r>
          </w:p>
        </w:tc>
        <w:tc>
          <w:tcPr>
            <w:tcW w:w="2746" w:type="dxa"/>
            <w:noWrap w:val="0"/>
            <w:vAlign w:val="center"/>
          </w:tcPr>
          <w:p w14:paraId="37803B57">
            <w:pPr>
              <w:spacing w:line="440" w:lineRule="exact"/>
              <w:jc w:val="center"/>
              <w:textAlignment w:val="center"/>
              <w:rPr>
                <w:rFonts w:ascii="华文细黑" w:hAnsi="华文细黑"/>
                <w:sz w:val="24"/>
              </w:rPr>
            </w:pPr>
          </w:p>
        </w:tc>
      </w:tr>
      <w:tr w14:paraId="0B3501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82" w:type="dxa"/>
            <w:noWrap w:val="0"/>
            <w:vAlign w:val="center"/>
          </w:tcPr>
          <w:p w14:paraId="7BA716C9">
            <w:pPr>
              <w:spacing w:line="440" w:lineRule="exact"/>
              <w:jc w:val="center"/>
              <w:textAlignment w:val="center"/>
              <w:rPr>
                <w:rFonts w:ascii="华文细黑" w:hAnsi="华文细黑"/>
                <w:sz w:val="24"/>
              </w:rPr>
            </w:pPr>
            <w:r>
              <w:rPr>
                <w:rFonts w:ascii="华文细黑" w:hAnsi="华文细黑"/>
                <w:sz w:val="24"/>
              </w:rPr>
              <w:t>拟分包的工程项目</w:t>
            </w:r>
          </w:p>
        </w:tc>
        <w:tc>
          <w:tcPr>
            <w:tcW w:w="2447" w:type="dxa"/>
            <w:noWrap w:val="0"/>
            <w:vAlign w:val="center"/>
          </w:tcPr>
          <w:p w14:paraId="7903EF1F">
            <w:pPr>
              <w:spacing w:line="440" w:lineRule="exact"/>
              <w:jc w:val="center"/>
              <w:textAlignment w:val="center"/>
              <w:rPr>
                <w:rFonts w:ascii="华文细黑" w:hAnsi="华文细黑"/>
                <w:sz w:val="24"/>
              </w:rPr>
            </w:pPr>
            <w:r>
              <w:rPr>
                <w:rFonts w:ascii="华文细黑" w:hAnsi="华文细黑"/>
                <w:sz w:val="24"/>
              </w:rPr>
              <w:t>主 要 内 容</w:t>
            </w:r>
          </w:p>
        </w:tc>
        <w:tc>
          <w:tcPr>
            <w:tcW w:w="1982" w:type="dxa"/>
            <w:noWrap w:val="0"/>
            <w:vAlign w:val="center"/>
          </w:tcPr>
          <w:p w14:paraId="3F8FB89D">
            <w:pPr>
              <w:spacing w:line="440" w:lineRule="exact"/>
              <w:jc w:val="center"/>
              <w:textAlignment w:val="center"/>
              <w:rPr>
                <w:rFonts w:ascii="华文细黑" w:hAnsi="华文细黑"/>
                <w:sz w:val="24"/>
              </w:rPr>
            </w:pPr>
            <w:r>
              <w:rPr>
                <w:rFonts w:ascii="华文细黑" w:hAnsi="华文细黑"/>
                <w:sz w:val="24"/>
              </w:rPr>
              <w:t>预计造价（万元）</w:t>
            </w:r>
          </w:p>
        </w:tc>
        <w:tc>
          <w:tcPr>
            <w:tcW w:w="2746" w:type="dxa"/>
            <w:noWrap w:val="0"/>
            <w:vAlign w:val="center"/>
          </w:tcPr>
          <w:p w14:paraId="7231B64C">
            <w:pPr>
              <w:spacing w:line="440" w:lineRule="exact"/>
              <w:jc w:val="center"/>
              <w:textAlignment w:val="center"/>
              <w:rPr>
                <w:rFonts w:ascii="华文细黑" w:hAnsi="华文细黑"/>
                <w:sz w:val="24"/>
              </w:rPr>
            </w:pPr>
            <w:r>
              <w:rPr>
                <w:rFonts w:ascii="华文细黑" w:hAnsi="华文细黑"/>
                <w:sz w:val="24"/>
              </w:rPr>
              <w:t>已经做过的类似工程</w:t>
            </w:r>
          </w:p>
        </w:tc>
      </w:tr>
      <w:tr w14:paraId="256377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0" w:hRule="atLeast"/>
        </w:trPr>
        <w:tc>
          <w:tcPr>
            <w:tcW w:w="2282" w:type="dxa"/>
            <w:noWrap w:val="0"/>
            <w:vAlign w:val="center"/>
          </w:tcPr>
          <w:p w14:paraId="57B5EB7C">
            <w:pPr>
              <w:spacing w:line="440" w:lineRule="exact"/>
              <w:jc w:val="center"/>
              <w:textAlignment w:val="center"/>
              <w:rPr>
                <w:rFonts w:ascii="华文细黑" w:hAnsi="华文细黑"/>
                <w:sz w:val="24"/>
              </w:rPr>
            </w:pPr>
          </w:p>
        </w:tc>
        <w:tc>
          <w:tcPr>
            <w:tcW w:w="2447" w:type="dxa"/>
            <w:noWrap w:val="0"/>
            <w:vAlign w:val="center"/>
          </w:tcPr>
          <w:p w14:paraId="69FAD8F3">
            <w:pPr>
              <w:spacing w:line="440" w:lineRule="exact"/>
              <w:jc w:val="center"/>
              <w:textAlignment w:val="center"/>
              <w:rPr>
                <w:rFonts w:ascii="华文细黑" w:hAnsi="华文细黑"/>
                <w:sz w:val="24"/>
              </w:rPr>
            </w:pPr>
          </w:p>
        </w:tc>
        <w:tc>
          <w:tcPr>
            <w:tcW w:w="1982" w:type="dxa"/>
            <w:noWrap w:val="0"/>
            <w:vAlign w:val="center"/>
          </w:tcPr>
          <w:p w14:paraId="60BB90BE">
            <w:pPr>
              <w:spacing w:line="440" w:lineRule="exact"/>
              <w:jc w:val="center"/>
              <w:textAlignment w:val="center"/>
              <w:rPr>
                <w:rFonts w:ascii="华文细黑" w:hAnsi="华文细黑"/>
                <w:sz w:val="24"/>
              </w:rPr>
            </w:pPr>
          </w:p>
        </w:tc>
        <w:tc>
          <w:tcPr>
            <w:tcW w:w="2746" w:type="dxa"/>
            <w:vMerge w:val="restart"/>
            <w:noWrap w:val="0"/>
            <w:vAlign w:val="center"/>
          </w:tcPr>
          <w:p w14:paraId="64CC9536">
            <w:pPr>
              <w:spacing w:line="440" w:lineRule="exact"/>
              <w:jc w:val="center"/>
              <w:textAlignment w:val="center"/>
              <w:rPr>
                <w:rFonts w:ascii="华文细黑" w:hAnsi="华文细黑"/>
                <w:sz w:val="24"/>
              </w:rPr>
            </w:pPr>
          </w:p>
          <w:p w14:paraId="0E186A14">
            <w:pPr>
              <w:spacing w:line="440" w:lineRule="exact"/>
              <w:jc w:val="center"/>
              <w:textAlignment w:val="center"/>
              <w:rPr>
                <w:rFonts w:ascii="华文细黑" w:hAnsi="华文细黑"/>
                <w:sz w:val="24"/>
              </w:rPr>
            </w:pPr>
          </w:p>
          <w:p w14:paraId="426B9D08">
            <w:pPr>
              <w:spacing w:line="440" w:lineRule="exact"/>
              <w:jc w:val="center"/>
              <w:textAlignment w:val="center"/>
              <w:rPr>
                <w:rFonts w:ascii="华文细黑" w:hAnsi="华文细黑"/>
                <w:sz w:val="24"/>
              </w:rPr>
            </w:pPr>
          </w:p>
          <w:p w14:paraId="5873DAC7">
            <w:pPr>
              <w:spacing w:line="440" w:lineRule="exact"/>
              <w:jc w:val="center"/>
              <w:textAlignment w:val="center"/>
              <w:rPr>
                <w:rFonts w:ascii="华文细黑" w:hAnsi="华文细黑"/>
                <w:sz w:val="24"/>
              </w:rPr>
            </w:pPr>
          </w:p>
          <w:p w14:paraId="69B00067">
            <w:pPr>
              <w:spacing w:line="440" w:lineRule="exact"/>
              <w:jc w:val="center"/>
              <w:textAlignment w:val="center"/>
              <w:rPr>
                <w:rFonts w:ascii="华文细黑" w:hAnsi="华文细黑"/>
                <w:sz w:val="24"/>
              </w:rPr>
            </w:pPr>
          </w:p>
          <w:p w14:paraId="748679DC">
            <w:pPr>
              <w:spacing w:line="440" w:lineRule="exact"/>
              <w:jc w:val="center"/>
              <w:textAlignment w:val="center"/>
              <w:rPr>
                <w:rFonts w:ascii="华文细黑" w:hAnsi="华文细黑"/>
                <w:sz w:val="24"/>
              </w:rPr>
            </w:pPr>
          </w:p>
        </w:tc>
      </w:tr>
      <w:tr w14:paraId="45AAF1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0" w:hRule="atLeast"/>
        </w:trPr>
        <w:tc>
          <w:tcPr>
            <w:tcW w:w="2282" w:type="dxa"/>
            <w:noWrap w:val="0"/>
            <w:vAlign w:val="center"/>
          </w:tcPr>
          <w:p w14:paraId="341A7401">
            <w:pPr>
              <w:spacing w:line="440" w:lineRule="exact"/>
              <w:jc w:val="center"/>
              <w:textAlignment w:val="center"/>
              <w:rPr>
                <w:rFonts w:ascii="华文细黑" w:hAnsi="华文细黑"/>
                <w:sz w:val="24"/>
              </w:rPr>
            </w:pPr>
          </w:p>
        </w:tc>
        <w:tc>
          <w:tcPr>
            <w:tcW w:w="2447" w:type="dxa"/>
            <w:noWrap w:val="0"/>
            <w:vAlign w:val="center"/>
          </w:tcPr>
          <w:p w14:paraId="1966696E">
            <w:pPr>
              <w:spacing w:line="440" w:lineRule="exact"/>
              <w:jc w:val="center"/>
              <w:textAlignment w:val="center"/>
              <w:rPr>
                <w:rFonts w:ascii="华文细黑" w:hAnsi="华文细黑"/>
                <w:sz w:val="24"/>
              </w:rPr>
            </w:pPr>
          </w:p>
        </w:tc>
        <w:tc>
          <w:tcPr>
            <w:tcW w:w="1982" w:type="dxa"/>
            <w:noWrap w:val="0"/>
            <w:vAlign w:val="center"/>
          </w:tcPr>
          <w:p w14:paraId="09B72338">
            <w:pPr>
              <w:spacing w:line="440" w:lineRule="exact"/>
              <w:jc w:val="center"/>
              <w:textAlignment w:val="center"/>
              <w:rPr>
                <w:rFonts w:ascii="华文细黑" w:hAnsi="华文细黑"/>
                <w:sz w:val="24"/>
              </w:rPr>
            </w:pPr>
          </w:p>
        </w:tc>
        <w:tc>
          <w:tcPr>
            <w:tcW w:w="2746" w:type="dxa"/>
            <w:vMerge w:val="continue"/>
            <w:noWrap w:val="0"/>
            <w:vAlign w:val="center"/>
          </w:tcPr>
          <w:p w14:paraId="4205D81A">
            <w:pPr>
              <w:spacing w:line="440" w:lineRule="exact"/>
              <w:jc w:val="center"/>
              <w:textAlignment w:val="center"/>
              <w:rPr>
                <w:rFonts w:ascii="华文细黑" w:hAnsi="华文细黑"/>
                <w:sz w:val="24"/>
              </w:rPr>
            </w:pPr>
          </w:p>
        </w:tc>
      </w:tr>
      <w:tr w14:paraId="4E7EB0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0" w:hRule="atLeast"/>
        </w:trPr>
        <w:tc>
          <w:tcPr>
            <w:tcW w:w="2282" w:type="dxa"/>
            <w:noWrap w:val="0"/>
            <w:vAlign w:val="center"/>
          </w:tcPr>
          <w:p w14:paraId="159BAD8D">
            <w:pPr>
              <w:spacing w:line="440" w:lineRule="exact"/>
              <w:jc w:val="center"/>
              <w:textAlignment w:val="center"/>
              <w:rPr>
                <w:rFonts w:ascii="华文细黑" w:hAnsi="华文细黑"/>
                <w:sz w:val="24"/>
              </w:rPr>
            </w:pPr>
          </w:p>
        </w:tc>
        <w:tc>
          <w:tcPr>
            <w:tcW w:w="2447" w:type="dxa"/>
            <w:noWrap w:val="0"/>
            <w:vAlign w:val="center"/>
          </w:tcPr>
          <w:p w14:paraId="180C93A4">
            <w:pPr>
              <w:spacing w:line="440" w:lineRule="exact"/>
              <w:jc w:val="center"/>
              <w:textAlignment w:val="center"/>
              <w:rPr>
                <w:rFonts w:ascii="华文细黑" w:hAnsi="华文细黑"/>
                <w:sz w:val="24"/>
              </w:rPr>
            </w:pPr>
          </w:p>
        </w:tc>
        <w:tc>
          <w:tcPr>
            <w:tcW w:w="1982" w:type="dxa"/>
            <w:noWrap w:val="0"/>
            <w:vAlign w:val="center"/>
          </w:tcPr>
          <w:p w14:paraId="43CAE93B">
            <w:pPr>
              <w:spacing w:line="440" w:lineRule="exact"/>
              <w:jc w:val="center"/>
              <w:textAlignment w:val="center"/>
              <w:rPr>
                <w:rFonts w:ascii="华文细黑" w:hAnsi="华文细黑"/>
                <w:sz w:val="24"/>
              </w:rPr>
            </w:pPr>
          </w:p>
        </w:tc>
        <w:tc>
          <w:tcPr>
            <w:tcW w:w="2746" w:type="dxa"/>
            <w:vMerge w:val="continue"/>
            <w:noWrap w:val="0"/>
            <w:vAlign w:val="center"/>
          </w:tcPr>
          <w:p w14:paraId="36A88A13">
            <w:pPr>
              <w:spacing w:line="440" w:lineRule="exact"/>
              <w:jc w:val="center"/>
              <w:textAlignment w:val="center"/>
              <w:rPr>
                <w:rFonts w:ascii="华文细黑" w:hAnsi="华文细黑"/>
                <w:sz w:val="24"/>
              </w:rPr>
            </w:pPr>
          </w:p>
        </w:tc>
      </w:tr>
      <w:tr w14:paraId="2BB7C1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trPr>
        <w:tc>
          <w:tcPr>
            <w:tcW w:w="2282" w:type="dxa"/>
            <w:noWrap w:val="0"/>
            <w:vAlign w:val="center"/>
          </w:tcPr>
          <w:p w14:paraId="3D793E16">
            <w:pPr>
              <w:spacing w:line="440" w:lineRule="exact"/>
              <w:jc w:val="center"/>
              <w:textAlignment w:val="center"/>
              <w:rPr>
                <w:rFonts w:ascii="华文细黑" w:hAnsi="华文细黑"/>
                <w:sz w:val="24"/>
              </w:rPr>
            </w:pPr>
          </w:p>
        </w:tc>
        <w:tc>
          <w:tcPr>
            <w:tcW w:w="2447" w:type="dxa"/>
            <w:noWrap w:val="0"/>
            <w:vAlign w:val="center"/>
          </w:tcPr>
          <w:p w14:paraId="0ADD8385">
            <w:pPr>
              <w:spacing w:line="440" w:lineRule="exact"/>
              <w:jc w:val="center"/>
              <w:textAlignment w:val="center"/>
              <w:rPr>
                <w:rFonts w:ascii="华文细黑" w:hAnsi="华文细黑"/>
                <w:sz w:val="24"/>
              </w:rPr>
            </w:pPr>
          </w:p>
        </w:tc>
        <w:tc>
          <w:tcPr>
            <w:tcW w:w="1982" w:type="dxa"/>
            <w:noWrap w:val="0"/>
            <w:vAlign w:val="center"/>
          </w:tcPr>
          <w:p w14:paraId="5916545F">
            <w:pPr>
              <w:spacing w:line="440" w:lineRule="exact"/>
              <w:jc w:val="center"/>
              <w:textAlignment w:val="center"/>
              <w:rPr>
                <w:rFonts w:ascii="华文细黑" w:hAnsi="华文细黑"/>
                <w:sz w:val="24"/>
              </w:rPr>
            </w:pPr>
          </w:p>
        </w:tc>
        <w:tc>
          <w:tcPr>
            <w:tcW w:w="2746" w:type="dxa"/>
            <w:vMerge w:val="continue"/>
            <w:noWrap w:val="0"/>
            <w:vAlign w:val="center"/>
          </w:tcPr>
          <w:p w14:paraId="207736F2">
            <w:pPr>
              <w:spacing w:line="440" w:lineRule="exact"/>
              <w:jc w:val="center"/>
              <w:textAlignment w:val="center"/>
              <w:rPr>
                <w:rFonts w:ascii="华文细黑" w:hAnsi="华文细黑"/>
                <w:sz w:val="24"/>
              </w:rPr>
            </w:pPr>
          </w:p>
        </w:tc>
      </w:tr>
      <w:tr w14:paraId="602193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0" w:hRule="atLeast"/>
        </w:trPr>
        <w:tc>
          <w:tcPr>
            <w:tcW w:w="2282" w:type="dxa"/>
            <w:noWrap w:val="0"/>
            <w:vAlign w:val="center"/>
          </w:tcPr>
          <w:p w14:paraId="0829258D">
            <w:pPr>
              <w:spacing w:line="440" w:lineRule="exact"/>
              <w:jc w:val="center"/>
              <w:textAlignment w:val="center"/>
              <w:rPr>
                <w:rFonts w:ascii="华文细黑" w:hAnsi="华文细黑"/>
                <w:sz w:val="24"/>
              </w:rPr>
            </w:pPr>
          </w:p>
        </w:tc>
        <w:tc>
          <w:tcPr>
            <w:tcW w:w="2447" w:type="dxa"/>
            <w:noWrap w:val="0"/>
            <w:vAlign w:val="center"/>
          </w:tcPr>
          <w:p w14:paraId="6A4A7180">
            <w:pPr>
              <w:spacing w:line="440" w:lineRule="exact"/>
              <w:jc w:val="center"/>
              <w:textAlignment w:val="center"/>
              <w:rPr>
                <w:rFonts w:ascii="华文细黑" w:hAnsi="华文细黑"/>
                <w:sz w:val="24"/>
              </w:rPr>
            </w:pPr>
          </w:p>
        </w:tc>
        <w:tc>
          <w:tcPr>
            <w:tcW w:w="1982" w:type="dxa"/>
            <w:noWrap w:val="0"/>
            <w:vAlign w:val="center"/>
          </w:tcPr>
          <w:p w14:paraId="411A805F">
            <w:pPr>
              <w:spacing w:line="440" w:lineRule="exact"/>
              <w:jc w:val="center"/>
              <w:textAlignment w:val="center"/>
              <w:rPr>
                <w:rFonts w:ascii="华文细黑" w:hAnsi="华文细黑"/>
                <w:sz w:val="24"/>
              </w:rPr>
            </w:pPr>
          </w:p>
        </w:tc>
        <w:tc>
          <w:tcPr>
            <w:tcW w:w="2746" w:type="dxa"/>
            <w:vMerge w:val="continue"/>
            <w:noWrap w:val="0"/>
            <w:vAlign w:val="center"/>
          </w:tcPr>
          <w:p w14:paraId="36C33D12">
            <w:pPr>
              <w:spacing w:line="440" w:lineRule="exact"/>
              <w:jc w:val="center"/>
              <w:textAlignment w:val="center"/>
              <w:rPr>
                <w:rFonts w:ascii="华文细黑" w:hAnsi="华文细黑"/>
                <w:sz w:val="24"/>
              </w:rPr>
            </w:pPr>
          </w:p>
        </w:tc>
      </w:tr>
      <w:tr w14:paraId="14515B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0" w:hRule="atLeast"/>
        </w:trPr>
        <w:tc>
          <w:tcPr>
            <w:tcW w:w="2282" w:type="dxa"/>
            <w:noWrap w:val="0"/>
            <w:vAlign w:val="center"/>
          </w:tcPr>
          <w:p w14:paraId="72E7E139">
            <w:pPr>
              <w:spacing w:line="440" w:lineRule="exact"/>
              <w:jc w:val="center"/>
              <w:textAlignment w:val="center"/>
              <w:rPr>
                <w:rFonts w:ascii="华文细黑" w:hAnsi="华文细黑"/>
                <w:sz w:val="24"/>
              </w:rPr>
            </w:pPr>
          </w:p>
        </w:tc>
        <w:tc>
          <w:tcPr>
            <w:tcW w:w="2447" w:type="dxa"/>
            <w:noWrap w:val="0"/>
            <w:vAlign w:val="center"/>
          </w:tcPr>
          <w:p w14:paraId="1FBC989E">
            <w:pPr>
              <w:spacing w:line="440" w:lineRule="exact"/>
              <w:jc w:val="center"/>
              <w:textAlignment w:val="center"/>
              <w:rPr>
                <w:rFonts w:ascii="华文细黑" w:hAnsi="华文细黑"/>
                <w:sz w:val="24"/>
              </w:rPr>
            </w:pPr>
          </w:p>
        </w:tc>
        <w:tc>
          <w:tcPr>
            <w:tcW w:w="1982" w:type="dxa"/>
            <w:noWrap w:val="0"/>
            <w:vAlign w:val="center"/>
          </w:tcPr>
          <w:p w14:paraId="2272FC88">
            <w:pPr>
              <w:spacing w:line="440" w:lineRule="exact"/>
              <w:jc w:val="center"/>
              <w:textAlignment w:val="center"/>
              <w:rPr>
                <w:rFonts w:ascii="华文细黑" w:hAnsi="华文细黑"/>
                <w:sz w:val="24"/>
              </w:rPr>
            </w:pPr>
          </w:p>
        </w:tc>
        <w:tc>
          <w:tcPr>
            <w:tcW w:w="2746" w:type="dxa"/>
            <w:vMerge w:val="continue"/>
            <w:noWrap w:val="0"/>
            <w:vAlign w:val="center"/>
          </w:tcPr>
          <w:p w14:paraId="6077531D">
            <w:pPr>
              <w:spacing w:line="440" w:lineRule="exact"/>
              <w:jc w:val="center"/>
              <w:textAlignment w:val="center"/>
              <w:rPr>
                <w:rFonts w:ascii="华文细黑" w:hAnsi="华文细黑"/>
                <w:sz w:val="24"/>
              </w:rPr>
            </w:pPr>
          </w:p>
        </w:tc>
      </w:tr>
      <w:tr w14:paraId="55750C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0" w:hRule="atLeast"/>
        </w:trPr>
        <w:tc>
          <w:tcPr>
            <w:tcW w:w="2282" w:type="dxa"/>
            <w:noWrap w:val="0"/>
            <w:vAlign w:val="center"/>
          </w:tcPr>
          <w:p w14:paraId="609C2DAB">
            <w:pPr>
              <w:spacing w:line="440" w:lineRule="exact"/>
              <w:jc w:val="center"/>
              <w:textAlignment w:val="center"/>
              <w:rPr>
                <w:rFonts w:ascii="华文细黑" w:hAnsi="华文细黑"/>
                <w:sz w:val="24"/>
              </w:rPr>
            </w:pPr>
          </w:p>
        </w:tc>
        <w:tc>
          <w:tcPr>
            <w:tcW w:w="2447" w:type="dxa"/>
            <w:noWrap w:val="0"/>
            <w:vAlign w:val="center"/>
          </w:tcPr>
          <w:p w14:paraId="3211D594">
            <w:pPr>
              <w:spacing w:line="440" w:lineRule="exact"/>
              <w:jc w:val="center"/>
              <w:textAlignment w:val="center"/>
              <w:rPr>
                <w:rFonts w:ascii="华文细黑" w:hAnsi="华文细黑"/>
                <w:sz w:val="24"/>
              </w:rPr>
            </w:pPr>
          </w:p>
        </w:tc>
        <w:tc>
          <w:tcPr>
            <w:tcW w:w="1982" w:type="dxa"/>
            <w:noWrap w:val="0"/>
            <w:vAlign w:val="center"/>
          </w:tcPr>
          <w:p w14:paraId="2FE9545C">
            <w:pPr>
              <w:spacing w:line="440" w:lineRule="exact"/>
              <w:jc w:val="center"/>
              <w:textAlignment w:val="center"/>
              <w:rPr>
                <w:rFonts w:ascii="华文细黑" w:hAnsi="华文细黑"/>
                <w:sz w:val="24"/>
              </w:rPr>
            </w:pPr>
          </w:p>
        </w:tc>
        <w:tc>
          <w:tcPr>
            <w:tcW w:w="2746" w:type="dxa"/>
            <w:vMerge w:val="continue"/>
            <w:noWrap w:val="0"/>
            <w:vAlign w:val="center"/>
          </w:tcPr>
          <w:p w14:paraId="0F6F438D">
            <w:pPr>
              <w:spacing w:line="440" w:lineRule="exact"/>
              <w:jc w:val="center"/>
              <w:textAlignment w:val="center"/>
              <w:rPr>
                <w:rFonts w:ascii="华文细黑" w:hAnsi="华文细黑"/>
                <w:sz w:val="24"/>
              </w:rPr>
            </w:pPr>
          </w:p>
        </w:tc>
      </w:tr>
      <w:tr w14:paraId="020BD6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0" w:hRule="atLeast"/>
        </w:trPr>
        <w:tc>
          <w:tcPr>
            <w:tcW w:w="2282" w:type="dxa"/>
            <w:noWrap w:val="0"/>
            <w:vAlign w:val="center"/>
          </w:tcPr>
          <w:p w14:paraId="2FFB0FF3">
            <w:pPr>
              <w:spacing w:line="440" w:lineRule="exact"/>
              <w:jc w:val="center"/>
              <w:textAlignment w:val="center"/>
              <w:rPr>
                <w:rFonts w:ascii="华文细黑" w:hAnsi="华文细黑"/>
                <w:sz w:val="24"/>
              </w:rPr>
            </w:pPr>
          </w:p>
        </w:tc>
        <w:tc>
          <w:tcPr>
            <w:tcW w:w="2447" w:type="dxa"/>
            <w:noWrap w:val="0"/>
            <w:vAlign w:val="center"/>
          </w:tcPr>
          <w:p w14:paraId="53D859DF">
            <w:pPr>
              <w:spacing w:line="440" w:lineRule="exact"/>
              <w:jc w:val="center"/>
              <w:textAlignment w:val="center"/>
              <w:rPr>
                <w:rFonts w:ascii="华文细黑" w:hAnsi="华文细黑"/>
                <w:sz w:val="24"/>
              </w:rPr>
            </w:pPr>
          </w:p>
        </w:tc>
        <w:tc>
          <w:tcPr>
            <w:tcW w:w="1982" w:type="dxa"/>
            <w:noWrap w:val="0"/>
            <w:vAlign w:val="center"/>
          </w:tcPr>
          <w:p w14:paraId="39A1E913">
            <w:pPr>
              <w:spacing w:line="440" w:lineRule="exact"/>
              <w:jc w:val="center"/>
              <w:textAlignment w:val="center"/>
              <w:rPr>
                <w:rFonts w:ascii="华文细黑" w:hAnsi="华文细黑"/>
                <w:sz w:val="24"/>
              </w:rPr>
            </w:pPr>
          </w:p>
        </w:tc>
        <w:tc>
          <w:tcPr>
            <w:tcW w:w="2746" w:type="dxa"/>
            <w:vMerge w:val="continue"/>
            <w:noWrap w:val="0"/>
            <w:vAlign w:val="center"/>
          </w:tcPr>
          <w:p w14:paraId="19B3BAEF">
            <w:pPr>
              <w:spacing w:line="440" w:lineRule="exact"/>
              <w:jc w:val="center"/>
              <w:textAlignment w:val="center"/>
              <w:rPr>
                <w:rFonts w:ascii="华文细黑" w:hAnsi="华文细黑"/>
                <w:sz w:val="24"/>
              </w:rPr>
            </w:pPr>
          </w:p>
        </w:tc>
      </w:tr>
      <w:tr w14:paraId="5D2262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0" w:hRule="atLeast"/>
        </w:trPr>
        <w:tc>
          <w:tcPr>
            <w:tcW w:w="2282" w:type="dxa"/>
            <w:noWrap w:val="0"/>
            <w:vAlign w:val="center"/>
          </w:tcPr>
          <w:p w14:paraId="0A9B03CF">
            <w:pPr>
              <w:spacing w:line="440" w:lineRule="exact"/>
              <w:jc w:val="center"/>
              <w:textAlignment w:val="center"/>
              <w:rPr>
                <w:rFonts w:ascii="华文细黑" w:hAnsi="华文细黑"/>
                <w:sz w:val="24"/>
              </w:rPr>
            </w:pPr>
          </w:p>
        </w:tc>
        <w:tc>
          <w:tcPr>
            <w:tcW w:w="2447" w:type="dxa"/>
            <w:noWrap w:val="0"/>
            <w:vAlign w:val="center"/>
          </w:tcPr>
          <w:p w14:paraId="398B49FB">
            <w:pPr>
              <w:spacing w:line="440" w:lineRule="exact"/>
              <w:jc w:val="center"/>
              <w:textAlignment w:val="center"/>
              <w:rPr>
                <w:rFonts w:ascii="华文细黑" w:hAnsi="华文细黑"/>
                <w:sz w:val="24"/>
              </w:rPr>
            </w:pPr>
          </w:p>
        </w:tc>
        <w:tc>
          <w:tcPr>
            <w:tcW w:w="1982" w:type="dxa"/>
            <w:noWrap w:val="0"/>
            <w:vAlign w:val="center"/>
          </w:tcPr>
          <w:p w14:paraId="2608451E">
            <w:pPr>
              <w:spacing w:line="440" w:lineRule="exact"/>
              <w:jc w:val="center"/>
              <w:textAlignment w:val="center"/>
              <w:rPr>
                <w:rFonts w:ascii="华文细黑" w:hAnsi="华文细黑"/>
                <w:sz w:val="24"/>
              </w:rPr>
            </w:pPr>
          </w:p>
        </w:tc>
        <w:tc>
          <w:tcPr>
            <w:tcW w:w="2746" w:type="dxa"/>
            <w:vMerge w:val="continue"/>
            <w:noWrap w:val="0"/>
            <w:vAlign w:val="center"/>
          </w:tcPr>
          <w:p w14:paraId="70638F8F">
            <w:pPr>
              <w:spacing w:line="440" w:lineRule="exact"/>
              <w:jc w:val="center"/>
              <w:textAlignment w:val="center"/>
              <w:rPr>
                <w:rFonts w:ascii="华文细黑" w:hAnsi="华文细黑"/>
                <w:sz w:val="24"/>
              </w:rPr>
            </w:pPr>
          </w:p>
        </w:tc>
      </w:tr>
      <w:tr w14:paraId="2BDE77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0" w:hRule="atLeast"/>
        </w:trPr>
        <w:tc>
          <w:tcPr>
            <w:tcW w:w="2282" w:type="dxa"/>
            <w:noWrap w:val="0"/>
            <w:vAlign w:val="center"/>
          </w:tcPr>
          <w:p w14:paraId="316FBC45">
            <w:pPr>
              <w:spacing w:line="440" w:lineRule="exact"/>
              <w:jc w:val="center"/>
              <w:textAlignment w:val="center"/>
              <w:rPr>
                <w:rFonts w:ascii="华文细黑" w:hAnsi="华文细黑"/>
                <w:sz w:val="24"/>
              </w:rPr>
            </w:pPr>
          </w:p>
        </w:tc>
        <w:tc>
          <w:tcPr>
            <w:tcW w:w="2447" w:type="dxa"/>
            <w:noWrap w:val="0"/>
            <w:vAlign w:val="center"/>
          </w:tcPr>
          <w:p w14:paraId="08094A64">
            <w:pPr>
              <w:spacing w:line="440" w:lineRule="exact"/>
              <w:jc w:val="center"/>
              <w:textAlignment w:val="center"/>
              <w:rPr>
                <w:rFonts w:ascii="华文细黑" w:hAnsi="华文细黑"/>
                <w:sz w:val="24"/>
              </w:rPr>
            </w:pPr>
          </w:p>
        </w:tc>
        <w:tc>
          <w:tcPr>
            <w:tcW w:w="1982" w:type="dxa"/>
            <w:noWrap w:val="0"/>
            <w:vAlign w:val="center"/>
          </w:tcPr>
          <w:p w14:paraId="0BCC4141">
            <w:pPr>
              <w:spacing w:line="440" w:lineRule="exact"/>
              <w:jc w:val="center"/>
              <w:textAlignment w:val="center"/>
              <w:rPr>
                <w:rFonts w:ascii="华文细黑" w:hAnsi="华文细黑"/>
                <w:sz w:val="24"/>
              </w:rPr>
            </w:pPr>
          </w:p>
        </w:tc>
        <w:tc>
          <w:tcPr>
            <w:tcW w:w="2746" w:type="dxa"/>
            <w:vMerge w:val="continue"/>
            <w:noWrap w:val="0"/>
            <w:vAlign w:val="center"/>
          </w:tcPr>
          <w:p w14:paraId="751B1515">
            <w:pPr>
              <w:spacing w:line="440" w:lineRule="exact"/>
              <w:jc w:val="center"/>
              <w:textAlignment w:val="center"/>
              <w:rPr>
                <w:rFonts w:ascii="华文细黑" w:hAnsi="华文细黑"/>
                <w:sz w:val="24"/>
              </w:rPr>
            </w:pPr>
          </w:p>
        </w:tc>
      </w:tr>
      <w:tr w14:paraId="1B9CAB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0" w:hRule="atLeast"/>
        </w:trPr>
        <w:tc>
          <w:tcPr>
            <w:tcW w:w="2282" w:type="dxa"/>
            <w:noWrap w:val="0"/>
            <w:vAlign w:val="center"/>
          </w:tcPr>
          <w:p w14:paraId="0B7A9BA7">
            <w:pPr>
              <w:spacing w:line="440" w:lineRule="exact"/>
              <w:jc w:val="center"/>
              <w:textAlignment w:val="center"/>
              <w:rPr>
                <w:rFonts w:ascii="华文细黑" w:hAnsi="华文细黑"/>
                <w:sz w:val="24"/>
              </w:rPr>
            </w:pPr>
          </w:p>
        </w:tc>
        <w:tc>
          <w:tcPr>
            <w:tcW w:w="2447" w:type="dxa"/>
            <w:noWrap w:val="0"/>
            <w:vAlign w:val="center"/>
          </w:tcPr>
          <w:p w14:paraId="1CDC421D">
            <w:pPr>
              <w:spacing w:line="440" w:lineRule="exact"/>
              <w:jc w:val="center"/>
              <w:textAlignment w:val="center"/>
              <w:rPr>
                <w:rFonts w:ascii="华文细黑" w:hAnsi="华文细黑"/>
                <w:sz w:val="24"/>
              </w:rPr>
            </w:pPr>
          </w:p>
        </w:tc>
        <w:tc>
          <w:tcPr>
            <w:tcW w:w="1982" w:type="dxa"/>
            <w:noWrap w:val="0"/>
            <w:vAlign w:val="center"/>
          </w:tcPr>
          <w:p w14:paraId="596E2680">
            <w:pPr>
              <w:spacing w:line="440" w:lineRule="exact"/>
              <w:jc w:val="center"/>
              <w:textAlignment w:val="center"/>
              <w:rPr>
                <w:rFonts w:ascii="华文细黑" w:hAnsi="华文细黑"/>
                <w:sz w:val="24"/>
              </w:rPr>
            </w:pPr>
          </w:p>
        </w:tc>
        <w:tc>
          <w:tcPr>
            <w:tcW w:w="2746" w:type="dxa"/>
            <w:vMerge w:val="continue"/>
            <w:noWrap w:val="0"/>
            <w:vAlign w:val="center"/>
          </w:tcPr>
          <w:p w14:paraId="3768AC30">
            <w:pPr>
              <w:spacing w:line="440" w:lineRule="exact"/>
              <w:jc w:val="center"/>
              <w:textAlignment w:val="center"/>
              <w:rPr>
                <w:rFonts w:ascii="华文细黑" w:hAnsi="华文细黑"/>
                <w:sz w:val="24"/>
              </w:rPr>
            </w:pPr>
          </w:p>
        </w:tc>
      </w:tr>
      <w:tr w14:paraId="18DBA9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0" w:hRule="atLeast"/>
        </w:trPr>
        <w:tc>
          <w:tcPr>
            <w:tcW w:w="2282" w:type="dxa"/>
            <w:noWrap w:val="0"/>
            <w:vAlign w:val="center"/>
          </w:tcPr>
          <w:p w14:paraId="57F25BA4">
            <w:pPr>
              <w:spacing w:line="440" w:lineRule="exact"/>
              <w:jc w:val="center"/>
              <w:textAlignment w:val="center"/>
              <w:rPr>
                <w:rFonts w:ascii="华文细黑" w:hAnsi="华文细黑"/>
                <w:sz w:val="24"/>
              </w:rPr>
            </w:pPr>
          </w:p>
        </w:tc>
        <w:tc>
          <w:tcPr>
            <w:tcW w:w="2447" w:type="dxa"/>
            <w:noWrap w:val="0"/>
            <w:vAlign w:val="center"/>
          </w:tcPr>
          <w:p w14:paraId="6D259ABF">
            <w:pPr>
              <w:spacing w:line="440" w:lineRule="exact"/>
              <w:jc w:val="center"/>
              <w:textAlignment w:val="center"/>
              <w:rPr>
                <w:rFonts w:ascii="华文细黑" w:hAnsi="华文细黑"/>
                <w:sz w:val="24"/>
              </w:rPr>
            </w:pPr>
          </w:p>
        </w:tc>
        <w:tc>
          <w:tcPr>
            <w:tcW w:w="1982" w:type="dxa"/>
            <w:noWrap w:val="0"/>
            <w:vAlign w:val="center"/>
          </w:tcPr>
          <w:p w14:paraId="181C6413">
            <w:pPr>
              <w:spacing w:line="440" w:lineRule="exact"/>
              <w:jc w:val="center"/>
              <w:textAlignment w:val="center"/>
              <w:rPr>
                <w:rFonts w:ascii="华文细黑" w:hAnsi="华文细黑"/>
                <w:sz w:val="24"/>
              </w:rPr>
            </w:pPr>
          </w:p>
        </w:tc>
        <w:tc>
          <w:tcPr>
            <w:tcW w:w="2746" w:type="dxa"/>
            <w:vMerge w:val="continue"/>
            <w:noWrap w:val="0"/>
            <w:vAlign w:val="center"/>
          </w:tcPr>
          <w:p w14:paraId="65A3C34D">
            <w:pPr>
              <w:spacing w:line="440" w:lineRule="exact"/>
              <w:jc w:val="center"/>
              <w:textAlignment w:val="center"/>
              <w:rPr>
                <w:rFonts w:ascii="华文细黑" w:hAnsi="华文细黑"/>
                <w:sz w:val="24"/>
              </w:rPr>
            </w:pPr>
          </w:p>
        </w:tc>
      </w:tr>
      <w:tr w14:paraId="34C836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0" w:hRule="atLeast"/>
        </w:trPr>
        <w:tc>
          <w:tcPr>
            <w:tcW w:w="2282" w:type="dxa"/>
            <w:noWrap w:val="0"/>
            <w:vAlign w:val="center"/>
          </w:tcPr>
          <w:p w14:paraId="5E3C487E">
            <w:pPr>
              <w:spacing w:line="440" w:lineRule="exact"/>
              <w:jc w:val="center"/>
              <w:textAlignment w:val="center"/>
              <w:rPr>
                <w:rFonts w:ascii="华文细黑" w:hAnsi="华文细黑"/>
                <w:sz w:val="24"/>
              </w:rPr>
            </w:pPr>
          </w:p>
        </w:tc>
        <w:tc>
          <w:tcPr>
            <w:tcW w:w="2447" w:type="dxa"/>
            <w:noWrap w:val="0"/>
            <w:vAlign w:val="center"/>
          </w:tcPr>
          <w:p w14:paraId="1D149669">
            <w:pPr>
              <w:spacing w:line="440" w:lineRule="exact"/>
              <w:jc w:val="center"/>
              <w:textAlignment w:val="center"/>
              <w:rPr>
                <w:rFonts w:ascii="华文细黑" w:hAnsi="华文细黑"/>
                <w:sz w:val="24"/>
              </w:rPr>
            </w:pPr>
          </w:p>
        </w:tc>
        <w:tc>
          <w:tcPr>
            <w:tcW w:w="1982" w:type="dxa"/>
            <w:noWrap w:val="0"/>
            <w:vAlign w:val="center"/>
          </w:tcPr>
          <w:p w14:paraId="5352ED36">
            <w:pPr>
              <w:spacing w:line="440" w:lineRule="exact"/>
              <w:jc w:val="center"/>
              <w:textAlignment w:val="center"/>
              <w:rPr>
                <w:rFonts w:ascii="华文细黑" w:hAnsi="华文细黑"/>
                <w:sz w:val="24"/>
              </w:rPr>
            </w:pPr>
          </w:p>
        </w:tc>
        <w:tc>
          <w:tcPr>
            <w:tcW w:w="2746" w:type="dxa"/>
            <w:vMerge w:val="continue"/>
            <w:noWrap w:val="0"/>
            <w:vAlign w:val="center"/>
          </w:tcPr>
          <w:p w14:paraId="66CC1282">
            <w:pPr>
              <w:spacing w:line="440" w:lineRule="exact"/>
              <w:jc w:val="center"/>
              <w:textAlignment w:val="center"/>
              <w:rPr>
                <w:rFonts w:ascii="华文细黑" w:hAnsi="华文细黑"/>
                <w:sz w:val="24"/>
              </w:rPr>
            </w:pPr>
          </w:p>
        </w:tc>
      </w:tr>
      <w:tr w14:paraId="37A560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0" w:hRule="atLeast"/>
        </w:trPr>
        <w:tc>
          <w:tcPr>
            <w:tcW w:w="2282" w:type="dxa"/>
            <w:noWrap w:val="0"/>
            <w:vAlign w:val="center"/>
          </w:tcPr>
          <w:p w14:paraId="15FC6139">
            <w:pPr>
              <w:spacing w:line="440" w:lineRule="exact"/>
              <w:jc w:val="center"/>
              <w:textAlignment w:val="center"/>
              <w:rPr>
                <w:rFonts w:ascii="华文细黑" w:hAnsi="华文细黑"/>
                <w:sz w:val="24"/>
              </w:rPr>
            </w:pPr>
          </w:p>
        </w:tc>
        <w:tc>
          <w:tcPr>
            <w:tcW w:w="2447" w:type="dxa"/>
            <w:noWrap w:val="0"/>
            <w:vAlign w:val="center"/>
          </w:tcPr>
          <w:p w14:paraId="73B8D584">
            <w:pPr>
              <w:spacing w:line="440" w:lineRule="exact"/>
              <w:jc w:val="center"/>
              <w:textAlignment w:val="center"/>
              <w:rPr>
                <w:rFonts w:ascii="华文细黑" w:hAnsi="华文细黑"/>
                <w:sz w:val="24"/>
              </w:rPr>
            </w:pPr>
          </w:p>
        </w:tc>
        <w:tc>
          <w:tcPr>
            <w:tcW w:w="1982" w:type="dxa"/>
            <w:noWrap w:val="0"/>
            <w:vAlign w:val="center"/>
          </w:tcPr>
          <w:p w14:paraId="6FFD720F">
            <w:pPr>
              <w:spacing w:line="440" w:lineRule="exact"/>
              <w:jc w:val="center"/>
              <w:textAlignment w:val="center"/>
              <w:rPr>
                <w:rFonts w:ascii="华文细黑" w:hAnsi="华文细黑"/>
                <w:sz w:val="24"/>
              </w:rPr>
            </w:pPr>
          </w:p>
        </w:tc>
        <w:tc>
          <w:tcPr>
            <w:tcW w:w="2746" w:type="dxa"/>
            <w:vMerge w:val="continue"/>
            <w:noWrap w:val="0"/>
            <w:vAlign w:val="center"/>
          </w:tcPr>
          <w:p w14:paraId="6B436D12">
            <w:pPr>
              <w:spacing w:line="440" w:lineRule="exact"/>
              <w:jc w:val="center"/>
              <w:textAlignment w:val="center"/>
              <w:rPr>
                <w:rFonts w:ascii="华文细黑" w:hAnsi="华文细黑"/>
                <w:sz w:val="24"/>
              </w:rPr>
            </w:pPr>
          </w:p>
        </w:tc>
      </w:tr>
      <w:tr w14:paraId="2FCAFE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0" w:hRule="atLeast"/>
        </w:trPr>
        <w:tc>
          <w:tcPr>
            <w:tcW w:w="2282" w:type="dxa"/>
            <w:noWrap w:val="0"/>
            <w:vAlign w:val="center"/>
          </w:tcPr>
          <w:p w14:paraId="41CD4787">
            <w:pPr>
              <w:spacing w:line="440" w:lineRule="exact"/>
              <w:jc w:val="center"/>
              <w:textAlignment w:val="center"/>
              <w:rPr>
                <w:rFonts w:ascii="华文细黑" w:hAnsi="华文细黑"/>
                <w:sz w:val="24"/>
              </w:rPr>
            </w:pPr>
          </w:p>
        </w:tc>
        <w:tc>
          <w:tcPr>
            <w:tcW w:w="2447" w:type="dxa"/>
            <w:noWrap w:val="0"/>
            <w:vAlign w:val="center"/>
          </w:tcPr>
          <w:p w14:paraId="02785985">
            <w:pPr>
              <w:spacing w:line="440" w:lineRule="exact"/>
              <w:jc w:val="center"/>
              <w:textAlignment w:val="center"/>
              <w:rPr>
                <w:rFonts w:ascii="华文细黑" w:hAnsi="华文细黑"/>
                <w:sz w:val="24"/>
              </w:rPr>
            </w:pPr>
          </w:p>
        </w:tc>
        <w:tc>
          <w:tcPr>
            <w:tcW w:w="1982" w:type="dxa"/>
            <w:noWrap w:val="0"/>
            <w:vAlign w:val="center"/>
          </w:tcPr>
          <w:p w14:paraId="62347812">
            <w:pPr>
              <w:spacing w:line="440" w:lineRule="exact"/>
              <w:jc w:val="center"/>
              <w:textAlignment w:val="center"/>
              <w:rPr>
                <w:rFonts w:ascii="华文细黑" w:hAnsi="华文细黑"/>
                <w:sz w:val="24"/>
              </w:rPr>
            </w:pPr>
          </w:p>
        </w:tc>
        <w:tc>
          <w:tcPr>
            <w:tcW w:w="2746" w:type="dxa"/>
            <w:vMerge w:val="continue"/>
            <w:noWrap w:val="0"/>
            <w:vAlign w:val="center"/>
          </w:tcPr>
          <w:p w14:paraId="003B5F21">
            <w:pPr>
              <w:spacing w:line="440" w:lineRule="exact"/>
              <w:jc w:val="center"/>
              <w:textAlignment w:val="center"/>
              <w:rPr>
                <w:rFonts w:ascii="华文细黑" w:hAnsi="华文细黑"/>
                <w:sz w:val="24"/>
              </w:rPr>
            </w:pPr>
          </w:p>
        </w:tc>
      </w:tr>
      <w:tr w14:paraId="39D56E6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0" w:hRule="atLeast"/>
        </w:trPr>
        <w:tc>
          <w:tcPr>
            <w:tcW w:w="2282" w:type="dxa"/>
            <w:noWrap w:val="0"/>
            <w:vAlign w:val="center"/>
          </w:tcPr>
          <w:p w14:paraId="293ABFC0">
            <w:pPr>
              <w:spacing w:line="440" w:lineRule="exact"/>
              <w:jc w:val="center"/>
              <w:textAlignment w:val="center"/>
              <w:rPr>
                <w:rFonts w:ascii="华文细黑" w:hAnsi="华文细黑"/>
                <w:sz w:val="24"/>
              </w:rPr>
            </w:pPr>
          </w:p>
        </w:tc>
        <w:tc>
          <w:tcPr>
            <w:tcW w:w="2447" w:type="dxa"/>
            <w:noWrap w:val="0"/>
            <w:vAlign w:val="center"/>
          </w:tcPr>
          <w:p w14:paraId="2CD3125C">
            <w:pPr>
              <w:spacing w:line="440" w:lineRule="exact"/>
              <w:jc w:val="center"/>
              <w:textAlignment w:val="center"/>
              <w:rPr>
                <w:rFonts w:ascii="华文细黑" w:hAnsi="华文细黑"/>
                <w:sz w:val="24"/>
              </w:rPr>
            </w:pPr>
          </w:p>
        </w:tc>
        <w:tc>
          <w:tcPr>
            <w:tcW w:w="1982" w:type="dxa"/>
            <w:noWrap w:val="0"/>
            <w:vAlign w:val="center"/>
          </w:tcPr>
          <w:p w14:paraId="43624F3A">
            <w:pPr>
              <w:spacing w:line="440" w:lineRule="exact"/>
              <w:jc w:val="center"/>
              <w:textAlignment w:val="center"/>
              <w:rPr>
                <w:rFonts w:ascii="华文细黑" w:hAnsi="华文细黑"/>
                <w:sz w:val="24"/>
              </w:rPr>
            </w:pPr>
          </w:p>
        </w:tc>
        <w:tc>
          <w:tcPr>
            <w:tcW w:w="2746" w:type="dxa"/>
            <w:vMerge w:val="continue"/>
            <w:noWrap w:val="0"/>
            <w:vAlign w:val="center"/>
          </w:tcPr>
          <w:p w14:paraId="4056729E">
            <w:pPr>
              <w:spacing w:line="440" w:lineRule="exact"/>
              <w:jc w:val="center"/>
              <w:textAlignment w:val="center"/>
              <w:rPr>
                <w:rFonts w:ascii="华文细黑" w:hAnsi="华文细黑"/>
                <w:sz w:val="24"/>
              </w:rPr>
            </w:pPr>
          </w:p>
        </w:tc>
      </w:tr>
      <w:tr w14:paraId="2F1BFCD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0" w:hRule="atLeast"/>
        </w:trPr>
        <w:tc>
          <w:tcPr>
            <w:tcW w:w="2282" w:type="dxa"/>
            <w:noWrap w:val="0"/>
            <w:vAlign w:val="center"/>
          </w:tcPr>
          <w:p w14:paraId="1FB0A236">
            <w:pPr>
              <w:spacing w:line="440" w:lineRule="exact"/>
              <w:jc w:val="center"/>
              <w:textAlignment w:val="center"/>
              <w:rPr>
                <w:rFonts w:ascii="华文细黑" w:hAnsi="华文细黑"/>
                <w:sz w:val="24"/>
              </w:rPr>
            </w:pPr>
          </w:p>
        </w:tc>
        <w:tc>
          <w:tcPr>
            <w:tcW w:w="2447" w:type="dxa"/>
            <w:noWrap w:val="0"/>
            <w:vAlign w:val="center"/>
          </w:tcPr>
          <w:p w14:paraId="4FAAE341">
            <w:pPr>
              <w:spacing w:line="440" w:lineRule="exact"/>
              <w:jc w:val="center"/>
              <w:textAlignment w:val="center"/>
              <w:rPr>
                <w:rFonts w:ascii="华文细黑" w:hAnsi="华文细黑"/>
                <w:sz w:val="24"/>
              </w:rPr>
            </w:pPr>
          </w:p>
        </w:tc>
        <w:tc>
          <w:tcPr>
            <w:tcW w:w="1982" w:type="dxa"/>
            <w:noWrap w:val="0"/>
            <w:vAlign w:val="center"/>
          </w:tcPr>
          <w:p w14:paraId="1BB0E5ED">
            <w:pPr>
              <w:spacing w:line="440" w:lineRule="exact"/>
              <w:jc w:val="center"/>
              <w:textAlignment w:val="center"/>
              <w:rPr>
                <w:rFonts w:ascii="华文细黑" w:hAnsi="华文细黑"/>
                <w:sz w:val="24"/>
              </w:rPr>
            </w:pPr>
          </w:p>
        </w:tc>
        <w:tc>
          <w:tcPr>
            <w:tcW w:w="2746" w:type="dxa"/>
            <w:vMerge w:val="continue"/>
            <w:noWrap w:val="0"/>
            <w:vAlign w:val="center"/>
          </w:tcPr>
          <w:p w14:paraId="2FEB8E73">
            <w:pPr>
              <w:spacing w:line="440" w:lineRule="exact"/>
              <w:jc w:val="center"/>
              <w:textAlignment w:val="center"/>
              <w:rPr>
                <w:rFonts w:ascii="华文细黑" w:hAnsi="华文细黑"/>
                <w:sz w:val="24"/>
              </w:rPr>
            </w:pPr>
          </w:p>
        </w:tc>
      </w:tr>
      <w:tr w14:paraId="1E2269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0" w:hRule="atLeast"/>
        </w:trPr>
        <w:tc>
          <w:tcPr>
            <w:tcW w:w="2282" w:type="dxa"/>
            <w:noWrap w:val="0"/>
            <w:vAlign w:val="center"/>
          </w:tcPr>
          <w:p w14:paraId="01ACE6E4">
            <w:pPr>
              <w:spacing w:line="440" w:lineRule="exact"/>
              <w:jc w:val="center"/>
              <w:textAlignment w:val="center"/>
              <w:rPr>
                <w:rFonts w:ascii="华文细黑" w:hAnsi="华文细黑"/>
                <w:sz w:val="24"/>
              </w:rPr>
            </w:pPr>
          </w:p>
        </w:tc>
        <w:tc>
          <w:tcPr>
            <w:tcW w:w="2447" w:type="dxa"/>
            <w:noWrap w:val="0"/>
            <w:vAlign w:val="center"/>
          </w:tcPr>
          <w:p w14:paraId="092085E2">
            <w:pPr>
              <w:spacing w:line="440" w:lineRule="exact"/>
              <w:jc w:val="center"/>
              <w:textAlignment w:val="center"/>
              <w:rPr>
                <w:rFonts w:ascii="华文细黑" w:hAnsi="华文细黑"/>
                <w:sz w:val="24"/>
              </w:rPr>
            </w:pPr>
          </w:p>
        </w:tc>
        <w:tc>
          <w:tcPr>
            <w:tcW w:w="1982" w:type="dxa"/>
            <w:noWrap w:val="0"/>
            <w:vAlign w:val="center"/>
          </w:tcPr>
          <w:p w14:paraId="28446FE5">
            <w:pPr>
              <w:spacing w:line="440" w:lineRule="exact"/>
              <w:jc w:val="center"/>
              <w:textAlignment w:val="center"/>
              <w:rPr>
                <w:rFonts w:ascii="华文细黑" w:hAnsi="华文细黑"/>
                <w:sz w:val="24"/>
              </w:rPr>
            </w:pPr>
          </w:p>
        </w:tc>
        <w:tc>
          <w:tcPr>
            <w:tcW w:w="2746" w:type="dxa"/>
            <w:vMerge w:val="continue"/>
            <w:noWrap w:val="0"/>
            <w:vAlign w:val="center"/>
          </w:tcPr>
          <w:p w14:paraId="165B7E71">
            <w:pPr>
              <w:spacing w:line="440" w:lineRule="exact"/>
              <w:jc w:val="center"/>
              <w:textAlignment w:val="center"/>
              <w:rPr>
                <w:rFonts w:ascii="华文细黑" w:hAnsi="华文细黑"/>
                <w:sz w:val="24"/>
              </w:rPr>
            </w:pPr>
          </w:p>
        </w:tc>
      </w:tr>
      <w:tr w14:paraId="07F907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0" w:hRule="atLeast"/>
        </w:trPr>
        <w:tc>
          <w:tcPr>
            <w:tcW w:w="2282" w:type="dxa"/>
            <w:noWrap w:val="0"/>
            <w:vAlign w:val="center"/>
          </w:tcPr>
          <w:p w14:paraId="27990897">
            <w:pPr>
              <w:spacing w:line="440" w:lineRule="exact"/>
              <w:jc w:val="center"/>
              <w:textAlignment w:val="center"/>
              <w:rPr>
                <w:rFonts w:ascii="华文细黑" w:hAnsi="华文细黑"/>
                <w:sz w:val="24"/>
              </w:rPr>
            </w:pPr>
          </w:p>
        </w:tc>
        <w:tc>
          <w:tcPr>
            <w:tcW w:w="2447" w:type="dxa"/>
            <w:noWrap w:val="0"/>
            <w:vAlign w:val="center"/>
          </w:tcPr>
          <w:p w14:paraId="3B1C6124">
            <w:pPr>
              <w:spacing w:line="440" w:lineRule="exact"/>
              <w:jc w:val="center"/>
              <w:textAlignment w:val="center"/>
              <w:rPr>
                <w:rFonts w:ascii="华文细黑" w:hAnsi="华文细黑"/>
                <w:sz w:val="24"/>
              </w:rPr>
            </w:pPr>
          </w:p>
        </w:tc>
        <w:tc>
          <w:tcPr>
            <w:tcW w:w="1982" w:type="dxa"/>
            <w:noWrap w:val="0"/>
            <w:vAlign w:val="center"/>
          </w:tcPr>
          <w:p w14:paraId="3A5A55E3">
            <w:pPr>
              <w:spacing w:line="440" w:lineRule="exact"/>
              <w:jc w:val="center"/>
              <w:textAlignment w:val="center"/>
              <w:rPr>
                <w:rFonts w:ascii="华文细黑" w:hAnsi="华文细黑"/>
                <w:sz w:val="24"/>
              </w:rPr>
            </w:pPr>
          </w:p>
        </w:tc>
        <w:tc>
          <w:tcPr>
            <w:tcW w:w="2746" w:type="dxa"/>
            <w:vMerge w:val="continue"/>
            <w:noWrap w:val="0"/>
            <w:vAlign w:val="center"/>
          </w:tcPr>
          <w:p w14:paraId="2FE47042">
            <w:pPr>
              <w:spacing w:line="440" w:lineRule="exact"/>
              <w:jc w:val="center"/>
              <w:textAlignment w:val="center"/>
              <w:rPr>
                <w:rFonts w:ascii="华文细黑" w:hAnsi="华文细黑"/>
                <w:sz w:val="24"/>
              </w:rPr>
            </w:pPr>
          </w:p>
        </w:tc>
      </w:tr>
      <w:tr w14:paraId="2EC94F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0" w:hRule="atLeast"/>
        </w:trPr>
        <w:tc>
          <w:tcPr>
            <w:tcW w:w="2282" w:type="dxa"/>
            <w:noWrap w:val="0"/>
            <w:vAlign w:val="center"/>
          </w:tcPr>
          <w:p w14:paraId="677286B2">
            <w:pPr>
              <w:spacing w:line="440" w:lineRule="exact"/>
              <w:jc w:val="center"/>
              <w:textAlignment w:val="center"/>
              <w:rPr>
                <w:rFonts w:ascii="华文细黑" w:hAnsi="华文细黑"/>
                <w:sz w:val="24"/>
              </w:rPr>
            </w:pPr>
          </w:p>
        </w:tc>
        <w:tc>
          <w:tcPr>
            <w:tcW w:w="2447" w:type="dxa"/>
            <w:noWrap w:val="0"/>
            <w:vAlign w:val="center"/>
          </w:tcPr>
          <w:p w14:paraId="3CF60CA0">
            <w:pPr>
              <w:spacing w:line="440" w:lineRule="exact"/>
              <w:jc w:val="center"/>
              <w:textAlignment w:val="center"/>
              <w:rPr>
                <w:rFonts w:ascii="华文细黑" w:hAnsi="华文细黑"/>
                <w:sz w:val="24"/>
              </w:rPr>
            </w:pPr>
          </w:p>
        </w:tc>
        <w:tc>
          <w:tcPr>
            <w:tcW w:w="1982" w:type="dxa"/>
            <w:noWrap w:val="0"/>
            <w:vAlign w:val="center"/>
          </w:tcPr>
          <w:p w14:paraId="2A18E093">
            <w:pPr>
              <w:spacing w:line="440" w:lineRule="exact"/>
              <w:jc w:val="center"/>
              <w:textAlignment w:val="center"/>
              <w:rPr>
                <w:rFonts w:ascii="华文细黑" w:hAnsi="华文细黑"/>
                <w:sz w:val="24"/>
              </w:rPr>
            </w:pPr>
          </w:p>
        </w:tc>
        <w:tc>
          <w:tcPr>
            <w:tcW w:w="2746" w:type="dxa"/>
            <w:vMerge w:val="continue"/>
            <w:noWrap w:val="0"/>
            <w:vAlign w:val="center"/>
          </w:tcPr>
          <w:p w14:paraId="1834ADED">
            <w:pPr>
              <w:spacing w:line="440" w:lineRule="exact"/>
              <w:jc w:val="center"/>
              <w:textAlignment w:val="center"/>
              <w:rPr>
                <w:rFonts w:ascii="华文细黑" w:hAnsi="华文细黑"/>
                <w:sz w:val="24"/>
              </w:rPr>
            </w:pPr>
          </w:p>
        </w:tc>
      </w:tr>
      <w:tr w14:paraId="579739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0" w:hRule="atLeast"/>
        </w:trPr>
        <w:tc>
          <w:tcPr>
            <w:tcW w:w="2282" w:type="dxa"/>
            <w:noWrap w:val="0"/>
            <w:vAlign w:val="center"/>
          </w:tcPr>
          <w:p w14:paraId="3CB99864">
            <w:pPr>
              <w:spacing w:line="440" w:lineRule="exact"/>
              <w:jc w:val="center"/>
              <w:textAlignment w:val="center"/>
              <w:rPr>
                <w:rFonts w:ascii="华文细黑" w:hAnsi="华文细黑"/>
                <w:sz w:val="24"/>
              </w:rPr>
            </w:pPr>
          </w:p>
        </w:tc>
        <w:tc>
          <w:tcPr>
            <w:tcW w:w="2447" w:type="dxa"/>
            <w:noWrap w:val="0"/>
            <w:vAlign w:val="center"/>
          </w:tcPr>
          <w:p w14:paraId="52AECFC7">
            <w:pPr>
              <w:spacing w:line="440" w:lineRule="exact"/>
              <w:jc w:val="center"/>
              <w:textAlignment w:val="center"/>
              <w:rPr>
                <w:rFonts w:ascii="华文细黑" w:hAnsi="华文细黑"/>
                <w:sz w:val="24"/>
              </w:rPr>
            </w:pPr>
          </w:p>
        </w:tc>
        <w:tc>
          <w:tcPr>
            <w:tcW w:w="1982" w:type="dxa"/>
            <w:noWrap w:val="0"/>
            <w:vAlign w:val="center"/>
          </w:tcPr>
          <w:p w14:paraId="4E680AD5">
            <w:pPr>
              <w:spacing w:line="440" w:lineRule="exact"/>
              <w:jc w:val="center"/>
              <w:textAlignment w:val="center"/>
              <w:rPr>
                <w:rFonts w:ascii="华文细黑" w:hAnsi="华文细黑"/>
                <w:sz w:val="24"/>
              </w:rPr>
            </w:pPr>
          </w:p>
        </w:tc>
        <w:tc>
          <w:tcPr>
            <w:tcW w:w="2746" w:type="dxa"/>
            <w:vMerge w:val="continue"/>
            <w:noWrap w:val="0"/>
            <w:vAlign w:val="center"/>
          </w:tcPr>
          <w:p w14:paraId="3A35A73F">
            <w:pPr>
              <w:spacing w:line="440" w:lineRule="exact"/>
              <w:jc w:val="center"/>
              <w:textAlignment w:val="center"/>
              <w:rPr>
                <w:rFonts w:ascii="华文细黑" w:hAnsi="华文细黑"/>
                <w:sz w:val="24"/>
              </w:rPr>
            </w:pPr>
          </w:p>
        </w:tc>
      </w:tr>
    </w:tbl>
    <w:p w14:paraId="25CD7C23">
      <w:pPr>
        <w:spacing w:line="440" w:lineRule="exact"/>
        <w:jc w:val="center"/>
        <w:rPr>
          <w:rFonts w:eastAsia="黑体"/>
          <w:sz w:val="27"/>
          <w:szCs w:val="27"/>
        </w:rPr>
      </w:pPr>
    </w:p>
    <w:p w14:paraId="6BB42C71">
      <w:pPr>
        <w:spacing w:line="440" w:lineRule="exact"/>
        <w:jc w:val="center"/>
        <w:rPr>
          <w:rFonts w:eastAsia="黑体"/>
          <w:sz w:val="27"/>
          <w:szCs w:val="27"/>
        </w:rPr>
      </w:pPr>
      <w:r>
        <w:rPr>
          <w:rFonts w:eastAsia="黑体"/>
          <w:sz w:val="27"/>
          <w:szCs w:val="27"/>
        </w:rPr>
        <w:br w:type="page"/>
      </w:r>
    </w:p>
    <w:p w14:paraId="03A3C50F">
      <w:pPr>
        <w:pStyle w:val="85"/>
        <w:jc w:val="center"/>
        <w:rPr>
          <w:sz w:val="30"/>
          <w:szCs w:val="30"/>
        </w:rPr>
      </w:pPr>
      <w:bookmarkStart w:id="1620" w:name="_Toc152042596"/>
      <w:bookmarkStart w:id="1621" w:name="_Toc152045807"/>
      <w:bookmarkStart w:id="1622" w:name="_Toc100487603"/>
      <w:bookmarkStart w:id="1623" w:name="_Toc144974875"/>
      <w:r>
        <w:rPr>
          <w:rFonts w:hint="eastAsia"/>
          <w:sz w:val="30"/>
          <w:szCs w:val="30"/>
        </w:rPr>
        <w:t>九</w:t>
      </w:r>
      <w:r>
        <w:rPr>
          <w:sz w:val="30"/>
          <w:szCs w:val="30"/>
        </w:rPr>
        <w:t>、资格审查资料</w:t>
      </w:r>
      <w:bookmarkEnd w:id="1620"/>
      <w:bookmarkEnd w:id="1621"/>
      <w:bookmarkEnd w:id="1622"/>
      <w:bookmarkEnd w:id="1623"/>
    </w:p>
    <w:p w14:paraId="70709704">
      <w:pPr>
        <w:topLinePunct/>
        <w:spacing w:line="440" w:lineRule="exact"/>
        <w:jc w:val="center"/>
        <w:rPr>
          <w:rFonts w:eastAsia="黑体"/>
          <w:sz w:val="23"/>
          <w:szCs w:val="23"/>
        </w:rPr>
      </w:pPr>
    </w:p>
    <w:p w14:paraId="5A728270">
      <w:pPr>
        <w:pStyle w:val="87"/>
        <w:rPr>
          <w:szCs w:val="23"/>
        </w:rPr>
      </w:pPr>
      <w:bookmarkStart w:id="1624" w:name="_Toc152045808"/>
      <w:bookmarkStart w:id="1625" w:name="_Toc144974876"/>
      <w:bookmarkStart w:id="1626" w:name="_Toc152042597"/>
      <w:bookmarkStart w:id="1627" w:name="_Toc100487604"/>
      <w:bookmarkStart w:id="1628" w:name="_Toc251248813"/>
      <w:r>
        <w:rPr>
          <w:szCs w:val="23"/>
        </w:rPr>
        <w:t>（一）投标人基本情况表</w:t>
      </w:r>
      <w:bookmarkEnd w:id="1624"/>
      <w:bookmarkEnd w:id="1625"/>
      <w:bookmarkEnd w:id="1626"/>
      <w:bookmarkEnd w:id="1627"/>
      <w:bookmarkEnd w:id="1628"/>
    </w:p>
    <w:p w14:paraId="61BB1EAF">
      <w:pPr>
        <w:topLinePunct/>
        <w:spacing w:line="440" w:lineRule="exact"/>
        <w:jc w:val="center"/>
        <w:rPr>
          <w:rFonts w:eastAsia="黑体"/>
          <w:sz w:val="23"/>
          <w:szCs w:val="23"/>
        </w:rPr>
      </w:pPr>
    </w:p>
    <w:tbl>
      <w:tblPr>
        <w:tblStyle w:val="42"/>
        <w:tblW w:w="0" w:type="auto"/>
        <w:jc w:val="center"/>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1728"/>
        <w:gridCol w:w="1047"/>
        <w:gridCol w:w="802"/>
        <w:gridCol w:w="840"/>
        <w:gridCol w:w="420"/>
        <w:gridCol w:w="311"/>
        <w:gridCol w:w="1227"/>
        <w:gridCol w:w="341"/>
        <w:gridCol w:w="860"/>
        <w:gridCol w:w="1398"/>
      </w:tblGrid>
      <w:tr w14:paraId="682DBEC3">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1" w:hRule="atLeast"/>
          <w:jc w:val="center"/>
        </w:trPr>
        <w:tc>
          <w:tcPr>
            <w:tcW w:w="1728" w:type="dxa"/>
            <w:tcBorders>
              <w:top w:val="single" w:color="auto" w:sz="4" w:space="0"/>
              <w:left w:val="single" w:color="auto" w:sz="4" w:space="0"/>
              <w:bottom w:val="single" w:color="auto" w:sz="4" w:space="0"/>
              <w:right w:val="single" w:color="auto" w:sz="4" w:space="0"/>
            </w:tcBorders>
            <w:noWrap w:val="0"/>
            <w:vAlign w:val="center"/>
          </w:tcPr>
          <w:p w14:paraId="6CD4BC21">
            <w:pPr>
              <w:topLinePunct/>
              <w:spacing w:line="440" w:lineRule="exact"/>
              <w:jc w:val="center"/>
              <w:rPr>
                <w:sz w:val="24"/>
              </w:rPr>
            </w:pPr>
            <w:r>
              <w:rPr>
                <w:sz w:val="24"/>
              </w:rPr>
              <w:t>投标人名称</w:t>
            </w:r>
          </w:p>
        </w:tc>
        <w:tc>
          <w:tcPr>
            <w:tcW w:w="7246" w:type="dxa"/>
            <w:gridSpan w:val="9"/>
            <w:tcBorders>
              <w:top w:val="single" w:color="auto" w:sz="4" w:space="0"/>
              <w:left w:val="single" w:color="auto" w:sz="4" w:space="0"/>
              <w:bottom w:val="single" w:color="auto" w:sz="4" w:space="0"/>
              <w:right w:val="single" w:color="auto" w:sz="4" w:space="0"/>
            </w:tcBorders>
            <w:noWrap w:val="0"/>
            <w:vAlign w:val="center"/>
          </w:tcPr>
          <w:p w14:paraId="253D2DAF">
            <w:pPr>
              <w:topLinePunct/>
              <w:spacing w:line="440" w:lineRule="exact"/>
              <w:jc w:val="center"/>
              <w:rPr>
                <w:sz w:val="24"/>
              </w:rPr>
            </w:pPr>
          </w:p>
        </w:tc>
      </w:tr>
      <w:tr w14:paraId="0B86B954">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611" w:hRule="atLeast"/>
          <w:jc w:val="center"/>
        </w:trPr>
        <w:tc>
          <w:tcPr>
            <w:tcW w:w="1728" w:type="dxa"/>
            <w:tcBorders>
              <w:top w:val="single" w:color="auto" w:sz="4" w:space="0"/>
              <w:left w:val="single" w:color="auto" w:sz="4" w:space="0"/>
              <w:bottom w:val="single" w:color="auto" w:sz="4" w:space="0"/>
              <w:right w:val="single" w:color="auto" w:sz="4" w:space="0"/>
            </w:tcBorders>
            <w:noWrap w:val="0"/>
            <w:vAlign w:val="center"/>
          </w:tcPr>
          <w:p w14:paraId="5A7E704B">
            <w:pPr>
              <w:topLinePunct/>
              <w:spacing w:line="440" w:lineRule="exact"/>
              <w:jc w:val="center"/>
              <w:rPr>
                <w:sz w:val="24"/>
              </w:rPr>
            </w:pPr>
            <w:r>
              <w:rPr>
                <w:sz w:val="24"/>
              </w:rPr>
              <w:t>注册地址</w:t>
            </w:r>
          </w:p>
        </w:tc>
        <w:tc>
          <w:tcPr>
            <w:tcW w:w="3420" w:type="dxa"/>
            <w:gridSpan w:val="5"/>
            <w:tcBorders>
              <w:top w:val="single" w:color="auto" w:sz="4" w:space="0"/>
              <w:left w:val="single" w:color="auto" w:sz="4" w:space="0"/>
              <w:bottom w:val="single" w:color="auto" w:sz="4" w:space="0"/>
              <w:right w:val="single" w:color="auto" w:sz="4" w:space="0"/>
            </w:tcBorders>
            <w:noWrap w:val="0"/>
            <w:vAlign w:val="center"/>
          </w:tcPr>
          <w:p w14:paraId="0B7DB348">
            <w:pPr>
              <w:topLinePunct/>
              <w:spacing w:line="440" w:lineRule="exact"/>
              <w:jc w:val="center"/>
              <w:rPr>
                <w:sz w:val="24"/>
              </w:rPr>
            </w:pPr>
          </w:p>
        </w:tc>
        <w:tc>
          <w:tcPr>
            <w:tcW w:w="1227" w:type="dxa"/>
            <w:tcBorders>
              <w:top w:val="single" w:color="auto" w:sz="4" w:space="0"/>
              <w:left w:val="single" w:color="auto" w:sz="4" w:space="0"/>
              <w:bottom w:val="single" w:color="auto" w:sz="4" w:space="0"/>
              <w:right w:val="single" w:color="auto" w:sz="4" w:space="0"/>
            </w:tcBorders>
            <w:noWrap w:val="0"/>
            <w:vAlign w:val="center"/>
          </w:tcPr>
          <w:p w14:paraId="24C2F159">
            <w:pPr>
              <w:topLinePunct/>
              <w:spacing w:line="440" w:lineRule="exact"/>
              <w:jc w:val="center"/>
              <w:rPr>
                <w:sz w:val="24"/>
              </w:rPr>
            </w:pPr>
            <w:r>
              <w:rPr>
                <w:sz w:val="24"/>
              </w:rPr>
              <w:t>邮政编码</w:t>
            </w:r>
          </w:p>
        </w:tc>
        <w:tc>
          <w:tcPr>
            <w:tcW w:w="2599" w:type="dxa"/>
            <w:gridSpan w:val="3"/>
            <w:tcBorders>
              <w:top w:val="single" w:color="auto" w:sz="4" w:space="0"/>
              <w:left w:val="single" w:color="auto" w:sz="4" w:space="0"/>
              <w:bottom w:val="single" w:color="auto" w:sz="4" w:space="0"/>
              <w:right w:val="single" w:color="auto" w:sz="4" w:space="0"/>
            </w:tcBorders>
            <w:noWrap w:val="0"/>
            <w:vAlign w:val="center"/>
          </w:tcPr>
          <w:p w14:paraId="1D53970E">
            <w:pPr>
              <w:topLinePunct/>
              <w:spacing w:line="440" w:lineRule="exact"/>
              <w:jc w:val="center"/>
              <w:rPr>
                <w:sz w:val="24"/>
              </w:rPr>
            </w:pPr>
          </w:p>
        </w:tc>
      </w:tr>
      <w:tr w14:paraId="7C8172EE">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605" w:hRule="atLeast"/>
          <w:jc w:val="center"/>
        </w:trPr>
        <w:tc>
          <w:tcPr>
            <w:tcW w:w="1728" w:type="dxa"/>
            <w:vMerge w:val="restart"/>
            <w:tcBorders>
              <w:top w:val="single" w:color="auto" w:sz="4" w:space="0"/>
              <w:left w:val="single" w:color="auto" w:sz="4" w:space="0"/>
              <w:bottom w:val="single" w:color="auto" w:sz="4" w:space="0"/>
              <w:right w:val="single" w:color="auto" w:sz="4" w:space="0"/>
            </w:tcBorders>
            <w:noWrap w:val="0"/>
            <w:vAlign w:val="center"/>
          </w:tcPr>
          <w:p w14:paraId="1773886B">
            <w:pPr>
              <w:topLinePunct/>
              <w:spacing w:line="440" w:lineRule="exact"/>
              <w:jc w:val="center"/>
              <w:rPr>
                <w:sz w:val="24"/>
              </w:rPr>
            </w:pPr>
            <w:r>
              <w:rPr>
                <w:sz w:val="24"/>
              </w:rPr>
              <w:t>联系方式</w:t>
            </w:r>
          </w:p>
        </w:tc>
        <w:tc>
          <w:tcPr>
            <w:tcW w:w="1047" w:type="dxa"/>
            <w:tcBorders>
              <w:top w:val="single" w:color="auto" w:sz="4" w:space="0"/>
              <w:left w:val="single" w:color="auto" w:sz="4" w:space="0"/>
              <w:bottom w:val="single" w:color="auto" w:sz="4" w:space="0"/>
              <w:right w:val="single" w:color="auto" w:sz="4" w:space="0"/>
            </w:tcBorders>
            <w:noWrap w:val="0"/>
            <w:vAlign w:val="center"/>
          </w:tcPr>
          <w:p w14:paraId="2935AEA7">
            <w:pPr>
              <w:topLinePunct/>
              <w:spacing w:line="440" w:lineRule="exact"/>
              <w:jc w:val="center"/>
              <w:rPr>
                <w:sz w:val="24"/>
              </w:rPr>
            </w:pPr>
            <w:r>
              <w:rPr>
                <w:sz w:val="24"/>
              </w:rPr>
              <w:t>联系人</w:t>
            </w:r>
          </w:p>
        </w:tc>
        <w:tc>
          <w:tcPr>
            <w:tcW w:w="2373" w:type="dxa"/>
            <w:gridSpan w:val="4"/>
            <w:tcBorders>
              <w:top w:val="single" w:color="auto" w:sz="4" w:space="0"/>
              <w:left w:val="single" w:color="auto" w:sz="4" w:space="0"/>
              <w:bottom w:val="single" w:color="auto" w:sz="4" w:space="0"/>
              <w:right w:val="single" w:color="auto" w:sz="4" w:space="0"/>
            </w:tcBorders>
            <w:noWrap w:val="0"/>
            <w:vAlign w:val="center"/>
          </w:tcPr>
          <w:p w14:paraId="181D86F2">
            <w:pPr>
              <w:topLinePunct/>
              <w:spacing w:line="440" w:lineRule="exact"/>
              <w:jc w:val="center"/>
              <w:rPr>
                <w:sz w:val="24"/>
              </w:rPr>
            </w:pPr>
          </w:p>
        </w:tc>
        <w:tc>
          <w:tcPr>
            <w:tcW w:w="1227" w:type="dxa"/>
            <w:tcBorders>
              <w:top w:val="single" w:color="auto" w:sz="4" w:space="0"/>
              <w:left w:val="single" w:color="auto" w:sz="4" w:space="0"/>
              <w:bottom w:val="single" w:color="auto" w:sz="4" w:space="0"/>
              <w:right w:val="single" w:color="auto" w:sz="4" w:space="0"/>
            </w:tcBorders>
            <w:noWrap w:val="0"/>
            <w:vAlign w:val="center"/>
          </w:tcPr>
          <w:p w14:paraId="6B1803DD">
            <w:pPr>
              <w:topLinePunct/>
              <w:spacing w:line="440" w:lineRule="exact"/>
              <w:jc w:val="center"/>
              <w:rPr>
                <w:sz w:val="24"/>
              </w:rPr>
            </w:pPr>
            <w:r>
              <w:rPr>
                <w:sz w:val="24"/>
              </w:rPr>
              <w:t>电 话</w:t>
            </w:r>
          </w:p>
        </w:tc>
        <w:tc>
          <w:tcPr>
            <w:tcW w:w="2599" w:type="dxa"/>
            <w:gridSpan w:val="3"/>
            <w:tcBorders>
              <w:top w:val="single" w:color="auto" w:sz="4" w:space="0"/>
              <w:left w:val="single" w:color="auto" w:sz="4" w:space="0"/>
              <w:bottom w:val="single" w:color="auto" w:sz="4" w:space="0"/>
              <w:right w:val="single" w:color="auto" w:sz="4" w:space="0"/>
            </w:tcBorders>
            <w:noWrap w:val="0"/>
            <w:vAlign w:val="center"/>
          </w:tcPr>
          <w:p w14:paraId="66DB4299">
            <w:pPr>
              <w:topLinePunct/>
              <w:spacing w:line="440" w:lineRule="exact"/>
              <w:jc w:val="center"/>
              <w:rPr>
                <w:sz w:val="24"/>
              </w:rPr>
            </w:pPr>
          </w:p>
        </w:tc>
      </w:tr>
      <w:tr w14:paraId="1ACA089B">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613" w:hRule="atLeast"/>
          <w:jc w:val="center"/>
        </w:trPr>
        <w:tc>
          <w:tcPr>
            <w:tcW w:w="1728" w:type="dxa"/>
            <w:vMerge w:val="continue"/>
            <w:tcBorders>
              <w:top w:val="single" w:color="auto" w:sz="4" w:space="0"/>
              <w:left w:val="single" w:color="auto" w:sz="4" w:space="0"/>
              <w:bottom w:val="single" w:color="auto" w:sz="4" w:space="0"/>
              <w:right w:val="single" w:color="auto" w:sz="4" w:space="0"/>
            </w:tcBorders>
            <w:noWrap w:val="0"/>
            <w:vAlign w:val="center"/>
          </w:tcPr>
          <w:p w14:paraId="408C940D">
            <w:pPr>
              <w:topLinePunct/>
              <w:spacing w:line="440" w:lineRule="exact"/>
              <w:jc w:val="center"/>
              <w:rPr>
                <w:sz w:val="24"/>
              </w:rPr>
            </w:pPr>
          </w:p>
        </w:tc>
        <w:tc>
          <w:tcPr>
            <w:tcW w:w="1047" w:type="dxa"/>
            <w:tcBorders>
              <w:top w:val="single" w:color="auto" w:sz="4" w:space="0"/>
              <w:left w:val="single" w:color="auto" w:sz="4" w:space="0"/>
              <w:bottom w:val="single" w:color="auto" w:sz="4" w:space="0"/>
              <w:right w:val="single" w:color="auto" w:sz="4" w:space="0"/>
            </w:tcBorders>
            <w:noWrap w:val="0"/>
            <w:vAlign w:val="center"/>
          </w:tcPr>
          <w:p w14:paraId="2CA25A04">
            <w:pPr>
              <w:topLinePunct/>
              <w:spacing w:line="440" w:lineRule="exact"/>
              <w:jc w:val="center"/>
              <w:rPr>
                <w:sz w:val="24"/>
              </w:rPr>
            </w:pPr>
            <w:r>
              <w:rPr>
                <w:sz w:val="24"/>
              </w:rPr>
              <w:t>传  真</w:t>
            </w:r>
          </w:p>
        </w:tc>
        <w:tc>
          <w:tcPr>
            <w:tcW w:w="2373" w:type="dxa"/>
            <w:gridSpan w:val="4"/>
            <w:tcBorders>
              <w:top w:val="single" w:color="auto" w:sz="4" w:space="0"/>
              <w:left w:val="single" w:color="auto" w:sz="4" w:space="0"/>
              <w:bottom w:val="single" w:color="auto" w:sz="4" w:space="0"/>
              <w:right w:val="single" w:color="auto" w:sz="4" w:space="0"/>
            </w:tcBorders>
            <w:noWrap w:val="0"/>
            <w:vAlign w:val="center"/>
          </w:tcPr>
          <w:p w14:paraId="1D6AE3B1">
            <w:pPr>
              <w:topLinePunct/>
              <w:spacing w:line="440" w:lineRule="exact"/>
              <w:jc w:val="center"/>
              <w:rPr>
                <w:sz w:val="24"/>
              </w:rPr>
            </w:pPr>
          </w:p>
        </w:tc>
        <w:tc>
          <w:tcPr>
            <w:tcW w:w="1227" w:type="dxa"/>
            <w:tcBorders>
              <w:top w:val="single" w:color="auto" w:sz="4" w:space="0"/>
              <w:left w:val="single" w:color="auto" w:sz="4" w:space="0"/>
              <w:bottom w:val="single" w:color="auto" w:sz="4" w:space="0"/>
              <w:right w:val="single" w:color="auto" w:sz="4" w:space="0"/>
            </w:tcBorders>
            <w:noWrap w:val="0"/>
            <w:vAlign w:val="center"/>
          </w:tcPr>
          <w:p w14:paraId="530262DF">
            <w:pPr>
              <w:topLinePunct/>
              <w:spacing w:line="440" w:lineRule="exact"/>
              <w:jc w:val="center"/>
              <w:rPr>
                <w:sz w:val="24"/>
              </w:rPr>
            </w:pPr>
            <w:r>
              <w:rPr>
                <w:sz w:val="24"/>
              </w:rPr>
              <w:t>网 址</w:t>
            </w:r>
          </w:p>
        </w:tc>
        <w:tc>
          <w:tcPr>
            <w:tcW w:w="2599" w:type="dxa"/>
            <w:gridSpan w:val="3"/>
            <w:tcBorders>
              <w:top w:val="single" w:color="auto" w:sz="4" w:space="0"/>
              <w:left w:val="single" w:color="auto" w:sz="4" w:space="0"/>
              <w:bottom w:val="single" w:color="auto" w:sz="4" w:space="0"/>
              <w:right w:val="single" w:color="auto" w:sz="4" w:space="0"/>
            </w:tcBorders>
            <w:noWrap w:val="0"/>
            <w:vAlign w:val="center"/>
          </w:tcPr>
          <w:p w14:paraId="4504CF04">
            <w:pPr>
              <w:topLinePunct/>
              <w:spacing w:line="440" w:lineRule="exact"/>
              <w:jc w:val="center"/>
              <w:rPr>
                <w:sz w:val="24"/>
              </w:rPr>
            </w:pPr>
          </w:p>
        </w:tc>
      </w:tr>
      <w:tr w14:paraId="0E29E0F7">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608" w:hRule="atLeast"/>
          <w:jc w:val="center"/>
        </w:trPr>
        <w:tc>
          <w:tcPr>
            <w:tcW w:w="1728" w:type="dxa"/>
            <w:tcBorders>
              <w:top w:val="single" w:color="auto" w:sz="4" w:space="0"/>
              <w:left w:val="single" w:color="auto" w:sz="4" w:space="0"/>
              <w:bottom w:val="single" w:color="auto" w:sz="4" w:space="0"/>
              <w:right w:val="single" w:color="auto" w:sz="4" w:space="0"/>
            </w:tcBorders>
            <w:noWrap w:val="0"/>
            <w:vAlign w:val="center"/>
          </w:tcPr>
          <w:p w14:paraId="43A9F95D">
            <w:pPr>
              <w:topLinePunct/>
              <w:spacing w:line="440" w:lineRule="exact"/>
              <w:jc w:val="center"/>
              <w:rPr>
                <w:sz w:val="24"/>
              </w:rPr>
            </w:pPr>
            <w:r>
              <w:rPr>
                <w:sz w:val="24"/>
              </w:rPr>
              <w:t>法定代表人</w:t>
            </w:r>
          </w:p>
        </w:tc>
        <w:tc>
          <w:tcPr>
            <w:tcW w:w="1047" w:type="dxa"/>
            <w:tcBorders>
              <w:top w:val="single" w:color="auto" w:sz="4" w:space="0"/>
              <w:left w:val="single" w:color="auto" w:sz="4" w:space="0"/>
              <w:bottom w:val="single" w:color="auto" w:sz="4" w:space="0"/>
              <w:right w:val="single" w:color="auto" w:sz="4" w:space="0"/>
            </w:tcBorders>
            <w:noWrap w:val="0"/>
            <w:vAlign w:val="center"/>
          </w:tcPr>
          <w:p w14:paraId="44F9C1EA">
            <w:pPr>
              <w:topLinePunct/>
              <w:spacing w:line="440" w:lineRule="exact"/>
              <w:jc w:val="center"/>
              <w:rPr>
                <w:sz w:val="24"/>
              </w:rPr>
            </w:pPr>
            <w:r>
              <w:rPr>
                <w:sz w:val="24"/>
              </w:rPr>
              <w:t>姓名</w:t>
            </w:r>
          </w:p>
        </w:tc>
        <w:tc>
          <w:tcPr>
            <w:tcW w:w="802" w:type="dxa"/>
            <w:tcBorders>
              <w:top w:val="single" w:color="auto" w:sz="4" w:space="0"/>
              <w:left w:val="single" w:color="auto" w:sz="4" w:space="0"/>
              <w:bottom w:val="single" w:color="auto" w:sz="4" w:space="0"/>
              <w:right w:val="single" w:color="auto" w:sz="4" w:space="0"/>
            </w:tcBorders>
            <w:noWrap w:val="0"/>
            <w:vAlign w:val="center"/>
          </w:tcPr>
          <w:p w14:paraId="19E6CA42">
            <w:pPr>
              <w:topLinePunct/>
              <w:spacing w:line="440" w:lineRule="exact"/>
              <w:jc w:val="center"/>
              <w:rPr>
                <w:sz w:val="24"/>
              </w:rPr>
            </w:pPr>
          </w:p>
        </w:tc>
        <w:tc>
          <w:tcPr>
            <w:tcW w:w="1260" w:type="dxa"/>
            <w:gridSpan w:val="2"/>
            <w:tcBorders>
              <w:top w:val="single" w:color="auto" w:sz="4" w:space="0"/>
              <w:left w:val="single" w:color="auto" w:sz="4" w:space="0"/>
              <w:bottom w:val="single" w:color="auto" w:sz="4" w:space="0"/>
              <w:right w:val="single" w:color="auto" w:sz="4" w:space="0"/>
            </w:tcBorders>
            <w:noWrap w:val="0"/>
            <w:vAlign w:val="center"/>
          </w:tcPr>
          <w:p w14:paraId="11B326D4">
            <w:pPr>
              <w:topLinePunct/>
              <w:spacing w:line="440" w:lineRule="exact"/>
              <w:jc w:val="center"/>
              <w:rPr>
                <w:sz w:val="24"/>
              </w:rPr>
            </w:pPr>
            <w:r>
              <w:rPr>
                <w:sz w:val="24"/>
              </w:rPr>
              <w:t>技术职称</w:t>
            </w:r>
          </w:p>
        </w:tc>
        <w:tc>
          <w:tcPr>
            <w:tcW w:w="1879" w:type="dxa"/>
            <w:gridSpan w:val="3"/>
            <w:tcBorders>
              <w:top w:val="single" w:color="auto" w:sz="4" w:space="0"/>
              <w:left w:val="single" w:color="auto" w:sz="4" w:space="0"/>
              <w:bottom w:val="single" w:color="auto" w:sz="4" w:space="0"/>
              <w:right w:val="single" w:color="auto" w:sz="4" w:space="0"/>
            </w:tcBorders>
            <w:noWrap w:val="0"/>
            <w:vAlign w:val="center"/>
          </w:tcPr>
          <w:p w14:paraId="3B1F0F41">
            <w:pPr>
              <w:topLinePunct/>
              <w:spacing w:line="440" w:lineRule="exact"/>
              <w:jc w:val="center"/>
              <w:rPr>
                <w:sz w:val="24"/>
              </w:rPr>
            </w:pPr>
          </w:p>
        </w:tc>
        <w:tc>
          <w:tcPr>
            <w:tcW w:w="860" w:type="dxa"/>
            <w:tcBorders>
              <w:top w:val="single" w:color="auto" w:sz="4" w:space="0"/>
              <w:left w:val="single" w:color="auto" w:sz="4" w:space="0"/>
              <w:bottom w:val="single" w:color="auto" w:sz="4" w:space="0"/>
              <w:right w:val="single" w:color="auto" w:sz="4" w:space="0"/>
            </w:tcBorders>
            <w:noWrap w:val="0"/>
            <w:vAlign w:val="center"/>
          </w:tcPr>
          <w:p w14:paraId="252549CA">
            <w:pPr>
              <w:topLinePunct/>
              <w:spacing w:line="440" w:lineRule="exact"/>
              <w:jc w:val="center"/>
              <w:rPr>
                <w:sz w:val="24"/>
              </w:rPr>
            </w:pPr>
            <w:r>
              <w:rPr>
                <w:sz w:val="24"/>
              </w:rPr>
              <w:t>电话</w:t>
            </w:r>
          </w:p>
        </w:tc>
        <w:tc>
          <w:tcPr>
            <w:tcW w:w="1398" w:type="dxa"/>
            <w:tcBorders>
              <w:top w:val="single" w:color="auto" w:sz="4" w:space="0"/>
              <w:left w:val="single" w:color="auto" w:sz="4" w:space="0"/>
              <w:bottom w:val="single" w:color="auto" w:sz="4" w:space="0"/>
              <w:right w:val="single" w:color="auto" w:sz="4" w:space="0"/>
            </w:tcBorders>
            <w:noWrap w:val="0"/>
            <w:vAlign w:val="center"/>
          </w:tcPr>
          <w:p w14:paraId="5ECC312F">
            <w:pPr>
              <w:topLinePunct/>
              <w:spacing w:line="440" w:lineRule="exact"/>
              <w:jc w:val="center"/>
              <w:rPr>
                <w:sz w:val="24"/>
              </w:rPr>
            </w:pPr>
          </w:p>
        </w:tc>
      </w:tr>
      <w:tr w14:paraId="6E391DBF">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602" w:hRule="atLeast"/>
          <w:jc w:val="center"/>
        </w:trPr>
        <w:tc>
          <w:tcPr>
            <w:tcW w:w="1728" w:type="dxa"/>
            <w:tcBorders>
              <w:top w:val="single" w:color="auto" w:sz="4" w:space="0"/>
              <w:left w:val="single" w:color="auto" w:sz="4" w:space="0"/>
              <w:bottom w:val="single" w:color="auto" w:sz="4" w:space="0"/>
              <w:right w:val="single" w:color="auto" w:sz="4" w:space="0"/>
            </w:tcBorders>
            <w:noWrap w:val="0"/>
            <w:vAlign w:val="center"/>
          </w:tcPr>
          <w:p w14:paraId="3BA0E731">
            <w:pPr>
              <w:topLinePunct/>
              <w:spacing w:line="440" w:lineRule="exact"/>
              <w:jc w:val="center"/>
              <w:rPr>
                <w:sz w:val="24"/>
              </w:rPr>
            </w:pPr>
            <w:r>
              <w:rPr>
                <w:sz w:val="24"/>
              </w:rPr>
              <w:t>技术负责人</w:t>
            </w:r>
          </w:p>
        </w:tc>
        <w:tc>
          <w:tcPr>
            <w:tcW w:w="1047" w:type="dxa"/>
            <w:tcBorders>
              <w:top w:val="single" w:color="auto" w:sz="4" w:space="0"/>
              <w:left w:val="single" w:color="auto" w:sz="4" w:space="0"/>
              <w:bottom w:val="single" w:color="auto" w:sz="4" w:space="0"/>
              <w:right w:val="single" w:color="auto" w:sz="4" w:space="0"/>
            </w:tcBorders>
            <w:noWrap w:val="0"/>
            <w:vAlign w:val="center"/>
          </w:tcPr>
          <w:p w14:paraId="4787BF08">
            <w:pPr>
              <w:topLinePunct/>
              <w:spacing w:line="440" w:lineRule="exact"/>
              <w:jc w:val="center"/>
              <w:rPr>
                <w:sz w:val="24"/>
              </w:rPr>
            </w:pPr>
            <w:r>
              <w:rPr>
                <w:sz w:val="24"/>
              </w:rPr>
              <w:t>姓名</w:t>
            </w:r>
          </w:p>
        </w:tc>
        <w:tc>
          <w:tcPr>
            <w:tcW w:w="802" w:type="dxa"/>
            <w:tcBorders>
              <w:top w:val="single" w:color="auto" w:sz="4" w:space="0"/>
              <w:left w:val="single" w:color="auto" w:sz="4" w:space="0"/>
              <w:bottom w:val="single" w:color="auto" w:sz="4" w:space="0"/>
              <w:right w:val="single" w:color="auto" w:sz="4" w:space="0"/>
            </w:tcBorders>
            <w:noWrap w:val="0"/>
            <w:vAlign w:val="center"/>
          </w:tcPr>
          <w:p w14:paraId="5B39D292">
            <w:pPr>
              <w:topLinePunct/>
              <w:spacing w:line="440" w:lineRule="exact"/>
              <w:jc w:val="center"/>
              <w:rPr>
                <w:sz w:val="24"/>
              </w:rPr>
            </w:pPr>
          </w:p>
        </w:tc>
        <w:tc>
          <w:tcPr>
            <w:tcW w:w="1260" w:type="dxa"/>
            <w:gridSpan w:val="2"/>
            <w:tcBorders>
              <w:top w:val="single" w:color="auto" w:sz="4" w:space="0"/>
              <w:left w:val="single" w:color="auto" w:sz="4" w:space="0"/>
              <w:bottom w:val="single" w:color="auto" w:sz="4" w:space="0"/>
              <w:right w:val="single" w:color="auto" w:sz="4" w:space="0"/>
            </w:tcBorders>
            <w:noWrap w:val="0"/>
            <w:vAlign w:val="center"/>
          </w:tcPr>
          <w:p w14:paraId="79C2FE76">
            <w:pPr>
              <w:topLinePunct/>
              <w:spacing w:line="440" w:lineRule="exact"/>
              <w:jc w:val="center"/>
              <w:rPr>
                <w:sz w:val="24"/>
              </w:rPr>
            </w:pPr>
            <w:r>
              <w:rPr>
                <w:sz w:val="24"/>
              </w:rPr>
              <w:t>技术职称</w:t>
            </w:r>
          </w:p>
        </w:tc>
        <w:tc>
          <w:tcPr>
            <w:tcW w:w="1879" w:type="dxa"/>
            <w:gridSpan w:val="3"/>
            <w:tcBorders>
              <w:top w:val="single" w:color="auto" w:sz="4" w:space="0"/>
              <w:left w:val="single" w:color="auto" w:sz="4" w:space="0"/>
              <w:bottom w:val="single" w:color="auto" w:sz="4" w:space="0"/>
              <w:right w:val="single" w:color="auto" w:sz="4" w:space="0"/>
            </w:tcBorders>
            <w:noWrap w:val="0"/>
            <w:vAlign w:val="center"/>
          </w:tcPr>
          <w:p w14:paraId="1F2F311B">
            <w:pPr>
              <w:topLinePunct/>
              <w:spacing w:line="440" w:lineRule="exact"/>
              <w:jc w:val="center"/>
              <w:rPr>
                <w:sz w:val="24"/>
              </w:rPr>
            </w:pPr>
          </w:p>
        </w:tc>
        <w:tc>
          <w:tcPr>
            <w:tcW w:w="860" w:type="dxa"/>
            <w:tcBorders>
              <w:top w:val="single" w:color="auto" w:sz="4" w:space="0"/>
              <w:left w:val="single" w:color="auto" w:sz="4" w:space="0"/>
              <w:bottom w:val="single" w:color="auto" w:sz="4" w:space="0"/>
              <w:right w:val="single" w:color="auto" w:sz="4" w:space="0"/>
            </w:tcBorders>
            <w:noWrap w:val="0"/>
            <w:vAlign w:val="center"/>
          </w:tcPr>
          <w:p w14:paraId="03E06622">
            <w:pPr>
              <w:topLinePunct/>
              <w:spacing w:line="440" w:lineRule="exact"/>
              <w:jc w:val="center"/>
              <w:rPr>
                <w:sz w:val="24"/>
              </w:rPr>
            </w:pPr>
            <w:r>
              <w:rPr>
                <w:sz w:val="24"/>
              </w:rPr>
              <w:t>电话</w:t>
            </w:r>
          </w:p>
        </w:tc>
        <w:tc>
          <w:tcPr>
            <w:tcW w:w="1398" w:type="dxa"/>
            <w:tcBorders>
              <w:top w:val="single" w:color="auto" w:sz="4" w:space="0"/>
              <w:left w:val="single" w:color="auto" w:sz="4" w:space="0"/>
              <w:bottom w:val="single" w:color="auto" w:sz="4" w:space="0"/>
              <w:right w:val="single" w:color="auto" w:sz="4" w:space="0"/>
            </w:tcBorders>
            <w:noWrap w:val="0"/>
            <w:vAlign w:val="center"/>
          </w:tcPr>
          <w:p w14:paraId="04F4C17E">
            <w:pPr>
              <w:topLinePunct/>
              <w:spacing w:line="440" w:lineRule="exact"/>
              <w:jc w:val="center"/>
              <w:rPr>
                <w:sz w:val="24"/>
              </w:rPr>
            </w:pPr>
          </w:p>
        </w:tc>
      </w:tr>
      <w:tr w14:paraId="138218F3">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624" w:hRule="atLeast"/>
          <w:jc w:val="center"/>
        </w:trPr>
        <w:tc>
          <w:tcPr>
            <w:tcW w:w="1728" w:type="dxa"/>
            <w:tcBorders>
              <w:top w:val="single" w:color="auto" w:sz="4" w:space="0"/>
              <w:left w:val="single" w:color="auto" w:sz="4" w:space="0"/>
              <w:bottom w:val="single" w:color="auto" w:sz="4" w:space="0"/>
              <w:right w:val="single" w:color="auto" w:sz="4" w:space="0"/>
            </w:tcBorders>
            <w:noWrap w:val="0"/>
            <w:vAlign w:val="center"/>
          </w:tcPr>
          <w:p w14:paraId="56E3738E">
            <w:pPr>
              <w:topLinePunct/>
              <w:spacing w:line="440" w:lineRule="exact"/>
              <w:jc w:val="center"/>
              <w:rPr>
                <w:sz w:val="24"/>
              </w:rPr>
            </w:pPr>
            <w:r>
              <w:rPr>
                <w:sz w:val="24"/>
              </w:rPr>
              <w:t>成立时间</w:t>
            </w:r>
          </w:p>
        </w:tc>
        <w:tc>
          <w:tcPr>
            <w:tcW w:w="1849" w:type="dxa"/>
            <w:gridSpan w:val="2"/>
            <w:tcBorders>
              <w:top w:val="single" w:color="auto" w:sz="4" w:space="0"/>
              <w:left w:val="single" w:color="auto" w:sz="4" w:space="0"/>
              <w:bottom w:val="single" w:color="auto" w:sz="4" w:space="0"/>
              <w:right w:val="single" w:color="auto" w:sz="4" w:space="0"/>
            </w:tcBorders>
            <w:noWrap w:val="0"/>
            <w:vAlign w:val="center"/>
          </w:tcPr>
          <w:p w14:paraId="7F3268BC">
            <w:pPr>
              <w:topLinePunct/>
              <w:spacing w:line="440" w:lineRule="exact"/>
              <w:jc w:val="center"/>
              <w:rPr>
                <w:sz w:val="24"/>
              </w:rPr>
            </w:pPr>
          </w:p>
        </w:tc>
        <w:tc>
          <w:tcPr>
            <w:tcW w:w="5397" w:type="dxa"/>
            <w:gridSpan w:val="7"/>
            <w:tcBorders>
              <w:top w:val="single" w:color="auto" w:sz="4" w:space="0"/>
              <w:left w:val="single" w:color="auto" w:sz="4" w:space="0"/>
              <w:bottom w:val="single" w:color="auto" w:sz="4" w:space="0"/>
              <w:right w:val="single" w:color="auto" w:sz="4" w:space="0"/>
            </w:tcBorders>
            <w:noWrap w:val="0"/>
            <w:vAlign w:val="center"/>
          </w:tcPr>
          <w:p w14:paraId="1EBB99C5">
            <w:pPr>
              <w:topLinePunct/>
              <w:spacing w:line="440" w:lineRule="exact"/>
              <w:ind w:firstLine="120" w:firstLineChars="50"/>
              <w:jc w:val="center"/>
              <w:rPr>
                <w:sz w:val="24"/>
              </w:rPr>
            </w:pPr>
            <w:r>
              <w:rPr>
                <w:sz w:val="24"/>
              </w:rPr>
              <w:t>员工总人数：</w:t>
            </w:r>
          </w:p>
        </w:tc>
      </w:tr>
      <w:tr w14:paraId="0D43736B">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658" w:hRule="atLeast"/>
          <w:jc w:val="center"/>
        </w:trPr>
        <w:tc>
          <w:tcPr>
            <w:tcW w:w="1728" w:type="dxa"/>
            <w:tcBorders>
              <w:top w:val="single" w:color="auto" w:sz="4" w:space="0"/>
              <w:left w:val="single" w:color="auto" w:sz="4" w:space="0"/>
              <w:bottom w:val="single" w:color="auto" w:sz="4" w:space="0"/>
              <w:right w:val="single" w:color="auto" w:sz="4" w:space="0"/>
            </w:tcBorders>
            <w:noWrap w:val="0"/>
            <w:vAlign w:val="center"/>
          </w:tcPr>
          <w:p w14:paraId="7D7449C9">
            <w:pPr>
              <w:topLinePunct/>
              <w:spacing w:line="440" w:lineRule="exact"/>
              <w:jc w:val="center"/>
              <w:rPr>
                <w:sz w:val="24"/>
              </w:rPr>
            </w:pPr>
            <w:r>
              <w:rPr>
                <w:sz w:val="24"/>
              </w:rPr>
              <w:t>企业资质等级</w:t>
            </w:r>
          </w:p>
        </w:tc>
        <w:tc>
          <w:tcPr>
            <w:tcW w:w="1849" w:type="dxa"/>
            <w:gridSpan w:val="2"/>
            <w:tcBorders>
              <w:top w:val="single" w:color="auto" w:sz="4" w:space="0"/>
              <w:left w:val="single" w:color="auto" w:sz="4" w:space="0"/>
              <w:bottom w:val="single" w:color="auto" w:sz="4" w:space="0"/>
              <w:right w:val="single" w:color="auto" w:sz="4" w:space="0"/>
            </w:tcBorders>
            <w:noWrap w:val="0"/>
            <w:vAlign w:val="center"/>
          </w:tcPr>
          <w:p w14:paraId="7348AC0C">
            <w:pPr>
              <w:topLinePunct/>
              <w:spacing w:line="440" w:lineRule="exact"/>
              <w:jc w:val="center"/>
              <w:rPr>
                <w:sz w:val="24"/>
              </w:rPr>
            </w:pPr>
          </w:p>
        </w:tc>
        <w:tc>
          <w:tcPr>
            <w:tcW w:w="840" w:type="dxa"/>
            <w:vMerge w:val="restart"/>
            <w:tcBorders>
              <w:top w:val="single" w:color="auto" w:sz="4" w:space="0"/>
              <w:left w:val="single" w:color="auto" w:sz="4" w:space="0"/>
              <w:bottom w:val="single" w:color="auto" w:sz="4" w:space="0"/>
              <w:right w:val="single" w:color="auto" w:sz="4" w:space="0"/>
            </w:tcBorders>
            <w:noWrap w:val="0"/>
            <w:vAlign w:val="center"/>
          </w:tcPr>
          <w:p w14:paraId="4E8F976F">
            <w:pPr>
              <w:topLinePunct/>
              <w:spacing w:line="440" w:lineRule="exact"/>
              <w:jc w:val="center"/>
              <w:rPr>
                <w:sz w:val="24"/>
              </w:rPr>
            </w:pPr>
            <w:r>
              <w:rPr>
                <w:sz w:val="24"/>
              </w:rPr>
              <w:t>其中</w:t>
            </w:r>
          </w:p>
        </w:tc>
        <w:tc>
          <w:tcPr>
            <w:tcW w:w="2299" w:type="dxa"/>
            <w:gridSpan w:val="4"/>
            <w:tcBorders>
              <w:top w:val="single" w:color="auto" w:sz="4" w:space="0"/>
              <w:left w:val="single" w:color="auto" w:sz="4" w:space="0"/>
              <w:bottom w:val="single" w:color="auto" w:sz="4" w:space="0"/>
              <w:right w:val="single" w:color="auto" w:sz="4" w:space="0"/>
            </w:tcBorders>
            <w:noWrap w:val="0"/>
            <w:vAlign w:val="center"/>
          </w:tcPr>
          <w:p w14:paraId="29443C3B">
            <w:pPr>
              <w:topLinePunct/>
              <w:spacing w:line="440" w:lineRule="exact"/>
              <w:jc w:val="center"/>
              <w:rPr>
                <w:sz w:val="24"/>
              </w:rPr>
            </w:pPr>
            <w:r>
              <w:rPr>
                <w:sz w:val="24"/>
              </w:rPr>
              <w:t>项目经理</w:t>
            </w:r>
          </w:p>
        </w:tc>
        <w:tc>
          <w:tcPr>
            <w:tcW w:w="2258" w:type="dxa"/>
            <w:gridSpan w:val="2"/>
            <w:tcBorders>
              <w:top w:val="single" w:color="auto" w:sz="4" w:space="0"/>
              <w:left w:val="single" w:color="auto" w:sz="4" w:space="0"/>
              <w:bottom w:val="single" w:color="auto" w:sz="4" w:space="0"/>
              <w:right w:val="single" w:color="auto" w:sz="4" w:space="0"/>
            </w:tcBorders>
            <w:noWrap w:val="0"/>
            <w:vAlign w:val="center"/>
          </w:tcPr>
          <w:p w14:paraId="735FD274">
            <w:pPr>
              <w:topLinePunct/>
              <w:spacing w:line="440" w:lineRule="exact"/>
              <w:jc w:val="center"/>
              <w:rPr>
                <w:sz w:val="24"/>
              </w:rPr>
            </w:pPr>
          </w:p>
        </w:tc>
      </w:tr>
      <w:tr w14:paraId="4A15CD33">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610" w:hRule="atLeast"/>
          <w:jc w:val="center"/>
        </w:trPr>
        <w:tc>
          <w:tcPr>
            <w:tcW w:w="1728" w:type="dxa"/>
            <w:tcBorders>
              <w:top w:val="single" w:color="auto" w:sz="4" w:space="0"/>
              <w:left w:val="single" w:color="auto" w:sz="4" w:space="0"/>
              <w:bottom w:val="single" w:color="auto" w:sz="4" w:space="0"/>
              <w:right w:val="single" w:color="auto" w:sz="4" w:space="0"/>
            </w:tcBorders>
            <w:noWrap w:val="0"/>
            <w:vAlign w:val="center"/>
          </w:tcPr>
          <w:p w14:paraId="64161F70">
            <w:pPr>
              <w:topLinePunct/>
              <w:spacing w:line="440" w:lineRule="exact"/>
              <w:jc w:val="center"/>
              <w:rPr>
                <w:sz w:val="24"/>
              </w:rPr>
            </w:pPr>
            <w:r>
              <w:rPr>
                <w:sz w:val="24"/>
              </w:rPr>
              <w:t>营业执照号</w:t>
            </w:r>
          </w:p>
        </w:tc>
        <w:tc>
          <w:tcPr>
            <w:tcW w:w="1849" w:type="dxa"/>
            <w:gridSpan w:val="2"/>
            <w:tcBorders>
              <w:top w:val="single" w:color="auto" w:sz="4" w:space="0"/>
              <w:left w:val="single" w:color="auto" w:sz="4" w:space="0"/>
              <w:bottom w:val="single" w:color="auto" w:sz="4" w:space="0"/>
              <w:right w:val="single" w:color="auto" w:sz="4" w:space="0"/>
            </w:tcBorders>
            <w:noWrap w:val="0"/>
            <w:vAlign w:val="center"/>
          </w:tcPr>
          <w:p w14:paraId="02A2A15B">
            <w:pPr>
              <w:topLinePunct/>
              <w:spacing w:line="440" w:lineRule="exact"/>
              <w:jc w:val="center"/>
              <w:rPr>
                <w:sz w:val="24"/>
              </w:rPr>
            </w:pPr>
          </w:p>
        </w:tc>
        <w:tc>
          <w:tcPr>
            <w:tcW w:w="840" w:type="dxa"/>
            <w:vMerge w:val="continue"/>
            <w:tcBorders>
              <w:top w:val="single" w:color="auto" w:sz="4" w:space="0"/>
              <w:left w:val="single" w:color="auto" w:sz="4" w:space="0"/>
              <w:bottom w:val="single" w:color="auto" w:sz="4" w:space="0"/>
              <w:right w:val="single" w:color="auto" w:sz="4" w:space="0"/>
            </w:tcBorders>
            <w:noWrap w:val="0"/>
            <w:vAlign w:val="center"/>
          </w:tcPr>
          <w:p w14:paraId="5D7818DC">
            <w:pPr>
              <w:topLinePunct/>
              <w:spacing w:line="440" w:lineRule="exact"/>
              <w:jc w:val="center"/>
              <w:rPr>
                <w:sz w:val="24"/>
              </w:rPr>
            </w:pPr>
          </w:p>
        </w:tc>
        <w:tc>
          <w:tcPr>
            <w:tcW w:w="2299" w:type="dxa"/>
            <w:gridSpan w:val="4"/>
            <w:tcBorders>
              <w:top w:val="single" w:color="auto" w:sz="4" w:space="0"/>
              <w:left w:val="single" w:color="auto" w:sz="4" w:space="0"/>
              <w:bottom w:val="single" w:color="auto" w:sz="4" w:space="0"/>
              <w:right w:val="single" w:color="auto" w:sz="4" w:space="0"/>
            </w:tcBorders>
            <w:noWrap w:val="0"/>
            <w:vAlign w:val="center"/>
          </w:tcPr>
          <w:p w14:paraId="447C8AAF">
            <w:pPr>
              <w:topLinePunct/>
              <w:spacing w:line="440" w:lineRule="exact"/>
              <w:jc w:val="center"/>
              <w:rPr>
                <w:sz w:val="24"/>
              </w:rPr>
            </w:pPr>
            <w:r>
              <w:rPr>
                <w:sz w:val="24"/>
              </w:rPr>
              <w:t>高级职称人员</w:t>
            </w:r>
          </w:p>
        </w:tc>
        <w:tc>
          <w:tcPr>
            <w:tcW w:w="2258" w:type="dxa"/>
            <w:gridSpan w:val="2"/>
            <w:tcBorders>
              <w:top w:val="single" w:color="auto" w:sz="4" w:space="0"/>
              <w:left w:val="single" w:color="auto" w:sz="4" w:space="0"/>
              <w:bottom w:val="single" w:color="auto" w:sz="4" w:space="0"/>
              <w:right w:val="single" w:color="auto" w:sz="4" w:space="0"/>
            </w:tcBorders>
            <w:noWrap w:val="0"/>
            <w:vAlign w:val="center"/>
          </w:tcPr>
          <w:p w14:paraId="1D708001">
            <w:pPr>
              <w:topLinePunct/>
              <w:spacing w:line="440" w:lineRule="exact"/>
              <w:jc w:val="center"/>
              <w:rPr>
                <w:sz w:val="24"/>
              </w:rPr>
            </w:pPr>
          </w:p>
        </w:tc>
      </w:tr>
      <w:tr w14:paraId="5FBE1E19">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604" w:hRule="atLeast"/>
          <w:jc w:val="center"/>
        </w:trPr>
        <w:tc>
          <w:tcPr>
            <w:tcW w:w="1728" w:type="dxa"/>
            <w:tcBorders>
              <w:top w:val="single" w:color="auto" w:sz="4" w:space="0"/>
              <w:left w:val="single" w:color="auto" w:sz="4" w:space="0"/>
              <w:bottom w:val="single" w:color="auto" w:sz="4" w:space="0"/>
              <w:right w:val="single" w:color="auto" w:sz="4" w:space="0"/>
            </w:tcBorders>
            <w:noWrap w:val="0"/>
            <w:vAlign w:val="center"/>
          </w:tcPr>
          <w:p w14:paraId="6BA649A6">
            <w:pPr>
              <w:topLinePunct/>
              <w:spacing w:line="440" w:lineRule="exact"/>
              <w:jc w:val="center"/>
              <w:rPr>
                <w:sz w:val="24"/>
              </w:rPr>
            </w:pPr>
            <w:r>
              <w:rPr>
                <w:sz w:val="24"/>
              </w:rPr>
              <w:t>注册资金</w:t>
            </w:r>
          </w:p>
        </w:tc>
        <w:tc>
          <w:tcPr>
            <w:tcW w:w="1849" w:type="dxa"/>
            <w:gridSpan w:val="2"/>
            <w:tcBorders>
              <w:top w:val="single" w:color="auto" w:sz="4" w:space="0"/>
              <w:left w:val="single" w:color="auto" w:sz="4" w:space="0"/>
              <w:bottom w:val="single" w:color="auto" w:sz="4" w:space="0"/>
              <w:right w:val="single" w:color="auto" w:sz="4" w:space="0"/>
            </w:tcBorders>
            <w:noWrap w:val="0"/>
            <w:vAlign w:val="center"/>
          </w:tcPr>
          <w:p w14:paraId="43DF6AB3">
            <w:pPr>
              <w:topLinePunct/>
              <w:spacing w:line="440" w:lineRule="exact"/>
              <w:jc w:val="center"/>
              <w:rPr>
                <w:sz w:val="24"/>
              </w:rPr>
            </w:pPr>
          </w:p>
        </w:tc>
        <w:tc>
          <w:tcPr>
            <w:tcW w:w="840" w:type="dxa"/>
            <w:vMerge w:val="continue"/>
            <w:tcBorders>
              <w:top w:val="single" w:color="auto" w:sz="4" w:space="0"/>
              <w:left w:val="single" w:color="auto" w:sz="4" w:space="0"/>
              <w:bottom w:val="single" w:color="auto" w:sz="4" w:space="0"/>
              <w:right w:val="single" w:color="auto" w:sz="4" w:space="0"/>
            </w:tcBorders>
            <w:noWrap w:val="0"/>
            <w:vAlign w:val="center"/>
          </w:tcPr>
          <w:p w14:paraId="64ADB1C1">
            <w:pPr>
              <w:topLinePunct/>
              <w:spacing w:line="440" w:lineRule="exact"/>
              <w:jc w:val="center"/>
              <w:rPr>
                <w:sz w:val="24"/>
              </w:rPr>
            </w:pPr>
          </w:p>
        </w:tc>
        <w:tc>
          <w:tcPr>
            <w:tcW w:w="2299" w:type="dxa"/>
            <w:gridSpan w:val="4"/>
            <w:tcBorders>
              <w:top w:val="single" w:color="auto" w:sz="4" w:space="0"/>
              <w:left w:val="single" w:color="auto" w:sz="4" w:space="0"/>
              <w:bottom w:val="single" w:color="auto" w:sz="4" w:space="0"/>
              <w:right w:val="single" w:color="auto" w:sz="4" w:space="0"/>
            </w:tcBorders>
            <w:noWrap w:val="0"/>
            <w:vAlign w:val="center"/>
          </w:tcPr>
          <w:p w14:paraId="2FF724A4">
            <w:pPr>
              <w:topLinePunct/>
              <w:spacing w:line="440" w:lineRule="exact"/>
              <w:jc w:val="center"/>
              <w:rPr>
                <w:sz w:val="24"/>
              </w:rPr>
            </w:pPr>
            <w:r>
              <w:rPr>
                <w:sz w:val="24"/>
              </w:rPr>
              <w:t>中级职称人员</w:t>
            </w:r>
          </w:p>
        </w:tc>
        <w:tc>
          <w:tcPr>
            <w:tcW w:w="2258" w:type="dxa"/>
            <w:gridSpan w:val="2"/>
            <w:tcBorders>
              <w:top w:val="single" w:color="auto" w:sz="4" w:space="0"/>
              <w:left w:val="single" w:color="auto" w:sz="4" w:space="0"/>
              <w:bottom w:val="single" w:color="auto" w:sz="4" w:space="0"/>
              <w:right w:val="single" w:color="auto" w:sz="4" w:space="0"/>
            </w:tcBorders>
            <w:noWrap w:val="0"/>
            <w:vAlign w:val="center"/>
          </w:tcPr>
          <w:p w14:paraId="5C5A5563">
            <w:pPr>
              <w:topLinePunct/>
              <w:spacing w:line="440" w:lineRule="exact"/>
              <w:jc w:val="center"/>
              <w:rPr>
                <w:sz w:val="24"/>
              </w:rPr>
            </w:pPr>
          </w:p>
        </w:tc>
      </w:tr>
      <w:tr w14:paraId="0052E5C0">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626" w:hRule="atLeast"/>
          <w:jc w:val="center"/>
        </w:trPr>
        <w:tc>
          <w:tcPr>
            <w:tcW w:w="1728" w:type="dxa"/>
            <w:tcBorders>
              <w:top w:val="single" w:color="auto" w:sz="4" w:space="0"/>
              <w:left w:val="single" w:color="auto" w:sz="4" w:space="0"/>
              <w:bottom w:val="single" w:color="auto" w:sz="4" w:space="0"/>
              <w:right w:val="single" w:color="auto" w:sz="4" w:space="0"/>
            </w:tcBorders>
            <w:noWrap w:val="0"/>
            <w:vAlign w:val="center"/>
          </w:tcPr>
          <w:p w14:paraId="193870F6">
            <w:pPr>
              <w:topLinePunct/>
              <w:spacing w:line="440" w:lineRule="exact"/>
              <w:jc w:val="center"/>
              <w:rPr>
                <w:sz w:val="24"/>
              </w:rPr>
            </w:pPr>
            <w:r>
              <w:rPr>
                <w:sz w:val="24"/>
              </w:rPr>
              <w:t>开户银行</w:t>
            </w:r>
          </w:p>
        </w:tc>
        <w:tc>
          <w:tcPr>
            <w:tcW w:w="1849" w:type="dxa"/>
            <w:gridSpan w:val="2"/>
            <w:tcBorders>
              <w:top w:val="single" w:color="auto" w:sz="4" w:space="0"/>
              <w:left w:val="single" w:color="auto" w:sz="4" w:space="0"/>
              <w:bottom w:val="single" w:color="auto" w:sz="4" w:space="0"/>
              <w:right w:val="single" w:color="auto" w:sz="4" w:space="0"/>
            </w:tcBorders>
            <w:noWrap w:val="0"/>
            <w:vAlign w:val="center"/>
          </w:tcPr>
          <w:p w14:paraId="06E14B6F">
            <w:pPr>
              <w:topLinePunct/>
              <w:spacing w:line="440" w:lineRule="exact"/>
              <w:jc w:val="center"/>
              <w:rPr>
                <w:sz w:val="24"/>
              </w:rPr>
            </w:pPr>
          </w:p>
        </w:tc>
        <w:tc>
          <w:tcPr>
            <w:tcW w:w="840" w:type="dxa"/>
            <w:vMerge w:val="continue"/>
            <w:tcBorders>
              <w:top w:val="single" w:color="auto" w:sz="4" w:space="0"/>
              <w:left w:val="single" w:color="auto" w:sz="4" w:space="0"/>
              <w:bottom w:val="single" w:color="auto" w:sz="4" w:space="0"/>
              <w:right w:val="single" w:color="auto" w:sz="4" w:space="0"/>
            </w:tcBorders>
            <w:noWrap w:val="0"/>
            <w:vAlign w:val="center"/>
          </w:tcPr>
          <w:p w14:paraId="511F666E">
            <w:pPr>
              <w:topLinePunct/>
              <w:spacing w:line="440" w:lineRule="exact"/>
              <w:jc w:val="center"/>
              <w:rPr>
                <w:sz w:val="24"/>
              </w:rPr>
            </w:pPr>
          </w:p>
        </w:tc>
        <w:tc>
          <w:tcPr>
            <w:tcW w:w="2299" w:type="dxa"/>
            <w:gridSpan w:val="4"/>
            <w:tcBorders>
              <w:top w:val="single" w:color="auto" w:sz="4" w:space="0"/>
              <w:left w:val="single" w:color="auto" w:sz="4" w:space="0"/>
              <w:bottom w:val="single" w:color="auto" w:sz="4" w:space="0"/>
              <w:right w:val="single" w:color="auto" w:sz="4" w:space="0"/>
            </w:tcBorders>
            <w:noWrap w:val="0"/>
            <w:vAlign w:val="center"/>
          </w:tcPr>
          <w:p w14:paraId="54C2ED77">
            <w:pPr>
              <w:topLinePunct/>
              <w:spacing w:line="440" w:lineRule="exact"/>
              <w:jc w:val="center"/>
              <w:rPr>
                <w:sz w:val="24"/>
              </w:rPr>
            </w:pPr>
            <w:r>
              <w:rPr>
                <w:sz w:val="24"/>
              </w:rPr>
              <w:t>初级职称人员</w:t>
            </w:r>
          </w:p>
        </w:tc>
        <w:tc>
          <w:tcPr>
            <w:tcW w:w="2258" w:type="dxa"/>
            <w:gridSpan w:val="2"/>
            <w:tcBorders>
              <w:top w:val="single" w:color="auto" w:sz="4" w:space="0"/>
              <w:left w:val="single" w:color="auto" w:sz="4" w:space="0"/>
              <w:bottom w:val="single" w:color="auto" w:sz="4" w:space="0"/>
              <w:right w:val="single" w:color="auto" w:sz="4" w:space="0"/>
            </w:tcBorders>
            <w:noWrap w:val="0"/>
            <w:vAlign w:val="center"/>
          </w:tcPr>
          <w:p w14:paraId="3B569D1C">
            <w:pPr>
              <w:topLinePunct/>
              <w:spacing w:line="440" w:lineRule="exact"/>
              <w:jc w:val="center"/>
              <w:rPr>
                <w:sz w:val="24"/>
              </w:rPr>
            </w:pPr>
          </w:p>
        </w:tc>
      </w:tr>
      <w:tr w14:paraId="1859E395">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606" w:hRule="atLeast"/>
          <w:jc w:val="center"/>
        </w:trPr>
        <w:tc>
          <w:tcPr>
            <w:tcW w:w="1728" w:type="dxa"/>
            <w:tcBorders>
              <w:top w:val="single" w:color="auto" w:sz="4" w:space="0"/>
              <w:left w:val="single" w:color="auto" w:sz="4" w:space="0"/>
              <w:bottom w:val="single" w:color="auto" w:sz="4" w:space="0"/>
              <w:right w:val="single" w:color="auto" w:sz="4" w:space="0"/>
            </w:tcBorders>
            <w:noWrap w:val="0"/>
            <w:vAlign w:val="center"/>
          </w:tcPr>
          <w:p w14:paraId="16D2E270">
            <w:pPr>
              <w:topLinePunct/>
              <w:spacing w:line="440" w:lineRule="exact"/>
              <w:jc w:val="center"/>
              <w:rPr>
                <w:sz w:val="24"/>
              </w:rPr>
            </w:pPr>
            <w:r>
              <w:rPr>
                <w:sz w:val="24"/>
              </w:rPr>
              <w:t>账号</w:t>
            </w:r>
          </w:p>
        </w:tc>
        <w:tc>
          <w:tcPr>
            <w:tcW w:w="1849" w:type="dxa"/>
            <w:gridSpan w:val="2"/>
            <w:tcBorders>
              <w:top w:val="single" w:color="auto" w:sz="4" w:space="0"/>
              <w:left w:val="single" w:color="auto" w:sz="4" w:space="0"/>
              <w:bottom w:val="single" w:color="auto" w:sz="4" w:space="0"/>
              <w:right w:val="single" w:color="auto" w:sz="4" w:space="0"/>
            </w:tcBorders>
            <w:noWrap w:val="0"/>
            <w:vAlign w:val="center"/>
          </w:tcPr>
          <w:p w14:paraId="7C2B52B5">
            <w:pPr>
              <w:topLinePunct/>
              <w:spacing w:line="440" w:lineRule="exact"/>
              <w:jc w:val="center"/>
              <w:rPr>
                <w:sz w:val="24"/>
              </w:rPr>
            </w:pPr>
          </w:p>
        </w:tc>
        <w:tc>
          <w:tcPr>
            <w:tcW w:w="840" w:type="dxa"/>
            <w:vMerge w:val="continue"/>
            <w:tcBorders>
              <w:top w:val="single" w:color="auto" w:sz="4" w:space="0"/>
              <w:left w:val="single" w:color="auto" w:sz="4" w:space="0"/>
              <w:bottom w:val="single" w:color="auto" w:sz="4" w:space="0"/>
              <w:right w:val="single" w:color="auto" w:sz="4" w:space="0"/>
            </w:tcBorders>
            <w:noWrap w:val="0"/>
            <w:vAlign w:val="center"/>
          </w:tcPr>
          <w:p w14:paraId="26B51F4C">
            <w:pPr>
              <w:topLinePunct/>
              <w:spacing w:line="440" w:lineRule="exact"/>
              <w:jc w:val="center"/>
              <w:rPr>
                <w:sz w:val="24"/>
              </w:rPr>
            </w:pPr>
          </w:p>
        </w:tc>
        <w:tc>
          <w:tcPr>
            <w:tcW w:w="2299" w:type="dxa"/>
            <w:gridSpan w:val="4"/>
            <w:tcBorders>
              <w:top w:val="single" w:color="auto" w:sz="4" w:space="0"/>
              <w:left w:val="single" w:color="auto" w:sz="4" w:space="0"/>
              <w:bottom w:val="single" w:color="auto" w:sz="4" w:space="0"/>
              <w:right w:val="single" w:color="auto" w:sz="4" w:space="0"/>
            </w:tcBorders>
            <w:noWrap w:val="0"/>
            <w:vAlign w:val="center"/>
          </w:tcPr>
          <w:p w14:paraId="147F7AFF">
            <w:pPr>
              <w:pStyle w:val="30"/>
            </w:pPr>
            <w:r>
              <w:t>技</w:t>
            </w:r>
            <w:r>
              <w:rPr>
                <w:rFonts w:hint="eastAsia"/>
              </w:rPr>
              <w:t xml:space="preserve">  </w:t>
            </w:r>
            <w:r>
              <w:t>工</w:t>
            </w:r>
          </w:p>
        </w:tc>
        <w:tc>
          <w:tcPr>
            <w:tcW w:w="2258" w:type="dxa"/>
            <w:gridSpan w:val="2"/>
            <w:tcBorders>
              <w:top w:val="single" w:color="auto" w:sz="4" w:space="0"/>
              <w:left w:val="single" w:color="auto" w:sz="4" w:space="0"/>
              <w:bottom w:val="single" w:color="auto" w:sz="4" w:space="0"/>
              <w:right w:val="single" w:color="auto" w:sz="4" w:space="0"/>
            </w:tcBorders>
            <w:noWrap w:val="0"/>
            <w:vAlign w:val="center"/>
          </w:tcPr>
          <w:p w14:paraId="50E66CDC">
            <w:pPr>
              <w:topLinePunct/>
              <w:spacing w:line="440" w:lineRule="exact"/>
              <w:jc w:val="center"/>
              <w:rPr>
                <w:sz w:val="24"/>
              </w:rPr>
            </w:pPr>
          </w:p>
        </w:tc>
      </w:tr>
      <w:tr w14:paraId="2FB76AD5">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1880" w:hRule="atLeast"/>
          <w:jc w:val="center"/>
        </w:trPr>
        <w:tc>
          <w:tcPr>
            <w:tcW w:w="1728" w:type="dxa"/>
            <w:tcBorders>
              <w:top w:val="single" w:color="auto" w:sz="4" w:space="0"/>
              <w:left w:val="single" w:color="auto" w:sz="4" w:space="0"/>
              <w:right w:val="single" w:color="auto" w:sz="4" w:space="0"/>
            </w:tcBorders>
            <w:noWrap w:val="0"/>
            <w:vAlign w:val="center"/>
          </w:tcPr>
          <w:p w14:paraId="33CEF3A6">
            <w:pPr>
              <w:topLinePunct/>
              <w:spacing w:line="440" w:lineRule="exact"/>
              <w:ind w:firstLine="240" w:firstLineChars="100"/>
              <w:jc w:val="center"/>
              <w:rPr>
                <w:sz w:val="24"/>
              </w:rPr>
            </w:pPr>
            <w:r>
              <w:rPr>
                <w:sz w:val="24"/>
              </w:rPr>
              <w:t>经营范围</w:t>
            </w:r>
          </w:p>
        </w:tc>
        <w:tc>
          <w:tcPr>
            <w:tcW w:w="7246" w:type="dxa"/>
            <w:gridSpan w:val="9"/>
            <w:tcBorders>
              <w:top w:val="single" w:color="auto" w:sz="4" w:space="0"/>
              <w:left w:val="single" w:color="auto" w:sz="4" w:space="0"/>
              <w:right w:val="single" w:color="auto" w:sz="4" w:space="0"/>
            </w:tcBorders>
            <w:noWrap w:val="0"/>
            <w:vAlign w:val="center"/>
          </w:tcPr>
          <w:p w14:paraId="34512878">
            <w:pPr>
              <w:topLinePunct/>
              <w:spacing w:line="440" w:lineRule="exact"/>
              <w:jc w:val="center"/>
              <w:rPr>
                <w:sz w:val="24"/>
              </w:rPr>
            </w:pPr>
          </w:p>
          <w:p w14:paraId="6A0FB83A">
            <w:pPr>
              <w:topLinePunct/>
              <w:spacing w:line="440" w:lineRule="exact"/>
              <w:jc w:val="center"/>
              <w:rPr>
                <w:sz w:val="24"/>
              </w:rPr>
            </w:pPr>
          </w:p>
          <w:p w14:paraId="2A1A70A9">
            <w:pPr>
              <w:topLinePunct/>
              <w:spacing w:line="440" w:lineRule="exact"/>
              <w:jc w:val="center"/>
              <w:rPr>
                <w:sz w:val="24"/>
              </w:rPr>
            </w:pPr>
          </w:p>
          <w:p w14:paraId="79495ADF">
            <w:pPr>
              <w:topLinePunct/>
              <w:spacing w:line="440" w:lineRule="exact"/>
              <w:jc w:val="center"/>
              <w:rPr>
                <w:sz w:val="24"/>
              </w:rPr>
            </w:pPr>
          </w:p>
          <w:p w14:paraId="6D7BA65C">
            <w:pPr>
              <w:topLinePunct/>
              <w:spacing w:line="440" w:lineRule="exact"/>
              <w:rPr>
                <w:sz w:val="24"/>
              </w:rPr>
            </w:pPr>
          </w:p>
        </w:tc>
      </w:tr>
      <w:tr w14:paraId="5EB52349">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615" w:hRule="atLeast"/>
          <w:jc w:val="center"/>
        </w:trPr>
        <w:tc>
          <w:tcPr>
            <w:tcW w:w="1728" w:type="dxa"/>
            <w:tcBorders>
              <w:top w:val="single" w:color="auto" w:sz="4" w:space="0"/>
              <w:left w:val="single" w:color="auto" w:sz="4" w:space="0"/>
              <w:bottom w:val="single" w:color="auto" w:sz="4" w:space="0"/>
              <w:right w:val="single" w:color="auto" w:sz="4" w:space="0"/>
            </w:tcBorders>
            <w:noWrap w:val="0"/>
            <w:vAlign w:val="center"/>
          </w:tcPr>
          <w:p w14:paraId="70E2E620">
            <w:pPr>
              <w:topLinePunct/>
              <w:spacing w:line="440" w:lineRule="exact"/>
              <w:jc w:val="center"/>
              <w:rPr>
                <w:sz w:val="24"/>
              </w:rPr>
            </w:pPr>
            <w:r>
              <w:rPr>
                <w:sz w:val="24"/>
              </w:rPr>
              <w:t>备注</w:t>
            </w:r>
          </w:p>
        </w:tc>
        <w:tc>
          <w:tcPr>
            <w:tcW w:w="7246" w:type="dxa"/>
            <w:gridSpan w:val="9"/>
            <w:tcBorders>
              <w:top w:val="single" w:color="auto" w:sz="4" w:space="0"/>
              <w:left w:val="single" w:color="auto" w:sz="4" w:space="0"/>
              <w:bottom w:val="single" w:color="auto" w:sz="4" w:space="0"/>
              <w:right w:val="single" w:color="auto" w:sz="4" w:space="0"/>
            </w:tcBorders>
            <w:noWrap w:val="0"/>
            <w:vAlign w:val="center"/>
          </w:tcPr>
          <w:p w14:paraId="2E350A05">
            <w:pPr>
              <w:topLinePunct/>
              <w:spacing w:line="440" w:lineRule="exact"/>
              <w:jc w:val="center"/>
              <w:rPr>
                <w:sz w:val="24"/>
              </w:rPr>
            </w:pPr>
          </w:p>
        </w:tc>
      </w:tr>
    </w:tbl>
    <w:p w14:paraId="2C7D7FDC">
      <w:pPr>
        <w:spacing w:line="440" w:lineRule="exact"/>
        <w:rPr>
          <w:rFonts w:hint="eastAsia" w:eastAsia="黑体"/>
          <w:sz w:val="20"/>
          <w:szCs w:val="20"/>
        </w:rPr>
      </w:pPr>
      <w:r>
        <w:rPr>
          <w:rFonts w:hint="eastAsia" w:eastAsia="黑体"/>
          <w:sz w:val="20"/>
          <w:szCs w:val="20"/>
        </w:rPr>
        <w:t>附：营业执照、资质证书、安全生产许可证等。</w:t>
      </w:r>
    </w:p>
    <w:p w14:paraId="38BA0EA8">
      <w:pPr>
        <w:topLinePunct/>
        <w:spacing w:line="440" w:lineRule="exact"/>
        <w:jc w:val="center"/>
        <w:rPr>
          <w:rFonts w:hint="eastAsia"/>
          <w:sz w:val="20"/>
        </w:rPr>
      </w:pPr>
      <w:r>
        <w:rPr>
          <w:sz w:val="20"/>
        </w:rPr>
        <w:br w:type="page"/>
      </w:r>
    </w:p>
    <w:p w14:paraId="765CF3F0">
      <w:pPr>
        <w:pStyle w:val="87"/>
        <w:rPr>
          <w:rFonts w:hint="eastAsia"/>
          <w:szCs w:val="23"/>
        </w:rPr>
      </w:pPr>
      <w:bookmarkStart w:id="1629" w:name="_Toc152045809"/>
      <w:bookmarkStart w:id="1630" w:name="_Toc100487605"/>
      <w:bookmarkStart w:id="1631" w:name="_Toc152042598"/>
      <w:bookmarkStart w:id="1632" w:name="_Toc144974877"/>
      <w:bookmarkStart w:id="1633" w:name="_Toc251248814"/>
      <w:r>
        <w:rPr>
          <w:szCs w:val="23"/>
        </w:rPr>
        <w:t>（二）近年财务状况表</w:t>
      </w:r>
      <w:bookmarkEnd w:id="1629"/>
      <w:bookmarkEnd w:id="1630"/>
      <w:bookmarkEnd w:id="1631"/>
      <w:bookmarkEnd w:id="1632"/>
      <w:bookmarkEnd w:id="1633"/>
    </w:p>
    <w:p w14:paraId="4019B98F">
      <w:pPr>
        <w:topLinePunct/>
        <w:spacing w:line="440" w:lineRule="exact"/>
        <w:jc w:val="center"/>
        <w:rPr>
          <w:rFonts w:eastAsia="黑体"/>
          <w:sz w:val="20"/>
          <w:szCs w:val="20"/>
        </w:rPr>
      </w:pPr>
    </w:p>
    <w:p w14:paraId="6ECF4DA1">
      <w:pPr>
        <w:spacing w:line="440" w:lineRule="exact"/>
        <w:rPr>
          <w:rFonts w:eastAsia="黑体"/>
          <w:sz w:val="23"/>
          <w:szCs w:val="23"/>
        </w:rPr>
      </w:pPr>
      <w:r>
        <w:rPr>
          <w:rFonts w:eastAsia="黑体"/>
          <w:sz w:val="20"/>
          <w:szCs w:val="20"/>
        </w:rPr>
        <w:br w:type="page"/>
      </w:r>
    </w:p>
    <w:p w14:paraId="1A58EC29">
      <w:pPr>
        <w:pStyle w:val="87"/>
        <w:rPr>
          <w:rFonts w:hint="eastAsia"/>
          <w:szCs w:val="23"/>
        </w:rPr>
      </w:pPr>
      <w:bookmarkStart w:id="1634" w:name="_Toc144974878"/>
      <w:bookmarkStart w:id="1635" w:name="_Toc152042599"/>
      <w:bookmarkStart w:id="1636" w:name="_Toc251248815"/>
      <w:bookmarkStart w:id="1637" w:name="_Toc100487606"/>
      <w:bookmarkStart w:id="1638" w:name="_Toc152045810"/>
      <w:r>
        <w:rPr>
          <w:szCs w:val="23"/>
        </w:rPr>
        <w:t>（三）近年</w:t>
      </w:r>
      <w:r>
        <w:rPr>
          <w:rFonts w:hint="eastAsia"/>
          <w:szCs w:val="23"/>
        </w:rPr>
        <w:t>承担过</w:t>
      </w:r>
      <w:r>
        <w:rPr>
          <w:szCs w:val="23"/>
        </w:rPr>
        <w:t>的类似项目情况表</w:t>
      </w:r>
      <w:bookmarkEnd w:id="1634"/>
      <w:bookmarkEnd w:id="1635"/>
      <w:bookmarkEnd w:id="1636"/>
      <w:bookmarkEnd w:id="1637"/>
      <w:bookmarkEnd w:id="1638"/>
    </w:p>
    <w:p w14:paraId="03C5DAEC">
      <w:pPr>
        <w:spacing w:line="440" w:lineRule="exact"/>
        <w:jc w:val="center"/>
        <w:rPr>
          <w:rFonts w:eastAsia="黑体"/>
          <w:sz w:val="23"/>
          <w:szCs w:val="23"/>
        </w:rPr>
      </w:pPr>
    </w:p>
    <w:tbl>
      <w:tblPr>
        <w:tblStyle w:val="42"/>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517"/>
        <w:gridCol w:w="6940"/>
      </w:tblGrid>
      <w:tr w14:paraId="32A475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70" w:hRule="atLeast"/>
        </w:trPr>
        <w:tc>
          <w:tcPr>
            <w:tcW w:w="2517" w:type="dxa"/>
            <w:noWrap w:val="0"/>
            <w:vAlign w:val="center"/>
          </w:tcPr>
          <w:p w14:paraId="488E1A9E">
            <w:pPr>
              <w:topLinePunct/>
              <w:spacing w:line="440" w:lineRule="exact"/>
              <w:jc w:val="center"/>
              <w:textAlignment w:val="center"/>
              <w:rPr>
                <w:rFonts w:ascii="华文细黑" w:hAnsi="华文细黑"/>
                <w:sz w:val="24"/>
              </w:rPr>
            </w:pPr>
            <w:r>
              <w:rPr>
                <w:rFonts w:ascii="华文细黑" w:hAnsi="华文细黑"/>
                <w:sz w:val="24"/>
              </w:rPr>
              <w:t>项目名称</w:t>
            </w:r>
          </w:p>
        </w:tc>
        <w:tc>
          <w:tcPr>
            <w:tcW w:w="6940" w:type="dxa"/>
            <w:noWrap w:val="0"/>
            <w:vAlign w:val="top"/>
          </w:tcPr>
          <w:p w14:paraId="2C3F28FF">
            <w:pPr>
              <w:topLinePunct/>
              <w:spacing w:line="440" w:lineRule="exact"/>
              <w:jc w:val="center"/>
              <w:textAlignment w:val="center"/>
              <w:rPr>
                <w:rFonts w:ascii="华文细黑" w:hAnsi="华文细黑"/>
                <w:sz w:val="24"/>
                <w:highlight w:val="black"/>
              </w:rPr>
            </w:pPr>
          </w:p>
        </w:tc>
      </w:tr>
      <w:tr w14:paraId="000408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6" w:hRule="atLeast"/>
        </w:trPr>
        <w:tc>
          <w:tcPr>
            <w:tcW w:w="2517" w:type="dxa"/>
            <w:noWrap w:val="0"/>
            <w:vAlign w:val="center"/>
          </w:tcPr>
          <w:p w14:paraId="058DEF00">
            <w:pPr>
              <w:topLinePunct/>
              <w:spacing w:line="440" w:lineRule="exact"/>
              <w:jc w:val="center"/>
              <w:textAlignment w:val="center"/>
              <w:rPr>
                <w:rFonts w:ascii="华文细黑" w:hAnsi="华文细黑"/>
                <w:sz w:val="24"/>
              </w:rPr>
            </w:pPr>
            <w:r>
              <w:rPr>
                <w:rFonts w:ascii="华文细黑" w:hAnsi="华文细黑"/>
                <w:sz w:val="24"/>
              </w:rPr>
              <w:t>项目所在地</w:t>
            </w:r>
          </w:p>
        </w:tc>
        <w:tc>
          <w:tcPr>
            <w:tcW w:w="6940" w:type="dxa"/>
            <w:noWrap w:val="0"/>
            <w:vAlign w:val="top"/>
          </w:tcPr>
          <w:p w14:paraId="1880279C">
            <w:pPr>
              <w:topLinePunct/>
              <w:spacing w:line="440" w:lineRule="exact"/>
              <w:jc w:val="center"/>
              <w:textAlignment w:val="center"/>
              <w:rPr>
                <w:rFonts w:ascii="华文细黑" w:hAnsi="华文细黑"/>
                <w:sz w:val="24"/>
              </w:rPr>
            </w:pPr>
          </w:p>
        </w:tc>
      </w:tr>
      <w:tr w14:paraId="2D7CDCC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4" w:hRule="atLeast"/>
        </w:trPr>
        <w:tc>
          <w:tcPr>
            <w:tcW w:w="2517" w:type="dxa"/>
            <w:noWrap w:val="0"/>
            <w:vAlign w:val="center"/>
          </w:tcPr>
          <w:p w14:paraId="1A7147FE">
            <w:pPr>
              <w:topLinePunct/>
              <w:spacing w:line="440" w:lineRule="exact"/>
              <w:jc w:val="center"/>
              <w:textAlignment w:val="center"/>
              <w:rPr>
                <w:rFonts w:ascii="华文细黑" w:hAnsi="华文细黑"/>
                <w:sz w:val="24"/>
              </w:rPr>
            </w:pPr>
            <w:r>
              <w:rPr>
                <w:rFonts w:ascii="华文细黑" w:hAnsi="华文细黑"/>
                <w:sz w:val="24"/>
              </w:rPr>
              <w:t>发包人名称</w:t>
            </w:r>
          </w:p>
        </w:tc>
        <w:tc>
          <w:tcPr>
            <w:tcW w:w="6940" w:type="dxa"/>
            <w:noWrap w:val="0"/>
            <w:vAlign w:val="top"/>
          </w:tcPr>
          <w:p w14:paraId="78F1A4D2">
            <w:pPr>
              <w:topLinePunct/>
              <w:spacing w:line="440" w:lineRule="exact"/>
              <w:jc w:val="center"/>
              <w:textAlignment w:val="center"/>
              <w:rPr>
                <w:rFonts w:ascii="华文细黑" w:hAnsi="华文细黑"/>
                <w:sz w:val="24"/>
              </w:rPr>
            </w:pPr>
          </w:p>
        </w:tc>
      </w:tr>
      <w:tr w14:paraId="609D40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8" w:hRule="atLeast"/>
        </w:trPr>
        <w:tc>
          <w:tcPr>
            <w:tcW w:w="2517" w:type="dxa"/>
            <w:noWrap w:val="0"/>
            <w:vAlign w:val="center"/>
          </w:tcPr>
          <w:p w14:paraId="0D12B831">
            <w:pPr>
              <w:topLinePunct/>
              <w:spacing w:line="440" w:lineRule="exact"/>
              <w:jc w:val="center"/>
              <w:textAlignment w:val="center"/>
              <w:rPr>
                <w:rFonts w:ascii="华文细黑" w:hAnsi="华文细黑"/>
                <w:sz w:val="24"/>
              </w:rPr>
            </w:pPr>
            <w:r>
              <w:rPr>
                <w:rFonts w:ascii="华文细黑" w:hAnsi="华文细黑"/>
                <w:sz w:val="24"/>
              </w:rPr>
              <w:t>发包人地址</w:t>
            </w:r>
          </w:p>
        </w:tc>
        <w:tc>
          <w:tcPr>
            <w:tcW w:w="6940" w:type="dxa"/>
            <w:noWrap w:val="0"/>
            <w:vAlign w:val="top"/>
          </w:tcPr>
          <w:p w14:paraId="167DF658">
            <w:pPr>
              <w:topLinePunct/>
              <w:spacing w:line="440" w:lineRule="exact"/>
              <w:jc w:val="center"/>
              <w:textAlignment w:val="center"/>
              <w:rPr>
                <w:rFonts w:ascii="华文细黑" w:hAnsi="华文细黑"/>
                <w:sz w:val="24"/>
              </w:rPr>
            </w:pPr>
          </w:p>
        </w:tc>
      </w:tr>
      <w:tr w14:paraId="2F5309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6" w:hRule="atLeast"/>
        </w:trPr>
        <w:tc>
          <w:tcPr>
            <w:tcW w:w="2517" w:type="dxa"/>
            <w:noWrap w:val="0"/>
            <w:vAlign w:val="center"/>
          </w:tcPr>
          <w:p w14:paraId="54E78415">
            <w:pPr>
              <w:topLinePunct/>
              <w:spacing w:line="440" w:lineRule="exact"/>
              <w:jc w:val="center"/>
              <w:textAlignment w:val="center"/>
              <w:rPr>
                <w:rFonts w:ascii="华文细黑" w:hAnsi="华文细黑"/>
                <w:sz w:val="24"/>
              </w:rPr>
            </w:pPr>
            <w:r>
              <w:rPr>
                <w:rFonts w:ascii="华文细黑" w:hAnsi="华文细黑"/>
                <w:sz w:val="24"/>
              </w:rPr>
              <w:t>发包人电话</w:t>
            </w:r>
          </w:p>
        </w:tc>
        <w:tc>
          <w:tcPr>
            <w:tcW w:w="6940" w:type="dxa"/>
            <w:noWrap w:val="0"/>
            <w:vAlign w:val="top"/>
          </w:tcPr>
          <w:p w14:paraId="6C433911">
            <w:pPr>
              <w:topLinePunct/>
              <w:spacing w:line="440" w:lineRule="exact"/>
              <w:jc w:val="center"/>
              <w:textAlignment w:val="center"/>
              <w:rPr>
                <w:rFonts w:ascii="华文细黑" w:hAnsi="华文细黑"/>
                <w:sz w:val="24"/>
              </w:rPr>
            </w:pPr>
          </w:p>
        </w:tc>
      </w:tr>
      <w:tr w14:paraId="7DD2B0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0" w:hRule="atLeast"/>
        </w:trPr>
        <w:tc>
          <w:tcPr>
            <w:tcW w:w="2517" w:type="dxa"/>
            <w:noWrap w:val="0"/>
            <w:vAlign w:val="center"/>
          </w:tcPr>
          <w:p w14:paraId="737879AE">
            <w:pPr>
              <w:topLinePunct/>
              <w:spacing w:line="440" w:lineRule="exact"/>
              <w:jc w:val="center"/>
              <w:textAlignment w:val="center"/>
              <w:rPr>
                <w:rFonts w:ascii="华文细黑" w:hAnsi="华文细黑"/>
                <w:sz w:val="24"/>
              </w:rPr>
            </w:pPr>
            <w:r>
              <w:rPr>
                <w:rFonts w:ascii="华文细黑" w:hAnsi="华文细黑"/>
                <w:sz w:val="24"/>
              </w:rPr>
              <w:t>合同价格</w:t>
            </w:r>
          </w:p>
        </w:tc>
        <w:tc>
          <w:tcPr>
            <w:tcW w:w="6940" w:type="dxa"/>
            <w:noWrap w:val="0"/>
            <w:vAlign w:val="top"/>
          </w:tcPr>
          <w:p w14:paraId="5129C2B1">
            <w:pPr>
              <w:topLinePunct/>
              <w:spacing w:line="440" w:lineRule="exact"/>
              <w:jc w:val="center"/>
              <w:textAlignment w:val="center"/>
              <w:rPr>
                <w:rFonts w:ascii="华文细黑" w:hAnsi="华文细黑"/>
                <w:sz w:val="24"/>
              </w:rPr>
            </w:pPr>
          </w:p>
        </w:tc>
      </w:tr>
      <w:tr w14:paraId="71B430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4" w:hRule="atLeast"/>
        </w:trPr>
        <w:tc>
          <w:tcPr>
            <w:tcW w:w="2517" w:type="dxa"/>
            <w:noWrap w:val="0"/>
            <w:vAlign w:val="center"/>
          </w:tcPr>
          <w:p w14:paraId="10545086">
            <w:pPr>
              <w:topLinePunct/>
              <w:spacing w:line="440" w:lineRule="exact"/>
              <w:jc w:val="center"/>
              <w:textAlignment w:val="center"/>
              <w:rPr>
                <w:rFonts w:ascii="华文细黑" w:hAnsi="华文细黑"/>
                <w:sz w:val="24"/>
              </w:rPr>
            </w:pPr>
            <w:r>
              <w:rPr>
                <w:rFonts w:ascii="华文细黑" w:hAnsi="华文细黑"/>
                <w:sz w:val="24"/>
              </w:rPr>
              <w:t>开工日期</w:t>
            </w:r>
          </w:p>
        </w:tc>
        <w:tc>
          <w:tcPr>
            <w:tcW w:w="6940" w:type="dxa"/>
            <w:noWrap w:val="0"/>
            <w:vAlign w:val="top"/>
          </w:tcPr>
          <w:p w14:paraId="1C373DB1">
            <w:pPr>
              <w:topLinePunct/>
              <w:spacing w:line="440" w:lineRule="exact"/>
              <w:jc w:val="center"/>
              <w:textAlignment w:val="center"/>
              <w:rPr>
                <w:rFonts w:ascii="华文细黑" w:hAnsi="华文细黑"/>
                <w:sz w:val="24"/>
              </w:rPr>
            </w:pPr>
          </w:p>
        </w:tc>
      </w:tr>
      <w:tr w14:paraId="1711DB3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7" w:hRule="atLeast"/>
        </w:trPr>
        <w:tc>
          <w:tcPr>
            <w:tcW w:w="2517" w:type="dxa"/>
            <w:noWrap w:val="0"/>
            <w:vAlign w:val="center"/>
          </w:tcPr>
          <w:p w14:paraId="724BCA6C">
            <w:pPr>
              <w:topLinePunct/>
              <w:spacing w:line="440" w:lineRule="exact"/>
              <w:jc w:val="center"/>
              <w:textAlignment w:val="center"/>
              <w:rPr>
                <w:rFonts w:ascii="华文细黑" w:hAnsi="华文细黑"/>
                <w:sz w:val="24"/>
              </w:rPr>
            </w:pPr>
            <w:r>
              <w:rPr>
                <w:rFonts w:hint="eastAsia" w:ascii="华文细黑" w:hAnsi="华文细黑"/>
                <w:sz w:val="24"/>
              </w:rPr>
              <w:t>竣工</w:t>
            </w:r>
            <w:r>
              <w:rPr>
                <w:rFonts w:ascii="华文细黑" w:hAnsi="华文细黑"/>
                <w:sz w:val="24"/>
              </w:rPr>
              <w:t>日期</w:t>
            </w:r>
          </w:p>
        </w:tc>
        <w:tc>
          <w:tcPr>
            <w:tcW w:w="6940" w:type="dxa"/>
            <w:noWrap w:val="0"/>
            <w:vAlign w:val="top"/>
          </w:tcPr>
          <w:p w14:paraId="792EBF83">
            <w:pPr>
              <w:topLinePunct/>
              <w:spacing w:line="440" w:lineRule="exact"/>
              <w:jc w:val="center"/>
              <w:textAlignment w:val="center"/>
              <w:rPr>
                <w:rFonts w:ascii="华文细黑" w:hAnsi="华文细黑"/>
                <w:sz w:val="24"/>
              </w:rPr>
            </w:pPr>
          </w:p>
        </w:tc>
      </w:tr>
      <w:tr w14:paraId="3CCB07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7" w:hRule="atLeast"/>
        </w:trPr>
        <w:tc>
          <w:tcPr>
            <w:tcW w:w="2517" w:type="dxa"/>
            <w:noWrap w:val="0"/>
            <w:vAlign w:val="center"/>
          </w:tcPr>
          <w:p w14:paraId="5F09C83C">
            <w:pPr>
              <w:topLinePunct/>
              <w:spacing w:line="440" w:lineRule="exact"/>
              <w:jc w:val="center"/>
              <w:textAlignment w:val="center"/>
              <w:rPr>
                <w:rFonts w:ascii="华文细黑" w:hAnsi="华文细黑"/>
                <w:sz w:val="24"/>
              </w:rPr>
            </w:pPr>
            <w:r>
              <w:rPr>
                <w:rFonts w:ascii="华文细黑" w:hAnsi="华文细黑"/>
                <w:sz w:val="24"/>
              </w:rPr>
              <w:t>承担的工作</w:t>
            </w:r>
          </w:p>
        </w:tc>
        <w:tc>
          <w:tcPr>
            <w:tcW w:w="6940" w:type="dxa"/>
            <w:noWrap w:val="0"/>
            <w:vAlign w:val="top"/>
          </w:tcPr>
          <w:p w14:paraId="748B16DF">
            <w:pPr>
              <w:topLinePunct/>
              <w:spacing w:line="440" w:lineRule="exact"/>
              <w:jc w:val="center"/>
              <w:textAlignment w:val="center"/>
              <w:rPr>
                <w:rFonts w:ascii="华文细黑" w:hAnsi="华文细黑"/>
                <w:sz w:val="24"/>
              </w:rPr>
            </w:pPr>
          </w:p>
        </w:tc>
      </w:tr>
      <w:tr w14:paraId="254712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5" w:hRule="atLeast"/>
        </w:trPr>
        <w:tc>
          <w:tcPr>
            <w:tcW w:w="2517" w:type="dxa"/>
            <w:noWrap w:val="0"/>
            <w:vAlign w:val="center"/>
          </w:tcPr>
          <w:p w14:paraId="08D3518C">
            <w:pPr>
              <w:topLinePunct/>
              <w:spacing w:line="440" w:lineRule="exact"/>
              <w:jc w:val="center"/>
              <w:textAlignment w:val="center"/>
              <w:rPr>
                <w:rFonts w:ascii="华文细黑" w:hAnsi="华文细黑"/>
                <w:sz w:val="24"/>
              </w:rPr>
            </w:pPr>
            <w:r>
              <w:rPr>
                <w:rFonts w:ascii="华文细黑" w:hAnsi="华文细黑"/>
                <w:sz w:val="24"/>
              </w:rPr>
              <w:t>工程质量</w:t>
            </w:r>
          </w:p>
        </w:tc>
        <w:tc>
          <w:tcPr>
            <w:tcW w:w="6940" w:type="dxa"/>
            <w:noWrap w:val="0"/>
            <w:vAlign w:val="top"/>
          </w:tcPr>
          <w:p w14:paraId="29F7FAC5">
            <w:pPr>
              <w:topLinePunct/>
              <w:spacing w:line="440" w:lineRule="exact"/>
              <w:jc w:val="center"/>
              <w:textAlignment w:val="center"/>
              <w:rPr>
                <w:rFonts w:ascii="华文细黑" w:hAnsi="华文细黑"/>
                <w:sz w:val="24"/>
              </w:rPr>
            </w:pPr>
          </w:p>
        </w:tc>
      </w:tr>
      <w:tr w14:paraId="16652F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9" w:hRule="atLeast"/>
        </w:trPr>
        <w:tc>
          <w:tcPr>
            <w:tcW w:w="2517" w:type="dxa"/>
            <w:noWrap w:val="0"/>
            <w:vAlign w:val="center"/>
          </w:tcPr>
          <w:p w14:paraId="75435ACB">
            <w:pPr>
              <w:topLinePunct/>
              <w:spacing w:line="440" w:lineRule="exact"/>
              <w:jc w:val="center"/>
              <w:textAlignment w:val="center"/>
              <w:rPr>
                <w:rFonts w:ascii="华文细黑" w:hAnsi="华文细黑"/>
                <w:sz w:val="24"/>
              </w:rPr>
            </w:pPr>
            <w:r>
              <w:rPr>
                <w:rFonts w:ascii="华文细黑" w:hAnsi="华文细黑"/>
                <w:sz w:val="24"/>
              </w:rPr>
              <w:t>项目经理</w:t>
            </w:r>
          </w:p>
        </w:tc>
        <w:tc>
          <w:tcPr>
            <w:tcW w:w="6940" w:type="dxa"/>
            <w:noWrap w:val="0"/>
            <w:vAlign w:val="top"/>
          </w:tcPr>
          <w:p w14:paraId="6C585EAE">
            <w:pPr>
              <w:topLinePunct/>
              <w:spacing w:line="440" w:lineRule="exact"/>
              <w:jc w:val="center"/>
              <w:textAlignment w:val="center"/>
              <w:rPr>
                <w:rFonts w:ascii="华文细黑" w:hAnsi="华文细黑"/>
                <w:sz w:val="24"/>
              </w:rPr>
            </w:pPr>
          </w:p>
        </w:tc>
      </w:tr>
      <w:tr w14:paraId="18C0D9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7" w:hRule="atLeast"/>
        </w:trPr>
        <w:tc>
          <w:tcPr>
            <w:tcW w:w="2517" w:type="dxa"/>
            <w:noWrap w:val="0"/>
            <w:vAlign w:val="center"/>
          </w:tcPr>
          <w:p w14:paraId="6710D333">
            <w:pPr>
              <w:topLinePunct/>
              <w:spacing w:line="440" w:lineRule="exact"/>
              <w:jc w:val="center"/>
              <w:textAlignment w:val="center"/>
              <w:rPr>
                <w:rFonts w:ascii="华文细黑" w:hAnsi="华文细黑"/>
                <w:sz w:val="24"/>
              </w:rPr>
            </w:pPr>
            <w:r>
              <w:rPr>
                <w:rFonts w:ascii="华文细黑" w:hAnsi="华文细黑"/>
                <w:sz w:val="24"/>
              </w:rPr>
              <w:t>技术负责人</w:t>
            </w:r>
          </w:p>
        </w:tc>
        <w:tc>
          <w:tcPr>
            <w:tcW w:w="6940" w:type="dxa"/>
            <w:noWrap w:val="0"/>
            <w:vAlign w:val="top"/>
          </w:tcPr>
          <w:p w14:paraId="731ECA97">
            <w:pPr>
              <w:topLinePunct/>
              <w:spacing w:line="440" w:lineRule="exact"/>
              <w:jc w:val="center"/>
              <w:textAlignment w:val="center"/>
              <w:rPr>
                <w:rFonts w:ascii="华文细黑" w:hAnsi="华文细黑"/>
                <w:sz w:val="24"/>
              </w:rPr>
            </w:pPr>
          </w:p>
        </w:tc>
      </w:tr>
      <w:tr w14:paraId="774899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4" w:hRule="atLeast"/>
        </w:trPr>
        <w:tc>
          <w:tcPr>
            <w:tcW w:w="2517" w:type="dxa"/>
            <w:noWrap w:val="0"/>
            <w:vAlign w:val="center"/>
          </w:tcPr>
          <w:p w14:paraId="0701A138">
            <w:pPr>
              <w:topLinePunct/>
              <w:spacing w:line="440" w:lineRule="exact"/>
              <w:jc w:val="center"/>
              <w:textAlignment w:val="center"/>
              <w:rPr>
                <w:rFonts w:ascii="华文细黑" w:hAnsi="华文细黑"/>
                <w:sz w:val="24"/>
              </w:rPr>
            </w:pPr>
            <w:r>
              <w:rPr>
                <w:rFonts w:ascii="华文细黑" w:hAnsi="华文细黑"/>
                <w:sz w:val="24"/>
              </w:rPr>
              <w:t>项目描述</w:t>
            </w:r>
          </w:p>
        </w:tc>
        <w:tc>
          <w:tcPr>
            <w:tcW w:w="6940" w:type="dxa"/>
            <w:noWrap w:val="0"/>
            <w:vAlign w:val="top"/>
          </w:tcPr>
          <w:p w14:paraId="4F58BD39">
            <w:pPr>
              <w:topLinePunct/>
              <w:spacing w:line="440" w:lineRule="exact"/>
              <w:jc w:val="center"/>
              <w:textAlignment w:val="center"/>
              <w:rPr>
                <w:rFonts w:ascii="华文细黑" w:hAnsi="华文细黑"/>
                <w:sz w:val="24"/>
              </w:rPr>
            </w:pPr>
          </w:p>
          <w:p w14:paraId="2C12AE31">
            <w:pPr>
              <w:topLinePunct/>
              <w:spacing w:line="440" w:lineRule="exact"/>
              <w:jc w:val="center"/>
              <w:textAlignment w:val="center"/>
              <w:rPr>
                <w:rFonts w:ascii="华文细黑" w:hAnsi="华文细黑"/>
                <w:sz w:val="24"/>
              </w:rPr>
            </w:pPr>
          </w:p>
          <w:p w14:paraId="2B648489">
            <w:pPr>
              <w:topLinePunct/>
              <w:spacing w:line="440" w:lineRule="exact"/>
              <w:jc w:val="center"/>
              <w:textAlignment w:val="center"/>
              <w:rPr>
                <w:rFonts w:ascii="华文细黑" w:hAnsi="华文细黑"/>
                <w:sz w:val="24"/>
              </w:rPr>
            </w:pPr>
          </w:p>
          <w:p w14:paraId="68A411F0">
            <w:pPr>
              <w:topLinePunct/>
              <w:spacing w:line="440" w:lineRule="exact"/>
              <w:jc w:val="center"/>
              <w:textAlignment w:val="center"/>
              <w:rPr>
                <w:rFonts w:ascii="华文细黑" w:hAnsi="华文细黑"/>
                <w:sz w:val="24"/>
              </w:rPr>
            </w:pPr>
          </w:p>
          <w:p w14:paraId="28F22E5E">
            <w:pPr>
              <w:topLinePunct/>
              <w:spacing w:line="440" w:lineRule="exact"/>
              <w:jc w:val="center"/>
              <w:textAlignment w:val="center"/>
              <w:rPr>
                <w:rFonts w:ascii="华文细黑" w:hAnsi="华文细黑"/>
                <w:sz w:val="24"/>
              </w:rPr>
            </w:pPr>
          </w:p>
          <w:p w14:paraId="3F5309A1">
            <w:pPr>
              <w:topLinePunct/>
              <w:spacing w:line="440" w:lineRule="exact"/>
              <w:jc w:val="center"/>
              <w:textAlignment w:val="center"/>
              <w:rPr>
                <w:rFonts w:ascii="华文细黑" w:hAnsi="华文细黑"/>
                <w:sz w:val="24"/>
              </w:rPr>
            </w:pPr>
          </w:p>
          <w:p w14:paraId="1D1FEFC8">
            <w:pPr>
              <w:topLinePunct/>
              <w:spacing w:line="440" w:lineRule="exact"/>
              <w:jc w:val="center"/>
              <w:textAlignment w:val="center"/>
              <w:rPr>
                <w:rFonts w:ascii="华文细黑" w:hAnsi="华文细黑"/>
                <w:sz w:val="24"/>
              </w:rPr>
            </w:pPr>
          </w:p>
        </w:tc>
      </w:tr>
      <w:tr w14:paraId="5D3A31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4" w:hRule="atLeast"/>
        </w:trPr>
        <w:tc>
          <w:tcPr>
            <w:tcW w:w="2517" w:type="dxa"/>
            <w:noWrap w:val="0"/>
            <w:vAlign w:val="center"/>
          </w:tcPr>
          <w:p w14:paraId="1F4F5781">
            <w:pPr>
              <w:topLinePunct/>
              <w:spacing w:line="440" w:lineRule="exact"/>
              <w:jc w:val="center"/>
              <w:textAlignment w:val="center"/>
              <w:rPr>
                <w:rFonts w:ascii="华文细黑" w:hAnsi="华文细黑"/>
                <w:sz w:val="24"/>
              </w:rPr>
            </w:pPr>
            <w:r>
              <w:rPr>
                <w:rFonts w:ascii="华文细黑" w:hAnsi="华文细黑"/>
                <w:sz w:val="24"/>
              </w:rPr>
              <w:t>备注</w:t>
            </w:r>
          </w:p>
        </w:tc>
        <w:tc>
          <w:tcPr>
            <w:tcW w:w="6940" w:type="dxa"/>
            <w:noWrap w:val="0"/>
            <w:vAlign w:val="top"/>
          </w:tcPr>
          <w:p w14:paraId="05F6EEE5">
            <w:pPr>
              <w:topLinePunct/>
              <w:spacing w:line="440" w:lineRule="exact"/>
              <w:jc w:val="center"/>
              <w:textAlignment w:val="center"/>
              <w:rPr>
                <w:rFonts w:ascii="华文细黑" w:hAnsi="华文细黑"/>
                <w:sz w:val="24"/>
              </w:rPr>
            </w:pPr>
          </w:p>
        </w:tc>
      </w:tr>
    </w:tbl>
    <w:p w14:paraId="003DF8F0">
      <w:pPr>
        <w:spacing w:line="440" w:lineRule="exact"/>
        <w:rPr>
          <w:rFonts w:eastAsia="黑体"/>
          <w:sz w:val="20"/>
          <w:szCs w:val="20"/>
        </w:rPr>
      </w:pPr>
      <w:r>
        <w:rPr>
          <w:rFonts w:hint="eastAsia" w:eastAsia="黑体"/>
          <w:sz w:val="23"/>
          <w:szCs w:val="23"/>
        </w:rPr>
        <w:t>附合同协议书或中标通知书</w:t>
      </w:r>
      <w:r>
        <w:rPr>
          <w:rFonts w:eastAsia="黑体"/>
          <w:sz w:val="23"/>
          <w:szCs w:val="23"/>
        </w:rPr>
        <w:br w:type="page"/>
      </w:r>
    </w:p>
    <w:p w14:paraId="347E69CE">
      <w:pPr>
        <w:pStyle w:val="87"/>
        <w:rPr>
          <w:szCs w:val="23"/>
        </w:rPr>
      </w:pPr>
      <w:bookmarkStart w:id="1639" w:name="_Toc144974880"/>
      <w:bookmarkStart w:id="1640" w:name="_Toc100487607"/>
      <w:bookmarkStart w:id="1641" w:name="_Toc251248817"/>
      <w:bookmarkStart w:id="1642" w:name="_Toc152045812"/>
      <w:bookmarkStart w:id="1643" w:name="_Toc152042601"/>
      <w:r>
        <w:rPr>
          <w:szCs w:val="23"/>
        </w:rPr>
        <w:t>（五）近年发生的诉讼及仲裁情况</w:t>
      </w:r>
      <w:bookmarkEnd w:id="1639"/>
      <w:bookmarkEnd w:id="1640"/>
      <w:bookmarkEnd w:id="1641"/>
      <w:bookmarkEnd w:id="1642"/>
      <w:bookmarkEnd w:id="1643"/>
    </w:p>
    <w:p w14:paraId="37B0FBE9">
      <w:pPr>
        <w:spacing w:line="440" w:lineRule="exact"/>
        <w:rPr>
          <w:rFonts w:eastAsia="黑体"/>
          <w:sz w:val="20"/>
          <w:szCs w:val="20"/>
        </w:rPr>
      </w:pPr>
    </w:p>
    <w:p w14:paraId="47356A35">
      <w:pPr>
        <w:spacing w:line="440" w:lineRule="exact"/>
        <w:ind w:firstLine="500" w:firstLineChars="250"/>
        <w:jc w:val="center"/>
        <w:rPr>
          <w:sz w:val="30"/>
          <w:szCs w:val="30"/>
        </w:rPr>
      </w:pPr>
      <w:r>
        <w:rPr>
          <w:rFonts w:eastAsia="黑体"/>
          <w:sz w:val="20"/>
          <w:szCs w:val="20"/>
        </w:rPr>
        <w:br w:type="page"/>
      </w:r>
      <w:bookmarkStart w:id="1644" w:name="_Toc152045813"/>
      <w:bookmarkStart w:id="1645" w:name="_Toc100487608"/>
      <w:bookmarkStart w:id="1646" w:name="_Toc152042602"/>
      <w:bookmarkStart w:id="1647" w:name="_Toc144974881"/>
      <w:r>
        <w:rPr>
          <w:rFonts w:hint="eastAsia"/>
          <w:b/>
          <w:bCs/>
          <w:sz w:val="30"/>
          <w:szCs w:val="30"/>
        </w:rPr>
        <w:t>十</w:t>
      </w:r>
      <w:r>
        <w:rPr>
          <w:b/>
          <w:bCs/>
          <w:sz w:val="30"/>
          <w:szCs w:val="30"/>
        </w:rPr>
        <w:t>、其他材料</w:t>
      </w:r>
      <w:bookmarkEnd w:id="1644"/>
      <w:bookmarkEnd w:id="1645"/>
      <w:bookmarkEnd w:id="1646"/>
      <w:bookmarkEnd w:id="1647"/>
    </w:p>
    <w:p w14:paraId="5B331A23">
      <w:pPr>
        <w:spacing w:line="400" w:lineRule="exact"/>
        <w:rPr>
          <w:rFonts w:hint="eastAsia"/>
        </w:rPr>
      </w:pPr>
    </w:p>
    <w:p w14:paraId="26195552">
      <w:pPr>
        <w:spacing w:line="400" w:lineRule="exact"/>
        <w:jc w:val="center"/>
        <w:rPr>
          <w:rFonts w:hint="eastAsia"/>
          <w:b/>
          <w:sz w:val="28"/>
          <w:szCs w:val="28"/>
        </w:rPr>
      </w:pPr>
      <w:r>
        <w:rPr>
          <w:rFonts w:hint="eastAsia"/>
          <w:b/>
          <w:sz w:val="28"/>
          <w:szCs w:val="28"/>
        </w:rPr>
        <w:t>投标人承诺书</w:t>
      </w:r>
    </w:p>
    <w:p w14:paraId="56A993BA">
      <w:pPr>
        <w:spacing w:line="400" w:lineRule="exact"/>
        <w:rPr>
          <w:rFonts w:hint="eastAsia"/>
        </w:rPr>
      </w:pPr>
    </w:p>
    <w:p w14:paraId="579FDEDB">
      <w:pPr>
        <w:spacing w:line="500" w:lineRule="exact"/>
        <w:rPr>
          <w:rFonts w:hint="eastAsia"/>
          <w:b/>
          <w:bCs/>
          <w:i w:val="0"/>
          <w:iCs/>
          <w:sz w:val="28"/>
          <w:szCs w:val="28"/>
        </w:rPr>
      </w:pPr>
      <w:r>
        <w:rPr>
          <w:rFonts w:hint="eastAsia"/>
          <w:b/>
          <w:bCs/>
          <w:i w:val="0"/>
          <w:iCs/>
          <w:sz w:val="28"/>
          <w:szCs w:val="28"/>
        </w:rPr>
        <w:t>投标人承诺书建议包含以下内容：</w:t>
      </w:r>
    </w:p>
    <w:p w14:paraId="5D16CB0E">
      <w:pPr>
        <w:spacing w:line="500" w:lineRule="exact"/>
        <w:rPr>
          <w:rFonts w:hint="eastAsia"/>
          <w:sz w:val="28"/>
          <w:szCs w:val="28"/>
        </w:rPr>
      </w:pPr>
    </w:p>
    <w:p w14:paraId="77522463">
      <w:pPr>
        <w:spacing w:line="500" w:lineRule="exact"/>
        <w:ind w:firstLine="560" w:firstLineChars="200"/>
        <w:rPr>
          <w:rFonts w:hint="eastAsia"/>
          <w:sz w:val="28"/>
          <w:szCs w:val="28"/>
        </w:rPr>
      </w:pPr>
      <w:r>
        <w:rPr>
          <w:rFonts w:hint="eastAsia"/>
          <w:sz w:val="28"/>
          <w:szCs w:val="28"/>
        </w:rPr>
        <w:t>我单位所投</w:t>
      </w:r>
      <w:r>
        <w:rPr>
          <w:rFonts w:hint="eastAsia"/>
          <w:sz w:val="28"/>
          <w:szCs w:val="28"/>
          <w:u w:val="single"/>
        </w:rPr>
        <w:t xml:space="preserve">                                    </w:t>
      </w:r>
      <w:r>
        <w:rPr>
          <w:rFonts w:hint="eastAsia"/>
          <w:sz w:val="28"/>
          <w:szCs w:val="28"/>
        </w:rPr>
        <w:t>工程，在此郑重承诺：</w:t>
      </w:r>
    </w:p>
    <w:p w14:paraId="37F12CD1">
      <w:pPr>
        <w:spacing w:line="500" w:lineRule="exact"/>
        <w:ind w:firstLine="560" w:firstLineChars="200"/>
        <w:rPr>
          <w:rFonts w:hint="eastAsia"/>
          <w:sz w:val="28"/>
          <w:szCs w:val="28"/>
        </w:rPr>
      </w:pPr>
      <w:r>
        <w:rPr>
          <w:rFonts w:hint="eastAsia"/>
          <w:sz w:val="28"/>
          <w:szCs w:val="28"/>
        </w:rPr>
        <w:t>1、保证此投标文件中所附企业资料复印件均真实有效且与原件无误，否则我单位承担一切责任；</w:t>
      </w:r>
    </w:p>
    <w:p w14:paraId="52B81737">
      <w:pPr>
        <w:spacing w:line="500" w:lineRule="exact"/>
        <w:ind w:firstLine="560" w:firstLineChars="200"/>
        <w:rPr>
          <w:rFonts w:hint="eastAsia"/>
          <w:sz w:val="28"/>
          <w:szCs w:val="28"/>
        </w:rPr>
      </w:pPr>
      <w:r>
        <w:rPr>
          <w:rFonts w:hint="eastAsia"/>
          <w:sz w:val="28"/>
          <w:szCs w:val="28"/>
        </w:rPr>
        <w:t>2、保证拟派项目负责人</w:t>
      </w:r>
      <w:r>
        <w:rPr>
          <w:rFonts w:hint="eastAsia" w:ascii="宋体" w:hAnsi="宋体"/>
          <w:sz w:val="28"/>
          <w:szCs w:val="28"/>
        </w:rPr>
        <w:t>未担任其他在施建设工程项目的项目经理；</w:t>
      </w:r>
    </w:p>
    <w:p w14:paraId="37FDECF3">
      <w:pPr>
        <w:spacing w:line="500" w:lineRule="exact"/>
        <w:ind w:firstLine="560" w:firstLineChars="200"/>
        <w:rPr>
          <w:rFonts w:hint="eastAsia"/>
          <w:sz w:val="28"/>
          <w:szCs w:val="28"/>
        </w:rPr>
      </w:pPr>
      <w:r>
        <w:rPr>
          <w:rFonts w:hint="eastAsia"/>
          <w:sz w:val="28"/>
          <w:szCs w:val="28"/>
        </w:rPr>
        <w:t>3、若我单位中标，保证按照投标文件中拟配备人员组织进场，否则自愿按照招标人的有关规定接受处罚；</w:t>
      </w:r>
    </w:p>
    <w:p w14:paraId="2ACB468D">
      <w:pPr>
        <w:spacing w:line="500" w:lineRule="exact"/>
        <w:ind w:firstLine="560" w:firstLineChars="200"/>
        <w:rPr>
          <w:rFonts w:hint="eastAsia"/>
          <w:sz w:val="28"/>
          <w:szCs w:val="28"/>
        </w:rPr>
      </w:pPr>
      <w:r>
        <w:rPr>
          <w:rFonts w:hint="eastAsia"/>
          <w:sz w:val="28"/>
          <w:szCs w:val="28"/>
        </w:rPr>
        <w:t>4、若我单位中标，保证按照投标文件中拟投入的设备表组织进场，否则自愿按照招标人的有关规定接受处罚；</w:t>
      </w:r>
    </w:p>
    <w:p w14:paraId="1B7F7859">
      <w:pPr>
        <w:spacing w:line="500" w:lineRule="exact"/>
        <w:ind w:firstLine="560" w:firstLineChars="200"/>
        <w:rPr>
          <w:rFonts w:hint="eastAsia"/>
          <w:sz w:val="28"/>
          <w:szCs w:val="28"/>
        </w:rPr>
      </w:pPr>
      <w:r>
        <w:rPr>
          <w:rFonts w:hint="eastAsia"/>
          <w:sz w:val="28"/>
          <w:szCs w:val="28"/>
        </w:rPr>
        <w:t>5、若我单位中标，保证安全生产目标达到</w:t>
      </w:r>
      <w:r>
        <w:rPr>
          <w:rFonts w:hint="eastAsia"/>
          <w:sz w:val="28"/>
          <w:szCs w:val="28"/>
          <w:u w:val="single"/>
        </w:rPr>
        <w:t xml:space="preserve">  合格  </w:t>
      </w:r>
      <w:r>
        <w:rPr>
          <w:rFonts w:hint="eastAsia"/>
          <w:sz w:val="28"/>
          <w:szCs w:val="28"/>
        </w:rPr>
        <w:t>标准，且满足工期、质量要求各项目标完成工程任务，否则自愿按照招标人的有关规定接受处罚</w:t>
      </w:r>
    </w:p>
    <w:p w14:paraId="375E2C04">
      <w:pPr>
        <w:spacing w:line="500" w:lineRule="exact"/>
        <w:ind w:firstLine="560" w:firstLineChars="200"/>
        <w:rPr>
          <w:rFonts w:hint="eastAsia"/>
          <w:sz w:val="28"/>
          <w:szCs w:val="28"/>
        </w:rPr>
      </w:pPr>
    </w:p>
    <w:p w14:paraId="23DC8D82">
      <w:pPr>
        <w:spacing w:line="500" w:lineRule="exact"/>
        <w:ind w:firstLine="560" w:firstLineChars="200"/>
        <w:rPr>
          <w:rFonts w:hint="eastAsia"/>
          <w:sz w:val="28"/>
          <w:szCs w:val="28"/>
        </w:rPr>
      </w:pPr>
      <w:r>
        <w:rPr>
          <w:rFonts w:hint="eastAsia"/>
          <w:sz w:val="28"/>
          <w:szCs w:val="28"/>
        </w:rPr>
        <w:t>……</w:t>
      </w:r>
    </w:p>
    <w:p w14:paraId="23B1CFC1">
      <w:pPr>
        <w:spacing w:line="500" w:lineRule="exact"/>
        <w:rPr>
          <w:rFonts w:hint="eastAsia"/>
          <w:sz w:val="28"/>
          <w:szCs w:val="28"/>
        </w:rPr>
      </w:pPr>
    </w:p>
    <w:p w14:paraId="50D98BDE">
      <w:pPr>
        <w:spacing w:line="560" w:lineRule="exact"/>
        <w:ind w:firstLine="2520" w:firstLineChars="900"/>
        <w:rPr>
          <w:rFonts w:hint="eastAsia" w:ascii="宋体" w:hAnsi="宋体"/>
          <w:color w:val="000000"/>
          <w:sz w:val="28"/>
          <w:szCs w:val="28"/>
        </w:rPr>
      </w:pPr>
      <w:r>
        <w:rPr>
          <w:rFonts w:hint="eastAsia" w:ascii="宋体" w:hAnsi="宋体"/>
          <w:color w:val="000000"/>
          <w:sz w:val="28"/>
          <w:szCs w:val="28"/>
        </w:rPr>
        <w:t>投标人：</w:t>
      </w:r>
      <w:r>
        <w:rPr>
          <w:rFonts w:hint="eastAsia" w:ascii="宋体" w:hAnsi="宋体"/>
          <w:color w:val="000000"/>
          <w:sz w:val="28"/>
          <w:szCs w:val="28"/>
          <w:u w:val="single"/>
        </w:rPr>
        <w:t xml:space="preserve">                </w:t>
      </w:r>
      <w:r>
        <w:rPr>
          <w:rFonts w:hint="eastAsia" w:ascii="宋体" w:hAnsi="宋体"/>
          <w:color w:val="000000"/>
          <w:sz w:val="28"/>
          <w:szCs w:val="28"/>
        </w:rPr>
        <w:t>（盖单位章）</w:t>
      </w:r>
    </w:p>
    <w:p w14:paraId="03E34A37">
      <w:pPr>
        <w:spacing w:line="560" w:lineRule="exact"/>
        <w:ind w:firstLine="2520" w:firstLineChars="900"/>
        <w:rPr>
          <w:rFonts w:ascii="宋体" w:hAnsi="宋体"/>
          <w:color w:val="000000"/>
          <w:sz w:val="28"/>
          <w:szCs w:val="28"/>
        </w:rPr>
      </w:pPr>
      <w:r>
        <w:rPr>
          <w:rFonts w:ascii="宋体" w:hAnsi="宋体"/>
          <w:color w:val="000000"/>
          <w:sz w:val="28"/>
          <w:szCs w:val="28"/>
        </w:rPr>
        <w:t>法定代表人或其委托代理人：</w:t>
      </w:r>
      <w:r>
        <w:rPr>
          <w:rFonts w:ascii="宋体" w:hAnsi="宋体"/>
          <w:color w:val="000000"/>
          <w:sz w:val="28"/>
          <w:szCs w:val="28"/>
          <w:u w:val="single"/>
        </w:rPr>
        <w:t xml:space="preserve">      </w:t>
      </w:r>
      <w:r>
        <w:rPr>
          <w:rFonts w:hint="eastAsia" w:ascii="宋体" w:hAnsi="宋体"/>
          <w:color w:val="000000"/>
          <w:sz w:val="28"/>
          <w:szCs w:val="28"/>
          <w:u w:val="single"/>
        </w:rPr>
        <w:t xml:space="preserve"> </w:t>
      </w:r>
      <w:r>
        <w:rPr>
          <w:rFonts w:ascii="宋体" w:hAnsi="宋体"/>
          <w:color w:val="000000"/>
          <w:sz w:val="28"/>
          <w:szCs w:val="28"/>
          <w:u w:val="single"/>
        </w:rPr>
        <w:t xml:space="preserve"> （签字</w:t>
      </w:r>
      <w:r>
        <w:rPr>
          <w:rFonts w:hint="eastAsia" w:ascii="宋体" w:hAnsi="宋体"/>
          <w:color w:val="000000"/>
          <w:sz w:val="28"/>
          <w:szCs w:val="28"/>
          <w:u w:val="single"/>
        </w:rPr>
        <w:t>或盖章</w:t>
      </w:r>
      <w:r>
        <w:rPr>
          <w:rFonts w:ascii="宋体" w:hAnsi="宋体"/>
          <w:color w:val="000000"/>
          <w:sz w:val="28"/>
          <w:szCs w:val="28"/>
          <w:u w:val="single"/>
        </w:rPr>
        <w:t>）</w:t>
      </w:r>
    </w:p>
    <w:p w14:paraId="6CD48B4B">
      <w:pPr>
        <w:spacing w:line="560" w:lineRule="exact"/>
        <w:ind w:firstLine="2520" w:firstLineChars="900"/>
        <w:rPr>
          <w:rFonts w:hint="eastAsia" w:ascii="宋体" w:hAnsi="宋体"/>
          <w:color w:val="000000"/>
          <w:sz w:val="28"/>
          <w:szCs w:val="28"/>
        </w:rPr>
      </w:pPr>
      <w:r>
        <w:rPr>
          <w:rFonts w:hint="eastAsia" w:ascii="宋体" w:hAnsi="宋体"/>
          <w:color w:val="000000"/>
          <w:sz w:val="28"/>
          <w:szCs w:val="28"/>
        </w:rPr>
        <w:t>日  期：       年   月   日</w:t>
      </w:r>
    </w:p>
    <w:p w14:paraId="29130ADE">
      <w:pPr>
        <w:spacing w:line="500" w:lineRule="exact"/>
        <w:rPr>
          <w:rFonts w:hint="eastAsia"/>
          <w:sz w:val="28"/>
          <w:szCs w:val="28"/>
        </w:rPr>
      </w:pPr>
    </w:p>
    <w:p w14:paraId="5E740687">
      <w:pPr>
        <w:spacing w:line="400" w:lineRule="exact"/>
        <w:rPr>
          <w:rFonts w:hint="eastAsia"/>
        </w:rPr>
      </w:pPr>
    </w:p>
    <w:p w14:paraId="3D88EA77">
      <w:pPr>
        <w:spacing w:line="400" w:lineRule="exact"/>
        <w:rPr>
          <w:rFonts w:hint="eastAsia"/>
        </w:rPr>
      </w:pPr>
    </w:p>
    <w:sectPr>
      <w:footerReference r:id="rId5" w:type="default"/>
      <w:pgSz w:w="11906" w:h="16838"/>
      <w:pgMar w:top="1418" w:right="1191" w:bottom="1418" w:left="1474" w:header="851" w:footer="907" w:gutter="0"/>
      <w:pgNumType w:fmt="decimal" w:start="1"/>
      <w:cols w:space="720" w:num="1"/>
      <w:docGrid w:type="linesAndChar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仿宋_GB2312">
    <w:altName w:val="仿宋"/>
    <w:panose1 w:val="00000000000000000000"/>
    <w:charset w:val="86"/>
    <w:family w:val="modern"/>
    <w:pitch w:val="default"/>
    <w:sig w:usb0="00000000" w:usb1="00000000" w:usb2="00000010" w:usb3="00000000" w:csb0="00040000" w:csb1="00000000"/>
  </w:font>
  <w:font w:name="仿宋">
    <w:panose1 w:val="02010609060101010101"/>
    <w:charset w:val="86"/>
    <w:family w:val="auto"/>
    <w:pitch w:val="default"/>
    <w:sig w:usb0="800002BF" w:usb1="38CF7CFA" w:usb2="00000016" w:usb3="00000000" w:csb0="00040001" w:csb1="00000000"/>
  </w:font>
  <w:font w:name="monospace">
    <w:altName w:val="Segoe Print"/>
    <w:panose1 w:val="00000000000000000000"/>
    <w:charset w:val="00"/>
    <w:family w:val="auto"/>
    <w:pitch w:val="default"/>
    <w:sig w:usb0="00000000" w:usb1="00000000" w:usb2="00000000" w:usb3="00000000" w:csb0="00000000" w:csb1="00000000"/>
  </w:font>
  <w:font w:name="Segoe Print">
    <w:panose1 w:val="02000600000000000000"/>
    <w:charset w:val="00"/>
    <w:family w:val="auto"/>
    <w:pitch w:val="default"/>
    <w:sig w:usb0="0000028F" w:usb1="00000000" w:usb2="00000000" w:usb3="00000000" w:csb0="2000009F" w:csb1="47010000"/>
  </w:font>
  <w:font w:name="Arial Unicode MS">
    <w:altName w:val="宋体"/>
    <w:panose1 w:val="020B0604020202020204"/>
    <w:charset w:val="86"/>
    <w:family w:val="swiss"/>
    <w:pitch w:val="default"/>
    <w:sig w:usb0="00000000" w:usb1="00000000" w:usb2="0000003F" w:usb3="00000000" w:csb0="603F01FF" w:csb1="FFFF0000"/>
  </w:font>
  <w:font w:name="华文细黑">
    <w:panose1 w:val="02010600040101010101"/>
    <w:charset w:val="86"/>
    <w:family w:val="auto"/>
    <w:pitch w:val="default"/>
    <w:sig w:usb0="00000287" w:usb1="080F0000" w:usb2="00000000" w:usb3="00000000" w:csb0="0004009F" w:csb1="DFD70000"/>
  </w:font>
  <w:font w:name="TimesNewRomanPSMT">
    <w:altName w:val="宋体"/>
    <w:panose1 w:val="00000000000000000000"/>
    <w:charset w:val="00"/>
    <w:family w:val="roman"/>
    <w:pitch w:val="default"/>
    <w:sig w:usb0="00000000" w:usb1="00000000" w:usb2="0000001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A36B900">
    <w:pPr>
      <w:pStyle w:val="28"/>
      <w:ind w:right="360"/>
      <w:rPr>
        <w:rFonts w:hint="eastAsia"/>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AFB25DA">
    <w:pPr>
      <w:pStyle w:val="28"/>
      <w:jc w:val="center"/>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265EB42A">
                          <w:pPr>
                            <w:pStyle w:val="28"/>
                            <w:jc w:val="center"/>
                          </w:pPr>
                          <w:r>
                            <w:fldChar w:fldCharType="begin"/>
                          </w:r>
                          <w:r>
                            <w:instrText xml:space="preserve">PAGE   \* MERGEFORMAT</w:instrText>
                          </w:r>
                          <w:r>
                            <w:fldChar w:fldCharType="separate"/>
                          </w:r>
                          <w:r>
                            <w:rPr>
                              <w:lang w:val="zh-CN"/>
                            </w:rPr>
                            <w:t>94</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Akgka0MQIAAGEEAAAOAAAAAAAAAAEAIAAAAB8BAABkcnMvZTJvRG9jLnhtbFBLBQYA&#10;AAAABgAGAFkBAADCBQAAAAA=&#10;">
              <v:fill on="f" focussize="0,0"/>
              <v:stroke on="f" weight="0.5pt"/>
              <v:imagedata o:title=""/>
              <o:lock v:ext="edit" aspectratio="f"/>
              <v:textbox inset="0mm,0mm,0mm,0mm" style="mso-fit-shape-to-text:t;">
                <w:txbxContent>
                  <w:p w14:paraId="265EB42A">
                    <w:pPr>
                      <w:pStyle w:val="28"/>
                      <w:jc w:val="center"/>
                    </w:pPr>
                    <w:r>
                      <w:fldChar w:fldCharType="begin"/>
                    </w:r>
                    <w:r>
                      <w:instrText xml:space="preserve">PAGE   \* MERGEFORMAT</w:instrText>
                    </w:r>
                    <w:r>
                      <w:fldChar w:fldCharType="separate"/>
                    </w:r>
                    <w:r>
                      <w:rPr>
                        <w:lang w:val="zh-CN"/>
                      </w:rPr>
                      <w:t>94</w:t>
                    </w:r>
                    <w:r>
                      <w:fldChar w:fldCharType="end"/>
                    </w:r>
                  </w:p>
                </w:txbxContent>
              </v:textbox>
            </v:shape>
          </w:pict>
        </mc:Fallback>
      </mc:AlternateContent>
    </w:r>
  </w:p>
  <w:p w14:paraId="3A0C2ABF">
    <w:pPr>
      <w:pStyle w:val="28"/>
      <w:jc w:val="right"/>
      <w:rPr>
        <w:rFonts w:hint="eastAsia"/>
      </w:rPr>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304E9BC">
    <w:pPr>
      <w:pStyle w:val="29"/>
      <w:pBdr>
        <w:bottom w:val="none" w:color="auto" w:sz="0" w:space="0"/>
      </w:pBd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40"/>
  <w:bordersDoNotSurroundHeader w:val="0"/>
  <w:bordersDoNotSurroundFooter w:val="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420"/>
  <w:hyphenationZone w:val="36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WMxMmRmMDgzZTgzZTAxMDY5ZTg3OTI0ODdhNjczYjcifQ=="/>
  </w:docVars>
  <w:rsids>
    <w:rsidRoot w:val="00B80529"/>
    <w:rsid w:val="000001D9"/>
    <w:rsid w:val="00000DD9"/>
    <w:rsid w:val="000019C2"/>
    <w:rsid w:val="00003953"/>
    <w:rsid w:val="00004164"/>
    <w:rsid w:val="000042F6"/>
    <w:rsid w:val="00005598"/>
    <w:rsid w:val="00005F47"/>
    <w:rsid w:val="0000617C"/>
    <w:rsid w:val="00006354"/>
    <w:rsid w:val="0000650B"/>
    <w:rsid w:val="00007356"/>
    <w:rsid w:val="000079BB"/>
    <w:rsid w:val="00007C20"/>
    <w:rsid w:val="00007D20"/>
    <w:rsid w:val="000100A9"/>
    <w:rsid w:val="00010633"/>
    <w:rsid w:val="00010A63"/>
    <w:rsid w:val="00010E14"/>
    <w:rsid w:val="000114AC"/>
    <w:rsid w:val="0001245B"/>
    <w:rsid w:val="00012910"/>
    <w:rsid w:val="000135AD"/>
    <w:rsid w:val="00014EDF"/>
    <w:rsid w:val="00015447"/>
    <w:rsid w:val="00015652"/>
    <w:rsid w:val="000157B6"/>
    <w:rsid w:val="00015BCF"/>
    <w:rsid w:val="00015DA4"/>
    <w:rsid w:val="000162D7"/>
    <w:rsid w:val="00016618"/>
    <w:rsid w:val="0001715D"/>
    <w:rsid w:val="000208B7"/>
    <w:rsid w:val="000211EB"/>
    <w:rsid w:val="00021968"/>
    <w:rsid w:val="00021E7A"/>
    <w:rsid w:val="0002417A"/>
    <w:rsid w:val="00024A5C"/>
    <w:rsid w:val="00024E63"/>
    <w:rsid w:val="0002527E"/>
    <w:rsid w:val="00025510"/>
    <w:rsid w:val="0002566C"/>
    <w:rsid w:val="000266E7"/>
    <w:rsid w:val="00026CCD"/>
    <w:rsid w:val="00026DCE"/>
    <w:rsid w:val="00026ECB"/>
    <w:rsid w:val="000279EA"/>
    <w:rsid w:val="00030270"/>
    <w:rsid w:val="00030648"/>
    <w:rsid w:val="00030A12"/>
    <w:rsid w:val="00030A30"/>
    <w:rsid w:val="00030EC6"/>
    <w:rsid w:val="00031390"/>
    <w:rsid w:val="0003360C"/>
    <w:rsid w:val="000336A6"/>
    <w:rsid w:val="0003501D"/>
    <w:rsid w:val="0003542C"/>
    <w:rsid w:val="000363AC"/>
    <w:rsid w:val="000364FA"/>
    <w:rsid w:val="0003685A"/>
    <w:rsid w:val="00037883"/>
    <w:rsid w:val="00041F96"/>
    <w:rsid w:val="000432F5"/>
    <w:rsid w:val="000436F0"/>
    <w:rsid w:val="000437C9"/>
    <w:rsid w:val="00043CFB"/>
    <w:rsid w:val="000442FD"/>
    <w:rsid w:val="000456ED"/>
    <w:rsid w:val="00045BD2"/>
    <w:rsid w:val="00046D73"/>
    <w:rsid w:val="000470F1"/>
    <w:rsid w:val="000477C6"/>
    <w:rsid w:val="0004789C"/>
    <w:rsid w:val="00047A3B"/>
    <w:rsid w:val="00047C39"/>
    <w:rsid w:val="00050D38"/>
    <w:rsid w:val="000511B6"/>
    <w:rsid w:val="00051AB1"/>
    <w:rsid w:val="00051C64"/>
    <w:rsid w:val="00053EC0"/>
    <w:rsid w:val="000549A7"/>
    <w:rsid w:val="00054B0C"/>
    <w:rsid w:val="00054C47"/>
    <w:rsid w:val="00055717"/>
    <w:rsid w:val="00057973"/>
    <w:rsid w:val="00057B47"/>
    <w:rsid w:val="00057C2C"/>
    <w:rsid w:val="00057D4F"/>
    <w:rsid w:val="00057FFA"/>
    <w:rsid w:val="0006073A"/>
    <w:rsid w:val="000616AA"/>
    <w:rsid w:val="00062244"/>
    <w:rsid w:val="00062BDC"/>
    <w:rsid w:val="00064610"/>
    <w:rsid w:val="0006491C"/>
    <w:rsid w:val="000649B8"/>
    <w:rsid w:val="00065734"/>
    <w:rsid w:val="000667BA"/>
    <w:rsid w:val="000667CB"/>
    <w:rsid w:val="00066A32"/>
    <w:rsid w:val="00067829"/>
    <w:rsid w:val="00067B69"/>
    <w:rsid w:val="00070659"/>
    <w:rsid w:val="000712B3"/>
    <w:rsid w:val="00072AE1"/>
    <w:rsid w:val="00073972"/>
    <w:rsid w:val="00073DCF"/>
    <w:rsid w:val="00073EDC"/>
    <w:rsid w:val="00074247"/>
    <w:rsid w:val="00074852"/>
    <w:rsid w:val="000753D7"/>
    <w:rsid w:val="00075CF8"/>
    <w:rsid w:val="0007661F"/>
    <w:rsid w:val="000771B6"/>
    <w:rsid w:val="000772D5"/>
    <w:rsid w:val="00077939"/>
    <w:rsid w:val="00077F58"/>
    <w:rsid w:val="00080228"/>
    <w:rsid w:val="000805AD"/>
    <w:rsid w:val="00081C99"/>
    <w:rsid w:val="000833C1"/>
    <w:rsid w:val="00083620"/>
    <w:rsid w:val="0008371E"/>
    <w:rsid w:val="00083968"/>
    <w:rsid w:val="000841FA"/>
    <w:rsid w:val="00084553"/>
    <w:rsid w:val="00085CAE"/>
    <w:rsid w:val="00086109"/>
    <w:rsid w:val="00087127"/>
    <w:rsid w:val="00087AB5"/>
    <w:rsid w:val="00087C5C"/>
    <w:rsid w:val="00090B93"/>
    <w:rsid w:val="000914A2"/>
    <w:rsid w:val="000914EE"/>
    <w:rsid w:val="000923A0"/>
    <w:rsid w:val="00092837"/>
    <w:rsid w:val="00092DAD"/>
    <w:rsid w:val="000933D4"/>
    <w:rsid w:val="00094768"/>
    <w:rsid w:val="00094D81"/>
    <w:rsid w:val="000959DD"/>
    <w:rsid w:val="000961D6"/>
    <w:rsid w:val="00096909"/>
    <w:rsid w:val="00096B4E"/>
    <w:rsid w:val="00097D7F"/>
    <w:rsid w:val="000A15D4"/>
    <w:rsid w:val="000A277A"/>
    <w:rsid w:val="000A2E26"/>
    <w:rsid w:val="000A3C92"/>
    <w:rsid w:val="000A4379"/>
    <w:rsid w:val="000A487F"/>
    <w:rsid w:val="000A59B1"/>
    <w:rsid w:val="000A5AA3"/>
    <w:rsid w:val="000A7197"/>
    <w:rsid w:val="000A7222"/>
    <w:rsid w:val="000A762A"/>
    <w:rsid w:val="000B07B3"/>
    <w:rsid w:val="000B1D9E"/>
    <w:rsid w:val="000B1EE6"/>
    <w:rsid w:val="000B2F0F"/>
    <w:rsid w:val="000B36D3"/>
    <w:rsid w:val="000B3E5E"/>
    <w:rsid w:val="000B4857"/>
    <w:rsid w:val="000B5E38"/>
    <w:rsid w:val="000B60CB"/>
    <w:rsid w:val="000C006E"/>
    <w:rsid w:val="000C16B0"/>
    <w:rsid w:val="000C1FE6"/>
    <w:rsid w:val="000C2070"/>
    <w:rsid w:val="000C23A0"/>
    <w:rsid w:val="000C24DD"/>
    <w:rsid w:val="000C4C16"/>
    <w:rsid w:val="000C4EA9"/>
    <w:rsid w:val="000C5573"/>
    <w:rsid w:val="000C5577"/>
    <w:rsid w:val="000C5702"/>
    <w:rsid w:val="000C5871"/>
    <w:rsid w:val="000C5B56"/>
    <w:rsid w:val="000C6239"/>
    <w:rsid w:val="000C64DE"/>
    <w:rsid w:val="000C71C7"/>
    <w:rsid w:val="000C741F"/>
    <w:rsid w:val="000D04F0"/>
    <w:rsid w:val="000D0B4C"/>
    <w:rsid w:val="000D19A0"/>
    <w:rsid w:val="000D1D57"/>
    <w:rsid w:val="000D270F"/>
    <w:rsid w:val="000D2AC6"/>
    <w:rsid w:val="000D3014"/>
    <w:rsid w:val="000D35E0"/>
    <w:rsid w:val="000D3AB3"/>
    <w:rsid w:val="000D3C45"/>
    <w:rsid w:val="000D4410"/>
    <w:rsid w:val="000D49A5"/>
    <w:rsid w:val="000D5A44"/>
    <w:rsid w:val="000D6779"/>
    <w:rsid w:val="000D724D"/>
    <w:rsid w:val="000D7402"/>
    <w:rsid w:val="000D7F92"/>
    <w:rsid w:val="000E000C"/>
    <w:rsid w:val="000E19B5"/>
    <w:rsid w:val="000E2505"/>
    <w:rsid w:val="000E2E73"/>
    <w:rsid w:val="000E4037"/>
    <w:rsid w:val="000E4470"/>
    <w:rsid w:val="000E46B4"/>
    <w:rsid w:val="000E4AF7"/>
    <w:rsid w:val="000E4D56"/>
    <w:rsid w:val="000E4FEA"/>
    <w:rsid w:val="000E5E8D"/>
    <w:rsid w:val="000E756E"/>
    <w:rsid w:val="000E782B"/>
    <w:rsid w:val="000E7F30"/>
    <w:rsid w:val="000F082B"/>
    <w:rsid w:val="000F0D48"/>
    <w:rsid w:val="000F1C43"/>
    <w:rsid w:val="000F1CDA"/>
    <w:rsid w:val="000F2B3E"/>
    <w:rsid w:val="000F2F7B"/>
    <w:rsid w:val="000F33A2"/>
    <w:rsid w:val="000F37A0"/>
    <w:rsid w:val="000F3F13"/>
    <w:rsid w:val="000F4158"/>
    <w:rsid w:val="000F4C7F"/>
    <w:rsid w:val="000F5387"/>
    <w:rsid w:val="000F6ECE"/>
    <w:rsid w:val="000F7299"/>
    <w:rsid w:val="00100A6E"/>
    <w:rsid w:val="00102B04"/>
    <w:rsid w:val="00102B5B"/>
    <w:rsid w:val="00103C6B"/>
    <w:rsid w:val="00104B2E"/>
    <w:rsid w:val="001058A9"/>
    <w:rsid w:val="00105F80"/>
    <w:rsid w:val="00106904"/>
    <w:rsid w:val="00107245"/>
    <w:rsid w:val="00107489"/>
    <w:rsid w:val="001075CF"/>
    <w:rsid w:val="001104BD"/>
    <w:rsid w:val="001108AD"/>
    <w:rsid w:val="001114F3"/>
    <w:rsid w:val="00111BFA"/>
    <w:rsid w:val="001129C5"/>
    <w:rsid w:val="00113711"/>
    <w:rsid w:val="00113DA5"/>
    <w:rsid w:val="001143C3"/>
    <w:rsid w:val="001145B6"/>
    <w:rsid w:val="00114E7C"/>
    <w:rsid w:val="0011554B"/>
    <w:rsid w:val="00115F81"/>
    <w:rsid w:val="0011612B"/>
    <w:rsid w:val="00116391"/>
    <w:rsid w:val="00116915"/>
    <w:rsid w:val="0011794E"/>
    <w:rsid w:val="0012077F"/>
    <w:rsid w:val="001207E3"/>
    <w:rsid w:val="00120E03"/>
    <w:rsid w:val="001217D7"/>
    <w:rsid w:val="00122098"/>
    <w:rsid w:val="00122315"/>
    <w:rsid w:val="0012271C"/>
    <w:rsid w:val="00123E35"/>
    <w:rsid w:val="001242DD"/>
    <w:rsid w:val="001249DD"/>
    <w:rsid w:val="00126922"/>
    <w:rsid w:val="00126F6B"/>
    <w:rsid w:val="00127841"/>
    <w:rsid w:val="00127EE0"/>
    <w:rsid w:val="0013047C"/>
    <w:rsid w:val="00130609"/>
    <w:rsid w:val="00130E7E"/>
    <w:rsid w:val="001314E0"/>
    <w:rsid w:val="00132F04"/>
    <w:rsid w:val="00133205"/>
    <w:rsid w:val="001338C8"/>
    <w:rsid w:val="00134527"/>
    <w:rsid w:val="00134D71"/>
    <w:rsid w:val="00135B01"/>
    <w:rsid w:val="00136888"/>
    <w:rsid w:val="001370E1"/>
    <w:rsid w:val="00137264"/>
    <w:rsid w:val="00137EF9"/>
    <w:rsid w:val="00137FC0"/>
    <w:rsid w:val="001404E7"/>
    <w:rsid w:val="00141A63"/>
    <w:rsid w:val="00141E08"/>
    <w:rsid w:val="00143419"/>
    <w:rsid w:val="00143AF2"/>
    <w:rsid w:val="00143D29"/>
    <w:rsid w:val="0014443C"/>
    <w:rsid w:val="00144F3B"/>
    <w:rsid w:val="00144F49"/>
    <w:rsid w:val="00145348"/>
    <w:rsid w:val="001453E5"/>
    <w:rsid w:val="0014557B"/>
    <w:rsid w:val="00146119"/>
    <w:rsid w:val="001461C5"/>
    <w:rsid w:val="001470B3"/>
    <w:rsid w:val="001504E9"/>
    <w:rsid w:val="001509E9"/>
    <w:rsid w:val="00150E05"/>
    <w:rsid w:val="00151478"/>
    <w:rsid w:val="001521DB"/>
    <w:rsid w:val="00152DCA"/>
    <w:rsid w:val="00153D9D"/>
    <w:rsid w:val="00153EC9"/>
    <w:rsid w:val="00154C57"/>
    <w:rsid w:val="001563FA"/>
    <w:rsid w:val="001573F6"/>
    <w:rsid w:val="0016025C"/>
    <w:rsid w:val="00160728"/>
    <w:rsid w:val="00160AE6"/>
    <w:rsid w:val="00160CCE"/>
    <w:rsid w:val="00160E17"/>
    <w:rsid w:val="00160F5D"/>
    <w:rsid w:val="001615E4"/>
    <w:rsid w:val="00161DE0"/>
    <w:rsid w:val="0016256C"/>
    <w:rsid w:val="00162944"/>
    <w:rsid w:val="00162B38"/>
    <w:rsid w:val="00162C25"/>
    <w:rsid w:val="00163FAE"/>
    <w:rsid w:val="00165996"/>
    <w:rsid w:val="00165AC6"/>
    <w:rsid w:val="0016619E"/>
    <w:rsid w:val="00166263"/>
    <w:rsid w:val="001662C8"/>
    <w:rsid w:val="0016730D"/>
    <w:rsid w:val="00167646"/>
    <w:rsid w:val="00170C78"/>
    <w:rsid w:val="00171A47"/>
    <w:rsid w:val="00172C6D"/>
    <w:rsid w:val="00172E4F"/>
    <w:rsid w:val="00174FC0"/>
    <w:rsid w:val="001754B1"/>
    <w:rsid w:val="0017579B"/>
    <w:rsid w:val="00175C03"/>
    <w:rsid w:val="00175F8B"/>
    <w:rsid w:val="00176677"/>
    <w:rsid w:val="00176C6A"/>
    <w:rsid w:val="00177A0E"/>
    <w:rsid w:val="00180AF4"/>
    <w:rsid w:val="00181482"/>
    <w:rsid w:val="001825CC"/>
    <w:rsid w:val="00183158"/>
    <w:rsid w:val="00183CB7"/>
    <w:rsid w:val="001840F1"/>
    <w:rsid w:val="00184456"/>
    <w:rsid w:val="00185093"/>
    <w:rsid w:val="001850C1"/>
    <w:rsid w:val="001854AF"/>
    <w:rsid w:val="00185D06"/>
    <w:rsid w:val="00185F5E"/>
    <w:rsid w:val="001863D9"/>
    <w:rsid w:val="001909E7"/>
    <w:rsid w:val="00191236"/>
    <w:rsid w:val="00191727"/>
    <w:rsid w:val="00191DEF"/>
    <w:rsid w:val="00193B1C"/>
    <w:rsid w:val="001955F7"/>
    <w:rsid w:val="0019674C"/>
    <w:rsid w:val="00196B33"/>
    <w:rsid w:val="001974A5"/>
    <w:rsid w:val="00197980"/>
    <w:rsid w:val="001A057F"/>
    <w:rsid w:val="001A066A"/>
    <w:rsid w:val="001A140F"/>
    <w:rsid w:val="001A1513"/>
    <w:rsid w:val="001A2AE8"/>
    <w:rsid w:val="001A31C4"/>
    <w:rsid w:val="001A354F"/>
    <w:rsid w:val="001A3BD9"/>
    <w:rsid w:val="001A412F"/>
    <w:rsid w:val="001A664A"/>
    <w:rsid w:val="001A67DA"/>
    <w:rsid w:val="001A6CA2"/>
    <w:rsid w:val="001A6D06"/>
    <w:rsid w:val="001A7D10"/>
    <w:rsid w:val="001A7DC0"/>
    <w:rsid w:val="001A7FB6"/>
    <w:rsid w:val="001B147F"/>
    <w:rsid w:val="001B1F7C"/>
    <w:rsid w:val="001B325C"/>
    <w:rsid w:val="001B3550"/>
    <w:rsid w:val="001B38A5"/>
    <w:rsid w:val="001B3A01"/>
    <w:rsid w:val="001B3F8E"/>
    <w:rsid w:val="001B4814"/>
    <w:rsid w:val="001B4891"/>
    <w:rsid w:val="001B4DC7"/>
    <w:rsid w:val="001B4F0A"/>
    <w:rsid w:val="001B68D9"/>
    <w:rsid w:val="001B6BE5"/>
    <w:rsid w:val="001B7136"/>
    <w:rsid w:val="001B775D"/>
    <w:rsid w:val="001B79BF"/>
    <w:rsid w:val="001B7EAB"/>
    <w:rsid w:val="001C15AD"/>
    <w:rsid w:val="001C20F3"/>
    <w:rsid w:val="001C3682"/>
    <w:rsid w:val="001C4D1D"/>
    <w:rsid w:val="001C5186"/>
    <w:rsid w:val="001C5DF3"/>
    <w:rsid w:val="001C5EE7"/>
    <w:rsid w:val="001C61AA"/>
    <w:rsid w:val="001C69DD"/>
    <w:rsid w:val="001C6FE8"/>
    <w:rsid w:val="001C7615"/>
    <w:rsid w:val="001C7776"/>
    <w:rsid w:val="001C7855"/>
    <w:rsid w:val="001D0CC0"/>
    <w:rsid w:val="001D342D"/>
    <w:rsid w:val="001D3CD5"/>
    <w:rsid w:val="001D4769"/>
    <w:rsid w:val="001D4A47"/>
    <w:rsid w:val="001D5143"/>
    <w:rsid w:val="001D5FFF"/>
    <w:rsid w:val="001D7AE1"/>
    <w:rsid w:val="001D7CDF"/>
    <w:rsid w:val="001E0F26"/>
    <w:rsid w:val="001E103F"/>
    <w:rsid w:val="001E1877"/>
    <w:rsid w:val="001E19F8"/>
    <w:rsid w:val="001E268C"/>
    <w:rsid w:val="001E2E57"/>
    <w:rsid w:val="001E394B"/>
    <w:rsid w:val="001E3958"/>
    <w:rsid w:val="001E3D1E"/>
    <w:rsid w:val="001E4306"/>
    <w:rsid w:val="001E45FC"/>
    <w:rsid w:val="001E4C06"/>
    <w:rsid w:val="001E56BC"/>
    <w:rsid w:val="001E5851"/>
    <w:rsid w:val="001E69B4"/>
    <w:rsid w:val="001E6B1B"/>
    <w:rsid w:val="001E6EFC"/>
    <w:rsid w:val="001E743F"/>
    <w:rsid w:val="001E7516"/>
    <w:rsid w:val="001E7AF8"/>
    <w:rsid w:val="001F12FC"/>
    <w:rsid w:val="001F249D"/>
    <w:rsid w:val="001F2C89"/>
    <w:rsid w:val="001F378E"/>
    <w:rsid w:val="001F448E"/>
    <w:rsid w:val="001F4D59"/>
    <w:rsid w:val="001F52ED"/>
    <w:rsid w:val="001F5C0E"/>
    <w:rsid w:val="001F625D"/>
    <w:rsid w:val="001F6303"/>
    <w:rsid w:val="001F6568"/>
    <w:rsid w:val="001F6C95"/>
    <w:rsid w:val="001F7062"/>
    <w:rsid w:val="001F7398"/>
    <w:rsid w:val="001F75BB"/>
    <w:rsid w:val="00200034"/>
    <w:rsid w:val="00201B51"/>
    <w:rsid w:val="00202287"/>
    <w:rsid w:val="0020261F"/>
    <w:rsid w:val="00202673"/>
    <w:rsid w:val="0020319B"/>
    <w:rsid w:val="00203983"/>
    <w:rsid w:val="002045BD"/>
    <w:rsid w:val="00204944"/>
    <w:rsid w:val="002049B8"/>
    <w:rsid w:val="00204CA6"/>
    <w:rsid w:val="002050E8"/>
    <w:rsid w:val="00205B9A"/>
    <w:rsid w:val="00205D38"/>
    <w:rsid w:val="0020628B"/>
    <w:rsid w:val="002066AA"/>
    <w:rsid w:val="00210847"/>
    <w:rsid w:val="00210EB1"/>
    <w:rsid w:val="00211FC6"/>
    <w:rsid w:val="00212335"/>
    <w:rsid w:val="002127FC"/>
    <w:rsid w:val="00212D36"/>
    <w:rsid w:val="00214B51"/>
    <w:rsid w:val="00214B7B"/>
    <w:rsid w:val="00214B87"/>
    <w:rsid w:val="00215325"/>
    <w:rsid w:val="0021595C"/>
    <w:rsid w:val="00216748"/>
    <w:rsid w:val="00216E53"/>
    <w:rsid w:val="00220337"/>
    <w:rsid w:val="00220DCD"/>
    <w:rsid w:val="00220E9F"/>
    <w:rsid w:val="002214B9"/>
    <w:rsid w:val="00221923"/>
    <w:rsid w:val="00221D33"/>
    <w:rsid w:val="0022220A"/>
    <w:rsid w:val="0022234D"/>
    <w:rsid w:val="0022258F"/>
    <w:rsid w:val="00222648"/>
    <w:rsid w:val="00222D73"/>
    <w:rsid w:val="00222E57"/>
    <w:rsid w:val="002257F8"/>
    <w:rsid w:val="00225B34"/>
    <w:rsid w:val="00225E82"/>
    <w:rsid w:val="00225ED9"/>
    <w:rsid w:val="00226517"/>
    <w:rsid w:val="00226C57"/>
    <w:rsid w:val="00227C21"/>
    <w:rsid w:val="0023031F"/>
    <w:rsid w:val="00230A06"/>
    <w:rsid w:val="002312B9"/>
    <w:rsid w:val="00231BA1"/>
    <w:rsid w:val="00233480"/>
    <w:rsid w:val="00233B16"/>
    <w:rsid w:val="00233E4A"/>
    <w:rsid w:val="002342CE"/>
    <w:rsid w:val="00234484"/>
    <w:rsid w:val="00236652"/>
    <w:rsid w:val="00236D4A"/>
    <w:rsid w:val="00236DFA"/>
    <w:rsid w:val="00237DB3"/>
    <w:rsid w:val="00240216"/>
    <w:rsid w:val="0024166B"/>
    <w:rsid w:val="00242050"/>
    <w:rsid w:val="002420AF"/>
    <w:rsid w:val="002428BD"/>
    <w:rsid w:val="00242CC9"/>
    <w:rsid w:val="00243015"/>
    <w:rsid w:val="00244BD4"/>
    <w:rsid w:val="00246970"/>
    <w:rsid w:val="002472BA"/>
    <w:rsid w:val="00247711"/>
    <w:rsid w:val="00250471"/>
    <w:rsid w:val="00250A49"/>
    <w:rsid w:val="00250B97"/>
    <w:rsid w:val="00250FAE"/>
    <w:rsid w:val="00250FED"/>
    <w:rsid w:val="00251802"/>
    <w:rsid w:val="00252585"/>
    <w:rsid w:val="002525D6"/>
    <w:rsid w:val="00252824"/>
    <w:rsid w:val="00253571"/>
    <w:rsid w:val="00253BF8"/>
    <w:rsid w:val="00253C02"/>
    <w:rsid w:val="00253EAD"/>
    <w:rsid w:val="00254048"/>
    <w:rsid w:val="002550F2"/>
    <w:rsid w:val="00255696"/>
    <w:rsid w:val="00255779"/>
    <w:rsid w:val="0025613F"/>
    <w:rsid w:val="002571E4"/>
    <w:rsid w:val="00260916"/>
    <w:rsid w:val="002613F5"/>
    <w:rsid w:val="002619DD"/>
    <w:rsid w:val="0026279D"/>
    <w:rsid w:val="0026297A"/>
    <w:rsid w:val="00262D01"/>
    <w:rsid w:val="00263363"/>
    <w:rsid w:val="00263479"/>
    <w:rsid w:val="002647FE"/>
    <w:rsid w:val="00265F89"/>
    <w:rsid w:val="002662F9"/>
    <w:rsid w:val="00266ABD"/>
    <w:rsid w:val="00266AEC"/>
    <w:rsid w:val="00270629"/>
    <w:rsid w:val="00270C81"/>
    <w:rsid w:val="00270D46"/>
    <w:rsid w:val="00271389"/>
    <w:rsid w:val="00271694"/>
    <w:rsid w:val="002734E6"/>
    <w:rsid w:val="00273A8F"/>
    <w:rsid w:val="002749E9"/>
    <w:rsid w:val="00274B4C"/>
    <w:rsid w:val="00274E64"/>
    <w:rsid w:val="0027527C"/>
    <w:rsid w:val="002752FF"/>
    <w:rsid w:val="002754C5"/>
    <w:rsid w:val="002757FF"/>
    <w:rsid w:val="00275F10"/>
    <w:rsid w:val="00277299"/>
    <w:rsid w:val="00277830"/>
    <w:rsid w:val="00280354"/>
    <w:rsid w:val="00280C23"/>
    <w:rsid w:val="00281A43"/>
    <w:rsid w:val="00281DE6"/>
    <w:rsid w:val="00282022"/>
    <w:rsid w:val="00282270"/>
    <w:rsid w:val="002827B2"/>
    <w:rsid w:val="00283D95"/>
    <w:rsid w:val="00283E36"/>
    <w:rsid w:val="0028405B"/>
    <w:rsid w:val="0029035D"/>
    <w:rsid w:val="00290628"/>
    <w:rsid w:val="002916A8"/>
    <w:rsid w:val="00292A19"/>
    <w:rsid w:val="00292A3B"/>
    <w:rsid w:val="00293D4C"/>
    <w:rsid w:val="00294754"/>
    <w:rsid w:val="002949B2"/>
    <w:rsid w:val="0029512B"/>
    <w:rsid w:val="00295B40"/>
    <w:rsid w:val="00296CE7"/>
    <w:rsid w:val="002972E8"/>
    <w:rsid w:val="002975CF"/>
    <w:rsid w:val="002977CE"/>
    <w:rsid w:val="00297812"/>
    <w:rsid w:val="00297CBD"/>
    <w:rsid w:val="002A009D"/>
    <w:rsid w:val="002A0AF0"/>
    <w:rsid w:val="002A0C73"/>
    <w:rsid w:val="002A1492"/>
    <w:rsid w:val="002A27FA"/>
    <w:rsid w:val="002A285C"/>
    <w:rsid w:val="002A2DA4"/>
    <w:rsid w:val="002A3875"/>
    <w:rsid w:val="002A59A3"/>
    <w:rsid w:val="002A5E4C"/>
    <w:rsid w:val="002A694A"/>
    <w:rsid w:val="002A78FA"/>
    <w:rsid w:val="002A7C16"/>
    <w:rsid w:val="002B0247"/>
    <w:rsid w:val="002B13A8"/>
    <w:rsid w:val="002B150C"/>
    <w:rsid w:val="002B1D63"/>
    <w:rsid w:val="002B1E05"/>
    <w:rsid w:val="002B2A12"/>
    <w:rsid w:val="002B31BF"/>
    <w:rsid w:val="002B36A9"/>
    <w:rsid w:val="002B3745"/>
    <w:rsid w:val="002B3D9E"/>
    <w:rsid w:val="002B46FF"/>
    <w:rsid w:val="002B4AC9"/>
    <w:rsid w:val="002B4B27"/>
    <w:rsid w:val="002B6609"/>
    <w:rsid w:val="002B661A"/>
    <w:rsid w:val="002B7007"/>
    <w:rsid w:val="002C0913"/>
    <w:rsid w:val="002C0A13"/>
    <w:rsid w:val="002C0CEC"/>
    <w:rsid w:val="002C0FCA"/>
    <w:rsid w:val="002C14BB"/>
    <w:rsid w:val="002C351C"/>
    <w:rsid w:val="002C4573"/>
    <w:rsid w:val="002C47DB"/>
    <w:rsid w:val="002C499E"/>
    <w:rsid w:val="002C4A1F"/>
    <w:rsid w:val="002C4B3E"/>
    <w:rsid w:val="002C5151"/>
    <w:rsid w:val="002C52DB"/>
    <w:rsid w:val="002C543F"/>
    <w:rsid w:val="002C5DFD"/>
    <w:rsid w:val="002C6B3D"/>
    <w:rsid w:val="002C74D1"/>
    <w:rsid w:val="002D04E9"/>
    <w:rsid w:val="002D08CC"/>
    <w:rsid w:val="002D15A9"/>
    <w:rsid w:val="002D1D32"/>
    <w:rsid w:val="002D2365"/>
    <w:rsid w:val="002D2B53"/>
    <w:rsid w:val="002D2D73"/>
    <w:rsid w:val="002D31A4"/>
    <w:rsid w:val="002D3C5F"/>
    <w:rsid w:val="002D3C69"/>
    <w:rsid w:val="002D468E"/>
    <w:rsid w:val="002D49FB"/>
    <w:rsid w:val="002D5BA5"/>
    <w:rsid w:val="002D5C66"/>
    <w:rsid w:val="002D5D7B"/>
    <w:rsid w:val="002D6076"/>
    <w:rsid w:val="002D77A5"/>
    <w:rsid w:val="002E06A8"/>
    <w:rsid w:val="002E1350"/>
    <w:rsid w:val="002E1945"/>
    <w:rsid w:val="002E1A70"/>
    <w:rsid w:val="002E1C39"/>
    <w:rsid w:val="002E20DD"/>
    <w:rsid w:val="002E283C"/>
    <w:rsid w:val="002E3307"/>
    <w:rsid w:val="002E3D8F"/>
    <w:rsid w:val="002E46E9"/>
    <w:rsid w:val="002E4EE8"/>
    <w:rsid w:val="002E65E6"/>
    <w:rsid w:val="002E663E"/>
    <w:rsid w:val="002E668C"/>
    <w:rsid w:val="002E726E"/>
    <w:rsid w:val="002E7614"/>
    <w:rsid w:val="002E7D2B"/>
    <w:rsid w:val="002E7DD2"/>
    <w:rsid w:val="002F1269"/>
    <w:rsid w:val="002F2BA0"/>
    <w:rsid w:val="002F2C51"/>
    <w:rsid w:val="002F3CBC"/>
    <w:rsid w:val="002F3CCB"/>
    <w:rsid w:val="002F43DB"/>
    <w:rsid w:val="002F5C0F"/>
    <w:rsid w:val="002F5D16"/>
    <w:rsid w:val="002F6B72"/>
    <w:rsid w:val="003003FB"/>
    <w:rsid w:val="0030060D"/>
    <w:rsid w:val="003007AA"/>
    <w:rsid w:val="003013F6"/>
    <w:rsid w:val="003022AB"/>
    <w:rsid w:val="00303182"/>
    <w:rsid w:val="003031EA"/>
    <w:rsid w:val="00303A19"/>
    <w:rsid w:val="003042D4"/>
    <w:rsid w:val="00304F1D"/>
    <w:rsid w:val="003061C6"/>
    <w:rsid w:val="0030622E"/>
    <w:rsid w:val="003065F2"/>
    <w:rsid w:val="003077AF"/>
    <w:rsid w:val="00307F8C"/>
    <w:rsid w:val="00310A50"/>
    <w:rsid w:val="00311835"/>
    <w:rsid w:val="00311E67"/>
    <w:rsid w:val="00313166"/>
    <w:rsid w:val="00313621"/>
    <w:rsid w:val="003138A8"/>
    <w:rsid w:val="00314E8B"/>
    <w:rsid w:val="00315AFC"/>
    <w:rsid w:val="00320791"/>
    <w:rsid w:val="00320E89"/>
    <w:rsid w:val="00321EA5"/>
    <w:rsid w:val="00322CA6"/>
    <w:rsid w:val="00322FA7"/>
    <w:rsid w:val="00323875"/>
    <w:rsid w:val="00324C64"/>
    <w:rsid w:val="00325EE9"/>
    <w:rsid w:val="00326285"/>
    <w:rsid w:val="00326353"/>
    <w:rsid w:val="00327C5F"/>
    <w:rsid w:val="00330016"/>
    <w:rsid w:val="003304B7"/>
    <w:rsid w:val="00332E32"/>
    <w:rsid w:val="00333351"/>
    <w:rsid w:val="003336C1"/>
    <w:rsid w:val="00333730"/>
    <w:rsid w:val="003344E0"/>
    <w:rsid w:val="00334791"/>
    <w:rsid w:val="00334C22"/>
    <w:rsid w:val="00335964"/>
    <w:rsid w:val="00336607"/>
    <w:rsid w:val="003366A2"/>
    <w:rsid w:val="00336C68"/>
    <w:rsid w:val="00337AEB"/>
    <w:rsid w:val="00337C62"/>
    <w:rsid w:val="00337E95"/>
    <w:rsid w:val="0034034F"/>
    <w:rsid w:val="00340974"/>
    <w:rsid w:val="00340999"/>
    <w:rsid w:val="00340B42"/>
    <w:rsid w:val="00340D2D"/>
    <w:rsid w:val="00342318"/>
    <w:rsid w:val="00343085"/>
    <w:rsid w:val="003431D9"/>
    <w:rsid w:val="003435A4"/>
    <w:rsid w:val="00344A96"/>
    <w:rsid w:val="00344FD5"/>
    <w:rsid w:val="0034637B"/>
    <w:rsid w:val="0034670D"/>
    <w:rsid w:val="00346892"/>
    <w:rsid w:val="003476B2"/>
    <w:rsid w:val="003500E9"/>
    <w:rsid w:val="00350F42"/>
    <w:rsid w:val="0035196D"/>
    <w:rsid w:val="00352830"/>
    <w:rsid w:val="00353945"/>
    <w:rsid w:val="003550B0"/>
    <w:rsid w:val="00355CF2"/>
    <w:rsid w:val="00355F82"/>
    <w:rsid w:val="00356459"/>
    <w:rsid w:val="00356479"/>
    <w:rsid w:val="003566D0"/>
    <w:rsid w:val="00356B5B"/>
    <w:rsid w:val="0035712B"/>
    <w:rsid w:val="00357309"/>
    <w:rsid w:val="0035732B"/>
    <w:rsid w:val="003576A8"/>
    <w:rsid w:val="00360973"/>
    <w:rsid w:val="00360BC2"/>
    <w:rsid w:val="00360F8F"/>
    <w:rsid w:val="003612E7"/>
    <w:rsid w:val="00361EF2"/>
    <w:rsid w:val="0036201C"/>
    <w:rsid w:val="0036235A"/>
    <w:rsid w:val="003623BE"/>
    <w:rsid w:val="00362B40"/>
    <w:rsid w:val="003632F6"/>
    <w:rsid w:val="00363A85"/>
    <w:rsid w:val="0036442B"/>
    <w:rsid w:val="0036474E"/>
    <w:rsid w:val="00364D55"/>
    <w:rsid w:val="0036508F"/>
    <w:rsid w:val="00365EBA"/>
    <w:rsid w:val="00366005"/>
    <w:rsid w:val="00366750"/>
    <w:rsid w:val="0036691C"/>
    <w:rsid w:val="00366F64"/>
    <w:rsid w:val="00367C33"/>
    <w:rsid w:val="00367FAA"/>
    <w:rsid w:val="00370237"/>
    <w:rsid w:val="0037045B"/>
    <w:rsid w:val="00370634"/>
    <w:rsid w:val="00371299"/>
    <w:rsid w:val="0037151A"/>
    <w:rsid w:val="00372661"/>
    <w:rsid w:val="00373411"/>
    <w:rsid w:val="00373BE6"/>
    <w:rsid w:val="00374F54"/>
    <w:rsid w:val="00375B46"/>
    <w:rsid w:val="00375FA4"/>
    <w:rsid w:val="00377FE2"/>
    <w:rsid w:val="0038058E"/>
    <w:rsid w:val="00381163"/>
    <w:rsid w:val="0038193F"/>
    <w:rsid w:val="00382A52"/>
    <w:rsid w:val="00383C25"/>
    <w:rsid w:val="00383EA3"/>
    <w:rsid w:val="0038490D"/>
    <w:rsid w:val="003853BF"/>
    <w:rsid w:val="00385414"/>
    <w:rsid w:val="003876D9"/>
    <w:rsid w:val="00390748"/>
    <w:rsid w:val="003909AA"/>
    <w:rsid w:val="00390BD0"/>
    <w:rsid w:val="00390C22"/>
    <w:rsid w:val="00390CC1"/>
    <w:rsid w:val="0039145A"/>
    <w:rsid w:val="00391C30"/>
    <w:rsid w:val="0039221B"/>
    <w:rsid w:val="00392EB9"/>
    <w:rsid w:val="00393750"/>
    <w:rsid w:val="00393C66"/>
    <w:rsid w:val="00394669"/>
    <w:rsid w:val="003948A6"/>
    <w:rsid w:val="00395179"/>
    <w:rsid w:val="003956A5"/>
    <w:rsid w:val="003959E2"/>
    <w:rsid w:val="0039674A"/>
    <w:rsid w:val="0039737E"/>
    <w:rsid w:val="003A0243"/>
    <w:rsid w:val="003A045C"/>
    <w:rsid w:val="003A118B"/>
    <w:rsid w:val="003A141D"/>
    <w:rsid w:val="003A1CFC"/>
    <w:rsid w:val="003A246F"/>
    <w:rsid w:val="003A32D2"/>
    <w:rsid w:val="003A3549"/>
    <w:rsid w:val="003A372A"/>
    <w:rsid w:val="003A37B4"/>
    <w:rsid w:val="003A3A95"/>
    <w:rsid w:val="003A3B96"/>
    <w:rsid w:val="003A4080"/>
    <w:rsid w:val="003A452C"/>
    <w:rsid w:val="003A4846"/>
    <w:rsid w:val="003A4CD2"/>
    <w:rsid w:val="003A4E4C"/>
    <w:rsid w:val="003A5109"/>
    <w:rsid w:val="003A5DC9"/>
    <w:rsid w:val="003A6374"/>
    <w:rsid w:val="003A6EA2"/>
    <w:rsid w:val="003A7092"/>
    <w:rsid w:val="003A72C3"/>
    <w:rsid w:val="003A7E42"/>
    <w:rsid w:val="003A7EF1"/>
    <w:rsid w:val="003B0273"/>
    <w:rsid w:val="003B0E79"/>
    <w:rsid w:val="003B29FA"/>
    <w:rsid w:val="003B3664"/>
    <w:rsid w:val="003B3F02"/>
    <w:rsid w:val="003B413C"/>
    <w:rsid w:val="003B43CC"/>
    <w:rsid w:val="003B46A6"/>
    <w:rsid w:val="003B5059"/>
    <w:rsid w:val="003B51DE"/>
    <w:rsid w:val="003B57EA"/>
    <w:rsid w:val="003B5921"/>
    <w:rsid w:val="003B66C7"/>
    <w:rsid w:val="003B68B3"/>
    <w:rsid w:val="003C0382"/>
    <w:rsid w:val="003C09B1"/>
    <w:rsid w:val="003C0ED0"/>
    <w:rsid w:val="003C198C"/>
    <w:rsid w:val="003C1C5A"/>
    <w:rsid w:val="003C2AC7"/>
    <w:rsid w:val="003C2B85"/>
    <w:rsid w:val="003C2D1F"/>
    <w:rsid w:val="003C3A26"/>
    <w:rsid w:val="003C4BB5"/>
    <w:rsid w:val="003C4BDB"/>
    <w:rsid w:val="003C5945"/>
    <w:rsid w:val="003C5C83"/>
    <w:rsid w:val="003C64FA"/>
    <w:rsid w:val="003C74BD"/>
    <w:rsid w:val="003C7C94"/>
    <w:rsid w:val="003D0CC7"/>
    <w:rsid w:val="003D0EC0"/>
    <w:rsid w:val="003D11C5"/>
    <w:rsid w:val="003D1902"/>
    <w:rsid w:val="003D1AF2"/>
    <w:rsid w:val="003D1DE4"/>
    <w:rsid w:val="003D203B"/>
    <w:rsid w:val="003D258E"/>
    <w:rsid w:val="003D29D5"/>
    <w:rsid w:val="003D2F49"/>
    <w:rsid w:val="003D30A1"/>
    <w:rsid w:val="003D3990"/>
    <w:rsid w:val="003D4E10"/>
    <w:rsid w:val="003D55E8"/>
    <w:rsid w:val="003D6379"/>
    <w:rsid w:val="003D6A55"/>
    <w:rsid w:val="003D6BF0"/>
    <w:rsid w:val="003D77EE"/>
    <w:rsid w:val="003D7E4C"/>
    <w:rsid w:val="003E01D4"/>
    <w:rsid w:val="003E12AF"/>
    <w:rsid w:val="003E18C8"/>
    <w:rsid w:val="003E291A"/>
    <w:rsid w:val="003E29A1"/>
    <w:rsid w:val="003E406D"/>
    <w:rsid w:val="003E5965"/>
    <w:rsid w:val="003E5F79"/>
    <w:rsid w:val="003E7143"/>
    <w:rsid w:val="003F1FB8"/>
    <w:rsid w:val="003F2155"/>
    <w:rsid w:val="003F2F49"/>
    <w:rsid w:val="003F4483"/>
    <w:rsid w:val="003F522C"/>
    <w:rsid w:val="003F5419"/>
    <w:rsid w:val="003F5525"/>
    <w:rsid w:val="003F6898"/>
    <w:rsid w:val="003F789A"/>
    <w:rsid w:val="003F7E87"/>
    <w:rsid w:val="004018B1"/>
    <w:rsid w:val="00401EC0"/>
    <w:rsid w:val="0040222A"/>
    <w:rsid w:val="00402790"/>
    <w:rsid w:val="004033B6"/>
    <w:rsid w:val="00403990"/>
    <w:rsid w:val="00403A0C"/>
    <w:rsid w:val="00403D59"/>
    <w:rsid w:val="00405A79"/>
    <w:rsid w:val="0040623D"/>
    <w:rsid w:val="00407486"/>
    <w:rsid w:val="00410D12"/>
    <w:rsid w:val="004113CD"/>
    <w:rsid w:val="00412AC2"/>
    <w:rsid w:val="004136D2"/>
    <w:rsid w:val="004136EF"/>
    <w:rsid w:val="00413A86"/>
    <w:rsid w:val="00413E9D"/>
    <w:rsid w:val="00413EF3"/>
    <w:rsid w:val="00414213"/>
    <w:rsid w:val="004146DD"/>
    <w:rsid w:val="00414903"/>
    <w:rsid w:val="00414C35"/>
    <w:rsid w:val="00414EFD"/>
    <w:rsid w:val="00414F2C"/>
    <w:rsid w:val="004156A6"/>
    <w:rsid w:val="00415F96"/>
    <w:rsid w:val="00416839"/>
    <w:rsid w:val="00417E88"/>
    <w:rsid w:val="004200C6"/>
    <w:rsid w:val="00420B11"/>
    <w:rsid w:val="00420F2F"/>
    <w:rsid w:val="00421623"/>
    <w:rsid w:val="00422787"/>
    <w:rsid w:val="00422EF9"/>
    <w:rsid w:val="00423149"/>
    <w:rsid w:val="0042343D"/>
    <w:rsid w:val="004234DF"/>
    <w:rsid w:val="00423F67"/>
    <w:rsid w:val="00424174"/>
    <w:rsid w:val="00424864"/>
    <w:rsid w:val="0042488E"/>
    <w:rsid w:val="0042492B"/>
    <w:rsid w:val="0042530E"/>
    <w:rsid w:val="0042579E"/>
    <w:rsid w:val="00425FFA"/>
    <w:rsid w:val="00427216"/>
    <w:rsid w:val="00427A8A"/>
    <w:rsid w:val="00430C3E"/>
    <w:rsid w:val="00430ECA"/>
    <w:rsid w:val="0043132C"/>
    <w:rsid w:val="004317E5"/>
    <w:rsid w:val="00432FBF"/>
    <w:rsid w:val="00433112"/>
    <w:rsid w:val="00433119"/>
    <w:rsid w:val="0043324F"/>
    <w:rsid w:val="00433562"/>
    <w:rsid w:val="00434337"/>
    <w:rsid w:val="004347AB"/>
    <w:rsid w:val="00435E39"/>
    <w:rsid w:val="004360FE"/>
    <w:rsid w:val="004365C7"/>
    <w:rsid w:val="00436BEA"/>
    <w:rsid w:val="00436E8F"/>
    <w:rsid w:val="00440871"/>
    <w:rsid w:val="0044142C"/>
    <w:rsid w:val="00441AC9"/>
    <w:rsid w:val="00441ECF"/>
    <w:rsid w:val="00442179"/>
    <w:rsid w:val="0044276B"/>
    <w:rsid w:val="00442863"/>
    <w:rsid w:val="00443950"/>
    <w:rsid w:val="00443C8E"/>
    <w:rsid w:val="00444B8D"/>
    <w:rsid w:val="00444BDB"/>
    <w:rsid w:val="00444C04"/>
    <w:rsid w:val="004469DA"/>
    <w:rsid w:val="00451714"/>
    <w:rsid w:val="00451E5E"/>
    <w:rsid w:val="00452740"/>
    <w:rsid w:val="00453DDB"/>
    <w:rsid w:val="0045412C"/>
    <w:rsid w:val="00454507"/>
    <w:rsid w:val="004549B2"/>
    <w:rsid w:val="00454DE9"/>
    <w:rsid w:val="00454E6C"/>
    <w:rsid w:val="00460056"/>
    <w:rsid w:val="004600C9"/>
    <w:rsid w:val="00460801"/>
    <w:rsid w:val="00460D70"/>
    <w:rsid w:val="00461501"/>
    <w:rsid w:val="0046202E"/>
    <w:rsid w:val="0046242E"/>
    <w:rsid w:val="00462622"/>
    <w:rsid w:val="0046397E"/>
    <w:rsid w:val="004644F9"/>
    <w:rsid w:val="00464F31"/>
    <w:rsid w:val="00466625"/>
    <w:rsid w:val="004669BA"/>
    <w:rsid w:val="00467D6C"/>
    <w:rsid w:val="0047015F"/>
    <w:rsid w:val="00470852"/>
    <w:rsid w:val="00470DFA"/>
    <w:rsid w:val="00470F0C"/>
    <w:rsid w:val="004710B0"/>
    <w:rsid w:val="00471112"/>
    <w:rsid w:val="0047212E"/>
    <w:rsid w:val="00472450"/>
    <w:rsid w:val="00473389"/>
    <w:rsid w:val="00473E66"/>
    <w:rsid w:val="0047427F"/>
    <w:rsid w:val="00474782"/>
    <w:rsid w:val="004749FA"/>
    <w:rsid w:val="00474D09"/>
    <w:rsid w:val="00474D44"/>
    <w:rsid w:val="00474F50"/>
    <w:rsid w:val="00475FD6"/>
    <w:rsid w:val="0047648C"/>
    <w:rsid w:val="004766AD"/>
    <w:rsid w:val="0047767B"/>
    <w:rsid w:val="00477681"/>
    <w:rsid w:val="00477E16"/>
    <w:rsid w:val="00480E79"/>
    <w:rsid w:val="0048194D"/>
    <w:rsid w:val="00481AE5"/>
    <w:rsid w:val="00484498"/>
    <w:rsid w:val="004850A9"/>
    <w:rsid w:val="00485AD4"/>
    <w:rsid w:val="00486638"/>
    <w:rsid w:val="004873CC"/>
    <w:rsid w:val="00487C23"/>
    <w:rsid w:val="00487DCD"/>
    <w:rsid w:val="004907B6"/>
    <w:rsid w:val="0049099E"/>
    <w:rsid w:val="0049207E"/>
    <w:rsid w:val="00492BA8"/>
    <w:rsid w:val="00493115"/>
    <w:rsid w:val="004931BC"/>
    <w:rsid w:val="00493532"/>
    <w:rsid w:val="00494564"/>
    <w:rsid w:val="00495143"/>
    <w:rsid w:val="004951C7"/>
    <w:rsid w:val="00495D32"/>
    <w:rsid w:val="00495D35"/>
    <w:rsid w:val="004A0178"/>
    <w:rsid w:val="004A04A4"/>
    <w:rsid w:val="004A06BB"/>
    <w:rsid w:val="004A06F6"/>
    <w:rsid w:val="004A0BC8"/>
    <w:rsid w:val="004A0CF0"/>
    <w:rsid w:val="004A0EBE"/>
    <w:rsid w:val="004A135C"/>
    <w:rsid w:val="004A156D"/>
    <w:rsid w:val="004A18AB"/>
    <w:rsid w:val="004A195D"/>
    <w:rsid w:val="004A3310"/>
    <w:rsid w:val="004A349A"/>
    <w:rsid w:val="004A43DB"/>
    <w:rsid w:val="004A45AB"/>
    <w:rsid w:val="004A7116"/>
    <w:rsid w:val="004A7456"/>
    <w:rsid w:val="004A74CF"/>
    <w:rsid w:val="004B0C7D"/>
    <w:rsid w:val="004B11AF"/>
    <w:rsid w:val="004B1FC9"/>
    <w:rsid w:val="004B210D"/>
    <w:rsid w:val="004B25A5"/>
    <w:rsid w:val="004B498C"/>
    <w:rsid w:val="004B4DAB"/>
    <w:rsid w:val="004B5952"/>
    <w:rsid w:val="004B6657"/>
    <w:rsid w:val="004B6DAF"/>
    <w:rsid w:val="004B7172"/>
    <w:rsid w:val="004B73EB"/>
    <w:rsid w:val="004B77A1"/>
    <w:rsid w:val="004C07AB"/>
    <w:rsid w:val="004C0DEE"/>
    <w:rsid w:val="004C0F74"/>
    <w:rsid w:val="004C1CE5"/>
    <w:rsid w:val="004C277C"/>
    <w:rsid w:val="004C283C"/>
    <w:rsid w:val="004C381E"/>
    <w:rsid w:val="004C4DBC"/>
    <w:rsid w:val="004C5376"/>
    <w:rsid w:val="004C5951"/>
    <w:rsid w:val="004C5AE3"/>
    <w:rsid w:val="004C6191"/>
    <w:rsid w:val="004C6D99"/>
    <w:rsid w:val="004C709C"/>
    <w:rsid w:val="004C70E7"/>
    <w:rsid w:val="004D0C4E"/>
    <w:rsid w:val="004D1E3E"/>
    <w:rsid w:val="004D2768"/>
    <w:rsid w:val="004D27EE"/>
    <w:rsid w:val="004D306E"/>
    <w:rsid w:val="004D36E2"/>
    <w:rsid w:val="004D37BB"/>
    <w:rsid w:val="004D38CD"/>
    <w:rsid w:val="004D407B"/>
    <w:rsid w:val="004D4D98"/>
    <w:rsid w:val="004D4F85"/>
    <w:rsid w:val="004D53C0"/>
    <w:rsid w:val="004D5860"/>
    <w:rsid w:val="004D5B89"/>
    <w:rsid w:val="004D64AF"/>
    <w:rsid w:val="004D6756"/>
    <w:rsid w:val="004D67C1"/>
    <w:rsid w:val="004D6DED"/>
    <w:rsid w:val="004D790B"/>
    <w:rsid w:val="004E20C5"/>
    <w:rsid w:val="004E2909"/>
    <w:rsid w:val="004E2D65"/>
    <w:rsid w:val="004E2D9B"/>
    <w:rsid w:val="004E324E"/>
    <w:rsid w:val="004E38B9"/>
    <w:rsid w:val="004E452D"/>
    <w:rsid w:val="004E4A9D"/>
    <w:rsid w:val="004E5C03"/>
    <w:rsid w:val="004E5D00"/>
    <w:rsid w:val="004E5DBA"/>
    <w:rsid w:val="004E5E96"/>
    <w:rsid w:val="004E602A"/>
    <w:rsid w:val="004E605D"/>
    <w:rsid w:val="004E61AF"/>
    <w:rsid w:val="004E6569"/>
    <w:rsid w:val="004E660A"/>
    <w:rsid w:val="004E6C43"/>
    <w:rsid w:val="004E7147"/>
    <w:rsid w:val="004E7B90"/>
    <w:rsid w:val="004F0220"/>
    <w:rsid w:val="004F10C6"/>
    <w:rsid w:val="004F11C0"/>
    <w:rsid w:val="004F1538"/>
    <w:rsid w:val="004F2507"/>
    <w:rsid w:val="004F25CF"/>
    <w:rsid w:val="004F30FC"/>
    <w:rsid w:val="004F3234"/>
    <w:rsid w:val="004F3308"/>
    <w:rsid w:val="004F3EAC"/>
    <w:rsid w:val="004F53E5"/>
    <w:rsid w:val="004F5737"/>
    <w:rsid w:val="004F674B"/>
    <w:rsid w:val="004F7681"/>
    <w:rsid w:val="004F76D3"/>
    <w:rsid w:val="004F7D71"/>
    <w:rsid w:val="004F7DC1"/>
    <w:rsid w:val="005001F2"/>
    <w:rsid w:val="0050134B"/>
    <w:rsid w:val="005016CE"/>
    <w:rsid w:val="00503174"/>
    <w:rsid w:val="005034A1"/>
    <w:rsid w:val="005056BE"/>
    <w:rsid w:val="0050585F"/>
    <w:rsid w:val="00505E28"/>
    <w:rsid w:val="00506CC9"/>
    <w:rsid w:val="00506D1A"/>
    <w:rsid w:val="005109F2"/>
    <w:rsid w:val="00510D42"/>
    <w:rsid w:val="005110D8"/>
    <w:rsid w:val="00511A8E"/>
    <w:rsid w:val="00511B01"/>
    <w:rsid w:val="00511D70"/>
    <w:rsid w:val="005127EF"/>
    <w:rsid w:val="00512E12"/>
    <w:rsid w:val="0051327C"/>
    <w:rsid w:val="0051345D"/>
    <w:rsid w:val="00513F41"/>
    <w:rsid w:val="00513FC6"/>
    <w:rsid w:val="00514249"/>
    <w:rsid w:val="00515500"/>
    <w:rsid w:val="00515618"/>
    <w:rsid w:val="005157AB"/>
    <w:rsid w:val="0051632E"/>
    <w:rsid w:val="005164CC"/>
    <w:rsid w:val="00516C71"/>
    <w:rsid w:val="00516DDA"/>
    <w:rsid w:val="0051778C"/>
    <w:rsid w:val="00517EC4"/>
    <w:rsid w:val="00520BAB"/>
    <w:rsid w:val="00520C8B"/>
    <w:rsid w:val="00521F1A"/>
    <w:rsid w:val="00522E1F"/>
    <w:rsid w:val="005246ED"/>
    <w:rsid w:val="00524B31"/>
    <w:rsid w:val="0052529F"/>
    <w:rsid w:val="0052549C"/>
    <w:rsid w:val="00525CA7"/>
    <w:rsid w:val="00526070"/>
    <w:rsid w:val="005269BA"/>
    <w:rsid w:val="00526EC8"/>
    <w:rsid w:val="00527063"/>
    <w:rsid w:val="00527C83"/>
    <w:rsid w:val="00530DDE"/>
    <w:rsid w:val="00530FFC"/>
    <w:rsid w:val="005310A4"/>
    <w:rsid w:val="00531405"/>
    <w:rsid w:val="00532226"/>
    <w:rsid w:val="005325E3"/>
    <w:rsid w:val="005329AB"/>
    <w:rsid w:val="00532B0A"/>
    <w:rsid w:val="00532C01"/>
    <w:rsid w:val="0053343B"/>
    <w:rsid w:val="00533905"/>
    <w:rsid w:val="00533BBA"/>
    <w:rsid w:val="00533EF3"/>
    <w:rsid w:val="00534182"/>
    <w:rsid w:val="0053471E"/>
    <w:rsid w:val="00534C8A"/>
    <w:rsid w:val="00535C60"/>
    <w:rsid w:val="00535F27"/>
    <w:rsid w:val="005364FF"/>
    <w:rsid w:val="00537018"/>
    <w:rsid w:val="00537796"/>
    <w:rsid w:val="00537B8A"/>
    <w:rsid w:val="00537CAA"/>
    <w:rsid w:val="005408B3"/>
    <w:rsid w:val="005409E2"/>
    <w:rsid w:val="005413B7"/>
    <w:rsid w:val="00541418"/>
    <w:rsid w:val="0054258C"/>
    <w:rsid w:val="005428F5"/>
    <w:rsid w:val="00543835"/>
    <w:rsid w:val="00543D89"/>
    <w:rsid w:val="00543E6E"/>
    <w:rsid w:val="00544574"/>
    <w:rsid w:val="005457EC"/>
    <w:rsid w:val="005463C7"/>
    <w:rsid w:val="00550259"/>
    <w:rsid w:val="005505ED"/>
    <w:rsid w:val="0055097E"/>
    <w:rsid w:val="00550E28"/>
    <w:rsid w:val="00550E94"/>
    <w:rsid w:val="00551AF6"/>
    <w:rsid w:val="00551B21"/>
    <w:rsid w:val="00551E7D"/>
    <w:rsid w:val="00552961"/>
    <w:rsid w:val="00554883"/>
    <w:rsid w:val="005549B2"/>
    <w:rsid w:val="005552FD"/>
    <w:rsid w:val="0055636D"/>
    <w:rsid w:val="00556575"/>
    <w:rsid w:val="005565D8"/>
    <w:rsid w:val="005566F8"/>
    <w:rsid w:val="00556E56"/>
    <w:rsid w:val="00556EFE"/>
    <w:rsid w:val="005574B7"/>
    <w:rsid w:val="005579E6"/>
    <w:rsid w:val="00557B0B"/>
    <w:rsid w:val="005606E3"/>
    <w:rsid w:val="0056083E"/>
    <w:rsid w:val="0056115C"/>
    <w:rsid w:val="0056185B"/>
    <w:rsid w:val="00561FEF"/>
    <w:rsid w:val="00562439"/>
    <w:rsid w:val="00562DCA"/>
    <w:rsid w:val="00563803"/>
    <w:rsid w:val="005639ED"/>
    <w:rsid w:val="00564186"/>
    <w:rsid w:val="00564B95"/>
    <w:rsid w:val="0056654E"/>
    <w:rsid w:val="00566B98"/>
    <w:rsid w:val="0056731C"/>
    <w:rsid w:val="00570499"/>
    <w:rsid w:val="00570FCF"/>
    <w:rsid w:val="0057148A"/>
    <w:rsid w:val="00572546"/>
    <w:rsid w:val="00572749"/>
    <w:rsid w:val="00574035"/>
    <w:rsid w:val="0057445D"/>
    <w:rsid w:val="00574740"/>
    <w:rsid w:val="00574BF2"/>
    <w:rsid w:val="00574C39"/>
    <w:rsid w:val="00576B84"/>
    <w:rsid w:val="00576FDF"/>
    <w:rsid w:val="00577D20"/>
    <w:rsid w:val="00580626"/>
    <w:rsid w:val="00580807"/>
    <w:rsid w:val="00580CF4"/>
    <w:rsid w:val="00581155"/>
    <w:rsid w:val="00581366"/>
    <w:rsid w:val="00581568"/>
    <w:rsid w:val="0058248F"/>
    <w:rsid w:val="00583BE1"/>
    <w:rsid w:val="00584C92"/>
    <w:rsid w:val="005863C8"/>
    <w:rsid w:val="00587BD4"/>
    <w:rsid w:val="00587C5E"/>
    <w:rsid w:val="0059019E"/>
    <w:rsid w:val="00590438"/>
    <w:rsid w:val="0059045C"/>
    <w:rsid w:val="00590B7F"/>
    <w:rsid w:val="00591AA6"/>
    <w:rsid w:val="00591D6A"/>
    <w:rsid w:val="005928EB"/>
    <w:rsid w:val="00592A17"/>
    <w:rsid w:val="00592A33"/>
    <w:rsid w:val="00592B9C"/>
    <w:rsid w:val="0059356D"/>
    <w:rsid w:val="00593E63"/>
    <w:rsid w:val="00593FAB"/>
    <w:rsid w:val="005945E8"/>
    <w:rsid w:val="0059466E"/>
    <w:rsid w:val="0059466F"/>
    <w:rsid w:val="00595A98"/>
    <w:rsid w:val="00595C29"/>
    <w:rsid w:val="005964BD"/>
    <w:rsid w:val="00596504"/>
    <w:rsid w:val="00597032"/>
    <w:rsid w:val="005A0817"/>
    <w:rsid w:val="005A10EE"/>
    <w:rsid w:val="005A18C0"/>
    <w:rsid w:val="005A301F"/>
    <w:rsid w:val="005A5610"/>
    <w:rsid w:val="005A5AD4"/>
    <w:rsid w:val="005A71BC"/>
    <w:rsid w:val="005B0211"/>
    <w:rsid w:val="005B0654"/>
    <w:rsid w:val="005B0CFD"/>
    <w:rsid w:val="005B16F7"/>
    <w:rsid w:val="005B1E56"/>
    <w:rsid w:val="005B20D4"/>
    <w:rsid w:val="005B2133"/>
    <w:rsid w:val="005B3C5F"/>
    <w:rsid w:val="005B4011"/>
    <w:rsid w:val="005B41B3"/>
    <w:rsid w:val="005B4741"/>
    <w:rsid w:val="005B4840"/>
    <w:rsid w:val="005B4A14"/>
    <w:rsid w:val="005B4ADE"/>
    <w:rsid w:val="005B6F3F"/>
    <w:rsid w:val="005B75D1"/>
    <w:rsid w:val="005B7815"/>
    <w:rsid w:val="005B7997"/>
    <w:rsid w:val="005C0540"/>
    <w:rsid w:val="005C0912"/>
    <w:rsid w:val="005C1C13"/>
    <w:rsid w:val="005C2082"/>
    <w:rsid w:val="005C2A26"/>
    <w:rsid w:val="005C2DF6"/>
    <w:rsid w:val="005C3456"/>
    <w:rsid w:val="005C390B"/>
    <w:rsid w:val="005C400B"/>
    <w:rsid w:val="005C415C"/>
    <w:rsid w:val="005C639E"/>
    <w:rsid w:val="005C6709"/>
    <w:rsid w:val="005C6905"/>
    <w:rsid w:val="005C6F90"/>
    <w:rsid w:val="005D0271"/>
    <w:rsid w:val="005D0873"/>
    <w:rsid w:val="005D0C75"/>
    <w:rsid w:val="005D0E99"/>
    <w:rsid w:val="005D1AB5"/>
    <w:rsid w:val="005D1E32"/>
    <w:rsid w:val="005D2262"/>
    <w:rsid w:val="005D22BC"/>
    <w:rsid w:val="005D2CE7"/>
    <w:rsid w:val="005D2F16"/>
    <w:rsid w:val="005D32B9"/>
    <w:rsid w:val="005D3DDA"/>
    <w:rsid w:val="005D46C8"/>
    <w:rsid w:val="005D47A8"/>
    <w:rsid w:val="005D5554"/>
    <w:rsid w:val="005D61AD"/>
    <w:rsid w:val="005D67DB"/>
    <w:rsid w:val="005D7368"/>
    <w:rsid w:val="005D796A"/>
    <w:rsid w:val="005E07AF"/>
    <w:rsid w:val="005E166A"/>
    <w:rsid w:val="005E1F3A"/>
    <w:rsid w:val="005E3241"/>
    <w:rsid w:val="005E3504"/>
    <w:rsid w:val="005E37F9"/>
    <w:rsid w:val="005E386C"/>
    <w:rsid w:val="005E3E90"/>
    <w:rsid w:val="005E4141"/>
    <w:rsid w:val="005E43CD"/>
    <w:rsid w:val="005E6248"/>
    <w:rsid w:val="005E6C17"/>
    <w:rsid w:val="005F071E"/>
    <w:rsid w:val="005F1E02"/>
    <w:rsid w:val="005F2563"/>
    <w:rsid w:val="005F2DB2"/>
    <w:rsid w:val="005F312B"/>
    <w:rsid w:val="005F318C"/>
    <w:rsid w:val="005F31D3"/>
    <w:rsid w:val="005F370F"/>
    <w:rsid w:val="005F415D"/>
    <w:rsid w:val="005F4DDE"/>
    <w:rsid w:val="005F61C0"/>
    <w:rsid w:val="005F68A0"/>
    <w:rsid w:val="005F769C"/>
    <w:rsid w:val="005F78F4"/>
    <w:rsid w:val="005F7995"/>
    <w:rsid w:val="006010ED"/>
    <w:rsid w:val="0060222D"/>
    <w:rsid w:val="006024CF"/>
    <w:rsid w:val="00602954"/>
    <w:rsid w:val="00603219"/>
    <w:rsid w:val="00603624"/>
    <w:rsid w:val="00604402"/>
    <w:rsid w:val="006044F6"/>
    <w:rsid w:val="00604CE0"/>
    <w:rsid w:val="00604D03"/>
    <w:rsid w:val="006055FA"/>
    <w:rsid w:val="00606445"/>
    <w:rsid w:val="00607F3D"/>
    <w:rsid w:val="00607F95"/>
    <w:rsid w:val="0061024C"/>
    <w:rsid w:val="00610B55"/>
    <w:rsid w:val="00611A2A"/>
    <w:rsid w:val="00612DE5"/>
    <w:rsid w:val="00613525"/>
    <w:rsid w:val="0061405A"/>
    <w:rsid w:val="0061472B"/>
    <w:rsid w:val="0061478C"/>
    <w:rsid w:val="00614AB2"/>
    <w:rsid w:val="00614C5A"/>
    <w:rsid w:val="00614D42"/>
    <w:rsid w:val="00614F5B"/>
    <w:rsid w:val="006150FA"/>
    <w:rsid w:val="00616A68"/>
    <w:rsid w:val="00616A86"/>
    <w:rsid w:val="0061724E"/>
    <w:rsid w:val="00620DFD"/>
    <w:rsid w:val="006215EF"/>
    <w:rsid w:val="00621C55"/>
    <w:rsid w:val="0062200D"/>
    <w:rsid w:val="00622120"/>
    <w:rsid w:val="006228D0"/>
    <w:rsid w:val="00622A82"/>
    <w:rsid w:val="00622B83"/>
    <w:rsid w:val="006232A1"/>
    <w:rsid w:val="00623CFC"/>
    <w:rsid w:val="00623E5C"/>
    <w:rsid w:val="00624080"/>
    <w:rsid w:val="00625019"/>
    <w:rsid w:val="00625834"/>
    <w:rsid w:val="00625A8C"/>
    <w:rsid w:val="00625AB0"/>
    <w:rsid w:val="00625F39"/>
    <w:rsid w:val="00625F6C"/>
    <w:rsid w:val="00626140"/>
    <w:rsid w:val="0062719D"/>
    <w:rsid w:val="006308FD"/>
    <w:rsid w:val="00631402"/>
    <w:rsid w:val="00631B39"/>
    <w:rsid w:val="00632186"/>
    <w:rsid w:val="00632E1A"/>
    <w:rsid w:val="00632FEB"/>
    <w:rsid w:val="006336E3"/>
    <w:rsid w:val="00633C53"/>
    <w:rsid w:val="00634262"/>
    <w:rsid w:val="006347F1"/>
    <w:rsid w:val="006356A1"/>
    <w:rsid w:val="00636330"/>
    <w:rsid w:val="006365B7"/>
    <w:rsid w:val="00636C2B"/>
    <w:rsid w:val="006374E1"/>
    <w:rsid w:val="0063797A"/>
    <w:rsid w:val="00637E00"/>
    <w:rsid w:val="0064108B"/>
    <w:rsid w:val="006415E6"/>
    <w:rsid w:val="006416AB"/>
    <w:rsid w:val="006418CD"/>
    <w:rsid w:val="00642252"/>
    <w:rsid w:val="006426AC"/>
    <w:rsid w:val="00643A19"/>
    <w:rsid w:val="00644837"/>
    <w:rsid w:val="00644D8A"/>
    <w:rsid w:val="00644DE0"/>
    <w:rsid w:val="0064537C"/>
    <w:rsid w:val="00645962"/>
    <w:rsid w:val="0064657F"/>
    <w:rsid w:val="00647540"/>
    <w:rsid w:val="00647551"/>
    <w:rsid w:val="006515A0"/>
    <w:rsid w:val="00652278"/>
    <w:rsid w:val="006528F2"/>
    <w:rsid w:val="00652E71"/>
    <w:rsid w:val="00653200"/>
    <w:rsid w:val="006542D0"/>
    <w:rsid w:val="006547DA"/>
    <w:rsid w:val="00654B92"/>
    <w:rsid w:val="00654FEF"/>
    <w:rsid w:val="00655DBE"/>
    <w:rsid w:val="00657052"/>
    <w:rsid w:val="00657159"/>
    <w:rsid w:val="006573A5"/>
    <w:rsid w:val="0065794E"/>
    <w:rsid w:val="00657CBA"/>
    <w:rsid w:val="00660770"/>
    <w:rsid w:val="006607C3"/>
    <w:rsid w:val="00661033"/>
    <w:rsid w:val="00661417"/>
    <w:rsid w:val="0066238F"/>
    <w:rsid w:val="00664FE0"/>
    <w:rsid w:val="006652E4"/>
    <w:rsid w:val="00665767"/>
    <w:rsid w:val="00665F55"/>
    <w:rsid w:val="00666A0D"/>
    <w:rsid w:val="00666E9C"/>
    <w:rsid w:val="006671B2"/>
    <w:rsid w:val="006673F3"/>
    <w:rsid w:val="006702A1"/>
    <w:rsid w:val="006704E7"/>
    <w:rsid w:val="00670546"/>
    <w:rsid w:val="00671FAC"/>
    <w:rsid w:val="006725DE"/>
    <w:rsid w:val="00672A2C"/>
    <w:rsid w:val="0067439B"/>
    <w:rsid w:val="00674DFF"/>
    <w:rsid w:val="00674F4E"/>
    <w:rsid w:val="00675C31"/>
    <w:rsid w:val="00675CFF"/>
    <w:rsid w:val="00677D63"/>
    <w:rsid w:val="006817AC"/>
    <w:rsid w:val="0068197F"/>
    <w:rsid w:val="00681D6C"/>
    <w:rsid w:val="00681E9A"/>
    <w:rsid w:val="006829E8"/>
    <w:rsid w:val="006830D6"/>
    <w:rsid w:val="00683C8B"/>
    <w:rsid w:val="00683DB6"/>
    <w:rsid w:val="0068486A"/>
    <w:rsid w:val="006856F2"/>
    <w:rsid w:val="00685A18"/>
    <w:rsid w:val="00686E49"/>
    <w:rsid w:val="00690011"/>
    <w:rsid w:val="00691291"/>
    <w:rsid w:val="0069141B"/>
    <w:rsid w:val="00692F51"/>
    <w:rsid w:val="0069343B"/>
    <w:rsid w:val="00694A68"/>
    <w:rsid w:val="00694B74"/>
    <w:rsid w:val="00695ACE"/>
    <w:rsid w:val="00695AE8"/>
    <w:rsid w:val="0069684E"/>
    <w:rsid w:val="00697D39"/>
    <w:rsid w:val="00697E7A"/>
    <w:rsid w:val="006A0769"/>
    <w:rsid w:val="006A0BC1"/>
    <w:rsid w:val="006A0CAA"/>
    <w:rsid w:val="006A2015"/>
    <w:rsid w:val="006A2A63"/>
    <w:rsid w:val="006A368F"/>
    <w:rsid w:val="006A510E"/>
    <w:rsid w:val="006A57F2"/>
    <w:rsid w:val="006A5D67"/>
    <w:rsid w:val="006A66B1"/>
    <w:rsid w:val="006A6838"/>
    <w:rsid w:val="006A6A6C"/>
    <w:rsid w:val="006A78A0"/>
    <w:rsid w:val="006A7CA2"/>
    <w:rsid w:val="006A7F09"/>
    <w:rsid w:val="006B09BF"/>
    <w:rsid w:val="006B0D77"/>
    <w:rsid w:val="006B1998"/>
    <w:rsid w:val="006B1F60"/>
    <w:rsid w:val="006B31D9"/>
    <w:rsid w:val="006B31DB"/>
    <w:rsid w:val="006B346B"/>
    <w:rsid w:val="006B443D"/>
    <w:rsid w:val="006B62F0"/>
    <w:rsid w:val="006B6515"/>
    <w:rsid w:val="006B66FC"/>
    <w:rsid w:val="006B6C86"/>
    <w:rsid w:val="006B70A1"/>
    <w:rsid w:val="006B7D26"/>
    <w:rsid w:val="006B7DF1"/>
    <w:rsid w:val="006C17B0"/>
    <w:rsid w:val="006C190B"/>
    <w:rsid w:val="006C1E11"/>
    <w:rsid w:val="006C2190"/>
    <w:rsid w:val="006C2F88"/>
    <w:rsid w:val="006C3372"/>
    <w:rsid w:val="006C36C4"/>
    <w:rsid w:val="006C515C"/>
    <w:rsid w:val="006C520A"/>
    <w:rsid w:val="006C5228"/>
    <w:rsid w:val="006C6298"/>
    <w:rsid w:val="006D0A34"/>
    <w:rsid w:val="006D0C8D"/>
    <w:rsid w:val="006D16BA"/>
    <w:rsid w:val="006D294C"/>
    <w:rsid w:val="006D2D17"/>
    <w:rsid w:val="006D3018"/>
    <w:rsid w:val="006D3123"/>
    <w:rsid w:val="006D3CF8"/>
    <w:rsid w:val="006D4BEA"/>
    <w:rsid w:val="006D51A3"/>
    <w:rsid w:val="006D53F1"/>
    <w:rsid w:val="006D6030"/>
    <w:rsid w:val="006D66F5"/>
    <w:rsid w:val="006D6C25"/>
    <w:rsid w:val="006D7E8F"/>
    <w:rsid w:val="006E0990"/>
    <w:rsid w:val="006E13CC"/>
    <w:rsid w:val="006E2285"/>
    <w:rsid w:val="006E22CB"/>
    <w:rsid w:val="006E3F6D"/>
    <w:rsid w:val="006E4662"/>
    <w:rsid w:val="006E4E48"/>
    <w:rsid w:val="006E51DF"/>
    <w:rsid w:val="006E6206"/>
    <w:rsid w:val="006E63A5"/>
    <w:rsid w:val="006F01B5"/>
    <w:rsid w:val="006F16E2"/>
    <w:rsid w:val="006F1986"/>
    <w:rsid w:val="006F2CBC"/>
    <w:rsid w:val="006F35DB"/>
    <w:rsid w:val="006F3844"/>
    <w:rsid w:val="006F39C0"/>
    <w:rsid w:val="006F3F63"/>
    <w:rsid w:val="006F4157"/>
    <w:rsid w:val="006F4405"/>
    <w:rsid w:val="006F5746"/>
    <w:rsid w:val="006F615B"/>
    <w:rsid w:val="006F6A6E"/>
    <w:rsid w:val="006F6A99"/>
    <w:rsid w:val="006F6B9F"/>
    <w:rsid w:val="006F72C1"/>
    <w:rsid w:val="007005AD"/>
    <w:rsid w:val="00700840"/>
    <w:rsid w:val="00700FDD"/>
    <w:rsid w:val="007012FD"/>
    <w:rsid w:val="007037DB"/>
    <w:rsid w:val="00704236"/>
    <w:rsid w:val="00706386"/>
    <w:rsid w:val="007066E5"/>
    <w:rsid w:val="00706799"/>
    <w:rsid w:val="007070D9"/>
    <w:rsid w:val="007079EA"/>
    <w:rsid w:val="007107F5"/>
    <w:rsid w:val="00710925"/>
    <w:rsid w:val="0071100B"/>
    <w:rsid w:val="00711F71"/>
    <w:rsid w:val="007123B7"/>
    <w:rsid w:val="007159D3"/>
    <w:rsid w:val="0071683F"/>
    <w:rsid w:val="00717754"/>
    <w:rsid w:val="007177C1"/>
    <w:rsid w:val="00717A3B"/>
    <w:rsid w:val="00720350"/>
    <w:rsid w:val="007205B6"/>
    <w:rsid w:val="00722038"/>
    <w:rsid w:val="007223DD"/>
    <w:rsid w:val="00723144"/>
    <w:rsid w:val="007243AC"/>
    <w:rsid w:val="007247E2"/>
    <w:rsid w:val="00725FA0"/>
    <w:rsid w:val="00726297"/>
    <w:rsid w:val="007274D7"/>
    <w:rsid w:val="007278AB"/>
    <w:rsid w:val="00730140"/>
    <w:rsid w:val="0073057F"/>
    <w:rsid w:val="0073073A"/>
    <w:rsid w:val="00731090"/>
    <w:rsid w:val="007320A8"/>
    <w:rsid w:val="007322AE"/>
    <w:rsid w:val="007329A8"/>
    <w:rsid w:val="00732F7C"/>
    <w:rsid w:val="0073319C"/>
    <w:rsid w:val="0073361E"/>
    <w:rsid w:val="007338FC"/>
    <w:rsid w:val="0073574D"/>
    <w:rsid w:val="007364D8"/>
    <w:rsid w:val="00736EA9"/>
    <w:rsid w:val="007372AE"/>
    <w:rsid w:val="00737AE3"/>
    <w:rsid w:val="007400EF"/>
    <w:rsid w:val="00740247"/>
    <w:rsid w:val="00740A61"/>
    <w:rsid w:val="00740F5C"/>
    <w:rsid w:val="00741B94"/>
    <w:rsid w:val="00741E3D"/>
    <w:rsid w:val="007421C3"/>
    <w:rsid w:val="00742824"/>
    <w:rsid w:val="00742CC9"/>
    <w:rsid w:val="00742E7C"/>
    <w:rsid w:val="00743A56"/>
    <w:rsid w:val="007445F2"/>
    <w:rsid w:val="007449DD"/>
    <w:rsid w:val="007451E6"/>
    <w:rsid w:val="00746563"/>
    <w:rsid w:val="007466CF"/>
    <w:rsid w:val="007477EA"/>
    <w:rsid w:val="007478BA"/>
    <w:rsid w:val="00747BDB"/>
    <w:rsid w:val="00750323"/>
    <w:rsid w:val="00750B28"/>
    <w:rsid w:val="00750DA8"/>
    <w:rsid w:val="00751E51"/>
    <w:rsid w:val="007520EF"/>
    <w:rsid w:val="007528DB"/>
    <w:rsid w:val="0075335D"/>
    <w:rsid w:val="007535C6"/>
    <w:rsid w:val="007538C9"/>
    <w:rsid w:val="0075402D"/>
    <w:rsid w:val="007541F4"/>
    <w:rsid w:val="007542BD"/>
    <w:rsid w:val="007564BD"/>
    <w:rsid w:val="00756C4D"/>
    <w:rsid w:val="0075700D"/>
    <w:rsid w:val="00757E5B"/>
    <w:rsid w:val="00761506"/>
    <w:rsid w:val="00761727"/>
    <w:rsid w:val="00761993"/>
    <w:rsid w:val="00761CC5"/>
    <w:rsid w:val="00761D21"/>
    <w:rsid w:val="00762FD6"/>
    <w:rsid w:val="007630CE"/>
    <w:rsid w:val="0076347B"/>
    <w:rsid w:val="00763EB0"/>
    <w:rsid w:val="00763F3A"/>
    <w:rsid w:val="007646B2"/>
    <w:rsid w:val="00764791"/>
    <w:rsid w:val="00764A34"/>
    <w:rsid w:val="00765538"/>
    <w:rsid w:val="0077072F"/>
    <w:rsid w:val="00771DA0"/>
    <w:rsid w:val="0077209B"/>
    <w:rsid w:val="007726BB"/>
    <w:rsid w:val="00773B29"/>
    <w:rsid w:val="00773B3F"/>
    <w:rsid w:val="00773E38"/>
    <w:rsid w:val="00773E5F"/>
    <w:rsid w:val="007746B9"/>
    <w:rsid w:val="0077470E"/>
    <w:rsid w:val="0077489D"/>
    <w:rsid w:val="00774D0A"/>
    <w:rsid w:val="007753F2"/>
    <w:rsid w:val="00775BF9"/>
    <w:rsid w:val="00777248"/>
    <w:rsid w:val="00777468"/>
    <w:rsid w:val="00777B4C"/>
    <w:rsid w:val="00777C6D"/>
    <w:rsid w:val="00777CB2"/>
    <w:rsid w:val="00777D4C"/>
    <w:rsid w:val="00780EC0"/>
    <w:rsid w:val="00780F27"/>
    <w:rsid w:val="007817AC"/>
    <w:rsid w:val="00781A7F"/>
    <w:rsid w:val="00782CA6"/>
    <w:rsid w:val="0078440E"/>
    <w:rsid w:val="007844FA"/>
    <w:rsid w:val="00784860"/>
    <w:rsid w:val="0078489A"/>
    <w:rsid w:val="00784981"/>
    <w:rsid w:val="0078525A"/>
    <w:rsid w:val="00785487"/>
    <w:rsid w:val="00785A68"/>
    <w:rsid w:val="00785EF9"/>
    <w:rsid w:val="00786B94"/>
    <w:rsid w:val="007903A3"/>
    <w:rsid w:val="00791290"/>
    <w:rsid w:val="00791E1F"/>
    <w:rsid w:val="0079233D"/>
    <w:rsid w:val="00793154"/>
    <w:rsid w:val="00793377"/>
    <w:rsid w:val="0079341E"/>
    <w:rsid w:val="007935D5"/>
    <w:rsid w:val="00794662"/>
    <w:rsid w:val="00795CF8"/>
    <w:rsid w:val="00796BB5"/>
    <w:rsid w:val="00797E7A"/>
    <w:rsid w:val="007A03E6"/>
    <w:rsid w:val="007A0AFD"/>
    <w:rsid w:val="007A1276"/>
    <w:rsid w:val="007A1855"/>
    <w:rsid w:val="007A1E38"/>
    <w:rsid w:val="007A2047"/>
    <w:rsid w:val="007A2891"/>
    <w:rsid w:val="007A301D"/>
    <w:rsid w:val="007A330B"/>
    <w:rsid w:val="007A34A8"/>
    <w:rsid w:val="007A3608"/>
    <w:rsid w:val="007A38F8"/>
    <w:rsid w:val="007A4511"/>
    <w:rsid w:val="007A4B67"/>
    <w:rsid w:val="007A59C1"/>
    <w:rsid w:val="007A6950"/>
    <w:rsid w:val="007A6BE8"/>
    <w:rsid w:val="007A6CB8"/>
    <w:rsid w:val="007A713B"/>
    <w:rsid w:val="007A73E6"/>
    <w:rsid w:val="007A75AE"/>
    <w:rsid w:val="007A777E"/>
    <w:rsid w:val="007A7909"/>
    <w:rsid w:val="007A79A9"/>
    <w:rsid w:val="007B0162"/>
    <w:rsid w:val="007B10ED"/>
    <w:rsid w:val="007B144A"/>
    <w:rsid w:val="007B1923"/>
    <w:rsid w:val="007B211D"/>
    <w:rsid w:val="007B2E30"/>
    <w:rsid w:val="007B3671"/>
    <w:rsid w:val="007B47FC"/>
    <w:rsid w:val="007B548D"/>
    <w:rsid w:val="007B59C8"/>
    <w:rsid w:val="007B626D"/>
    <w:rsid w:val="007B6B86"/>
    <w:rsid w:val="007B768C"/>
    <w:rsid w:val="007C2C35"/>
    <w:rsid w:val="007C3562"/>
    <w:rsid w:val="007C36F7"/>
    <w:rsid w:val="007C440B"/>
    <w:rsid w:val="007C4528"/>
    <w:rsid w:val="007C4630"/>
    <w:rsid w:val="007C47E7"/>
    <w:rsid w:val="007C506E"/>
    <w:rsid w:val="007C57E0"/>
    <w:rsid w:val="007C6BC9"/>
    <w:rsid w:val="007C6DD1"/>
    <w:rsid w:val="007C6F42"/>
    <w:rsid w:val="007D059E"/>
    <w:rsid w:val="007D07CE"/>
    <w:rsid w:val="007D0813"/>
    <w:rsid w:val="007D0F5A"/>
    <w:rsid w:val="007D1520"/>
    <w:rsid w:val="007D1954"/>
    <w:rsid w:val="007D3784"/>
    <w:rsid w:val="007D419D"/>
    <w:rsid w:val="007D6F27"/>
    <w:rsid w:val="007D70F6"/>
    <w:rsid w:val="007E091D"/>
    <w:rsid w:val="007E0E5C"/>
    <w:rsid w:val="007E1816"/>
    <w:rsid w:val="007E1E35"/>
    <w:rsid w:val="007E1EBE"/>
    <w:rsid w:val="007E20B1"/>
    <w:rsid w:val="007E2175"/>
    <w:rsid w:val="007E241C"/>
    <w:rsid w:val="007E287C"/>
    <w:rsid w:val="007E313D"/>
    <w:rsid w:val="007E3436"/>
    <w:rsid w:val="007E3653"/>
    <w:rsid w:val="007E36C6"/>
    <w:rsid w:val="007E3B88"/>
    <w:rsid w:val="007E51A7"/>
    <w:rsid w:val="007E54AA"/>
    <w:rsid w:val="007E5ACF"/>
    <w:rsid w:val="007E63F7"/>
    <w:rsid w:val="007E67C8"/>
    <w:rsid w:val="007E6909"/>
    <w:rsid w:val="007E6C4D"/>
    <w:rsid w:val="007E7C90"/>
    <w:rsid w:val="007F04A3"/>
    <w:rsid w:val="007F125E"/>
    <w:rsid w:val="007F1C25"/>
    <w:rsid w:val="007F1DE4"/>
    <w:rsid w:val="007F2165"/>
    <w:rsid w:val="007F236A"/>
    <w:rsid w:val="007F27A6"/>
    <w:rsid w:val="007F3021"/>
    <w:rsid w:val="007F4364"/>
    <w:rsid w:val="007F4A0D"/>
    <w:rsid w:val="007F4AE5"/>
    <w:rsid w:val="007F50A3"/>
    <w:rsid w:val="007F6C0E"/>
    <w:rsid w:val="007F753A"/>
    <w:rsid w:val="007F7637"/>
    <w:rsid w:val="007F7987"/>
    <w:rsid w:val="007F7F0B"/>
    <w:rsid w:val="00800575"/>
    <w:rsid w:val="00800BBE"/>
    <w:rsid w:val="00801099"/>
    <w:rsid w:val="00802845"/>
    <w:rsid w:val="00802D3D"/>
    <w:rsid w:val="00803CE9"/>
    <w:rsid w:val="00804C22"/>
    <w:rsid w:val="00805833"/>
    <w:rsid w:val="008059B2"/>
    <w:rsid w:val="00805AA7"/>
    <w:rsid w:val="00805C93"/>
    <w:rsid w:val="00806FD4"/>
    <w:rsid w:val="00807BEA"/>
    <w:rsid w:val="008102AD"/>
    <w:rsid w:val="00811055"/>
    <w:rsid w:val="00811148"/>
    <w:rsid w:val="008111F8"/>
    <w:rsid w:val="00812025"/>
    <w:rsid w:val="008121C6"/>
    <w:rsid w:val="008134DF"/>
    <w:rsid w:val="0081460A"/>
    <w:rsid w:val="00815B06"/>
    <w:rsid w:val="0081615A"/>
    <w:rsid w:val="008175F0"/>
    <w:rsid w:val="00817FE9"/>
    <w:rsid w:val="008202B6"/>
    <w:rsid w:val="00820E21"/>
    <w:rsid w:val="00820EF3"/>
    <w:rsid w:val="00821B26"/>
    <w:rsid w:val="00821D69"/>
    <w:rsid w:val="00822D70"/>
    <w:rsid w:val="00823B92"/>
    <w:rsid w:val="008253A4"/>
    <w:rsid w:val="00827016"/>
    <w:rsid w:val="00827E9A"/>
    <w:rsid w:val="008303C0"/>
    <w:rsid w:val="00830F5A"/>
    <w:rsid w:val="0083226F"/>
    <w:rsid w:val="008328C2"/>
    <w:rsid w:val="008337D0"/>
    <w:rsid w:val="0083459A"/>
    <w:rsid w:val="00835A2F"/>
    <w:rsid w:val="0083705C"/>
    <w:rsid w:val="008377F8"/>
    <w:rsid w:val="00837E64"/>
    <w:rsid w:val="008402EF"/>
    <w:rsid w:val="008403FD"/>
    <w:rsid w:val="008407A5"/>
    <w:rsid w:val="008414E6"/>
    <w:rsid w:val="008415EE"/>
    <w:rsid w:val="00841670"/>
    <w:rsid w:val="0084188A"/>
    <w:rsid w:val="0084307B"/>
    <w:rsid w:val="0084476B"/>
    <w:rsid w:val="008456B1"/>
    <w:rsid w:val="008462ED"/>
    <w:rsid w:val="00846785"/>
    <w:rsid w:val="008467D4"/>
    <w:rsid w:val="00846F4A"/>
    <w:rsid w:val="0084732F"/>
    <w:rsid w:val="00847364"/>
    <w:rsid w:val="0085082E"/>
    <w:rsid w:val="00850E1F"/>
    <w:rsid w:val="00851172"/>
    <w:rsid w:val="00852119"/>
    <w:rsid w:val="00852894"/>
    <w:rsid w:val="008537FD"/>
    <w:rsid w:val="00855D80"/>
    <w:rsid w:val="0085601D"/>
    <w:rsid w:val="0085679C"/>
    <w:rsid w:val="00856986"/>
    <w:rsid w:val="008571BD"/>
    <w:rsid w:val="00857797"/>
    <w:rsid w:val="00860975"/>
    <w:rsid w:val="00860A7E"/>
    <w:rsid w:val="008612B1"/>
    <w:rsid w:val="00861574"/>
    <w:rsid w:val="008633B1"/>
    <w:rsid w:val="00864DB5"/>
    <w:rsid w:val="00865084"/>
    <w:rsid w:val="008658B1"/>
    <w:rsid w:val="00865E09"/>
    <w:rsid w:val="00866221"/>
    <w:rsid w:val="00866DE5"/>
    <w:rsid w:val="00870926"/>
    <w:rsid w:val="0087092F"/>
    <w:rsid w:val="008709C8"/>
    <w:rsid w:val="00870AB3"/>
    <w:rsid w:val="00870CE0"/>
    <w:rsid w:val="00870E91"/>
    <w:rsid w:val="00871343"/>
    <w:rsid w:val="00871EFB"/>
    <w:rsid w:val="008723B3"/>
    <w:rsid w:val="0087266B"/>
    <w:rsid w:val="008726A6"/>
    <w:rsid w:val="0087299E"/>
    <w:rsid w:val="008730C4"/>
    <w:rsid w:val="00873159"/>
    <w:rsid w:val="008735AF"/>
    <w:rsid w:val="00874349"/>
    <w:rsid w:val="00874614"/>
    <w:rsid w:val="00874F50"/>
    <w:rsid w:val="00875F21"/>
    <w:rsid w:val="0087655B"/>
    <w:rsid w:val="00876CA7"/>
    <w:rsid w:val="00876E6E"/>
    <w:rsid w:val="00877085"/>
    <w:rsid w:val="008812FC"/>
    <w:rsid w:val="00883086"/>
    <w:rsid w:val="008834DF"/>
    <w:rsid w:val="00883814"/>
    <w:rsid w:val="00884640"/>
    <w:rsid w:val="008847D1"/>
    <w:rsid w:val="008853A0"/>
    <w:rsid w:val="00885A93"/>
    <w:rsid w:val="00885C7A"/>
    <w:rsid w:val="00885F0E"/>
    <w:rsid w:val="0088638A"/>
    <w:rsid w:val="008863E8"/>
    <w:rsid w:val="00886BE3"/>
    <w:rsid w:val="00887256"/>
    <w:rsid w:val="00887CAC"/>
    <w:rsid w:val="00887E5B"/>
    <w:rsid w:val="00890C22"/>
    <w:rsid w:val="00890F8A"/>
    <w:rsid w:val="0089189A"/>
    <w:rsid w:val="008920DE"/>
    <w:rsid w:val="00892759"/>
    <w:rsid w:val="00893357"/>
    <w:rsid w:val="008949C2"/>
    <w:rsid w:val="00895C1A"/>
    <w:rsid w:val="00896AF6"/>
    <w:rsid w:val="00896B3A"/>
    <w:rsid w:val="00896B46"/>
    <w:rsid w:val="008A07C2"/>
    <w:rsid w:val="008A1BA3"/>
    <w:rsid w:val="008A2521"/>
    <w:rsid w:val="008A29FB"/>
    <w:rsid w:val="008A2C09"/>
    <w:rsid w:val="008A40FC"/>
    <w:rsid w:val="008A4F89"/>
    <w:rsid w:val="008A5360"/>
    <w:rsid w:val="008A595B"/>
    <w:rsid w:val="008A59E1"/>
    <w:rsid w:val="008A6684"/>
    <w:rsid w:val="008A6AEF"/>
    <w:rsid w:val="008A6F50"/>
    <w:rsid w:val="008A79D0"/>
    <w:rsid w:val="008A7D97"/>
    <w:rsid w:val="008B10F1"/>
    <w:rsid w:val="008B13A9"/>
    <w:rsid w:val="008B1BD0"/>
    <w:rsid w:val="008B1D1F"/>
    <w:rsid w:val="008B3058"/>
    <w:rsid w:val="008B34EE"/>
    <w:rsid w:val="008B3ED9"/>
    <w:rsid w:val="008B499D"/>
    <w:rsid w:val="008B5092"/>
    <w:rsid w:val="008B5276"/>
    <w:rsid w:val="008B582B"/>
    <w:rsid w:val="008B6D6B"/>
    <w:rsid w:val="008B6F7A"/>
    <w:rsid w:val="008B6F7D"/>
    <w:rsid w:val="008B7A5F"/>
    <w:rsid w:val="008C068B"/>
    <w:rsid w:val="008C0E09"/>
    <w:rsid w:val="008C132E"/>
    <w:rsid w:val="008C1871"/>
    <w:rsid w:val="008C1FED"/>
    <w:rsid w:val="008C2089"/>
    <w:rsid w:val="008C2252"/>
    <w:rsid w:val="008C2BDF"/>
    <w:rsid w:val="008C3A9D"/>
    <w:rsid w:val="008C3F7F"/>
    <w:rsid w:val="008C4552"/>
    <w:rsid w:val="008C483A"/>
    <w:rsid w:val="008C53DE"/>
    <w:rsid w:val="008C56E1"/>
    <w:rsid w:val="008C7606"/>
    <w:rsid w:val="008C7A9D"/>
    <w:rsid w:val="008C7C62"/>
    <w:rsid w:val="008D1227"/>
    <w:rsid w:val="008D180A"/>
    <w:rsid w:val="008D7CBB"/>
    <w:rsid w:val="008D7E5A"/>
    <w:rsid w:val="008E01FC"/>
    <w:rsid w:val="008E0255"/>
    <w:rsid w:val="008E10B8"/>
    <w:rsid w:val="008E2498"/>
    <w:rsid w:val="008E2FE2"/>
    <w:rsid w:val="008E40EA"/>
    <w:rsid w:val="008E5022"/>
    <w:rsid w:val="008E56A9"/>
    <w:rsid w:val="008E59D2"/>
    <w:rsid w:val="008E606B"/>
    <w:rsid w:val="008E6957"/>
    <w:rsid w:val="008E6A14"/>
    <w:rsid w:val="008E73CB"/>
    <w:rsid w:val="008F042C"/>
    <w:rsid w:val="008F0C74"/>
    <w:rsid w:val="008F2848"/>
    <w:rsid w:val="008F378E"/>
    <w:rsid w:val="008F4159"/>
    <w:rsid w:val="008F4617"/>
    <w:rsid w:val="008F4C90"/>
    <w:rsid w:val="008F5232"/>
    <w:rsid w:val="008F55F7"/>
    <w:rsid w:val="008F5F2D"/>
    <w:rsid w:val="008F74F7"/>
    <w:rsid w:val="00900B14"/>
    <w:rsid w:val="00900DFE"/>
    <w:rsid w:val="00901B09"/>
    <w:rsid w:val="00902E8B"/>
    <w:rsid w:val="009030E2"/>
    <w:rsid w:val="009032EB"/>
    <w:rsid w:val="00904C89"/>
    <w:rsid w:val="00904F7C"/>
    <w:rsid w:val="009052DD"/>
    <w:rsid w:val="00905702"/>
    <w:rsid w:val="0090642E"/>
    <w:rsid w:val="0090649F"/>
    <w:rsid w:val="00907849"/>
    <w:rsid w:val="00911B22"/>
    <w:rsid w:val="00913103"/>
    <w:rsid w:val="00914858"/>
    <w:rsid w:val="009154C6"/>
    <w:rsid w:val="009158B2"/>
    <w:rsid w:val="00915DAE"/>
    <w:rsid w:val="009169B5"/>
    <w:rsid w:val="00917F51"/>
    <w:rsid w:val="00920071"/>
    <w:rsid w:val="009205B3"/>
    <w:rsid w:val="00920BBD"/>
    <w:rsid w:val="00920DBB"/>
    <w:rsid w:val="00920EEA"/>
    <w:rsid w:val="00921728"/>
    <w:rsid w:val="00922299"/>
    <w:rsid w:val="00924E89"/>
    <w:rsid w:val="00924EB1"/>
    <w:rsid w:val="00925CDE"/>
    <w:rsid w:val="00926F7D"/>
    <w:rsid w:val="009276E1"/>
    <w:rsid w:val="00927854"/>
    <w:rsid w:val="00927969"/>
    <w:rsid w:val="00927A64"/>
    <w:rsid w:val="00927F72"/>
    <w:rsid w:val="00927FD3"/>
    <w:rsid w:val="00930473"/>
    <w:rsid w:val="0093138A"/>
    <w:rsid w:val="009317D6"/>
    <w:rsid w:val="00931C73"/>
    <w:rsid w:val="00931EDC"/>
    <w:rsid w:val="00932E62"/>
    <w:rsid w:val="00935202"/>
    <w:rsid w:val="0093578A"/>
    <w:rsid w:val="00936781"/>
    <w:rsid w:val="00936A2A"/>
    <w:rsid w:val="009402AD"/>
    <w:rsid w:val="0094042F"/>
    <w:rsid w:val="00940735"/>
    <w:rsid w:val="0094255C"/>
    <w:rsid w:val="009428F4"/>
    <w:rsid w:val="00943682"/>
    <w:rsid w:val="00943DA0"/>
    <w:rsid w:val="00944129"/>
    <w:rsid w:val="00944672"/>
    <w:rsid w:val="00944F51"/>
    <w:rsid w:val="00945598"/>
    <w:rsid w:val="00945E87"/>
    <w:rsid w:val="0094636C"/>
    <w:rsid w:val="0094689D"/>
    <w:rsid w:val="00946EBA"/>
    <w:rsid w:val="00946F4B"/>
    <w:rsid w:val="00946FC1"/>
    <w:rsid w:val="009475CA"/>
    <w:rsid w:val="00947C97"/>
    <w:rsid w:val="00950AB2"/>
    <w:rsid w:val="00950AF3"/>
    <w:rsid w:val="00952178"/>
    <w:rsid w:val="00952DFE"/>
    <w:rsid w:val="00952F8C"/>
    <w:rsid w:val="0095318C"/>
    <w:rsid w:val="0095384D"/>
    <w:rsid w:val="00953FE9"/>
    <w:rsid w:val="0095406A"/>
    <w:rsid w:val="009556C5"/>
    <w:rsid w:val="00955C08"/>
    <w:rsid w:val="00956512"/>
    <w:rsid w:val="009568B0"/>
    <w:rsid w:val="00956AB4"/>
    <w:rsid w:val="0096049B"/>
    <w:rsid w:val="0096052C"/>
    <w:rsid w:val="009608DE"/>
    <w:rsid w:val="00960DD5"/>
    <w:rsid w:val="0096105C"/>
    <w:rsid w:val="009624B5"/>
    <w:rsid w:val="00963131"/>
    <w:rsid w:val="0096554C"/>
    <w:rsid w:val="0096572F"/>
    <w:rsid w:val="0096587E"/>
    <w:rsid w:val="00965C4B"/>
    <w:rsid w:val="00965CC4"/>
    <w:rsid w:val="00965D23"/>
    <w:rsid w:val="009661D7"/>
    <w:rsid w:val="00966567"/>
    <w:rsid w:val="00966642"/>
    <w:rsid w:val="00966D04"/>
    <w:rsid w:val="00967A3D"/>
    <w:rsid w:val="00970166"/>
    <w:rsid w:val="009720DC"/>
    <w:rsid w:val="009725B5"/>
    <w:rsid w:val="00973281"/>
    <w:rsid w:val="009738B9"/>
    <w:rsid w:val="00973B1F"/>
    <w:rsid w:val="009753DC"/>
    <w:rsid w:val="00976F54"/>
    <w:rsid w:val="00977098"/>
    <w:rsid w:val="0097792D"/>
    <w:rsid w:val="0098021A"/>
    <w:rsid w:val="00980BE0"/>
    <w:rsid w:val="0098115C"/>
    <w:rsid w:val="0098214A"/>
    <w:rsid w:val="00982661"/>
    <w:rsid w:val="00983672"/>
    <w:rsid w:val="00983CB7"/>
    <w:rsid w:val="00984949"/>
    <w:rsid w:val="009849C3"/>
    <w:rsid w:val="009849D7"/>
    <w:rsid w:val="00984B74"/>
    <w:rsid w:val="00984F4A"/>
    <w:rsid w:val="009855CC"/>
    <w:rsid w:val="009859D9"/>
    <w:rsid w:val="00987138"/>
    <w:rsid w:val="0098729C"/>
    <w:rsid w:val="00990F2A"/>
    <w:rsid w:val="009917B8"/>
    <w:rsid w:val="00992A3C"/>
    <w:rsid w:val="00992EF0"/>
    <w:rsid w:val="00993789"/>
    <w:rsid w:val="00993D21"/>
    <w:rsid w:val="00994B78"/>
    <w:rsid w:val="00995981"/>
    <w:rsid w:val="009971E9"/>
    <w:rsid w:val="00997B01"/>
    <w:rsid w:val="009A05BD"/>
    <w:rsid w:val="009A085C"/>
    <w:rsid w:val="009A1158"/>
    <w:rsid w:val="009A123A"/>
    <w:rsid w:val="009A1493"/>
    <w:rsid w:val="009A283E"/>
    <w:rsid w:val="009A2F83"/>
    <w:rsid w:val="009A3756"/>
    <w:rsid w:val="009A3897"/>
    <w:rsid w:val="009A400E"/>
    <w:rsid w:val="009A55F0"/>
    <w:rsid w:val="009A5EFE"/>
    <w:rsid w:val="009A67D9"/>
    <w:rsid w:val="009B156C"/>
    <w:rsid w:val="009B18C5"/>
    <w:rsid w:val="009B25F9"/>
    <w:rsid w:val="009B2DBB"/>
    <w:rsid w:val="009B3291"/>
    <w:rsid w:val="009B338D"/>
    <w:rsid w:val="009B3CC9"/>
    <w:rsid w:val="009B418C"/>
    <w:rsid w:val="009B4D58"/>
    <w:rsid w:val="009B4EF8"/>
    <w:rsid w:val="009B620F"/>
    <w:rsid w:val="009B7AFD"/>
    <w:rsid w:val="009C063A"/>
    <w:rsid w:val="009C0A63"/>
    <w:rsid w:val="009C12DA"/>
    <w:rsid w:val="009C1AAA"/>
    <w:rsid w:val="009C1C73"/>
    <w:rsid w:val="009C2D75"/>
    <w:rsid w:val="009C2F0F"/>
    <w:rsid w:val="009C3C42"/>
    <w:rsid w:val="009C3C56"/>
    <w:rsid w:val="009C454A"/>
    <w:rsid w:val="009C5286"/>
    <w:rsid w:val="009C585F"/>
    <w:rsid w:val="009C5989"/>
    <w:rsid w:val="009C5E41"/>
    <w:rsid w:val="009C6388"/>
    <w:rsid w:val="009C7468"/>
    <w:rsid w:val="009C79E6"/>
    <w:rsid w:val="009C7B1B"/>
    <w:rsid w:val="009D10E1"/>
    <w:rsid w:val="009D12EF"/>
    <w:rsid w:val="009D1474"/>
    <w:rsid w:val="009D249D"/>
    <w:rsid w:val="009D450D"/>
    <w:rsid w:val="009D4C91"/>
    <w:rsid w:val="009D500C"/>
    <w:rsid w:val="009D5DE3"/>
    <w:rsid w:val="009D5FD4"/>
    <w:rsid w:val="009D7F32"/>
    <w:rsid w:val="009E00CE"/>
    <w:rsid w:val="009E02D7"/>
    <w:rsid w:val="009E1610"/>
    <w:rsid w:val="009E338B"/>
    <w:rsid w:val="009E3663"/>
    <w:rsid w:val="009E3C15"/>
    <w:rsid w:val="009E41C6"/>
    <w:rsid w:val="009E4CE6"/>
    <w:rsid w:val="009E5297"/>
    <w:rsid w:val="009E55F8"/>
    <w:rsid w:val="009E5805"/>
    <w:rsid w:val="009E59CE"/>
    <w:rsid w:val="009E5B14"/>
    <w:rsid w:val="009E6C11"/>
    <w:rsid w:val="009E6EFB"/>
    <w:rsid w:val="009E706A"/>
    <w:rsid w:val="009E73F9"/>
    <w:rsid w:val="009F017C"/>
    <w:rsid w:val="009F14BC"/>
    <w:rsid w:val="009F2202"/>
    <w:rsid w:val="009F22EB"/>
    <w:rsid w:val="009F3122"/>
    <w:rsid w:val="009F42F4"/>
    <w:rsid w:val="009F4873"/>
    <w:rsid w:val="009F4D5F"/>
    <w:rsid w:val="009F4F08"/>
    <w:rsid w:val="009F586A"/>
    <w:rsid w:val="009F66DF"/>
    <w:rsid w:val="009F7781"/>
    <w:rsid w:val="00A002AE"/>
    <w:rsid w:val="00A01434"/>
    <w:rsid w:val="00A01DD0"/>
    <w:rsid w:val="00A024AE"/>
    <w:rsid w:val="00A028F6"/>
    <w:rsid w:val="00A046E7"/>
    <w:rsid w:val="00A04F8B"/>
    <w:rsid w:val="00A05CB8"/>
    <w:rsid w:val="00A06131"/>
    <w:rsid w:val="00A06D4E"/>
    <w:rsid w:val="00A072D3"/>
    <w:rsid w:val="00A07529"/>
    <w:rsid w:val="00A10DDE"/>
    <w:rsid w:val="00A114F9"/>
    <w:rsid w:val="00A121C1"/>
    <w:rsid w:val="00A1227E"/>
    <w:rsid w:val="00A127B6"/>
    <w:rsid w:val="00A1359C"/>
    <w:rsid w:val="00A135C2"/>
    <w:rsid w:val="00A142D5"/>
    <w:rsid w:val="00A14341"/>
    <w:rsid w:val="00A14BBE"/>
    <w:rsid w:val="00A14FC0"/>
    <w:rsid w:val="00A151EC"/>
    <w:rsid w:val="00A16082"/>
    <w:rsid w:val="00A17BD5"/>
    <w:rsid w:val="00A203A6"/>
    <w:rsid w:val="00A21DAE"/>
    <w:rsid w:val="00A22178"/>
    <w:rsid w:val="00A22D19"/>
    <w:rsid w:val="00A22D3E"/>
    <w:rsid w:val="00A2424A"/>
    <w:rsid w:val="00A2473E"/>
    <w:rsid w:val="00A2474F"/>
    <w:rsid w:val="00A258E5"/>
    <w:rsid w:val="00A25C42"/>
    <w:rsid w:val="00A25F50"/>
    <w:rsid w:val="00A26C04"/>
    <w:rsid w:val="00A271E1"/>
    <w:rsid w:val="00A2775F"/>
    <w:rsid w:val="00A27C35"/>
    <w:rsid w:val="00A32B3D"/>
    <w:rsid w:val="00A32ED8"/>
    <w:rsid w:val="00A330A4"/>
    <w:rsid w:val="00A33A96"/>
    <w:rsid w:val="00A348A6"/>
    <w:rsid w:val="00A356D3"/>
    <w:rsid w:val="00A3658A"/>
    <w:rsid w:val="00A374A5"/>
    <w:rsid w:val="00A37FA6"/>
    <w:rsid w:val="00A40110"/>
    <w:rsid w:val="00A4152A"/>
    <w:rsid w:val="00A41E93"/>
    <w:rsid w:val="00A429CE"/>
    <w:rsid w:val="00A43125"/>
    <w:rsid w:val="00A435D4"/>
    <w:rsid w:val="00A443D5"/>
    <w:rsid w:val="00A448F8"/>
    <w:rsid w:val="00A45B6C"/>
    <w:rsid w:val="00A462DB"/>
    <w:rsid w:val="00A46807"/>
    <w:rsid w:val="00A46BD8"/>
    <w:rsid w:val="00A46EEF"/>
    <w:rsid w:val="00A479D5"/>
    <w:rsid w:val="00A5072C"/>
    <w:rsid w:val="00A5078A"/>
    <w:rsid w:val="00A50AB8"/>
    <w:rsid w:val="00A51A04"/>
    <w:rsid w:val="00A5236A"/>
    <w:rsid w:val="00A529FA"/>
    <w:rsid w:val="00A536ED"/>
    <w:rsid w:val="00A54BDC"/>
    <w:rsid w:val="00A54E8C"/>
    <w:rsid w:val="00A550BD"/>
    <w:rsid w:val="00A56186"/>
    <w:rsid w:val="00A5636F"/>
    <w:rsid w:val="00A61537"/>
    <w:rsid w:val="00A624C2"/>
    <w:rsid w:val="00A63016"/>
    <w:rsid w:val="00A633A3"/>
    <w:rsid w:val="00A6383E"/>
    <w:rsid w:val="00A63A96"/>
    <w:rsid w:val="00A64C33"/>
    <w:rsid w:val="00A65113"/>
    <w:rsid w:val="00A65191"/>
    <w:rsid w:val="00A657CB"/>
    <w:rsid w:val="00A6601D"/>
    <w:rsid w:val="00A66C79"/>
    <w:rsid w:val="00A66CAE"/>
    <w:rsid w:val="00A674DC"/>
    <w:rsid w:val="00A679D7"/>
    <w:rsid w:val="00A71061"/>
    <w:rsid w:val="00A71196"/>
    <w:rsid w:val="00A72A2F"/>
    <w:rsid w:val="00A72DD2"/>
    <w:rsid w:val="00A743EF"/>
    <w:rsid w:val="00A7498A"/>
    <w:rsid w:val="00A751D1"/>
    <w:rsid w:val="00A75F7C"/>
    <w:rsid w:val="00A801A2"/>
    <w:rsid w:val="00A8037C"/>
    <w:rsid w:val="00A8042A"/>
    <w:rsid w:val="00A80557"/>
    <w:rsid w:val="00A80EB0"/>
    <w:rsid w:val="00A818F4"/>
    <w:rsid w:val="00A8285E"/>
    <w:rsid w:val="00A8348A"/>
    <w:rsid w:val="00A84113"/>
    <w:rsid w:val="00A84546"/>
    <w:rsid w:val="00A85F14"/>
    <w:rsid w:val="00A86881"/>
    <w:rsid w:val="00A871DC"/>
    <w:rsid w:val="00A9016C"/>
    <w:rsid w:val="00A910CB"/>
    <w:rsid w:val="00A912F0"/>
    <w:rsid w:val="00A92884"/>
    <w:rsid w:val="00A933FD"/>
    <w:rsid w:val="00A93A81"/>
    <w:rsid w:val="00A93E4B"/>
    <w:rsid w:val="00A947F1"/>
    <w:rsid w:val="00A94A6C"/>
    <w:rsid w:val="00A9674A"/>
    <w:rsid w:val="00A9681C"/>
    <w:rsid w:val="00A96BE8"/>
    <w:rsid w:val="00A96C13"/>
    <w:rsid w:val="00A97003"/>
    <w:rsid w:val="00A9704C"/>
    <w:rsid w:val="00AA04B9"/>
    <w:rsid w:val="00AA1D19"/>
    <w:rsid w:val="00AA256C"/>
    <w:rsid w:val="00AA3CE8"/>
    <w:rsid w:val="00AA3D25"/>
    <w:rsid w:val="00AA46B4"/>
    <w:rsid w:val="00AA689A"/>
    <w:rsid w:val="00AA6A1B"/>
    <w:rsid w:val="00AA7077"/>
    <w:rsid w:val="00AA7159"/>
    <w:rsid w:val="00AA7EFE"/>
    <w:rsid w:val="00AB014D"/>
    <w:rsid w:val="00AB14D9"/>
    <w:rsid w:val="00AB1614"/>
    <w:rsid w:val="00AB1B39"/>
    <w:rsid w:val="00AB2555"/>
    <w:rsid w:val="00AB2761"/>
    <w:rsid w:val="00AB283F"/>
    <w:rsid w:val="00AB4154"/>
    <w:rsid w:val="00AB415B"/>
    <w:rsid w:val="00AB48BC"/>
    <w:rsid w:val="00AB4922"/>
    <w:rsid w:val="00AB494A"/>
    <w:rsid w:val="00AB4956"/>
    <w:rsid w:val="00AC0289"/>
    <w:rsid w:val="00AC0579"/>
    <w:rsid w:val="00AC06A2"/>
    <w:rsid w:val="00AC1A38"/>
    <w:rsid w:val="00AC1BAD"/>
    <w:rsid w:val="00AC2583"/>
    <w:rsid w:val="00AC268D"/>
    <w:rsid w:val="00AC2BBC"/>
    <w:rsid w:val="00AC358C"/>
    <w:rsid w:val="00AC5020"/>
    <w:rsid w:val="00AC6722"/>
    <w:rsid w:val="00AC6E44"/>
    <w:rsid w:val="00AC6E5C"/>
    <w:rsid w:val="00AC7246"/>
    <w:rsid w:val="00AC7326"/>
    <w:rsid w:val="00AC7AE9"/>
    <w:rsid w:val="00AD0403"/>
    <w:rsid w:val="00AD0D74"/>
    <w:rsid w:val="00AD1D02"/>
    <w:rsid w:val="00AD1FE0"/>
    <w:rsid w:val="00AD220E"/>
    <w:rsid w:val="00AD42B6"/>
    <w:rsid w:val="00AD606A"/>
    <w:rsid w:val="00AD614D"/>
    <w:rsid w:val="00AD68F4"/>
    <w:rsid w:val="00AD6AC4"/>
    <w:rsid w:val="00AD6FE0"/>
    <w:rsid w:val="00AD7ABA"/>
    <w:rsid w:val="00AD7AF0"/>
    <w:rsid w:val="00AE0554"/>
    <w:rsid w:val="00AE1272"/>
    <w:rsid w:val="00AE17DC"/>
    <w:rsid w:val="00AE182D"/>
    <w:rsid w:val="00AE18D6"/>
    <w:rsid w:val="00AE1F36"/>
    <w:rsid w:val="00AE2BCA"/>
    <w:rsid w:val="00AE3897"/>
    <w:rsid w:val="00AE4BB5"/>
    <w:rsid w:val="00AE586D"/>
    <w:rsid w:val="00AE6DE5"/>
    <w:rsid w:val="00AE75D0"/>
    <w:rsid w:val="00AF0A8B"/>
    <w:rsid w:val="00AF0AA3"/>
    <w:rsid w:val="00AF0FDC"/>
    <w:rsid w:val="00AF102C"/>
    <w:rsid w:val="00AF11C5"/>
    <w:rsid w:val="00AF16D4"/>
    <w:rsid w:val="00AF18E4"/>
    <w:rsid w:val="00AF204C"/>
    <w:rsid w:val="00AF205A"/>
    <w:rsid w:val="00AF3555"/>
    <w:rsid w:val="00AF3639"/>
    <w:rsid w:val="00AF3AAA"/>
    <w:rsid w:val="00AF449C"/>
    <w:rsid w:val="00AF4804"/>
    <w:rsid w:val="00AF5629"/>
    <w:rsid w:val="00AF7876"/>
    <w:rsid w:val="00AF7BDC"/>
    <w:rsid w:val="00AF7D4C"/>
    <w:rsid w:val="00B004C4"/>
    <w:rsid w:val="00B01E81"/>
    <w:rsid w:val="00B04A40"/>
    <w:rsid w:val="00B04E2A"/>
    <w:rsid w:val="00B055B7"/>
    <w:rsid w:val="00B05F7E"/>
    <w:rsid w:val="00B0611E"/>
    <w:rsid w:val="00B06120"/>
    <w:rsid w:val="00B06363"/>
    <w:rsid w:val="00B071DC"/>
    <w:rsid w:val="00B07620"/>
    <w:rsid w:val="00B07C66"/>
    <w:rsid w:val="00B07EFE"/>
    <w:rsid w:val="00B109B9"/>
    <w:rsid w:val="00B110F8"/>
    <w:rsid w:val="00B11369"/>
    <w:rsid w:val="00B1157E"/>
    <w:rsid w:val="00B1257B"/>
    <w:rsid w:val="00B12764"/>
    <w:rsid w:val="00B12F86"/>
    <w:rsid w:val="00B13AF8"/>
    <w:rsid w:val="00B1597A"/>
    <w:rsid w:val="00B15EC4"/>
    <w:rsid w:val="00B165E0"/>
    <w:rsid w:val="00B1738F"/>
    <w:rsid w:val="00B2007F"/>
    <w:rsid w:val="00B2021C"/>
    <w:rsid w:val="00B2154F"/>
    <w:rsid w:val="00B21A7B"/>
    <w:rsid w:val="00B22289"/>
    <w:rsid w:val="00B22D65"/>
    <w:rsid w:val="00B23181"/>
    <w:rsid w:val="00B23286"/>
    <w:rsid w:val="00B2403F"/>
    <w:rsid w:val="00B244BE"/>
    <w:rsid w:val="00B26F94"/>
    <w:rsid w:val="00B274B9"/>
    <w:rsid w:val="00B27A59"/>
    <w:rsid w:val="00B27FCF"/>
    <w:rsid w:val="00B306CD"/>
    <w:rsid w:val="00B30AEC"/>
    <w:rsid w:val="00B33D00"/>
    <w:rsid w:val="00B3465C"/>
    <w:rsid w:val="00B34DBA"/>
    <w:rsid w:val="00B352DD"/>
    <w:rsid w:val="00B35A46"/>
    <w:rsid w:val="00B35F3F"/>
    <w:rsid w:val="00B361D5"/>
    <w:rsid w:val="00B36607"/>
    <w:rsid w:val="00B371E6"/>
    <w:rsid w:val="00B3759B"/>
    <w:rsid w:val="00B4001C"/>
    <w:rsid w:val="00B40581"/>
    <w:rsid w:val="00B40BA6"/>
    <w:rsid w:val="00B416A8"/>
    <w:rsid w:val="00B42723"/>
    <w:rsid w:val="00B42AB9"/>
    <w:rsid w:val="00B42EF0"/>
    <w:rsid w:val="00B44403"/>
    <w:rsid w:val="00B444B4"/>
    <w:rsid w:val="00B45F0B"/>
    <w:rsid w:val="00B469DE"/>
    <w:rsid w:val="00B46A74"/>
    <w:rsid w:val="00B47F3B"/>
    <w:rsid w:val="00B502B6"/>
    <w:rsid w:val="00B50DB3"/>
    <w:rsid w:val="00B51124"/>
    <w:rsid w:val="00B512F0"/>
    <w:rsid w:val="00B5145C"/>
    <w:rsid w:val="00B51A92"/>
    <w:rsid w:val="00B51EB7"/>
    <w:rsid w:val="00B51ECA"/>
    <w:rsid w:val="00B522DE"/>
    <w:rsid w:val="00B52315"/>
    <w:rsid w:val="00B52E12"/>
    <w:rsid w:val="00B540E4"/>
    <w:rsid w:val="00B54175"/>
    <w:rsid w:val="00B54565"/>
    <w:rsid w:val="00B54CBE"/>
    <w:rsid w:val="00B556D6"/>
    <w:rsid w:val="00B56A64"/>
    <w:rsid w:val="00B56E30"/>
    <w:rsid w:val="00B571A7"/>
    <w:rsid w:val="00B57EE1"/>
    <w:rsid w:val="00B6085E"/>
    <w:rsid w:val="00B60BAD"/>
    <w:rsid w:val="00B61478"/>
    <w:rsid w:val="00B622D8"/>
    <w:rsid w:val="00B62940"/>
    <w:rsid w:val="00B62AD8"/>
    <w:rsid w:val="00B62E80"/>
    <w:rsid w:val="00B62F4C"/>
    <w:rsid w:val="00B644E0"/>
    <w:rsid w:val="00B65085"/>
    <w:rsid w:val="00B65B41"/>
    <w:rsid w:val="00B65EB6"/>
    <w:rsid w:val="00B66069"/>
    <w:rsid w:val="00B6660D"/>
    <w:rsid w:val="00B66641"/>
    <w:rsid w:val="00B66CAF"/>
    <w:rsid w:val="00B66F59"/>
    <w:rsid w:val="00B70003"/>
    <w:rsid w:val="00B72983"/>
    <w:rsid w:val="00B72EA8"/>
    <w:rsid w:val="00B734A9"/>
    <w:rsid w:val="00B7367E"/>
    <w:rsid w:val="00B7428F"/>
    <w:rsid w:val="00B74540"/>
    <w:rsid w:val="00B75B8D"/>
    <w:rsid w:val="00B7720A"/>
    <w:rsid w:val="00B779A6"/>
    <w:rsid w:val="00B77D0C"/>
    <w:rsid w:val="00B80329"/>
    <w:rsid w:val="00B80529"/>
    <w:rsid w:val="00B8131D"/>
    <w:rsid w:val="00B813F3"/>
    <w:rsid w:val="00B81A3A"/>
    <w:rsid w:val="00B823D8"/>
    <w:rsid w:val="00B839FD"/>
    <w:rsid w:val="00B858CE"/>
    <w:rsid w:val="00B85B15"/>
    <w:rsid w:val="00B85D5B"/>
    <w:rsid w:val="00B866CF"/>
    <w:rsid w:val="00B86726"/>
    <w:rsid w:val="00B86FAB"/>
    <w:rsid w:val="00B92104"/>
    <w:rsid w:val="00B92212"/>
    <w:rsid w:val="00B9383D"/>
    <w:rsid w:val="00B943FE"/>
    <w:rsid w:val="00B9478D"/>
    <w:rsid w:val="00B957EF"/>
    <w:rsid w:val="00B9656D"/>
    <w:rsid w:val="00B97006"/>
    <w:rsid w:val="00B97257"/>
    <w:rsid w:val="00B97371"/>
    <w:rsid w:val="00B97E57"/>
    <w:rsid w:val="00BA07A0"/>
    <w:rsid w:val="00BA0C35"/>
    <w:rsid w:val="00BA1102"/>
    <w:rsid w:val="00BA1674"/>
    <w:rsid w:val="00BA1685"/>
    <w:rsid w:val="00BA17BD"/>
    <w:rsid w:val="00BA1D35"/>
    <w:rsid w:val="00BA2FB4"/>
    <w:rsid w:val="00BA320C"/>
    <w:rsid w:val="00BA344F"/>
    <w:rsid w:val="00BA5347"/>
    <w:rsid w:val="00BA5493"/>
    <w:rsid w:val="00BA5B8B"/>
    <w:rsid w:val="00BA6017"/>
    <w:rsid w:val="00BA664F"/>
    <w:rsid w:val="00BA6770"/>
    <w:rsid w:val="00BA68F8"/>
    <w:rsid w:val="00BA6A09"/>
    <w:rsid w:val="00BA7516"/>
    <w:rsid w:val="00BA7661"/>
    <w:rsid w:val="00BA7BA2"/>
    <w:rsid w:val="00BB0B45"/>
    <w:rsid w:val="00BB1368"/>
    <w:rsid w:val="00BB28D7"/>
    <w:rsid w:val="00BB2EFD"/>
    <w:rsid w:val="00BB3968"/>
    <w:rsid w:val="00BB526B"/>
    <w:rsid w:val="00BB52AF"/>
    <w:rsid w:val="00BB6543"/>
    <w:rsid w:val="00BB6989"/>
    <w:rsid w:val="00BB6B6F"/>
    <w:rsid w:val="00BB7DD3"/>
    <w:rsid w:val="00BB7FED"/>
    <w:rsid w:val="00BC0269"/>
    <w:rsid w:val="00BC02C7"/>
    <w:rsid w:val="00BC1700"/>
    <w:rsid w:val="00BC21AC"/>
    <w:rsid w:val="00BC32D8"/>
    <w:rsid w:val="00BC3DD0"/>
    <w:rsid w:val="00BC5313"/>
    <w:rsid w:val="00BC5D7F"/>
    <w:rsid w:val="00BC6012"/>
    <w:rsid w:val="00BC6913"/>
    <w:rsid w:val="00BC6CF8"/>
    <w:rsid w:val="00BC7B5C"/>
    <w:rsid w:val="00BD0905"/>
    <w:rsid w:val="00BD0A2A"/>
    <w:rsid w:val="00BD0FBA"/>
    <w:rsid w:val="00BD13C3"/>
    <w:rsid w:val="00BD1600"/>
    <w:rsid w:val="00BD2CEE"/>
    <w:rsid w:val="00BD2E00"/>
    <w:rsid w:val="00BD34AC"/>
    <w:rsid w:val="00BD3CBF"/>
    <w:rsid w:val="00BD516D"/>
    <w:rsid w:val="00BD5E6E"/>
    <w:rsid w:val="00BD61E0"/>
    <w:rsid w:val="00BD658F"/>
    <w:rsid w:val="00BD6F03"/>
    <w:rsid w:val="00BD7405"/>
    <w:rsid w:val="00BD7CA8"/>
    <w:rsid w:val="00BE0850"/>
    <w:rsid w:val="00BE1118"/>
    <w:rsid w:val="00BE1921"/>
    <w:rsid w:val="00BE1C85"/>
    <w:rsid w:val="00BE2456"/>
    <w:rsid w:val="00BE27FC"/>
    <w:rsid w:val="00BE3073"/>
    <w:rsid w:val="00BE35CE"/>
    <w:rsid w:val="00BE597D"/>
    <w:rsid w:val="00BE604A"/>
    <w:rsid w:val="00BE6101"/>
    <w:rsid w:val="00BE741A"/>
    <w:rsid w:val="00BE7D28"/>
    <w:rsid w:val="00BF08E2"/>
    <w:rsid w:val="00BF0F95"/>
    <w:rsid w:val="00BF1607"/>
    <w:rsid w:val="00BF22B7"/>
    <w:rsid w:val="00BF26A3"/>
    <w:rsid w:val="00BF26E2"/>
    <w:rsid w:val="00BF2D2A"/>
    <w:rsid w:val="00BF2F1A"/>
    <w:rsid w:val="00BF32B7"/>
    <w:rsid w:val="00BF33B6"/>
    <w:rsid w:val="00BF38D6"/>
    <w:rsid w:val="00BF40A1"/>
    <w:rsid w:val="00BF520E"/>
    <w:rsid w:val="00BF5886"/>
    <w:rsid w:val="00BF7139"/>
    <w:rsid w:val="00BF7507"/>
    <w:rsid w:val="00BF79DD"/>
    <w:rsid w:val="00C001FD"/>
    <w:rsid w:val="00C002D4"/>
    <w:rsid w:val="00C01D2A"/>
    <w:rsid w:val="00C02333"/>
    <w:rsid w:val="00C03175"/>
    <w:rsid w:val="00C038F5"/>
    <w:rsid w:val="00C03A2E"/>
    <w:rsid w:val="00C03F9E"/>
    <w:rsid w:val="00C04251"/>
    <w:rsid w:val="00C047B9"/>
    <w:rsid w:val="00C052F4"/>
    <w:rsid w:val="00C05530"/>
    <w:rsid w:val="00C05F15"/>
    <w:rsid w:val="00C066F4"/>
    <w:rsid w:val="00C06BA5"/>
    <w:rsid w:val="00C0712A"/>
    <w:rsid w:val="00C071EE"/>
    <w:rsid w:val="00C07465"/>
    <w:rsid w:val="00C10AAD"/>
    <w:rsid w:val="00C10DC6"/>
    <w:rsid w:val="00C115DA"/>
    <w:rsid w:val="00C1165A"/>
    <w:rsid w:val="00C12779"/>
    <w:rsid w:val="00C141B8"/>
    <w:rsid w:val="00C142B1"/>
    <w:rsid w:val="00C14CAF"/>
    <w:rsid w:val="00C151D6"/>
    <w:rsid w:val="00C15627"/>
    <w:rsid w:val="00C156B5"/>
    <w:rsid w:val="00C15D86"/>
    <w:rsid w:val="00C1619F"/>
    <w:rsid w:val="00C16270"/>
    <w:rsid w:val="00C16623"/>
    <w:rsid w:val="00C16E6C"/>
    <w:rsid w:val="00C17597"/>
    <w:rsid w:val="00C214E1"/>
    <w:rsid w:val="00C21961"/>
    <w:rsid w:val="00C2239A"/>
    <w:rsid w:val="00C23024"/>
    <w:rsid w:val="00C23168"/>
    <w:rsid w:val="00C2359E"/>
    <w:rsid w:val="00C2386D"/>
    <w:rsid w:val="00C239E2"/>
    <w:rsid w:val="00C2450B"/>
    <w:rsid w:val="00C24800"/>
    <w:rsid w:val="00C25165"/>
    <w:rsid w:val="00C26345"/>
    <w:rsid w:val="00C26DC9"/>
    <w:rsid w:val="00C305CB"/>
    <w:rsid w:val="00C3141A"/>
    <w:rsid w:val="00C32105"/>
    <w:rsid w:val="00C3297B"/>
    <w:rsid w:val="00C33319"/>
    <w:rsid w:val="00C33451"/>
    <w:rsid w:val="00C33FE8"/>
    <w:rsid w:val="00C343A2"/>
    <w:rsid w:val="00C3469B"/>
    <w:rsid w:val="00C34D9E"/>
    <w:rsid w:val="00C35BE1"/>
    <w:rsid w:val="00C36BE9"/>
    <w:rsid w:val="00C36E1E"/>
    <w:rsid w:val="00C370CB"/>
    <w:rsid w:val="00C3711E"/>
    <w:rsid w:val="00C37B4D"/>
    <w:rsid w:val="00C37CB1"/>
    <w:rsid w:val="00C40217"/>
    <w:rsid w:val="00C40D77"/>
    <w:rsid w:val="00C414CD"/>
    <w:rsid w:val="00C428EB"/>
    <w:rsid w:val="00C429F0"/>
    <w:rsid w:val="00C42B5D"/>
    <w:rsid w:val="00C43606"/>
    <w:rsid w:val="00C43DBA"/>
    <w:rsid w:val="00C43FB0"/>
    <w:rsid w:val="00C44C9B"/>
    <w:rsid w:val="00C456CE"/>
    <w:rsid w:val="00C4777C"/>
    <w:rsid w:val="00C478D0"/>
    <w:rsid w:val="00C47B4D"/>
    <w:rsid w:val="00C47F99"/>
    <w:rsid w:val="00C512B0"/>
    <w:rsid w:val="00C51995"/>
    <w:rsid w:val="00C51F10"/>
    <w:rsid w:val="00C520D2"/>
    <w:rsid w:val="00C522D5"/>
    <w:rsid w:val="00C52542"/>
    <w:rsid w:val="00C52F7C"/>
    <w:rsid w:val="00C53016"/>
    <w:rsid w:val="00C53289"/>
    <w:rsid w:val="00C540CC"/>
    <w:rsid w:val="00C544F1"/>
    <w:rsid w:val="00C555EA"/>
    <w:rsid w:val="00C55C30"/>
    <w:rsid w:val="00C56BAB"/>
    <w:rsid w:val="00C56FF5"/>
    <w:rsid w:val="00C5764F"/>
    <w:rsid w:val="00C57682"/>
    <w:rsid w:val="00C57F43"/>
    <w:rsid w:val="00C6024D"/>
    <w:rsid w:val="00C602E0"/>
    <w:rsid w:val="00C605EA"/>
    <w:rsid w:val="00C60DFB"/>
    <w:rsid w:val="00C6153A"/>
    <w:rsid w:val="00C61729"/>
    <w:rsid w:val="00C618F3"/>
    <w:rsid w:val="00C61FDF"/>
    <w:rsid w:val="00C62BF5"/>
    <w:rsid w:val="00C635DF"/>
    <w:rsid w:val="00C63811"/>
    <w:rsid w:val="00C64407"/>
    <w:rsid w:val="00C64E49"/>
    <w:rsid w:val="00C65331"/>
    <w:rsid w:val="00C66375"/>
    <w:rsid w:val="00C669C3"/>
    <w:rsid w:val="00C703C9"/>
    <w:rsid w:val="00C70ADB"/>
    <w:rsid w:val="00C70FCF"/>
    <w:rsid w:val="00C714AE"/>
    <w:rsid w:val="00C720E0"/>
    <w:rsid w:val="00C722A1"/>
    <w:rsid w:val="00C728DA"/>
    <w:rsid w:val="00C73717"/>
    <w:rsid w:val="00C73880"/>
    <w:rsid w:val="00C74069"/>
    <w:rsid w:val="00C741DB"/>
    <w:rsid w:val="00C74FF0"/>
    <w:rsid w:val="00C7503F"/>
    <w:rsid w:val="00C758A9"/>
    <w:rsid w:val="00C75974"/>
    <w:rsid w:val="00C76C8C"/>
    <w:rsid w:val="00C77B31"/>
    <w:rsid w:val="00C77D0D"/>
    <w:rsid w:val="00C77F3C"/>
    <w:rsid w:val="00C80679"/>
    <w:rsid w:val="00C80D8A"/>
    <w:rsid w:val="00C8166C"/>
    <w:rsid w:val="00C81A23"/>
    <w:rsid w:val="00C8277D"/>
    <w:rsid w:val="00C82BA8"/>
    <w:rsid w:val="00C831EC"/>
    <w:rsid w:val="00C83EAF"/>
    <w:rsid w:val="00C84243"/>
    <w:rsid w:val="00C845A1"/>
    <w:rsid w:val="00C84915"/>
    <w:rsid w:val="00C850F4"/>
    <w:rsid w:val="00C8530F"/>
    <w:rsid w:val="00C854EF"/>
    <w:rsid w:val="00C85671"/>
    <w:rsid w:val="00C85AD8"/>
    <w:rsid w:val="00C85B58"/>
    <w:rsid w:val="00C860D0"/>
    <w:rsid w:val="00C86B03"/>
    <w:rsid w:val="00C86F0E"/>
    <w:rsid w:val="00C873BB"/>
    <w:rsid w:val="00C87E46"/>
    <w:rsid w:val="00C87EB8"/>
    <w:rsid w:val="00C90C16"/>
    <w:rsid w:val="00C90EEC"/>
    <w:rsid w:val="00C9172F"/>
    <w:rsid w:val="00C91920"/>
    <w:rsid w:val="00C91974"/>
    <w:rsid w:val="00C91A89"/>
    <w:rsid w:val="00C91B52"/>
    <w:rsid w:val="00C93F95"/>
    <w:rsid w:val="00C9434C"/>
    <w:rsid w:val="00C946C9"/>
    <w:rsid w:val="00C94950"/>
    <w:rsid w:val="00C95B0C"/>
    <w:rsid w:val="00C96484"/>
    <w:rsid w:val="00C967D2"/>
    <w:rsid w:val="00C96B00"/>
    <w:rsid w:val="00C96D1C"/>
    <w:rsid w:val="00C9716C"/>
    <w:rsid w:val="00C97B7A"/>
    <w:rsid w:val="00C97C9F"/>
    <w:rsid w:val="00CA0121"/>
    <w:rsid w:val="00CA07B1"/>
    <w:rsid w:val="00CA0988"/>
    <w:rsid w:val="00CA0BC0"/>
    <w:rsid w:val="00CA0F70"/>
    <w:rsid w:val="00CA2329"/>
    <w:rsid w:val="00CA2D49"/>
    <w:rsid w:val="00CA367A"/>
    <w:rsid w:val="00CA388E"/>
    <w:rsid w:val="00CA48B4"/>
    <w:rsid w:val="00CA4F53"/>
    <w:rsid w:val="00CA5F96"/>
    <w:rsid w:val="00CA67D9"/>
    <w:rsid w:val="00CA7062"/>
    <w:rsid w:val="00CA7827"/>
    <w:rsid w:val="00CA7919"/>
    <w:rsid w:val="00CA79F8"/>
    <w:rsid w:val="00CB1678"/>
    <w:rsid w:val="00CB1EFC"/>
    <w:rsid w:val="00CB23DE"/>
    <w:rsid w:val="00CB2486"/>
    <w:rsid w:val="00CB2F5B"/>
    <w:rsid w:val="00CB34BF"/>
    <w:rsid w:val="00CB492F"/>
    <w:rsid w:val="00CB545A"/>
    <w:rsid w:val="00CB730C"/>
    <w:rsid w:val="00CB73BD"/>
    <w:rsid w:val="00CB7849"/>
    <w:rsid w:val="00CB7E8B"/>
    <w:rsid w:val="00CB7F58"/>
    <w:rsid w:val="00CB7F6C"/>
    <w:rsid w:val="00CC0824"/>
    <w:rsid w:val="00CC2C08"/>
    <w:rsid w:val="00CC31C3"/>
    <w:rsid w:val="00CC3657"/>
    <w:rsid w:val="00CC47C8"/>
    <w:rsid w:val="00CC54F1"/>
    <w:rsid w:val="00CC56F8"/>
    <w:rsid w:val="00CC5CAC"/>
    <w:rsid w:val="00CC6189"/>
    <w:rsid w:val="00CC64B9"/>
    <w:rsid w:val="00CC755F"/>
    <w:rsid w:val="00CC75D2"/>
    <w:rsid w:val="00CD0265"/>
    <w:rsid w:val="00CD0849"/>
    <w:rsid w:val="00CD5543"/>
    <w:rsid w:val="00CD5974"/>
    <w:rsid w:val="00CD5DD2"/>
    <w:rsid w:val="00CD67A0"/>
    <w:rsid w:val="00CD726B"/>
    <w:rsid w:val="00CD7649"/>
    <w:rsid w:val="00CE03CC"/>
    <w:rsid w:val="00CE06BF"/>
    <w:rsid w:val="00CE0765"/>
    <w:rsid w:val="00CE09AE"/>
    <w:rsid w:val="00CE15BF"/>
    <w:rsid w:val="00CE28F8"/>
    <w:rsid w:val="00CE29DD"/>
    <w:rsid w:val="00CE2CC6"/>
    <w:rsid w:val="00CE2D55"/>
    <w:rsid w:val="00CE3605"/>
    <w:rsid w:val="00CE5034"/>
    <w:rsid w:val="00CE5702"/>
    <w:rsid w:val="00CE6BFE"/>
    <w:rsid w:val="00CE6FA6"/>
    <w:rsid w:val="00CE780A"/>
    <w:rsid w:val="00CF131E"/>
    <w:rsid w:val="00CF134C"/>
    <w:rsid w:val="00CF1E68"/>
    <w:rsid w:val="00CF20F8"/>
    <w:rsid w:val="00CF3737"/>
    <w:rsid w:val="00CF4271"/>
    <w:rsid w:val="00CF4FAE"/>
    <w:rsid w:val="00CF5096"/>
    <w:rsid w:val="00CF5801"/>
    <w:rsid w:val="00CF6E6D"/>
    <w:rsid w:val="00CF75A4"/>
    <w:rsid w:val="00CF7860"/>
    <w:rsid w:val="00D001BE"/>
    <w:rsid w:val="00D002A6"/>
    <w:rsid w:val="00D00DB8"/>
    <w:rsid w:val="00D01AA2"/>
    <w:rsid w:val="00D01D8E"/>
    <w:rsid w:val="00D020D3"/>
    <w:rsid w:val="00D02437"/>
    <w:rsid w:val="00D027E6"/>
    <w:rsid w:val="00D03DFD"/>
    <w:rsid w:val="00D04784"/>
    <w:rsid w:val="00D04902"/>
    <w:rsid w:val="00D04A77"/>
    <w:rsid w:val="00D0596E"/>
    <w:rsid w:val="00D05D91"/>
    <w:rsid w:val="00D062B0"/>
    <w:rsid w:val="00D06D6B"/>
    <w:rsid w:val="00D078FC"/>
    <w:rsid w:val="00D07ED3"/>
    <w:rsid w:val="00D10AE6"/>
    <w:rsid w:val="00D11E3F"/>
    <w:rsid w:val="00D13987"/>
    <w:rsid w:val="00D140F5"/>
    <w:rsid w:val="00D14B66"/>
    <w:rsid w:val="00D156C2"/>
    <w:rsid w:val="00D15C98"/>
    <w:rsid w:val="00D16184"/>
    <w:rsid w:val="00D164F2"/>
    <w:rsid w:val="00D17C0C"/>
    <w:rsid w:val="00D2170C"/>
    <w:rsid w:val="00D21F11"/>
    <w:rsid w:val="00D24351"/>
    <w:rsid w:val="00D274D3"/>
    <w:rsid w:val="00D310AA"/>
    <w:rsid w:val="00D32514"/>
    <w:rsid w:val="00D32C06"/>
    <w:rsid w:val="00D32DF1"/>
    <w:rsid w:val="00D3315F"/>
    <w:rsid w:val="00D3423B"/>
    <w:rsid w:val="00D3463B"/>
    <w:rsid w:val="00D35E78"/>
    <w:rsid w:val="00D36A29"/>
    <w:rsid w:val="00D36CB7"/>
    <w:rsid w:val="00D37487"/>
    <w:rsid w:val="00D37D45"/>
    <w:rsid w:val="00D40E68"/>
    <w:rsid w:val="00D41029"/>
    <w:rsid w:val="00D41535"/>
    <w:rsid w:val="00D415E9"/>
    <w:rsid w:val="00D41826"/>
    <w:rsid w:val="00D41A70"/>
    <w:rsid w:val="00D43234"/>
    <w:rsid w:val="00D43B0F"/>
    <w:rsid w:val="00D43DCC"/>
    <w:rsid w:val="00D43FD4"/>
    <w:rsid w:val="00D44A8B"/>
    <w:rsid w:val="00D44DAC"/>
    <w:rsid w:val="00D456CA"/>
    <w:rsid w:val="00D45FDB"/>
    <w:rsid w:val="00D508C8"/>
    <w:rsid w:val="00D50D37"/>
    <w:rsid w:val="00D511B3"/>
    <w:rsid w:val="00D51E36"/>
    <w:rsid w:val="00D529BA"/>
    <w:rsid w:val="00D52CE1"/>
    <w:rsid w:val="00D5319C"/>
    <w:rsid w:val="00D531B5"/>
    <w:rsid w:val="00D539CC"/>
    <w:rsid w:val="00D54281"/>
    <w:rsid w:val="00D5446A"/>
    <w:rsid w:val="00D54745"/>
    <w:rsid w:val="00D54769"/>
    <w:rsid w:val="00D55DAB"/>
    <w:rsid w:val="00D56552"/>
    <w:rsid w:val="00D56E04"/>
    <w:rsid w:val="00D56F71"/>
    <w:rsid w:val="00D60604"/>
    <w:rsid w:val="00D60764"/>
    <w:rsid w:val="00D60C45"/>
    <w:rsid w:val="00D62020"/>
    <w:rsid w:val="00D633B7"/>
    <w:rsid w:val="00D643DC"/>
    <w:rsid w:val="00D64679"/>
    <w:rsid w:val="00D65053"/>
    <w:rsid w:val="00D654CF"/>
    <w:rsid w:val="00D66271"/>
    <w:rsid w:val="00D662C2"/>
    <w:rsid w:val="00D66938"/>
    <w:rsid w:val="00D6716B"/>
    <w:rsid w:val="00D6752D"/>
    <w:rsid w:val="00D7002B"/>
    <w:rsid w:val="00D7311B"/>
    <w:rsid w:val="00D7330E"/>
    <w:rsid w:val="00D73774"/>
    <w:rsid w:val="00D74487"/>
    <w:rsid w:val="00D75000"/>
    <w:rsid w:val="00D75CBB"/>
    <w:rsid w:val="00D765E9"/>
    <w:rsid w:val="00D76F1E"/>
    <w:rsid w:val="00D7705F"/>
    <w:rsid w:val="00D80DE8"/>
    <w:rsid w:val="00D83205"/>
    <w:rsid w:val="00D83F98"/>
    <w:rsid w:val="00D8559F"/>
    <w:rsid w:val="00D862AB"/>
    <w:rsid w:val="00D8690D"/>
    <w:rsid w:val="00D87734"/>
    <w:rsid w:val="00D905EE"/>
    <w:rsid w:val="00D91136"/>
    <w:rsid w:val="00D9197C"/>
    <w:rsid w:val="00D920FD"/>
    <w:rsid w:val="00D92186"/>
    <w:rsid w:val="00D93B91"/>
    <w:rsid w:val="00D93BB6"/>
    <w:rsid w:val="00D94497"/>
    <w:rsid w:val="00D94A4D"/>
    <w:rsid w:val="00D94BAB"/>
    <w:rsid w:val="00D95675"/>
    <w:rsid w:val="00D959AE"/>
    <w:rsid w:val="00D95A17"/>
    <w:rsid w:val="00D95EE8"/>
    <w:rsid w:val="00D96229"/>
    <w:rsid w:val="00D9784C"/>
    <w:rsid w:val="00D979AD"/>
    <w:rsid w:val="00DA049E"/>
    <w:rsid w:val="00DA1D1B"/>
    <w:rsid w:val="00DA1EE6"/>
    <w:rsid w:val="00DA251D"/>
    <w:rsid w:val="00DA29F0"/>
    <w:rsid w:val="00DA38CE"/>
    <w:rsid w:val="00DA65A1"/>
    <w:rsid w:val="00DA6A7A"/>
    <w:rsid w:val="00DA6CBB"/>
    <w:rsid w:val="00DB035A"/>
    <w:rsid w:val="00DB1233"/>
    <w:rsid w:val="00DB17CA"/>
    <w:rsid w:val="00DB1EF2"/>
    <w:rsid w:val="00DB3401"/>
    <w:rsid w:val="00DB43E4"/>
    <w:rsid w:val="00DB49E4"/>
    <w:rsid w:val="00DB4F03"/>
    <w:rsid w:val="00DB5357"/>
    <w:rsid w:val="00DB5A7F"/>
    <w:rsid w:val="00DB5D8A"/>
    <w:rsid w:val="00DB5F0B"/>
    <w:rsid w:val="00DB6326"/>
    <w:rsid w:val="00DB681A"/>
    <w:rsid w:val="00DB6914"/>
    <w:rsid w:val="00DB705B"/>
    <w:rsid w:val="00DB7B09"/>
    <w:rsid w:val="00DC1935"/>
    <w:rsid w:val="00DC2117"/>
    <w:rsid w:val="00DC32F2"/>
    <w:rsid w:val="00DC35D3"/>
    <w:rsid w:val="00DC36B2"/>
    <w:rsid w:val="00DC3780"/>
    <w:rsid w:val="00DC461C"/>
    <w:rsid w:val="00DC56F9"/>
    <w:rsid w:val="00DC578C"/>
    <w:rsid w:val="00DC5D7E"/>
    <w:rsid w:val="00DC72BB"/>
    <w:rsid w:val="00DC7A4E"/>
    <w:rsid w:val="00DC7FDC"/>
    <w:rsid w:val="00DD0128"/>
    <w:rsid w:val="00DD08AA"/>
    <w:rsid w:val="00DD1152"/>
    <w:rsid w:val="00DD1A8A"/>
    <w:rsid w:val="00DD2188"/>
    <w:rsid w:val="00DD4701"/>
    <w:rsid w:val="00DD4F7E"/>
    <w:rsid w:val="00DD5474"/>
    <w:rsid w:val="00DD549F"/>
    <w:rsid w:val="00DD5798"/>
    <w:rsid w:val="00DD5843"/>
    <w:rsid w:val="00DD5897"/>
    <w:rsid w:val="00DD5A20"/>
    <w:rsid w:val="00DD5A8F"/>
    <w:rsid w:val="00DD5ECB"/>
    <w:rsid w:val="00DD761A"/>
    <w:rsid w:val="00DD7A4A"/>
    <w:rsid w:val="00DE02CD"/>
    <w:rsid w:val="00DE0E38"/>
    <w:rsid w:val="00DE243C"/>
    <w:rsid w:val="00DE45C8"/>
    <w:rsid w:val="00DE4A79"/>
    <w:rsid w:val="00DE4F6F"/>
    <w:rsid w:val="00DE5DA2"/>
    <w:rsid w:val="00DE7723"/>
    <w:rsid w:val="00DE7DBE"/>
    <w:rsid w:val="00DF0177"/>
    <w:rsid w:val="00DF07EA"/>
    <w:rsid w:val="00DF094C"/>
    <w:rsid w:val="00DF0FFC"/>
    <w:rsid w:val="00DF165A"/>
    <w:rsid w:val="00DF20A1"/>
    <w:rsid w:val="00DF20BB"/>
    <w:rsid w:val="00DF2D12"/>
    <w:rsid w:val="00DF3535"/>
    <w:rsid w:val="00DF511E"/>
    <w:rsid w:val="00DF6C13"/>
    <w:rsid w:val="00DF6CF8"/>
    <w:rsid w:val="00DF743C"/>
    <w:rsid w:val="00DF7743"/>
    <w:rsid w:val="00DF7B85"/>
    <w:rsid w:val="00DF7BA7"/>
    <w:rsid w:val="00E0040B"/>
    <w:rsid w:val="00E0079B"/>
    <w:rsid w:val="00E0092B"/>
    <w:rsid w:val="00E00CAB"/>
    <w:rsid w:val="00E014BC"/>
    <w:rsid w:val="00E0176F"/>
    <w:rsid w:val="00E01CA8"/>
    <w:rsid w:val="00E01DF2"/>
    <w:rsid w:val="00E02876"/>
    <w:rsid w:val="00E030A3"/>
    <w:rsid w:val="00E039B8"/>
    <w:rsid w:val="00E03EF8"/>
    <w:rsid w:val="00E04180"/>
    <w:rsid w:val="00E042D3"/>
    <w:rsid w:val="00E0435E"/>
    <w:rsid w:val="00E048AF"/>
    <w:rsid w:val="00E05766"/>
    <w:rsid w:val="00E05ED1"/>
    <w:rsid w:val="00E06384"/>
    <w:rsid w:val="00E06B97"/>
    <w:rsid w:val="00E074CD"/>
    <w:rsid w:val="00E1166A"/>
    <w:rsid w:val="00E11B51"/>
    <w:rsid w:val="00E12B61"/>
    <w:rsid w:val="00E14E7D"/>
    <w:rsid w:val="00E1516E"/>
    <w:rsid w:val="00E1592B"/>
    <w:rsid w:val="00E15E81"/>
    <w:rsid w:val="00E15EB5"/>
    <w:rsid w:val="00E16705"/>
    <w:rsid w:val="00E16EC4"/>
    <w:rsid w:val="00E16F63"/>
    <w:rsid w:val="00E17959"/>
    <w:rsid w:val="00E17A5A"/>
    <w:rsid w:val="00E20CAB"/>
    <w:rsid w:val="00E20FB5"/>
    <w:rsid w:val="00E2126C"/>
    <w:rsid w:val="00E217A2"/>
    <w:rsid w:val="00E21A52"/>
    <w:rsid w:val="00E22D2F"/>
    <w:rsid w:val="00E24611"/>
    <w:rsid w:val="00E24630"/>
    <w:rsid w:val="00E24F6F"/>
    <w:rsid w:val="00E2528D"/>
    <w:rsid w:val="00E254A5"/>
    <w:rsid w:val="00E25B40"/>
    <w:rsid w:val="00E25F43"/>
    <w:rsid w:val="00E2630F"/>
    <w:rsid w:val="00E26E76"/>
    <w:rsid w:val="00E275F8"/>
    <w:rsid w:val="00E27C90"/>
    <w:rsid w:val="00E318AB"/>
    <w:rsid w:val="00E32036"/>
    <w:rsid w:val="00E3325B"/>
    <w:rsid w:val="00E33360"/>
    <w:rsid w:val="00E33C12"/>
    <w:rsid w:val="00E342DA"/>
    <w:rsid w:val="00E34A1C"/>
    <w:rsid w:val="00E35DAA"/>
    <w:rsid w:val="00E37155"/>
    <w:rsid w:val="00E371B3"/>
    <w:rsid w:val="00E371CC"/>
    <w:rsid w:val="00E3766F"/>
    <w:rsid w:val="00E377A2"/>
    <w:rsid w:val="00E37839"/>
    <w:rsid w:val="00E37C00"/>
    <w:rsid w:val="00E40578"/>
    <w:rsid w:val="00E40665"/>
    <w:rsid w:val="00E40E2A"/>
    <w:rsid w:val="00E412BF"/>
    <w:rsid w:val="00E41323"/>
    <w:rsid w:val="00E41E6B"/>
    <w:rsid w:val="00E426D2"/>
    <w:rsid w:val="00E42744"/>
    <w:rsid w:val="00E427AB"/>
    <w:rsid w:val="00E42E57"/>
    <w:rsid w:val="00E4345A"/>
    <w:rsid w:val="00E44546"/>
    <w:rsid w:val="00E44667"/>
    <w:rsid w:val="00E447E1"/>
    <w:rsid w:val="00E4488C"/>
    <w:rsid w:val="00E44D9B"/>
    <w:rsid w:val="00E45C1B"/>
    <w:rsid w:val="00E46612"/>
    <w:rsid w:val="00E46B00"/>
    <w:rsid w:val="00E47AE8"/>
    <w:rsid w:val="00E513D2"/>
    <w:rsid w:val="00E51CBF"/>
    <w:rsid w:val="00E51E50"/>
    <w:rsid w:val="00E5227E"/>
    <w:rsid w:val="00E528A1"/>
    <w:rsid w:val="00E53D30"/>
    <w:rsid w:val="00E542BE"/>
    <w:rsid w:val="00E544C9"/>
    <w:rsid w:val="00E56980"/>
    <w:rsid w:val="00E56E27"/>
    <w:rsid w:val="00E576DB"/>
    <w:rsid w:val="00E57861"/>
    <w:rsid w:val="00E600CB"/>
    <w:rsid w:val="00E60302"/>
    <w:rsid w:val="00E60382"/>
    <w:rsid w:val="00E604A5"/>
    <w:rsid w:val="00E60B04"/>
    <w:rsid w:val="00E617FF"/>
    <w:rsid w:val="00E619EE"/>
    <w:rsid w:val="00E61AED"/>
    <w:rsid w:val="00E627EF"/>
    <w:rsid w:val="00E63A88"/>
    <w:rsid w:val="00E63E53"/>
    <w:rsid w:val="00E647E1"/>
    <w:rsid w:val="00E64D0C"/>
    <w:rsid w:val="00E653C9"/>
    <w:rsid w:val="00E65890"/>
    <w:rsid w:val="00E667F5"/>
    <w:rsid w:val="00E6789F"/>
    <w:rsid w:val="00E710AD"/>
    <w:rsid w:val="00E725A3"/>
    <w:rsid w:val="00E7264D"/>
    <w:rsid w:val="00E73679"/>
    <w:rsid w:val="00E7475C"/>
    <w:rsid w:val="00E74776"/>
    <w:rsid w:val="00E74CCB"/>
    <w:rsid w:val="00E75E5C"/>
    <w:rsid w:val="00E7630B"/>
    <w:rsid w:val="00E76F4D"/>
    <w:rsid w:val="00E77CE4"/>
    <w:rsid w:val="00E804AB"/>
    <w:rsid w:val="00E811D3"/>
    <w:rsid w:val="00E81AAC"/>
    <w:rsid w:val="00E81DD3"/>
    <w:rsid w:val="00E82733"/>
    <w:rsid w:val="00E82824"/>
    <w:rsid w:val="00E82D42"/>
    <w:rsid w:val="00E82E5F"/>
    <w:rsid w:val="00E82F1A"/>
    <w:rsid w:val="00E82F8C"/>
    <w:rsid w:val="00E83023"/>
    <w:rsid w:val="00E83D82"/>
    <w:rsid w:val="00E84851"/>
    <w:rsid w:val="00E84D7E"/>
    <w:rsid w:val="00E850D1"/>
    <w:rsid w:val="00E86C75"/>
    <w:rsid w:val="00E90026"/>
    <w:rsid w:val="00E90574"/>
    <w:rsid w:val="00E9326F"/>
    <w:rsid w:val="00E938E2"/>
    <w:rsid w:val="00E941D5"/>
    <w:rsid w:val="00E95082"/>
    <w:rsid w:val="00E9530A"/>
    <w:rsid w:val="00E9560E"/>
    <w:rsid w:val="00E96700"/>
    <w:rsid w:val="00EA0B9F"/>
    <w:rsid w:val="00EA0FC8"/>
    <w:rsid w:val="00EA1071"/>
    <w:rsid w:val="00EA11B9"/>
    <w:rsid w:val="00EA1B05"/>
    <w:rsid w:val="00EA2415"/>
    <w:rsid w:val="00EA2443"/>
    <w:rsid w:val="00EA2937"/>
    <w:rsid w:val="00EA30BA"/>
    <w:rsid w:val="00EA37E9"/>
    <w:rsid w:val="00EA3F6B"/>
    <w:rsid w:val="00EA440A"/>
    <w:rsid w:val="00EA4428"/>
    <w:rsid w:val="00EA4AA6"/>
    <w:rsid w:val="00EA4CDB"/>
    <w:rsid w:val="00EA4E1D"/>
    <w:rsid w:val="00EA4F11"/>
    <w:rsid w:val="00EA4FC7"/>
    <w:rsid w:val="00EA5078"/>
    <w:rsid w:val="00EA5348"/>
    <w:rsid w:val="00EA5D73"/>
    <w:rsid w:val="00EA68D4"/>
    <w:rsid w:val="00EA6B61"/>
    <w:rsid w:val="00EA6E4C"/>
    <w:rsid w:val="00EB058F"/>
    <w:rsid w:val="00EB186D"/>
    <w:rsid w:val="00EB1C2A"/>
    <w:rsid w:val="00EB2004"/>
    <w:rsid w:val="00EB2616"/>
    <w:rsid w:val="00EB3139"/>
    <w:rsid w:val="00EB33F6"/>
    <w:rsid w:val="00EB35DE"/>
    <w:rsid w:val="00EB3B17"/>
    <w:rsid w:val="00EB3E23"/>
    <w:rsid w:val="00EB3FA4"/>
    <w:rsid w:val="00EB49F4"/>
    <w:rsid w:val="00EB4D01"/>
    <w:rsid w:val="00EB6449"/>
    <w:rsid w:val="00EB7BCD"/>
    <w:rsid w:val="00EC0124"/>
    <w:rsid w:val="00EC2845"/>
    <w:rsid w:val="00EC2CED"/>
    <w:rsid w:val="00EC360C"/>
    <w:rsid w:val="00EC3640"/>
    <w:rsid w:val="00EC3A38"/>
    <w:rsid w:val="00EC505B"/>
    <w:rsid w:val="00EC5171"/>
    <w:rsid w:val="00EC5A6D"/>
    <w:rsid w:val="00EC5D57"/>
    <w:rsid w:val="00EC5EDC"/>
    <w:rsid w:val="00EC697F"/>
    <w:rsid w:val="00EC7357"/>
    <w:rsid w:val="00EC7A8B"/>
    <w:rsid w:val="00EC7C70"/>
    <w:rsid w:val="00ED13F9"/>
    <w:rsid w:val="00ED18E0"/>
    <w:rsid w:val="00ED1D14"/>
    <w:rsid w:val="00ED21B3"/>
    <w:rsid w:val="00ED25EB"/>
    <w:rsid w:val="00ED334F"/>
    <w:rsid w:val="00ED395B"/>
    <w:rsid w:val="00ED3C7C"/>
    <w:rsid w:val="00ED407F"/>
    <w:rsid w:val="00ED411A"/>
    <w:rsid w:val="00ED4FC2"/>
    <w:rsid w:val="00ED518D"/>
    <w:rsid w:val="00ED51AA"/>
    <w:rsid w:val="00ED51E4"/>
    <w:rsid w:val="00ED56EB"/>
    <w:rsid w:val="00ED7581"/>
    <w:rsid w:val="00ED7907"/>
    <w:rsid w:val="00EE0216"/>
    <w:rsid w:val="00EE0752"/>
    <w:rsid w:val="00EE0FD7"/>
    <w:rsid w:val="00EE11AC"/>
    <w:rsid w:val="00EE12E9"/>
    <w:rsid w:val="00EE15D3"/>
    <w:rsid w:val="00EE29E1"/>
    <w:rsid w:val="00EE3F62"/>
    <w:rsid w:val="00EE4839"/>
    <w:rsid w:val="00EE49D5"/>
    <w:rsid w:val="00EE4A13"/>
    <w:rsid w:val="00EE5F02"/>
    <w:rsid w:val="00EE6A07"/>
    <w:rsid w:val="00EE6AC0"/>
    <w:rsid w:val="00EE763C"/>
    <w:rsid w:val="00EE78E6"/>
    <w:rsid w:val="00EF165E"/>
    <w:rsid w:val="00EF179B"/>
    <w:rsid w:val="00EF1976"/>
    <w:rsid w:val="00EF21A4"/>
    <w:rsid w:val="00EF2429"/>
    <w:rsid w:val="00EF248A"/>
    <w:rsid w:val="00EF2AE0"/>
    <w:rsid w:val="00EF2B20"/>
    <w:rsid w:val="00EF2FF6"/>
    <w:rsid w:val="00EF326D"/>
    <w:rsid w:val="00EF42B5"/>
    <w:rsid w:val="00EF4862"/>
    <w:rsid w:val="00EF4C8B"/>
    <w:rsid w:val="00EF7CBA"/>
    <w:rsid w:val="00F00EC7"/>
    <w:rsid w:val="00F01AD3"/>
    <w:rsid w:val="00F01BC7"/>
    <w:rsid w:val="00F01F95"/>
    <w:rsid w:val="00F042AD"/>
    <w:rsid w:val="00F04500"/>
    <w:rsid w:val="00F04972"/>
    <w:rsid w:val="00F04C0B"/>
    <w:rsid w:val="00F05341"/>
    <w:rsid w:val="00F059D2"/>
    <w:rsid w:val="00F05DFB"/>
    <w:rsid w:val="00F064BD"/>
    <w:rsid w:val="00F06708"/>
    <w:rsid w:val="00F06931"/>
    <w:rsid w:val="00F06C14"/>
    <w:rsid w:val="00F06C2F"/>
    <w:rsid w:val="00F07EC1"/>
    <w:rsid w:val="00F10FD3"/>
    <w:rsid w:val="00F12FF1"/>
    <w:rsid w:val="00F133AF"/>
    <w:rsid w:val="00F1395E"/>
    <w:rsid w:val="00F14578"/>
    <w:rsid w:val="00F150D7"/>
    <w:rsid w:val="00F15439"/>
    <w:rsid w:val="00F15E18"/>
    <w:rsid w:val="00F16C0E"/>
    <w:rsid w:val="00F17ED3"/>
    <w:rsid w:val="00F226E6"/>
    <w:rsid w:val="00F22BA5"/>
    <w:rsid w:val="00F235A5"/>
    <w:rsid w:val="00F23DEB"/>
    <w:rsid w:val="00F24F33"/>
    <w:rsid w:val="00F2532F"/>
    <w:rsid w:val="00F25890"/>
    <w:rsid w:val="00F26E9E"/>
    <w:rsid w:val="00F26FDA"/>
    <w:rsid w:val="00F2791F"/>
    <w:rsid w:val="00F27C05"/>
    <w:rsid w:val="00F311F8"/>
    <w:rsid w:val="00F31240"/>
    <w:rsid w:val="00F3149C"/>
    <w:rsid w:val="00F31A9C"/>
    <w:rsid w:val="00F31CB5"/>
    <w:rsid w:val="00F31FC4"/>
    <w:rsid w:val="00F3224E"/>
    <w:rsid w:val="00F32856"/>
    <w:rsid w:val="00F336C2"/>
    <w:rsid w:val="00F341A0"/>
    <w:rsid w:val="00F343EB"/>
    <w:rsid w:val="00F34472"/>
    <w:rsid w:val="00F3546C"/>
    <w:rsid w:val="00F35571"/>
    <w:rsid w:val="00F35738"/>
    <w:rsid w:val="00F35BC6"/>
    <w:rsid w:val="00F35FEC"/>
    <w:rsid w:val="00F36291"/>
    <w:rsid w:val="00F36F5A"/>
    <w:rsid w:val="00F4043D"/>
    <w:rsid w:val="00F405F0"/>
    <w:rsid w:val="00F4129F"/>
    <w:rsid w:val="00F412F5"/>
    <w:rsid w:val="00F41715"/>
    <w:rsid w:val="00F42CF1"/>
    <w:rsid w:val="00F42D1F"/>
    <w:rsid w:val="00F44ABC"/>
    <w:rsid w:val="00F44BA1"/>
    <w:rsid w:val="00F5067A"/>
    <w:rsid w:val="00F50EF8"/>
    <w:rsid w:val="00F51508"/>
    <w:rsid w:val="00F52EA4"/>
    <w:rsid w:val="00F5356F"/>
    <w:rsid w:val="00F53C3A"/>
    <w:rsid w:val="00F53DEE"/>
    <w:rsid w:val="00F54901"/>
    <w:rsid w:val="00F552EB"/>
    <w:rsid w:val="00F56480"/>
    <w:rsid w:val="00F564B4"/>
    <w:rsid w:val="00F564EF"/>
    <w:rsid w:val="00F57C7B"/>
    <w:rsid w:val="00F601BB"/>
    <w:rsid w:val="00F606AC"/>
    <w:rsid w:val="00F60718"/>
    <w:rsid w:val="00F6073D"/>
    <w:rsid w:val="00F60906"/>
    <w:rsid w:val="00F6106E"/>
    <w:rsid w:val="00F611C9"/>
    <w:rsid w:val="00F61CF7"/>
    <w:rsid w:val="00F623F4"/>
    <w:rsid w:val="00F629B1"/>
    <w:rsid w:val="00F636D2"/>
    <w:rsid w:val="00F63AA6"/>
    <w:rsid w:val="00F63BDB"/>
    <w:rsid w:val="00F6405F"/>
    <w:rsid w:val="00F65950"/>
    <w:rsid w:val="00F65B97"/>
    <w:rsid w:val="00F65CEF"/>
    <w:rsid w:val="00F666EF"/>
    <w:rsid w:val="00F67705"/>
    <w:rsid w:val="00F67AA4"/>
    <w:rsid w:val="00F7084F"/>
    <w:rsid w:val="00F70AC9"/>
    <w:rsid w:val="00F70D29"/>
    <w:rsid w:val="00F70E3A"/>
    <w:rsid w:val="00F71767"/>
    <w:rsid w:val="00F71EB1"/>
    <w:rsid w:val="00F72C7E"/>
    <w:rsid w:val="00F73467"/>
    <w:rsid w:val="00F7346D"/>
    <w:rsid w:val="00F738B1"/>
    <w:rsid w:val="00F73C5D"/>
    <w:rsid w:val="00F741DC"/>
    <w:rsid w:val="00F74488"/>
    <w:rsid w:val="00F74508"/>
    <w:rsid w:val="00F7686E"/>
    <w:rsid w:val="00F77B3F"/>
    <w:rsid w:val="00F80442"/>
    <w:rsid w:val="00F80CCE"/>
    <w:rsid w:val="00F80F22"/>
    <w:rsid w:val="00F81379"/>
    <w:rsid w:val="00F82151"/>
    <w:rsid w:val="00F8295A"/>
    <w:rsid w:val="00F83042"/>
    <w:rsid w:val="00F8328F"/>
    <w:rsid w:val="00F8351F"/>
    <w:rsid w:val="00F83AA7"/>
    <w:rsid w:val="00F851C5"/>
    <w:rsid w:val="00F855C9"/>
    <w:rsid w:val="00F856A6"/>
    <w:rsid w:val="00F865F3"/>
    <w:rsid w:val="00F870DD"/>
    <w:rsid w:val="00F8782A"/>
    <w:rsid w:val="00F87CC5"/>
    <w:rsid w:val="00F9005D"/>
    <w:rsid w:val="00F9007E"/>
    <w:rsid w:val="00F9017C"/>
    <w:rsid w:val="00F90576"/>
    <w:rsid w:val="00F90B90"/>
    <w:rsid w:val="00F9132E"/>
    <w:rsid w:val="00F91B92"/>
    <w:rsid w:val="00F91CA1"/>
    <w:rsid w:val="00F91E92"/>
    <w:rsid w:val="00F92FA7"/>
    <w:rsid w:val="00F93B3C"/>
    <w:rsid w:val="00F93D94"/>
    <w:rsid w:val="00F94428"/>
    <w:rsid w:val="00F948E7"/>
    <w:rsid w:val="00F95D22"/>
    <w:rsid w:val="00F95D36"/>
    <w:rsid w:val="00F95DE6"/>
    <w:rsid w:val="00F95F66"/>
    <w:rsid w:val="00F962B5"/>
    <w:rsid w:val="00FA0FEB"/>
    <w:rsid w:val="00FA1ABF"/>
    <w:rsid w:val="00FA1F70"/>
    <w:rsid w:val="00FA424C"/>
    <w:rsid w:val="00FA44ED"/>
    <w:rsid w:val="00FA56FD"/>
    <w:rsid w:val="00FA5834"/>
    <w:rsid w:val="00FA6151"/>
    <w:rsid w:val="00FA6403"/>
    <w:rsid w:val="00FA6484"/>
    <w:rsid w:val="00FB000E"/>
    <w:rsid w:val="00FB0FF7"/>
    <w:rsid w:val="00FB177E"/>
    <w:rsid w:val="00FB228F"/>
    <w:rsid w:val="00FB2620"/>
    <w:rsid w:val="00FB2E63"/>
    <w:rsid w:val="00FB301B"/>
    <w:rsid w:val="00FB4E30"/>
    <w:rsid w:val="00FB4E4F"/>
    <w:rsid w:val="00FB5016"/>
    <w:rsid w:val="00FB5324"/>
    <w:rsid w:val="00FB5683"/>
    <w:rsid w:val="00FB56D7"/>
    <w:rsid w:val="00FB6B0B"/>
    <w:rsid w:val="00FB7DB8"/>
    <w:rsid w:val="00FC0194"/>
    <w:rsid w:val="00FC03C9"/>
    <w:rsid w:val="00FC08A0"/>
    <w:rsid w:val="00FC1491"/>
    <w:rsid w:val="00FC1A2E"/>
    <w:rsid w:val="00FC2B44"/>
    <w:rsid w:val="00FC2E41"/>
    <w:rsid w:val="00FC3125"/>
    <w:rsid w:val="00FC32BC"/>
    <w:rsid w:val="00FC372F"/>
    <w:rsid w:val="00FC3DD8"/>
    <w:rsid w:val="00FC497C"/>
    <w:rsid w:val="00FC56B0"/>
    <w:rsid w:val="00FC6A56"/>
    <w:rsid w:val="00FC6CB6"/>
    <w:rsid w:val="00FC6D94"/>
    <w:rsid w:val="00FC6EB0"/>
    <w:rsid w:val="00FD1DFA"/>
    <w:rsid w:val="00FD2A5F"/>
    <w:rsid w:val="00FD2D32"/>
    <w:rsid w:val="00FD402B"/>
    <w:rsid w:val="00FD4860"/>
    <w:rsid w:val="00FD4C7C"/>
    <w:rsid w:val="00FD5171"/>
    <w:rsid w:val="00FD529D"/>
    <w:rsid w:val="00FD556A"/>
    <w:rsid w:val="00FD587D"/>
    <w:rsid w:val="00FD64D7"/>
    <w:rsid w:val="00FD655B"/>
    <w:rsid w:val="00FD69D6"/>
    <w:rsid w:val="00FD7017"/>
    <w:rsid w:val="00FD7BDD"/>
    <w:rsid w:val="00FE087D"/>
    <w:rsid w:val="00FE09D7"/>
    <w:rsid w:val="00FE0D91"/>
    <w:rsid w:val="00FE1403"/>
    <w:rsid w:val="00FE15AD"/>
    <w:rsid w:val="00FE17BD"/>
    <w:rsid w:val="00FE184A"/>
    <w:rsid w:val="00FE1F6C"/>
    <w:rsid w:val="00FE20D2"/>
    <w:rsid w:val="00FE2D4F"/>
    <w:rsid w:val="00FE3282"/>
    <w:rsid w:val="00FE57C2"/>
    <w:rsid w:val="00FE582F"/>
    <w:rsid w:val="00FE7101"/>
    <w:rsid w:val="00FE7750"/>
    <w:rsid w:val="00FE7A0E"/>
    <w:rsid w:val="00FE7C0E"/>
    <w:rsid w:val="00FE7C6E"/>
    <w:rsid w:val="00FF0333"/>
    <w:rsid w:val="00FF073F"/>
    <w:rsid w:val="00FF167B"/>
    <w:rsid w:val="00FF1713"/>
    <w:rsid w:val="00FF174F"/>
    <w:rsid w:val="00FF32A5"/>
    <w:rsid w:val="00FF3DC2"/>
    <w:rsid w:val="00FF428C"/>
    <w:rsid w:val="00FF4627"/>
    <w:rsid w:val="00FF54EE"/>
    <w:rsid w:val="00FF65C6"/>
    <w:rsid w:val="00FF76EB"/>
    <w:rsid w:val="01695D6B"/>
    <w:rsid w:val="01D6304F"/>
    <w:rsid w:val="01FB27A1"/>
    <w:rsid w:val="02C305B4"/>
    <w:rsid w:val="02EA4873"/>
    <w:rsid w:val="03903DE4"/>
    <w:rsid w:val="03CA0201"/>
    <w:rsid w:val="043B0F3D"/>
    <w:rsid w:val="0471044C"/>
    <w:rsid w:val="048E122E"/>
    <w:rsid w:val="04993FFA"/>
    <w:rsid w:val="04C82992"/>
    <w:rsid w:val="04D56E5D"/>
    <w:rsid w:val="050E50E5"/>
    <w:rsid w:val="052676B9"/>
    <w:rsid w:val="05A95343"/>
    <w:rsid w:val="06336F8D"/>
    <w:rsid w:val="06420522"/>
    <w:rsid w:val="065F6420"/>
    <w:rsid w:val="068E27B5"/>
    <w:rsid w:val="06930D7E"/>
    <w:rsid w:val="07307007"/>
    <w:rsid w:val="07846919"/>
    <w:rsid w:val="085E716A"/>
    <w:rsid w:val="08B54490"/>
    <w:rsid w:val="095011A8"/>
    <w:rsid w:val="09630EDC"/>
    <w:rsid w:val="0A350035"/>
    <w:rsid w:val="0A555586"/>
    <w:rsid w:val="0A6C3DC0"/>
    <w:rsid w:val="0A7E7F06"/>
    <w:rsid w:val="0AF12517"/>
    <w:rsid w:val="0B3D750A"/>
    <w:rsid w:val="0B3E28E6"/>
    <w:rsid w:val="0B7E024F"/>
    <w:rsid w:val="0C355E9E"/>
    <w:rsid w:val="0C3B1C9C"/>
    <w:rsid w:val="0C5361FA"/>
    <w:rsid w:val="0C644D8E"/>
    <w:rsid w:val="0C654F6B"/>
    <w:rsid w:val="0CBD4DA7"/>
    <w:rsid w:val="0CD65E68"/>
    <w:rsid w:val="0D646FD0"/>
    <w:rsid w:val="0D957AD2"/>
    <w:rsid w:val="0E611762"/>
    <w:rsid w:val="0E63372C"/>
    <w:rsid w:val="0E6757EE"/>
    <w:rsid w:val="100B5E29"/>
    <w:rsid w:val="107F288F"/>
    <w:rsid w:val="1096176D"/>
    <w:rsid w:val="10CD7582"/>
    <w:rsid w:val="10F431B9"/>
    <w:rsid w:val="110F36F7"/>
    <w:rsid w:val="11673155"/>
    <w:rsid w:val="11C75D80"/>
    <w:rsid w:val="1218675D"/>
    <w:rsid w:val="13174AE5"/>
    <w:rsid w:val="1353077F"/>
    <w:rsid w:val="13B862C8"/>
    <w:rsid w:val="13F23F4A"/>
    <w:rsid w:val="14681A9C"/>
    <w:rsid w:val="1565542D"/>
    <w:rsid w:val="156E30E2"/>
    <w:rsid w:val="15B045E1"/>
    <w:rsid w:val="16481B85"/>
    <w:rsid w:val="16695657"/>
    <w:rsid w:val="16A20DB6"/>
    <w:rsid w:val="16C728B6"/>
    <w:rsid w:val="171B0329"/>
    <w:rsid w:val="173B5246"/>
    <w:rsid w:val="1765625C"/>
    <w:rsid w:val="17800EAB"/>
    <w:rsid w:val="180C273E"/>
    <w:rsid w:val="18414D58"/>
    <w:rsid w:val="18586FEB"/>
    <w:rsid w:val="18BC23B6"/>
    <w:rsid w:val="18C15C1F"/>
    <w:rsid w:val="19CE069F"/>
    <w:rsid w:val="1A332204"/>
    <w:rsid w:val="1A3760C8"/>
    <w:rsid w:val="1A397F92"/>
    <w:rsid w:val="1A6E37DB"/>
    <w:rsid w:val="1A7F18ED"/>
    <w:rsid w:val="1A902F10"/>
    <w:rsid w:val="1AE9461B"/>
    <w:rsid w:val="1B291859"/>
    <w:rsid w:val="1B3831FB"/>
    <w:rsid w:val="1B4D379A"/>
    <w:rsid w:val="1B90639C"/>
    <w:rsid w:val="1BA86C22"/>
    <w:rsid w:val="1BE37C5A"/>
    <w:rsid w:val="1BE7599C"/>
    <w:rsid w:val="1C2B2951"/>
    <w:rsid w:val="1CAC44F0"/>
    <w:rsid w:val="1D6372A4"/>
    <w:rsid w:val="1D704F75"/>
    <w:rsid w:val="1D811778"/>
    <w:rsid w:val="1DBA0B1F"/>
    <w:rsid w:val="1E390005"/>
    <w:rsid w:val="1E764A92"/>
    <w:rsid w:val="1E8700CD"/>
    <w:rsid w:val="1ED869CE"/>
    <w:rsid w:val="1F0138DB"/>
    <w:rsid w:val="1F0F2D74"/>
    <w:rsid w:val="1FD21442"/>
    <w:rsid w:val="1FF64F88"/>
    <w:rsid w:val="208A4D7C"/>
    <w:rsid w:val="20A21E92"/>
    <w:rsid w:val="21042B4C"/>
    <w:rsid w:val="21E87AF3"/>
    <w:rsid w:val="22022EA1"/>
    <w:rsid w:val="224B49F4"/>
    <w:rsid w:val="22682C67"/>
    <w:rsid w:val="22E206D2"/>
    <w:rsid w:val="231E77CA"/>
    <w:rsid w:val="238556DD"/>
    <w:rsid w:val="239301B8"/>
    <w:rsid w:val="23F20635"/>
    <w:rsid w:val="24003A9F"/>
    <w:rsid w:val="245F2144"/>
    <w:rsid w:val="24763D61"/>
    <w:rsid w:val="24764AF7"/>
    <w:rsid w:val="24945F95"/>
    <w:rsid w:val="24967ECD"/>
    <w:rsid w:val="24AC1531"/>
    <w:rsid w:val="24C5387B"/>
    <w:rsid w:val="24DA1003"/>
    <w:rsid w:val="253432D4"/>
    <w:rsid w:val="256C334F"/>
    <w:rsid w:val="262D176D"/>
    <w:rsid w:val="263D7852"/>
    <w:rsid w:val="26C57ECF"/>
    <w:rsid w:val="26C763C1"/>
    <w:rsid w:val="26C80178"/>
    <w:rsid w:val="26F37526"/>
    <w:rsid w:val="274C129A"/>
    <w:rsid w:val="27A97FAA"/>
    <w:rsid w:val="27B73E41"/>
    <w:rsid w:val="283F090E"/>
    <w:rsid w:val="28752728"/>
    <w:rsid w:val="28801CA5"/>
    <w:rsid w:val="28CF36E5"/>
    <w:rsid w:val="28F039B6"/>
    <w:rsid w:val="29254E47"/>
    <w:rsid w:val="29695C42"/>
    <w:rsid w:val="29907A78"/>
    <w:rsid w:val="29E259F5"/>
    <w:rsid w:val="2A16744D"/>
    <w:rsid w:val="2A825E71"/>
    <w:rsid w:val="2A9C17A3"/>
    <w:rsid w:val="2ABC4498"/>
    <w:rsid w:val="2B5B15BB"/>
    <w:rsid w:val="2BA05E7B"/>
    <w:rsid w:val="2C7A3CC3"/>
    <w:rsid w:val="2CBE313A"/>
    <w:rsid w:val="2CE15D4A"/>
    <w:rsid w:val="2CED64B9"/>
    <w:rsid w:val="2D371BB4"/>
    <w:rsid w:val="2DBE4083"/>
    <w:rsid w:val="2E25064B"/>
    <w:rsid w:val="2EE817B0"/>
    <w:rsid w:val="2EE8585B"/>
    <w:rsid w:val="2F336759"/>
    <w:rsid w:val="2F464330"/>
    <w:rsid w:val="2F8530AA"/>
    <w:rsid w:val="2F9B0E1D"/>
    <w:rsid w:val="2FE14059"/>
    <w:rsid w:val="30480822"/>
    <w:rsid w:val="304D122A"/>
    <w:rsid w:val="305B2C0B"/>
    <w:rsid w:val="308528A1"/>
    <w:rsid w:val="30A864EC"/>
    <w:rsid w:val="30EF0056"/>
    <w:rsid w:val="312132A7"/>
    <w:rsid w:val="312721E1"/>
    <w:rsid w:val="319C292D"/>
    <w:rsid w:val="31C04D9D"/>
    <w:rsid w:val="31CC4FC0"/>
    <w:rsid w:val="323D7C6C"/>
    <w:rsid w:val="32D560F7"/>
    <w:rsid w:val="33266952"/>
    <w:rsid w:val="332B38FA"/>
    <w:rsid w:val="335F00B6"/>
    <w:rsid w:val="338F44F8"/>
    <w:rsid w:val="34873AFB"/>
    <w:rsid w:val="34992C72"/>
    <w:rsid w:val="34BC5E4D"/>
    <w:rsid w:val="34E940DB"/>
    <w:rsid w:val="357D32F9"/>
    <w:rsid w:val="35A26038"/>
    <w:rsid w:val="35E91860"/>
    <w:rsid w:val="36922075"/>
    <w:rsid w:val="36981915"/>
    <w:rsid w:val="36C1778B"/>
    <w:rsid w:val="371E22F5"/>
    <w:rsid w:val="37CA60FE"/>
    <w:rsid w:val="3860725C"/>
    <w:rsid w:val="38832151"/>
    <w:rsid w:val="38C828EE"/>
    <w:rsid w:val="38F44DFD"/>
    <w:rsid w:val="390D7BDC"/>
    <w:rsid w:val="393D2C48"/>
    <w:rsid w:val="39D3669E"/>
    <w:rsid w:val="3A6C4914"/>
    <w:rsid w:val="3A7F27AF"/>
    <w:rsid w:val="3A992100"/>
    <w:rsid w:val="3A9927F7"/>
    <w:rsid w:val="3A9E607E"/>
    <w:rsid w:val="3BCB62E9"/>
    <w:rsid w:val="3BD5079C"/>
    <w:rsid w:val="3BD67637"/>
    <w:rsid w:val="3BED79B4"/>
    <w:rsid w:val="3C10124F"/>
    <w:rsid w:val="3CF662EC"/>
    <w:rsid w:val="3D475E43"/>
    <w:rsid w:val="3DD466C0"/>
    <w:rsid w:val="3DDA2813"/>
    <w:rsid w:val="3DDC47DD"/>
    <w:rsid w:val="3E3363CA"/>
    <w:rsid w:val="3E94330A"/>
    <w:rsid w:val="3EBA4F1D"/>
    <w:rsid w:val="3ED039E6"/>
    <w:rsid w:val="3ED7234B"/>
    <w:rsid w:val="3EFB0C93"/>
    <w:rsid w:val="3F544847"/>
    <w:rsid w:val="3F5E56C6"/>
    <w:rsid w:val="3FB84DD6"/>
    <w:rsid w:val="3FE1257F"/>
    <w:rsid w:val="3FFF6AEB"/>
    <w:rsid w:val="405A5E8D"/>
    <w:rsid w:val="408D7719"/>
    <w:rsid w:val="40E045E4"/>
    <w:rsid w:val="410E543F"/>
    <w:rsid w:val="410F4ECA"/>
    <w:rsid w:val="41111D82"/>
    <w:rsid w:val="41412BA9"/>
    <w:rsid w:val="416034ED"/>
    <w:rsid w:val="419D1509"/>
    <w:rsid w:val="41B7608E"/>
    <w:rsid w:val="41C2018E"/>
    <w:rsid w:val="420A5B11"/>
    <w:rsid w:val="42660B19"/>
    <w:rsid w:val="429B62DD"/>
    <w:rsid w:val="42BF4B02"/>
    <w:rsid w:val="43625E06"/>
    <w:rsid w:val="43C612BB"/>
    <w:rsid w:val="43C622C3"/>
    <w:rsid w:val="44570DA3"/>
    <w:rsid w:val="44AE0556"/>
    <w:rsid w:val="44BA15F0"/>
    <w:rsid w:val="44D045D9"/>
    <w:rsid w:val="44E818A0"/>
    <w:rsid w:val="45264E6B"/>
    <w:rsid w:val="452F1C46"/>
    <w:rsid w:val="459B031C"/>
    <w:rsid w:val="4613720A"/>
    <w:rsid w:val="468477C0"/>
    <w:rsid w:val="46D06EA9"/>
    <w:rsid w:val="46FF32CC"/>
    <w:rsid w:val="47941148"/>
    <w:rsid w:val="47A143A2"/>
    <w:rsid w:val="47EA2FE2"/>
    <w:rsid w:val="482A3405"/>
    <w:rsid w:val="48595E5E"/>
    <w:rsid w:val="48A1685D"/>
    <w:rsid w:val="48AB6E1C"/>
    <w:rsid w:val="48CC18F2"/>
    <w:rsid w:val="49470F79"/>
    <w:rsid w:val="494803B0"/>
    <w:rsid w:val="4A3113F5"/>
    <w:rsid w:val="4A4166E1"/>
    <w:rsid w:val="4A61752F"/>
    <w:rsid w:val="4B5C51AF"/>
    <w:rsid w:val="4B6D17E4"/>
    <w:rsid w:val="4B7778F3"/>
    <w:rsid w:val="4B78366B"/>
    <w:rsid w:val="4BF076A6"/>
    <w:rsid w:val="4C307AEF"/>
    <w:rsid w:val="4C461C46"/>
    <w:rsid w:val="4C6A38FC"/>
    <w:rsid w:val="4C804ECE"/>
    <w:rsid w:val="4C9A3174"/>
    <w:rsid w:val="4CAA019C"/>
    <w:rsid w:val="4CAF2B1F"/>
    <w:rsid w:val="4D4E28D6"/>
    <w:rsid w:val="4D5A3970"/>
    <w:rsid w:val="4D7D31BB"/>
    <w:rsid w:val="4DD43DBB"/>
    <w:rsid w:val="4DE17E75"/>
    <w:rsid w:val="4DEC3F18"/>
    <w:rsid w:val="4DF65813"/>
    <w:rsid w:val="4EAA1A30"/>
    <w:rsid w:val="4EB363C8"/>
    <w:rsid w:val="4F1B42C2"/>
    <w:rsid w:val="4F22124E"/>
    <w:rsid w:val="4F304989"/>
    <w:rsid w:val="4F817F90"/>
    <w:rsid w:val="4F9667B6"/>
    <w:rsid w:val="4FA839BE"/>
    <w:rsid w:val="506568B4"/>
    <w:rsid w:val="510065DD"/>
    <w:rsid w:val="515603A8"/>
    <w:rsid w:val="51E43809"/>
    <w:rsid w:val="5242730C"/>
    <w:rsid w:val="52595FA5"/>
    <w:rsid w:val="525C7843"/>
    <w:rsid w:val="52B72FDC"/>
    <w:rsid w:val="52CA0EEE"/>
    <w:rsid w:val="52CD72D2"/>
    <w:rsid w:val="53330023"/>
    <w:rsid w:val="533A6F05"/>
    <w:rsid w:val="53C764D1"/>
    <w:rsid w:val="53F00B8B"/>
    <w:rsid w:val="540D7F4C"/>
    <w:rsid w:val="54F96B57"/>
    <w:rsid w:val="551C06F9"/>
    <w:rsid w:val="558901CC"/>
    <w:rsid w:val="56494470"/>
    <w:rsid w:val="56653333"/>
    <w:rsid w:val="566C5D23"/>
    <w:rsid w:val="566D64C3"/>
    <w:rsid w:val="56CB4F97"/>
    <w:rsid w:val="5723615B"/>
    <w:rsid w:val="57B347B9"/>
    <w:rsid w:val="57BA26E8"/>
    <w:rsid w:val="57D83E10"/>
    <w:rsid w:val="584343D6"/>
    <w:rsid w:val="585F1E3B"/>
    <w:rsid w:val="58935F89"/>
    <w:rsid w:val="58C104BC"/>
    <w:rsid w:val="58DC3667"/>
    <w:rsid w:val="58DD073C"/>
    <w:rsid w:val="58E7052E"/>
    <w:rsid w:val="58EF1411"/>
    <w:rsid w:val="590D6AC3"/>
    <w:rsid w:val="598C3C46"/>
    <w:rsid w:val="59AF294E"/>
    <w:rsid w:val="59CC0D4E"/>
    <w:rsid w:val="5A5F6492"/>
    <w:rsid w:val="5AFE3B8D"/>
    <w:rsid w:val="5B2B65CA"/>
    <w:rsid w:val="5B437BB5"/>
    <w:rsid w:val="5B6836FC"/>
    <w:rsid w:val="5C3F7B33"/>
    <w:rsid w:val="5C734107"/>
    <w:rsid w:val="5CA75558"/>
    <w:rsid w:val="5CD14736"/>
    <w:rsid w:val="5D5D7D54"/>
    <w:rsid w:val="5D8C0E47"/>
    <w:rsid w:val="5DB5624F"/>
    <w:rsid w:val="5EA72FD8"/>
    <w:rsid w:val="5EAB6942"/>
    <w:rsid w:val="5F1C6CD8"/>
    <w:rsid w:val="60234096"/>
    <w:rsid w:val="602A71D2"/>
    <w:rsid w:val="60592044"/>
    <w:rsid w:val="60917251"/>
    <w:rsid w:val="609B3C2C"/>
    <w:rsid w:val="60A800F7"/>
    <w:rsid w:val="60FB3145"/>
    <w:rsid w:val="61501D2B"/>
    <w:rsid w:val="61F93300"/>
    <w:rsid w:val="620552E9"/>
    <w:rsid w:val="623E2AC4"/>
    <w:rsid w:val="626D437E"/>
    <w:rsid w:val="62785AAB"/>
    <w:rsid w:val="62DF7DB4"/>
    <w:rsid w:val="62FB6C38"/>
    <w:rsid w:val="63B357B8"/>
    <w:rsid w:val="6506699B"/>
    <w:rsid w:val="655249AE"/>
    <w:rsid w:val="655553D6"/>
    <w:rsid w:val="655C1705"/>
    <w:rsid w:val="65AF0766"/>
    <w:rsid w:val="65D33E68"/>
    <w:rsid w:val="65F3435E"/>
    <w:rsid w:val="65F83737"/>
    <w:rsid w:val="66263F98"/>
    <w:rsid w:val="662E109F"/>
    <w:rsid w:val="66996F7D"/>
    <w:rsid w:val="66A7157D"/>
    <w:rsid w:val="6707201B"/>
    <w:rsid w:val="6723497B"/>
    <w:rsid w:val="67DF48F8"/>
    <w:rsid w:val="67E80B02"/>
    <w:rsid w:val="68BB2C97"/>
    <w:rsid w:val="68BF11CF"/>
    <w:rsid w:val="69836AA0"/>
    <w:rsid w:val="6A4B0471"/>
    <w:rsid w:val="6A6E5F0E"/>
    <w:rsid w:val="6AB907D6"/>
    <w:rsid w:val="6ABF6769"/>
    <w:rsid w:val="6AC00E5F"/>
    <w:rsid w:val="6B250CC2"/>
    <w:rsid w:val="6B9201EE"/>
    <w:rsid w:val="6B9A5701"/>
    <w:rsid w:val="6BC12FC1"/>
    <w:rsid w:val="6BD34BC2"/>
    <w:rsid w:val="6C373F01"/>
    <w:rsid w:val="6C3F4006"/>
    <w:rsid w:val="6C8934D3"/>
    <w:rsid w:val="6D397BA0"/>
    <w:rsid w:val="6D3C64DB"/>
    <w:rsid w:val="6D8A12B0"/>
    <w:rsid w:val="6DBA6838"/>
    <w:rsid w:val="6DDB0A3E"/>
    <w:rsid w:val="6E3444C3"/>
    <w:rsid w:val="6E531FEA"/>
    <w:rsid w:val="6EA840E4"/>
    <w:rsid w:val="6EF961C2"/>
    <w:rsid w:val="6F642AE7"/>
    <w:rsid w:val="6F865BBE"/>
    <w:rsid w:val="6FA01D74"/>
    <w:rsid w:val="6FA31A71"/>
    <w:rsid w:val="6FFB0243"/>
    <w:rsid w:val="705E36CF"/>
    <w:rsid w:val="70755B11"/>
    <w:rsid w:val="7096033F"/>
    <w:rsid w:val="70BF3967"/>
    <w:rsid w:val="70C63DD6"/>
    <w:rsid w:val="70CD1CC2"/>
    <w:rsid w:val="710D6480"/>
    <w:rsid w:val="71156505"/>
    <w:rsid w:val="716943CF"/>
    <w:rsid w:val="71BB37D4"/>
    <w:rsid w:val="71F60222"/>
    <w:rsid w:val="721B1737"/>
    <w:rsid w:val="72426F0E"/>
    <w:rsid w:val="72496D8A"/>
    <w:rsid w:val="72930C07"/>
    <w:rsid w:val="72DB5A33"/>
    <w:rsid w:val="73E62FB9"/>
    <w:rsid w:val="74060A0E"/>
    <w:rsid w:val="74312486"/>
    <w:rsid w:val="744E5768"/>
    <w:rsid w:val="74867C62"/>
    <w:rsid w:val="749F7D09"/>
    <w:rsid w:val="74FF36F1"/>
    <w:rsid w:val="755D54FC"/>
    <w:rsid w:val="75682B0F"/>
    <w:rsid w:val="75F14C5D"/>
    <w:rsid w:val="769F370F"/>
    <w:rsid w:val="76ED7023"/>
    <w:rsid w:val="771923DB"/>
    <w:rsid w:val="778356EE"/>
    <w:rsid w:val="77DC7A01"/>
    <w:rsid w:val="78DD498A"/>
    <w:rsid w:val="78E47DD9"/>
    <w:rsid w:val="79116F8F"/>
    <w:rsid w:val="794E7636"/>
    <w:rsid w:val="797D3744"/>
    <w:rsid w:val="7A78685F"/>
    <w:rsid w:val="7A834D78"/>
    <w:rsid w:val="7AD41DBD"/>
    <w:rsid w:val="7AD51A66"/>
    <w:rsid w:val="7B0E17E2"/>
    <w:rsid w:val="7B3A0AEC"/>
    <w:rsid w:val="7B7503B1"/>
    <w:rsid w:val="7BC2430B"/>
    <w:rsid w:val="7BE4019F"/>
    <w:rsid w:val="7C5E5708"/>
    <w:rsid w:val="7CCE35F1"/>
    <w:rsid w:val="7CEC7892"/>
    <w:rsid w:val="7D083FA0"/>
    <w:rsid w:val="7D1B1F25"/>
    <w:rsid w:val="7D311748"/>
    <w:rsid w:val="7D4274B2"/>
    <w:rsid w:val="7D634477"/>
    <w:rsid w:val="7DB163E5"/>
    <w:rsid w:val="7DFD56BF"/>
    <w:rsid w:val="7E1A3F8B"/>
    <w:rsid w:val="7E2C03B0"/>
    <w:rsid w:val="7E467E75"/>
    <w:rsid w:val="7E5330EC"/>
    <w:rsid w:val="7E5E307B"/>
    <w:rsid w:val="7EC91C36"/>
    <w:rsid w:val="7ECB1729"/>
    <w:rsid w:val="7EE541BF"/>
    <w:rsid w:val="7F4F7BC5"/>
    <w:rsid w:val="7F9D2EA8"/>
    <w:rsid w:val="7FA36202"/>
    <w:rsid w:val="7FC06DB4"/>
    <w:rsid w:val="7FD10F0C"/>
    <w:rsid w:val="7FD14B1D"/>
    <w:rsid w:val="7FDD07C2"/>
  </w:rsids>
  <m:mathPr>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nhideWhenUsed="0" w:uiPriority="0" w:semiHidden="0" w:name="heading 4"/>
    <w:lsdException w:qFormat="1" w:unhideWhenUsed="0" w:uiPriority="0" w:semiHidden="0" w:name="heading 5"/>
    <w:lsdException w:qFormat="1" w:unhideWhenUsed="0" w:uiPriority="0" w:semiHidden="0" w:name="heading 6"/>
    <w:lsdException w:qFormat="1" w:unhideWhenUsed="0" w:uiPriority="0" w:semiHidden="0" w:name="heading 7"/>
    <w:lsdException w:qFormat="1" w:unhideWhenUsed="0" w:uiPriority="0" w:semiHidden="0" w:name="heading 8"/>
    <w:lsdException w:qFormat="1" w:unhideWhenUsed="0" w:uiPriority="0" w:semiHidden="0" w:name="heading 9"/>
    <w:lsdException w:qFormat="1" w:unhideWhenUsed="0" w:uiPriority="0" w:name="index 1"/>
    <w:lsdException w:unhideWhenUsed="0" w:uiPriority="0" w:semiHidden="0" w:name="index 2"/>
    <w:lsdException w:unhideWhenUsed="0" w:uiPriority="0" w:semiHidden="0" w:name="index 3"/>
    <w:lsdException w:qFormat="1"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39" w:semiHidden="0" w:name="toc 1"/>
    <w:lsdException w:qFormat="1" w:unhideWhenUsed="0" w:uiPriority="39" w:semiHidden="0" w:name="toc 2"/>
    <w:lsdException w:qFormat="1" w:unhideWhenUsed="0" w:uiPriority="39" w:semiHidden="0" w:name="toc 3"/>
    <w:lsdException w:qFormat="1" w:unhideWhenUsed="0" w:uiPriority="39" w:semiHidden="0" w:name="toc 4"/>
    <w:lsdException w:qFormat="1" w:unhideWhenUsed="0" w:uiPriority="39" w:semiHidden="0" w:name="toc 5"/>
    <w:lsdException w:qFormat="1" w:unhideWhenUsed="0" w:uiPriority="39" w:semiHidden="0" w:name="toc 6"/>
    <w:lsdException w:qFormat="1" w:unhideWhenUsed="0" w:uiPriority="39" w:semiHidden="0" w:name="toc 7"/>
    <w:lsdException w:qFormat="1" w:unhideWhenUsed="0" w:uiPriority="39" w:semiHidden="0" w:name="toc 8"/>
    <w:lsdException w:qFormat="1" w:unhideWhenUsed="0" w:uiPriority="39" w:semiHidden="0" w:name="toc 9"/>
    <w:lsdException w:qFormat="1" w:unhideWhenUsed="0" w:uiPriority="0" w:semiHidden="0" w:name="Normal Indent"/>
    <w:lsdException w:qFormat="1" w:unhideWhenUsed="0" w:uiPriority="0" w:name="footnote text"/>
    <w:lsdException w:qFormat="1" w:unhideWhenUsed="0" w:uiPriority="0" w:name="annotation text"/>
    <w:lsdException w:qFormat="1" w:unhideWhenUsed="0" w:uiPriority="0" w:semiHidden="0" w:name="header"/>
    <w:lsdException w:qFormat="1" w:unhideWhenUsed="0" w:uiPriority="99" w:semiHidden="0" w:name="footer"/>
    <w:lsdException w:unhideWhenUsed="0" w:uiPriority="0" w:semiHidden="0" w:name="index heading"/>
    <w:lsdException w:qFormat="1" w:unhideWhenUsed="0" w:uiPriority="0" w:semiHidden="0" w:name="caption"/>
    <w:lsdException w:unhideWhenUsed="0" w:uiPriority="0" w:semiHidden="0" w:name="table of figures"/>
    <w:lsdException w:unhideWhenUsed="0" w:uiPriority="0" w:semiHidden="0" w:name="envelope address"/>
    <w:lsdException w:unhideWhenUsed="0" w:uiPriority="0" w:semiHidden="0" w:name="envelope return"/>
    <w:lsdException w:qFormat="1" w:unhideWhenUsed="0" w:uiPriority="0" w:name="footnote reference"/>
    <w:lsdException w:qFormat="1" w:unhideWhenUsed="0" w:uiPriority="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qFormat="1" w:unhideWhenUsed="0" w:uiPriority="0" w:semiHidden="0" w:name="Salutation"/>
    <w:lsdException w:qFormat="1"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qFormat="1" w:unhideWhenUsed="0" w:uiPriority="0" w:semiHidden="0" w:name="Body Text 3"/>
    <w:lsdException w:qFormat="1" w:unhideWhenUsed="0" w:uiPriority="0" w:semiHidden="0" w:name="Body Text Indent 2"/>
    <w:lsdException w:qFormat="1" w:unhideWhenUsed="0" w:uiPriority="0" w:semiHidden="0" w:name="Body Text Indent 3"/>
    <w:lsdException w:unhideWhenUsed="0" w:uiPriority="0" w:semiHidden="0" w:name="Block Text"/>
    <w:lsdException w:qFormat="1" w:unhideWhenUsed="0" w:uiPriority="99" w:semiHidden="0" w:name="Hyperlink"/>
    <w:lsdException w:qFormat="1" w:unhideWhenUsed="0" w:uiPriority="0" w:semiHidden="0" w:name="FollowedHyperlink"/>
    <w:lsdException w:qFormat="1" w:unhideWhenUsed="0" w:uiPriority="0" w:semiHidden="0" w:name="Strong"/>
    <w:lsdException w:qFormat="1" w:unhideWhenUsed="0" w:uiPriority="0" w:semiHidden="0" w:name="Emphasis"/>
    <w:lsdException w:qFormat="1" w:unhideWhenUsed="0" w:uiPriority="0" w:name="Document Map"/>
    <w:lsdException w:qFormat="1" w:unhideWhenUsed="0" w:uiPriority="0" w:semiHidden="0" w:name="Plain Text"/>
    <w:lsdException w:unhideWhenUsed="0" w:uiPriority="0" w:semiHidden="0" w:name="E-mail Signature"/>
    <w:lsdException w:qFormat="1" w:unhideWhenUsed="0" w:uiPriority="0" w:semiHidden="0" w:name="Normal (Web)"/>
    <w:lsdException w:qFormat="1" w:unhideWhenUsed="0" w:uiPriority="0" w:semiHidden="0" w:name="HTML Acronym"/>
    <w:lsdException w:unhideWhenUsed="0" w:uiPriority="0" w:semiHidden="0" w:name="HTML Address"/>
    <w:lsdException w:qFormat="1" w:unhideWhenUsed="0" w:uiPriority="0" w:semiHidden="0" w:name="HTML Cite"/>
    <w:lsdException w:qFormat="1" w:unhideWhenUsed="0" w:uiPriority="0" w:semiHidden="0" w:name="HTML Code"/>
    <w:lsdException w:qFormat="1" w:unhideWhenUsed="0" w:uiPriority="0" w:semiHidden="0" w:name="HTML Definition"/>
    <w:lsdException w:qFormat="1" w:unhideWhenUsed="0" w:uiPriority="0" w:semiHidden="0" w:name="HTML Keyboard"/>
    <w:lsdException w:unhideWhenUsed="0" w:uiPriority="0" w:semiHidden="0" w:name="HTML Preformatted"/>
    <w:lsdException w:qFormat="1" w:unhideWhenUsed="0" w:uiPriority="0" w:semiHidden="0" w:name="HTML Sample"/>
    <w:lsdException w:qFormat="1" w:unhideWhenUsed="0" w:uiPriority="0" w:semiHidden="0" w:name="HTML Typewriter"/>
    <w:lsdException w:qFormat="1" w:unhideWhenUsed="0" w:uiPriority="0" w:semiHidden="0" w:name="HTML Variable"/>
    <w:lsdException w:qFormat="1" w:unhideWhenUsed="0" w:uiPriority="0" w:name="Normal Table"/>
    <w:lsdException w:qFormat="1"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qFormat="1" w:unhideWhenUsed="0" w:uiPriority="0" w:name="Balloon Text"/>
    <w:lsdException w:qFormat="1" w:unhideWhenUsed="0" w:uiPriority="0" w:semiHidden="0" w:name="Table Grid"/>
    <w:lsdException w:unhideWhenUsed="0" w:uiPriority="0" w:semiHidden="0" w:name="Table Theme"/>
    <w:lsdException w:qFormat="1" w:unhideWhenUsed="0" w:uiPriority="0"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0" w:semiHidden="0" w:name="List Paragraph"/>
    <w:lsdException w:qFormat="1" w:unhideWhenUsed="0" w:uiPriority="0" w:semiHidden="0" w:name="Quote"/>
    <w:lsdException w:qFormat="1" w:unhideWhenUsed="0" w:uiPriority="0" w:semiHidden="0" w:name="Intense Quote"/>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3">
    <w:name w:val="heading 1"/>
    <w:basedOn w:val="1"/>
    <w:next w:val="1"/>
    <w:link w:val="61"/>
    <w:qFormat/>
    <w:uiPriority w:val="0"/>
    <w:pPr>
      <w:keepNext/>
      <w:keepLines/>
      <w:spacing w:before="340" w:after="330" w:line="578" w:lineRule="auto"/>
      <w:outlineLvl w:val="0"/>
    </w:pPr>
    <w:rPr>
      <w:b/>
      <w:bCs/>
      <w:kern w:val="44"/>
      <w:sz w:val="44"/>
      <w:szCs w:val="44"/>
    </w:rPr>
  </w:style>
  <w:style w:type="paragraph" w:styleId="4">
    <w:name w:val="heading 2"/>
    <w:basedOn w:val="1"/>
    <w:next w:val="1"/>
    <w:link w:val="62"/>
    <w:qFormat/>
    <w:uiPriority w:val="0"/>
    <w:pPr>
      <w:keepNext/>
      <w:keepLines/>
      <w:spacing w:before="260" w:after="260" w:line="416" w:lineRule="auto"/>
      <w:outlineLvl w:val="1"/>
    </w:pPr>
    <w:rPr>
      <w:rFonts w:ascii="Arial" w:hAnsi="Arial" w:eastAsia="黑体"/>
      <w:b/>
      <w:bCs/>
      <w:sz w:val="32"/>
      <w:szCs w:val="32"/>
    </w:rPr>
  </w:style>
  <w:style w:type="paragraph" w:styleId="5">
    <w:name w:val="heading 3"/>
    <w:basedOn w:val="1"/>
    <w:next w:val="1"/>
    <w:link w:val="63"/>
    <w:qFormat/>
    <w:uiPriority w:val="0"/>
    <w:pPr>
      <w:keepNext/>
      <w:keepLines/>
      <w:spacing w:before="260" w:after="260" w:line="416" w:lineRule="auto"/>
      <w:outlineLvl w:val="2"/>
    </w:pPr>
    <w:rPr>
      <w:b/>
      <w:bCs/>
      <w:sz w:val="32"/>
      <w:szCs w:val="32"/>
    </w:rPr>
  </w:style>
  <w:style w:type="paragraph" w:styleId="6">
    <w:name w:val="heading 4"/>
    <w:basedOn w:val="1"/>
    <w:next w:val="1"/>
    <w:link w:val="64"/>
    <w:qFormat/>
    <w:uiPriority w:val="0"/>
    <w:pPr>
      <w:keepNext/>
      <w:keepLines/>
      <w:spacing w:before="280" w:after="290" w:line="376" w:lineRule="auto"/>
      <w:outlineLvl w:val="3"/>
    </w:pPr>
    <w:rPr>
      <w:rFonts w:ascii="Arial" w:hAnsi="Arial" w:eastAsia="黑体"/>
      <w:b/>
      <w:bCs/>
      <w:sz w:val="28"/>
      <w:szCs w:val="28"/>
    </w:rPr>
  </w:style>
  <w:style w:type="paragraph" w:styleId="7">
    <w:name w:val="heading 5"/>
    <w:basedOn w:val="1"/>
    <w:next w:val="1"/>
    <w:link w:val="65"/>
    <w:qFormat/>
    <w:uiPriority w:val="0"/>
    <w:pPr>
      <w:keepNext/>
      <w:keepLines/>
      <w:spacing w:before="280" w:after="290" w:line="372" w:lineRule="auto"/>
      <w:outlineLvl w:val="4"/>
    </w:pPr>
    <w:rPr>
      <w:rFonts w:ascii="Calibri" w:hAnsi="Calibri"/>
      <w:b/>
      <w:bCs/>
      <w:sz w:val="28"/>
      <w:szCs w:val="28"/>
    </w:rPr>
  </w:style>
  <w:style w:type="paragraph" w:styleId="8">
    <w:name w:val="heading 6"/>
    <w:basedOn w:val="1"/>
    <w:next w:val="1"/>
    <w:link w:val="66"/>
    <w:qFormat/>
    <w:uiPriority w:val="0"/>
    <w:pPr>
      <w:keepNext/>
      <w:keepLines/>
      <w:widowControl/>
      <w:tabs>
        <w:tab w:val="left" w:pos="1440"/>
      </w:tabs>
      <w:spacing w:before="240" w:after="64" w:line="320" w:lineRule="auto"/>
      <w:ind w:left="1152" w:hanging="1152"/>
      <w:jc w:val="left"/>
      <w:outlineLvl w:val="5"/>
    </w:pPr>
    <w:rPr>
      <w:rFonts w:ascii="Arial" w:hAnsi="Arial" w:eastAsia="黑体"/>
      <w:b/>
      <w:bCs/>
      <w:kern w:val="0"/>
      <w:sz w:val="24"/>
    </w:rPr>
  </w:style>
  <w:style w:type="paragraph" w:styleId="9">
    <w:name w:val="heading 7"/>
    <w:basedOn w:val="1"/>
    <w:next w:val="1"/>
    <w:link w:val="67"/>
    <w:qFormat/>
    <w:uiPriority w:val="0"/>
    <w:pPr>
      <w:keepNext/>
      <w:keepLines/>
      <w:widowControl/>
      <w:tabs>
        <w:tab w:val="left" w:pos="2520"/>
      </w:tabs>
      <w:spacing w:before="240" w:after="64" w:line="320" w:lineRule="auto"/>
      <w:ind w:left="1296" w:hanging="1296"/>
      <w:jc w:val="left"/>
      <w:outlineLvl w:val="6"/>
    </w:pPr>
    <w:rPr>
      <w:b/>
      <w:bCs/>
      <w:kern w:val="0"/>
      <w:sz w:val="24"/>
    </w:rPr>
  </w:style>
  <w:style w:type="paragraph" w:styleId="10">
    <w:name w:val="heading 8"/>
    <w:basedOn w:val="1"/>
    <w:next w:val="1"/>
    <w:link w:val="68"/>
    <w:qFormat/>
    <w:uiPriority w:val="0"/>
    <w:pPr>
      <w:keepNext/>
      <w:keepLines/>
      <w:widowControl/>
      <w:tabs>
        <w:tab w:val="left" w:pos="1440"/>
      </w:tabs>
      <w:spacing w:before="240" w:after="64" w:line="320" w:lineRule="auto"/>
      <w:ind w:left="1440" w:hanging="1440"/>
      <w:jc w:val="left"/>
      <w:outlineLvl w:val="7"/>
    </w:pPr>
    <w:rPr>
      <w:rFonts w:ascii="Arial" w:hAnsi="Arial" w:eastAsia="黑体"/>
      <w:kern w:val="0"/>
      <w:sz w:val="24"/>
    </w:rPr>
  </w:style>
  <w:style w:type="paragraph" w:styleId="11">
    <w:name w:val="heading 9"/>
    <w:basedOn w:val="1"/>
    <w:next w:val="1"/>
    <w:link w:val="69"/>
    <w:qFormat/>
    <w:uiPriority w:val="0"/>
    <w:pPr>
      <w:keepNext/>
      <w:keepLines/>
      <w:widowControl/>
      <w:tabs>
        <w:tab w:val="left" w:pos="1584"/>
      </w:tabs>
      <w:spacing w:before="240" w:after="64" w:line="320" w:lineRule="auto"/>
      <w:ind w:left="1584" w:hanging="1584"/>
      <w:jc w:val="left"/>
      <w:outlineLvl w:val="8"/>
    </w:pPr>
    <w:rPr>
      <w:rFonts w:ascii="Arial" w:hAnsi="Arial" w:eastAsia="黑体"/>
      <w:kern w:val="0"/>
      <w:szCs w:val="21"/>
    </w:rPr>
  </w:style>
  <w:style w:type="character" w:default="1" w:styleId="44">
    <w:name w:val="Default Paragraph Font"/>
    <w:semiHidden/>
    <w:qFormat/>
    <w:uiPriority w:val="0"/>
  </w:style>
  <w:style w:type="table" w:default="1" w:styleId="42">
    <w:name w:val="Normal Table"/>
    <w:semiHidden/>
    <w:qFormat/>
    <w:uiPriority w:val="0"/>
    <w:tblPr>
      <w:tblCellMar>
        <w:top w:w="0" w:type="dxa"/>
        <w:left w:w="108" w:type="dxa"/>
        <w:bottom w:w="0" w:type="dxa"/>
        <w:right w:w="108" w:type="dxa"/>
      </w:tblCellMar>
    </w:tblPr>
  </w:style>
  <w:style w:type="paragraph" w:styleId="2">
    <w:name w:val="Body Text"/>
    <w:basedOn w:val="1"/>
    <w:next w:val="1"/>
    <w:link w:val="72"/>
    <w:qFormat/>
    <w:uiPriority w:val="0"/>
    <w:pPr>
      <w:spacing w:after="120"/>
    </w:pPr>
  </w:style>
  <w:style w:type="paragraph" w:styleId="12">
    <w:name w:val="toc 7"/>
    <w:basedOn w:val="1"/>
    <w:next w:val="1"/>
    <w:qFormat/>
    <w:uiPriority w:val="39"/>
    <w:pPr>
      <w:ind w:left="2520" w:leftChars="1200"/>
    </w:pPr>
    <w:rPr>
      <w:rFonts w:ascii="Calibri" w:hAnsi="Calibri"/>
      <w:szCs w:val="22"/>
    </w:rPr>
  </w:style>
  <w:style w:type="paragraph" w:styleId="13">
    <w:name w:val="Normal Indent"/>
    <w:basedOn w:val="1"/>
    <w:qFormat/>
    <w:uiPriority w:val="0"/>
    <w:pPr>
      <w:ind w:firstLine="420" w:firstLineChars="200"/>
    </w:pPr>
  </w:style>
  <w:style w:type="paragraph" w:styleId="14">
    <w:name w:val="caption"/>
    <w:basedOn w:val="1"/>
    <w:next w:val="1"/>
    <w:qFormat/>
    <w:uiPriority w:val="0"/>
    <w:rPr>
      <w:rFonts w:ascii="Cambria" w:hAnsi="Cambria" w:eastAsia="黑体"/>
      <w:sz w:val="20"/>
      <w:szCs w:val="20"/>
    </w:rPr>
  </w:style>
  <w:style w:type="paragraph" w:styleId="15">
    <w:name w:val="Document Map"/>
    <w:basedOn w:val="1"/>
    <w:link w:val="70"/>
    <w:semiHidden/>
    <w:qFormat/>
    <w:uiPriority w:val="0"/>
    <w:pPr>
      <w:shd w:val="clear" w:color="auto" w:fill="000080"/>
    </w:pPr>
  </w:style>
  <w:style w:type="paragraph" w:styleId="16">
    <w:name w:val="annotation text"/>
    <w:basedOn w:val="1"/>
    <w:link w:val="71"/>
    <w:semiHidden/>
    <w:qFormat/>
    <w:uiPriority w:val="0"/>
    <w:pPr>
      <w:jc w:val="left"/>
    </w:pPr>
  </w:style>
  <w:style w:type="paragraph" w:styleId="17">
    <w:name w:val="Salutation"/>
    <w:basedOn w:val="1"/>
    <w:next w:val="1"/>
    <w:qFormat/>
    <w:uiPriority w:val="0"/>
    <w:rPr>
      <w:rFonts w:ascii="宋体"/>
      <w:sz w:val="24"/>
      <w:szCs w:val="20"/>
    </w:rPr>
  </w:style>
  <w:style w:type="paragraph" w:styleId="18">
    <w:name w:val="Body Text 3"/>
    <w:basedOn w:val="1"/>
    <w:qFormat/>
    <w:uiPriority w:val="0"/>
    <w:rPr>
      <w:rFonts w:ascii="宋体"/>
      <w:sz w:val="24"/>
      <w:szCs w:val="20"/>
    </w:rPr>
  </w:style>
  <w:style w:type="paragraph" w:styleId="19">
    <w:name w:val="Body Text Indent"/>
    <w:basedOn w:val="1"/>
    <w:qFormat/>
    <w:uiPriority w:val="0"/>
    <w:pPr>
      <w:spacing w:after="120"/>
      <w:ind w:left="420" w:leftChars="200"/>
    </w:pPr>
  </w:style>
  <w:style w:type="paragraph" w:styleId="20">
    <w:name w:val="index 4"/>
    <w:basedOn w:val="1"/>
    <w:next w:val="1"/>
    <w:qFormat/>
    <w:uiPriority w:val="0"/>
    <w:pPr>
      <w:ind w:left="600" w:leftChars="600"/>
    </w:pPr>
    <w:rPr>
      <w:rFonts w:ascii="Calibri" w:hAnsi="Calibri"/>
    </w:rPr>
  </w:style>
  <w:style w:type="paragraph" w:styleId="21">
    <w:name w:val="toc 5"/>
    <w:basedOn w:val="1"/>
    <w:next w:val="1"/>
    <w:qFormat/>
    <w:uiPriority w:val="39"/>
    <w:pPr>
      <w:tabs>
        <w:tab w:val="right" w:leader="dot" w:pos="8296"/>
      </w:tabs>
      <w:ind w:left="1050" w:leftChars="500"/>
    </w:pPr>
    <w:rPr>
      <w:rFonts w:ascii="Calibri" w:hAnsi="Calibri"/>
      <w:szCs w:val="22"/>
    </w:rPr>
  </w:style>
  <w:style w:type="paragraph" w:styleId="22">
    <w:name w:val="toc 3"/>
    <w:basedOn w:val="1"/>
    <w:next w:val="1"/>
    <w:qFormat/>
    <w:uiPriority w:val="39"/>
    <w:pPr>
      <w:ind w:left="840" w:leftChars="400"/>
    </w:pPr>
  </w:style>
  <w:style w:type="paragraph" w:styleId="23">
    <w:name w:val="Plain Text"/>
    <w:basedOn w:val="1"/>
    <w:link w:val="73"/>
    <w:qFormat/>
    <w:uiPriority w:val="0"/>
    <w:rPr>
      <w:rFonts w:ascii="宋体" w:hAnsi="Courier New"/>
      <w:szCs w:val="20"/>
    </w:rPr>
  </w:style>
  <w:style w:type="paragraph" w:styleId="24">
    <w:name w:val="toc 8"/>
    <w:basedOn w:val="1"/>
    <w:next w:val="1"/>
    <w:qFormat/>
    <w:uiPriority w:val="39"/>
    <w:pPr>
      <w:ind w:left="2940" w:leftChars="1400"/>
    </w:pPr>
    <w:rPr>
      <w:rFonts w:ascii="Calibri" w:hAnsi="Calibri"/>
      <w:szCs w:val="22"/>
    </w:rPr>
  </w:style>
  <w:style w:type="paragraph" w:styleId="25">
    <w:name w:val="Date"/>
    <w:basedOn w:val="1"/>
    <w:next w:val="1"/>
    <w:link w:val="74"/>
    <w:qFormat/>
    <w:uiPriority w:val="0"/>
    <w:rPr>
      <w:sz w:val="24"/>
      <w:szCs w:val="20"/>
    </w:rPr>
  </w:style>
  <w:style w:type="paragraph" w:styleId="26">
    <w:name w:val="Body Text Indent 2"/>
    <w:basedOn w:val="1"/>
    <w:qFormat/>
    <w:uiPriority w:val="0"/>
    <w:pPr>
      <w:spacing w:after="120" w:line="480" w:lineRule="auto"/>
      <w:ind w:left="420" w:leftChars="200"/>
    </w:pPr>
  </w:style>
  <w:style w:type="paragraph" w:styleId="27">
    <w:name w:val="Balloon Text"/>
    <w:basedOn w:val="1"/>
    <w:link w:val="75"/>
    <w:semiHidden/>
    <w:qFormat/>
    <w:uiPriority w:val="0"/>
    <w:rPr>
      <w:sz w:val="18"/>
      <w:szCs w:val="18"/>
    </w:rPr>
  </w:style>
  <w:style w:type="paragraph" w:styleId="28">
    <w:name w:val="footer"/>
    <w:basedOn w:val="1"/>
    <w:link w:val="76"/>
    <w:qFormat/>
    <w:uiPriority w:val="99"/>
    <w:pPr>
      <w:tabs>
        <w:tab w:val="center" w:pos="4153"/>
        <w:tab w:val="right" w:pos="8306"/>
      </w:tabs>
      <w:snapToGrid w:val="0"/>
      <w:jc w:val="left"/>
    </w:pPr>
    <w:rPr>
      <w:sz w:val="18"/>
      <w:szCs w:val="18"/>
    </w:rPr>
  </w:style>
  <w:style w:type="paragraph" w:styleId="29">
    <w:name w:val="header"/>
    <w:basedOn w:val="1"/>
    <w:next w:val="21"/>
    <w:link w:val="77"/>
    <w:qFormat/>
    <w:uiPriority w:val="0"/>
    <w:pPr>
      <w:pBdr>
        <w:bottom w:val="single" w:color="auto" w:sz="6" w:space="1"/>
      </w:pBdr>
      <w:tabs>
        <w:tab w:val="center" w:pos="4153"/>
        <w:tab w:val="right" w:pos="8306"/>
      </w:tabs>
      <w:snapToGrid w:val="0"/>
      <w:jc w:val="center"/>
    </w:pPr>
    <w:rPr>
      <w:sz w:val="18"/>
      <w:szCs w:val="18"/>
    </w:rPr>
  </w:style>
  <w:style w:type="paragraph" w:styleId="30">
    <w:name w:val="toc 1"/>
    <w:basedOn w:val="1"/>
    <w:next w:val="1"/>
    <w:qFormat/>
    <w:uiPriority w:val="39"/>
    <w:pPr>
      <w:tabs>
        <w:tab w:val="right" w:leader="dot" w:pos="9061"/>
      </w:tabs>
      <w:spacing w:line="440" w:lineRule="exact"/>
      <w:jc w:val="center"/>
    </w:pPr>
  </w:style>
  <w:style w:type="paragraph" w:styleId="31">
    <w:name w:val="toc 4"/>
    <w:basedOn w:val="1"/>
    <w:next w:val="1"/>
    <w:qFormat/>
    <w:uiPriority w:val="39"/>
    <w:pPr>
      <w:tabs>
        <w:tab w:val="left" w:pos="1890"/>
        <w:tab w:val="right" w:leader="dot" w:pos="8296"/>
      </w:tabs>
      <w:ind w:left="630" w:leftChars="300"/>
    </w:pPr>
    <w:rPr>
      <w:rFonts w:ascii="Calibri" w:hAnsi="Calibri"/>
      <w:szCs w:val="22"/>
    </w:rPr>
  </w:style>
  <w:style w:type="paragraph" w:styleId="32">
    <w:name w:val="Subtitle"/>
    <w:basedOn w:val="1"/>
    <w:next w:val="1"/>
    <w:link w:val="78"/>
    <w:qFormat/>
    <w:uiPriority w:val="0"/>
    <w:pPr>
      <w:spacing w:before="240" w:after="60" w:line="312" w:lineRule="auto"/>
      <w:jc w:val="center"/>
      <w:outlineLvl w:val="1"/>
    </w:pPr>
    <w:rPr>
      <w:rFonts w:ascii="Cambria" w:hAnsi="Cambria"/>
      <w:b/>
      <w:bCs/>
      <w:kern w:val="28"/>
      <w:sz w:val="32"/>
      <w:szCs w:val="32"/>
    </w:rPr>
  </w:style>
  <w:style w:type="paragraph" w:styleId="33">
    <w:name w:val="footnote text"/>
    <w:basedOn w:val="1"/>
    <w:semiHidden/>
    <w:qFormat/>
    <w:uiPriority w:val="0"/>
    <w:pPr>
      <w:snapToGrid w:val="0"/>
      <w:jc w:val="left"/>
    </w:pPr>
    <w:rPr>
      <w:sz w:val="18"/>
      <w:szCs w:val="18"/>
    </w:rPr>
  </w:style>
  <w:style w:type="paragraph" w:styleId="34">
    <w:name w:val="toc 6"/>
    <w:basedOn w:val="1"/>
    <w:next w:val="1"/>
    <w:qFormat/>
    <w:uiPriority w:val="39"/>
    <w:pPr>
      <w:ind w:left="2100" w:leftChars="1000"/>
    </w:pPr>
    <w:rPr>
      <w:rFonts w:ascii="Calibri" w:hAnsi="Calibri"/>
      <w:szCs w:val="22"/>
    </w:rPr>
  </w:style>
  <w:style w:type="paragraph" w:styleId="35">
    <w:name w:val="Body Text Indent 3"/>
    <w:basedOn w:val="1"/>
    <w:qFormat/>
    <w:uiPriority w:val="0"/>
    <w:pPr>
      <w:spacing w:after="120"/>
      <w:ind w:left="420" w:leftChars="200"/>
    </w:pPr>
    <w:rPr>
      <w:sz w:val="16"/>
      <w:szCs w:val="16"/>
    </w:rPr>
  </w:style>
  <w:style w:type="paragraph" w:styleId="36">
    <w:name w:val="toc 2"/>
    <w:basedOn w:val="1"/>
    <w:next w:val="1"/>
    <w:qFormat/>
    <w:uiPriority w:val="39"/>
    <w:pPr>
      <w:ind w:left="420" w:leftChars="200"/>
    </w:pPr>
  </w:style>
  <w:style w:type="paragraph" w:styleId="37">
    <w:name w:val="toc 9"/>
    <w:basedOn w:val="1"/>
    <w:next w:val="1"/>
    <w:qFormat/>
    <w:uiPriority w:val="39"/>
    <w:pPr>
      <w:ind w:left="3360" w:leftChars="1600"/>
    </w:pPr>
    <w:rPr>
      <w:rFonts w:ascii="Calibri" w:hAnsi="Calibri"/>
      <w:szCs w:val="22"/>
    </w:rPr>
  </w:style>
  <w:style w:type="paragraph" w:styleId="38">
    <w:name w:val="Normal (Web)"/>
    <w:basedOn w:val="1"/>
    <w:qFormat/>
    <w:uiPriority w:val="0"/>
    <w:pPr>
      <w:widowControl/>
      <w:spacing w:before="100" w:beforeAutospacing="1" w:after="100" w:afterAutospacing="1"/>
      <w:jc w:val="left"/>
    </w:pPr>
    <w:rPr>
      <w:rFonts w:ascii="宋体" w:hAnsi="宋体"/>
      <w:kern w:val="0"/>
      <w:sz w:val="24"/>
    </w:rPr>
  </w:style>
  <w:style w:type="paragraph" w:styleId="39">
    <w:name w:val="index 1"/>
    <w:basedOn w:val="1"/>
    <w:next w:val="1"/>
    <w:semiHidden/>
    <w:qFormat/>
    <w:uiPriority w:val="0"/>
    <w:pPr>
      <w:spacing w:line="220" w:lineRule="exact"/>
      <w:jc w:val="center"/>
    </w:pPr>
    <w:rPr>
      <w:rFonts w:ascii="仿宋_GB2312" w:eastAsia="仿宋_GB2312"/>
      <w:szCs w:val="21"/>
    </w:rPr>
  </w:style>
  <w:style w:type="paragraph" w:styleId="40">
    <w:name w:val="Title"/>
    <w:basedOn w:val="1"/>
    <w:link w:val="79"/>
    <w:qFormat/>
    <w:uiPriority w:val="0"/>
    <w:pPr>
      <w:adjustRightInd w:val="0"/>
      <w:spacing w:before="240" w:after="60" w:line="420" w:lineRule="atLeast"/>
      <w:jc w:val="center"/>
      <w:textAlignment w:val="baseline"/>
      <w:outlineLvl w:val="0"/>
    </w:pPr>
    <w:rPr>
      <w:rFonts w:ascii="Arial" w:hAnsi="Arial"/>
      <w:b/>
      <w:kern w:val="0"/>
      <w:sz w:val="32"/>
      <w:szCs w:val="20"/>
    </w:rPr>
  </w:style>
  <w:style w:type="paragraph" w:styleId="41">
    <w:name w:val="annotation subject"/>
    <w:basedOn w:val="16"/>
    <w:next w:val="16"/>
    <w:link w:val="80"/>
    <w:qFormat/>
    <w:uiPriority w:val="0"/>
    <w:rPr>
      <w:rFonts w:ascii="宋体"/>
      <w:b/>
      <w:bCs/>
      <w:kern w:val="0"/>
      <w:sz w:val="28"/>
      <w:szCs w:val="20"/>
    </w:rPr>
  </w:style>
  <w:style w:type="table" w:styleId="43">
    <w:name w:val="Table Grid"/>
    <w:basedOn w:val="42"/>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45">
    <w:name w:val="Strong"/>
    <w:qFormat/>
    <w:uiPriority w:val="0"/>
    <w:rPr>
      <w:b/>
      <w:bCs/>
    </w:rPr>
  </w:style>
  <w:style w:type="character" w:styleId="46">
    <w:name w:val="page number"/>
    <w:basedOn w:val="44"/>
    <w:qFormat/>
    <w:uiPriority w:val="0"/>
  </w:style>
  <w:style w:type="character" w:styleId="47">
    <w:name w:val="FollowedHyperlink"/>
    <w:basedOn w:val="44"/>
    <w:qFormat/>
    <w:uiPriority w:val="0"/>
    <w:rPr>
      <w:color w:val="000000"/>
      <w:u w:val="none"/>
    </w:rPr>
  </w:style>
  <w:style w:type="character" w:styleId="48">
    <w:name w:val="Emphasis"/>
    <w:qFormat/>
    <w:uiPriority w:val="0"/>
    <w:rPr>
      <w:i/>
      <w:iCs/>
    </w:rPr>
  </w:style>
  <w:style w:type="character" w:styleId="49">
    <w:name w:val="HTML Definition"/>
    <w:basedOn w:val="44"/>
    <w:qFormat/>
    <w:uiPriority w:val="0"/>
  </w:style>
  <w:style w:type="character" w:styleId="50">
    <w:name w:val="HTML Typewriter"/>
    <w:basedOn w:val="44"/>
    <w:qFormat/>
    <w:uiPriority w:val="0"/>
    <w:rPr>
      <w:rFonts w:hint="default" w:ascii="monospace" w:hAnsi="monospace" w:eastAsia="monospace" w:cs="monospace"/>
      <w:sz w:val="20"/>
    </w:rPr>
  </w:style>
  <w:style w:type="character" w:styleId="51">
    <w:name w:val="HTML Acronym"/>
    <w:basedOn w:val="44"/>
    <w:qFormat/>
    <w:uiPriority w:val="0"/>
  </w:style>
  <w:style w:type="character" w:styleId="52">
    <w:name w:val="HTML Variable"/>
    <w:basedOn w:val="44"/>
    <w:qFormat/>
    <w:uiPriority w:val="0"/>
  </w:style>
  <w:style w:type="character" w:styleId="53">
    <w:name w:val="Hyperlink"/>
    <w:basedOn w:val="44"/>
    <w:qFormat/>
    <w:uiPriority w:val="99"/>
    <w:rPr>
      <w:color w:val="000000"/>
      <w:u w:val="none"/>
    </w:rPr>
  </w:style>
  <w:style w:type="character" w:styleId="54">
    <w:name w:val="HTML Code"/>
    <w:basedOn w:val="44"/>
    <w:qFormat/>
    <w:uiPriority w:val="0"/>
    <w:rPr>
      <w:rFonts w:ascii="monospace" w:hAnsi="monospace" w:eastAsia="monospace" w:cs="monospace"/>
      <w:sz w:val="20"/>
    </w:rPr>
  </w:style>
  <w:style w:type="character" w:styleId="55">
    <w:name w:val="annotation reference"/>
    <w:semiHidden/>
    <w:qFormat/>
    <w:uiPriority w:val="0"/>
    <w:rPr>
      <w:sz w:val="21"/>
      <w:szCs w:val="21"/>
    </w:rPr>
  </w:style>
  <w:style w:type="character" w:styleId="56">
    <w:name w:val="HTML Cite"/>
    <w:basedOn w:val="44"/>
    <w:qFormat/>
    <w:uiPriority w:val="0"/>
  </w:style>
  <w:style w:type="character" w:styleId="57">
    <w:name w:val="footnote reference"/>
    <w:semiHidden/>
    <w:qFormat/>
    <w:uiPriority w:val="0"/>
    <w:rPr>
      <w:vertAlign w:val="superscript"/>
    </w:rPr>
  </w:style>
  <w:style w:type="character" w:styleId="58">
    <w:name w:val="HTML Keyboard"/>
    <w:basedOn w:val="44"/>
    <w:qFormat/>
    <w:uiPriority w:val="0"/>
    <w:rPr>
      <w:rFonts w:hint="default" w:ascii="monospace" w:hAnsi="monospace" w:eastAsia="monospace" w:cs="monospace"/>
      <w:sz w:val="20"/>
    </w:rPr>
  </w:style>
  <w:style w:type="character" w:styleId="59">
    <w:name w:val="HTML Sample"/>
    <w:basedOn w:val="44"/>
    <w:qFormat/>
    <w:uiPriority w:val="0"/>
    <w:rPr>
      <w:rFonts w:hint="default" w:ascii="monospace" w:hAnsi="monospace" w:eastAsia="monospace" w:cs="monospace"/>
    </w:rPr>
  </w:style>
  <w:style w:type="paragraph" w:customStyle="1" w:styleId="60">
    <w:name w:val="无间隔1"/>
    <w:basedOn w:val="1"/>
    <w:qFormat/>
    <w:uiPriority w:val="0"/>
    <w:rPr>
      <w:rFonts w:ascii="Calibri" w:hAnsi="Calibri"/>
      <w:szCs w:val="21"/>
    </w:rPr>
  </w:style>
  <w:style w:type="character" w:customStyle="1" w:styleId="61">
    <w:name w:val="标题 1 Char"/>
    <w:link w:val="3"/>
    <w:qFormat/>
    <w:uiPriority w:val="0"/>
    <w:rPr>
      <w:b/>
      <w:bCs/>
      <w:kern w:val="44"/>
      <w:sz w:val="44"/>
      <w:szCs w:val="44"/>
    </w:rPr>
  </w:style>
  <w:style w:type="character" w:customStyle="1" w:styleId="62">
    <w:name w:val="标题 2 Char"/>
    <w:link w:val="4"/>
    <w:qFormat/>
    <w:uiPriority w:val="0"/>
    <w:rPr>
      <w:rFonts w:ascii="Arial" w:hAnsi="Arial" w:eastAsia="黑体"/>
      <w:b/>
      <w:bCs/>
      <w:kern w:val="2"/>
      <w:sz w:val="32"/>
      <w:szCs w:val="32"/>
      <w:lang w:val="en-US" w:eastAsia="zh-CN" w:bidi="ar-SA"/>
    </w:rPr>
  </w:style>
  <w:style w:type="character" w:customStyle="1" w:styleId="63">
    <w:name w:val="标题 3 Char"/>
    <w:link w:val="5"/>
    <w:qFormat/>
    <w:uiPriority w:val="0"/>
    <w:rPr>
      <w:b/>
      <w:bCs/>
      <w:kern w:val="2"/>
      <w:sz w:val="32"/>
      <w:szCs w:val="32"/>
    </w:rPr>
  </w:style>
  <w:style w:type="character" w:customStyle="1" w:styleId="64">
    <w:name w:val="标题 4 Char"/>
    <w:link w:val="6"/>
    <w:qFormat/>
    <w:uiPriority w:val="0"/>
    <w:rPr>
      <w:rFonts w:ascii="Arial" w:hAnsi="Arial" w:eastAsia="黑体"/>
      <w:b/>
      <w:bCs/>
      <w:kern w:val="2"/>
      <w:sz w:val="28"/>
      <w:szCs w:val="28"/>
    </w:rPr>
  </w:style>
  <w:style w:type="character" w:customStyle="1" w:styleId="65">
    <w:name w:val="标题 5 Char"/>
    <w:basedOn w:val="44"/>
    <w:link w:val="7"/>
    <w:qFormat/>
    <w:uiPriority w:val="0"/>
    <w:rPr>
      <w:rFonts w:ascii="Calibri" w:hAnsi="Calibri"/>
      <w:b/>
      <w:bCs/>
      <w:kern w:val="2"/>
      <w:sz w:val="28"/>
      <w:szCs w:val="28"/>
    </w:rPr>
  </w:style>
  <w:style w:type="character" w:customStyle="1" w:styleId="66">
    <w:name w:val="标题 6 Char"/>
    <w:link w:val="8"/>
    <w:qFormat/>
    <w:uiPriority w:val="0"/>
    <w:rPr>
      <w:rFonts w:ascii="Arial" w:hAnsi="Arial" w:eastAsia="黑体"/>
      <w:b/>
      <w:bCs/>
      <w:sz w:val="24"/>
      <w:szCs w:val="24"/>
    </w:rPr>
  </w:style>
  <w:style w:type="character" w:customStyle="1" w:styleId="67">
    <w:name w:val="标题 7 Char"/>
    <w:link w:val="9"/>
    <w:qFormat/>
    <w:uiPriority w:val="0"/>
    <w:rPr>
      <w:b/>
      <w:bCs/>
      <w:sz w:val="24"/>
      <w:szCs w:val="24"/>
    </w:rPr>
  </w:style>
  <w:style w:type="character" w:customStyle="1" w:styleId="68">
    <w:name w:val="标题 8 Char"/>
    <w:link w:val="10"/>
    <w:qFormat/>
    <w:uiPriority w:val="0"/>
    <w:rPr>
      <w:rFonts w:ascii="Arial" w:hAnsi="Arial" w:eastAsia="黑体"/>
      <w:sz w:val="24"/>
      <w:szCs w:val="24"/>
    </w:rPr>
  </w:style>
  <w:style w:type="character" w:customStyle="1" w:styleId="69">
    <w:name w:val="标题 9 Char"/>
    <w:link w:val="11"/>
    <w:qFormat/>
    <w:uiPriority w:val="0"/>
    <w:rPr>
      <w:rFonts w:ascii="Arial" w:hAnsi="Arial" w:eastAsia="黑体"/>
      <w:sz w:val="21"/>
      <w:szCs w:val="21"/>
    </w:rPr>
  </w:style>
  <w:style w:type="character" w:customStyle="1" w:styleId="70">
    <w:name w:val="文档结构图 Char"/>
    <w:link w:val="15"/>
    <w:semiHidden/>
    <w:qFormat/>
    <w:uiPriority w:val="0"/>
    <w:rPr>
      <w:kern w:val="2"/>
      <w:sz w:val="21"/>
      <w:szCs w:val="24"/>
      <w:shd w:val="clear" w:color="auto" w:fill="000080"/>
    </w:rPr>
  </w:style>
  <w:style w:type="character" w:customStyle="1" w:styleId="71">
    <w:name w:val="批注文字 Char1"/>
    <w:basedOn w:val="44"/>
    <w:link w:val="16"/>
    <w:semiHidden/>
    <w:qFormat/>
    <w:uiPriority w:val="0"/>
    <w:rPr>
      <w:kern w:val="2"/>
      <w:sz w:val="21"/>
      <w:szCs w:val="24"/>
    </w:rPr>
  </w:style>
  <w:style w:type="character" w:customStyle="1" w:styleId="72">
    <w:name w:val="正文文本 Char"/>
    <w:link w:val="2"/>
    <w:qFormat/>
    <w:uiPriority w:val="0"/>
    <w:rPr>
      <w:kern w:val="2"/>
      <w:sz w:val="21"/>
      <w:szCs w:val="24"/>
    </w:rPr>
  </w:style>
  <w:style w:type="character" w:customStyle="1" w:styleId="73">
    <w:name w:val="纯文本 Char"/>
    <w:basedOn w:val="44"/>
    <w:link w:val="23"/>
    <w:qFormat/>
    <w:uiPriority w:val="0"/>
    <w:rPr>
      <w:rFonts w:ascii="宋体" w:hAnsi="Courier New"/>
      <w:kern w:val="2"/>
      <w:sz w:val="21"/>
    </w:rPr>
  </w:style>
  <w:style w:type="character" w:customStyle="1" w:styleId="74">
    <w:name w:val="日期 Char"/>
    <w:link w:val="25"/>
    <w:qFormat/>
    <w:uiPriority w:val="0"/>
    <w:rPr>
      <w:kern w:val="2"/>
      <w:sz w:val="24"/>
    </w:rPr>
  </w:style>
  <w:style w:type="character" w:customStyle="1" w:styleId="75">
    <w:name w:val="批注框文本 Char"/>
    <w:link w:val="27"/>
    <w:semiHidden/>
    <w:qFormat/>
    <w:uiPriority w:val="0"/>
    <w:rPr>
      <w:kern w:val="2"/>
      <w:sz w:val="18"/>
      <w:szCs w:val="18"/>
    </w:rPr>
  </w:style>
  <w:style w:type="character" w:customStyle="1" w:styleId="76">
    <w:name w:val="页脚 Char"/>
    <w:link w:val="28"/>
    <w:qFormat/>
    <w:uiPriority w:val="99"/>
    <w:rPr>
      <w:kern w:val="2"/>
      <w:sz w:val="18"/>
      <w:szCs w:val="18"/>
    </w:rPr>
  </w:style>
  <w:style w:type="character" w:customStyle="1" w:styleId="77">
    <w:name w:val="页眉 Char"/>
    <w:link w:val="29"/>
    <w:qFormat/>
    <w:uiPriority w:val="0"/>
    <w:rPr>
      <w:kern w:val="2"/>
      <w:sz w:val="18"/>
      <w:szCs w:val="18"/>
    </w:rPr>
  </w:style>
  <w:style w:type="character" w:customStyle="1" w:styleId="78">
    <w:name w:val="副标题 Char1"/>
    <w:basedOn w:val="44"/>
    <w:link w:val="32"/>
    <w:qFormat/>
    <w:uiPriority w:val="0"/>
    <w:rPr>
      <w:rFonts w:ascii="Cambria" w:hAnsi="Cambria" w:cs="Times New Roman"/>
      <w:b/>
      <w:bCs/>
      <w:kern w:val="28"/>
      <w:sz w:val="32"/>
      <w:szCs w:val="32"/>
    </w:rPr>
  </w:style>
  <w:style w:type="character" w:customStyle="1" w:styleId="79">
    <w:name w:val="标题 Char"/>
    <w:link w:val="40"/>
    <w:qFormat/>
    <w:uiPriority w:val="0"/>
    <w:rPr>
      <w:rFonts w:ascii="Arial" w:hAnsi="Arial"/>
      <w:b/>
      <w:sz w:val="32"/>
    </w:rPr>
  </w:style>
  <w:style w:type="character" w:customStyle="1" w:styleId="80">
    <w:name w:val="批注主题 Char2"/>
    <w:basedOn w:val="71"/>
    <w:link w:val="41"/>
    <w:qFormat/>
    <w:uiPriority w:val="0"/>
  </w:style>
  <w:style w:type="character" w:customStyle="1" w:styleId="81">
    <w:name w:val="副标题 Char"/>
    <w:qFormat/>
    <w:uiPriority w:val="0"/>
    <w:rPr>
      <w:rFonts w:ascii="Cambria" w:hAnsi="Cambria"/>
      <w:b/>
      <w:bCs/>
      <w:kern w:val="28"/>
      <w:sz w:val="32"/>
      <w:szCs w:val="32"/>
    </w:rPr>
  </w:style>
  <w:style w:type="character" w:customStyle="1" w:styleId="82">
    <w:name w:val="批注主题 Char"/>
    <w:qFormat/>
    <w:uiPriority w:val="0"/>
    <w:rPr>
      <w:rFonts w:ascii="宋体"/>
      <w:b/>
      <w:bCs/>
      <w:sz w:val="28"/>
    </w:rPr>
  </w:style>
  <w:style w:type="character" w:customStyle="1" w:styleId="83">
    <w:name w:val="font161"/>
    <w:qFormat/>
    <w:uiPriority w:val="0"/>
    <w:rPr>
      <w:b/>
      <w:bCs/>
      <w:sz w:val="32"/>
      <w:szCs w:val="32"/>
    </w:rPr>
  </w:style>
  <w:style w:type="paragraph" w:customStyle="1" w:styleId="84">
    <w:name w:val="List Paragraph1"/>
    <w:basedOn w:val="1"/>
    <w:qFormat/>
    <w:uiPriority w:val="0"/>
    <w:pPr>
      <w:ind w:firstLine="420" w:firstLineChars="200"/>
    </w:pPr>
  </w:style>
  <w:style w:type="paragraph" w:customStyle="1" w:styleId="85">
    <w:name w:val="样式 标题 2 + Times New Roman 四号 非加粗 段前: 5 磅 段后: 0 磅 行距: 固定值 20..."/>
    <w:basedOn w:val="4"/>
    <w:qFormat/>
    <w:uiPriority w:val="0"/>
    <w:pPr>
      <w:spacing w:before="100" w:after="0" w:line="400" w:lineRule="exact"/>
    </w:pPr>
    <w:rPr>
      <w:rFonts w:ascii="Times New Roman" w:hAnsi="Times New Roman" w:cs="宋体"/>
      <w:b w:val="0"/>
      <w:bCs w:val="0"/>
      <w:sz w:val="28"/>
      <w:szCs w:val="20"/>
    </w:rPr>
  </w:style>
  <w:style w:type="paragraph" w:customStyle="1" w:styleId="86">
    <w:name w:val="_Style 9"/>
    <w:basedOn w:val="1"/>
    <w:qFormat/>
    <w:uiPriority w:val="0"/>
    <w:pPr>
      <w:snapToGrid w:val="0"/>
      <w:spacing w:line="360" w:lineRule="auto"/>
      <w:ind w:firstLine="200" w:firstLineChars="200"/>
    </w:pPr>
    <w:rPr>
      <w:rFonts w:eastAsia="仿宋_GB2312"/>
      <w:sz w:val="24"/>
    </w:rPr>
  </w:style>
  <w:style w:type="paragraph" w:customStyle="1" w:styleId="87">
    <w:name w:val="样式 标题 3 + (中文) 黑体 小四 非加粗 段前: 7.8 磅 段后: 0 磅 行距: 固定值 20 磅"/>
    <w:basedOn w:val="5"/>
    <w:qFormat/>
    <w:uiPriority w:val="0"/>
    <w:pPr>
      <w:spacing w:before="0" w:after="0" w:line="400" w:lineRule="exact"/>
    </w:pPr>
    <w:rPr>
      <w:rFonts w:eastAsia="黑体" w:cs="宋体"/>
      <w:b w:val="0"/>
      <w:bCs w:val="0"/>
      <w:sz w:val="24"/>
      <w:szCs w:val="20"/>
    </w:rPr>
  </w:style>
  <w:style w:type="paragraph" w:customStyle="1" w:styleId="88">
    <w:name w:val="Default"/>
    <w:qFormat/>
    <w:uiPriority w:val="0"/>
    <w:pPr>
      <w:widowControl w:val="0"/>
      <w:autoSpaceDE w:val="0"/>
      <w:autoSpaceDN w:val="0"/>
      <w:adjustRightInd w:val="0"/>
    </w:pPr>
    <w:rPr>
      <w:rFonts w:ascii="宋体" w:hAnsi="Times New Roman" w:eastAsia="宋体" w:cs="宋体"/>
      <w:color w:val="000000"/>
      <w:sz w:val="24"/>
      <w:szCs w:val="24"/>
      <w:lang w:val="en-US" w:eastAsia="zh-CN" w:bidi="ar-SA"/>
    </w:rPr>
  </w:style>
  <w:style w:type="paragraph" w:customStyle="1" w:styleId="89">
    <w:name w:val="xl54"/>
    <w:basedOn w:val="1"/>
    <w:qFormat/>
    <w:uiPriority w:val="0"/>
    <w:pPr>
      <w:widowControl/>
      <w:spacing w:before="100" w:beforeAutospacing="1" w:after="100" w:afterAutospacing="1"/>
      <w:jc w:val="left"/>
      <w:textAlignment w:val="center"/>
    </w:pPr>
    <w:rPr>
      <w:rFonts w:hint="eastAsia" w:ascii="仿宋_GB2312" w:hAnsi="Arial Unicode MS" w:eastAsia="仿宋_GB2312"/>
      <w:kern w:val="0"/>
      <w:sz w:val="18"/>
      <w:szCs w:val="18"/>
    </w:rPr>
  </w:style>
  <w:style w:type="paragraph" w:customStyle="1" w:styleId="90">
    <w:name w:val="6'"/>
    <w:basedOn w:val="1"/>
    <w:qFormat/>
    <w:uiPriority w:val="0"/>
    <w:pPr>
      <w:autoSpaceDE w:val="0"/>
      <w:autoSpaceDN w:val="0"/>
      <w:adjustRightInd w:val="0"/>
      <w:snapToGrid w:val="0"/>
      <w:spacing w:line="320" w:lineRule="exact"/>
      <w:jc w:val="center"/>
      <w:textAlignment w:val="baseline"/>
    </w:pPr>
    <w:rPr>
      <w:spacing w:val="20"/>
      <w:kern w:val="28"/>
      <w:szCs w:val="20"/>
    </w:rPr>
  </w:style>
  <w:style w:type="paragraph" w:customStyle="1" w:styleId="91">
    <w:name w:val="样式 标题 1 + 黑体 三号 非加粗 居中 段前: 6 磅 段后: 6 磅 行距: 固定值 20 磅"/>
    <w:basedOn w:val="3"/>
    <w:qFormat/>
    <w:uiPriority w:val="0"/>
    <w:pPr>
      <w:spacing w:before="120" w:after="120" w:line="400" w:lineRule="exact"/>
      <w:jc w:val="center"/>
    </w:pPr>
    <w:rPr>
      <w:rFonts w:ascii="黑体" w:hAnsi="黑体" w:eastAsia="黑体" w:cs="宋体"/>
      <w:b w:val="0"/>
      <w:bCs w:val="0"/>
      <w:sz w:val="32"/>
      <w:szCs w:val="20"/>
    </w:rPr>
  </w:style>
  <w:style w:type="paragraph" w:customStyle="1" w:styleId="92">
    <w:name w:val="1"/>
    <w:basedOn w:val="1"/>
    <w:next w:val="1"/>
    <w:qFormat/>
    <w:uiPriority w:val="0"/>
  </w:style>
  <w:style w:type="paragraph" w:customStyle="1" w:styleId="93">
    <w:name w:val="xl27"/>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textAlignment w:val="center"/>
    </w:pPr>
    <w:rPr>
      <w:rFonts w:hint="eastAsia" w:ascii="仿宋_GB2312" w:hAnsi="Arial Unicode MS" w:eastAsia="仿宋_GB2312"/>
      <w:kern w:val="0"/>
      <w:sz w:val="18"/>
      <w:szCs w:val="18"/>
    </w:rPr>
  </w:style>
  <w:style w:type="paragraph" w:customStyle="1" w:styleId="94">
    <w:name w:val="表格文字"/>
    <w:basedOn w:val="1"/>
    <w:qFormat/>
    <w:uiPriority w:val="0"/>
    <w:pPr>
      <w:adjustRightInd w:val="0"/>
      <w:spacing w:line="420" w:lineRule="atLeast"/>
      <w:jc w:val="left"/>
      <w:textAlignment w:val="baseline"/>
    </w:pPr>
    <w:rPr>
      <w:kern w:val="0"/>
      <w:szCs w:val="20"/>
    </w:rPr>
  </w:style>
  <w:style w:type="paragraph" w:customStyle="1" w:styleId="95">
    <w:name w:val="表格"/>
    <w:basedOn w:val="1"/>
    <w:qFormat/>
    <w:uiPriority w:val="0"/>
    <w:pPr>
      <w:jc w:val="center"/>
      <w:textAlignment w:val="center"/>
    </w:pPr>
    <w:rPr>
      <w:rFonts w:ascii="华文细黑" w:hAnsi="华文细黑"/>
      <w:kern w:val="0"/>
      <w:szCs w:val="20"/>
    </w:rPr>
  </w:style>
  <w:style w:type="paragraph" w:customStyle="1" w:styleId="96">
    <w:name w:val="Char Char Char Char"/>
    <w:basedOn w:val="1"/>
    <w:qFormat/>
    <w:uiPriority w:val="0"/>
    <w:rPr>
      <w:szCs w:val="20"/>
    </w:rPr>
  </w:style>
  <w:style w:type="character" w:customStyle="1" w:styleId="97">
    <w:name w:val="批注文字 Char"/>
    <w:qFormat/>
    <w:uiPriority w:val="0"/>
    <w:rPr>
      <w:rFonts w:eastAsia="宋体"/>
      <w:kern w:val="2"/>
      <w:sz w:val="21"/>
      <w:szCs w:val="24"/>
      <w:lang w:val="en-US" w:eastAsia="zh-CN" w:bidi="ar-SA"/>
    </w:rPr>
  </w:style>
  <w:style w:type="character" w:customStyle="1" w:styleId="98">
    <w:name w:val="批注框文本 Char1"/>
    <w:qFormat/>
    <w:uiPriority w:val="0"/>
    <w:rPr>
      <w:kern w:val="2"/>
      <w:sz w:val="18"/>
      <w:szCs w:val="18"/>
    </w:rPr>
  </w:style>
  <w:style w:type="character" w:customStyle="1" w:styleId="99">
    <w:name w:val="_Style 98"/>
    <w:qFormat/>
    <w:uiPriority w:val="0"/>
    <w:rPr>
      <w:b/>
      <w:bCs/>
      <w:smallCaps/>
      <w:color w:val="C0504D"/>
      <w:spacing w:val="5"/>
      <w:u w:val="single"/>
    </w:rPr>
  </w:style>
  <w:style w:type="character" w:customStyle="1" w:styleId="100">
    <w:name w:val="_Style 99"/>
    <w:qFormat/>
    <w:uiPriority w:val="0"/>
    <w:rPr>
      <w:i/>
      <w:iCs/>
      <w:color w:val="808080"/>
    </w:rPr>
  </w:style>
  <w:style w:type="character" w:customStyle="1" w:styleId="101">
    <w:name w:val="批注文字 Char Char"/>
    <w:qFormat/>
    <w:uiPriority w:val="0"/>
    <w:rPr>
      <w:rFonts w:ascii="宋体" w:hAnsi="Times New Roman" w:eastAsia="宋体" w:cs="Times New Roman"/>
      <w:sz w:val="28"/>
      <w:szCs w:val="20"/>
    </w:rPr>
  </w:style>
  <w:style w:type="character" w:customStyle="1" w:styleId="102">
    <w:name w:val="正文文本 Char1"/>
    <w:qFormat/>
    <w:uiPriority w:val="0"/>
    <w:rPr>
      <w:kern w:val="2"/>
      <w:sz w:val="21"/>
      <w:szCs w:val="22"/>
    </w:rPr>
  </w:style>
  <w:style w:type="character" w:customStyle="1" w:styleId="103">
    <w:name w:val="标题5 Char Char"/>
    <w:link w:val="104"/>
    <w:qFormat/>
    <w:uiPriority w:val="0"/>
    <w:rPr>
      <w:rFonts w:ascii="Arial" w:hAnsi="Arial"/>
      <w:b/>
      <w:bCs/>
      <w:sz w:val="24"/>
      <w:szCs w:val="32"/>
    </w:rPr>
  </w:style>
  <w:style w:type="paragraph" w:customStyle="1" w:styleId="104">
    <w:name w:val="标题5"/>
    <w:basedOn w:val="5"/>
    <w:link w:val="103"/>
    <w:qFormat/>
    <w:uiPriority w:val="0"/>
    <w:pPr>
      <w:spacing w:line="413" w:lineRule="auto"/>
    </w:pPr>
    <w:rPr>
      <w:rFonts w:ascii="Arial" w:hAnsi="Arial"/>
      <w:kern w:val="0"/>
      <w:sz w:val="24"/>
    </w:rPr>
  </w:style>
  <w:style w:type="character" w:customStyle="1" w:styleId="105">
    <w:name w:val="_Style 104"/>
    <w:qFormat/>
    <w:uiPriority w:val="0"/>
    <w:rPr>
      <w:b/>
      <w:bCs/>
      <w:smallCaps/>
      <w:spacing w:val="5"/>
    </w:rPr>
  </w:style>
  <w:style w:type="character" w:customStyle="1" w:styleId="106">
    <w:name w:val="批注主题 Char1"/>
    <w:qFormat/>
    <w:uiPriority w:val="0"/>
    <w:rPr>
      <w:b/>
      <w:bCs/>
      <w:kern w:val="2"/>
      <w:sz w:val="21"/>
      <w:szCs w:val="22"/>
    </w:rPr>
  </w:style>
  <w:style w:type="character" w:customStyle="1" w:styleId="107">
    <w:name w:val="标题4 Char Char"/>
    <w:link w:val="108"/>
    <w:qFormat/>
    <w:uiPriority w:val="0"/>
    <w:rPr>
      <w:rFonts w:ascii="Arial" w:hAnsi="Arial"/>
      <w:b/>
      <w:bCs/>
      <w:sz w:val="24"/>
      <w:szCs w:val="32"/>
    </w:rPr>
  </w:style>
  <w:style w:type="paragraph" w:customStyle="1" w:styleId="108">
    <w:name w:val="标题4"/>
    <w:basedOn w:val="4"/>
    <w:next w:val="20"/>
    <w:link w:val="107"/>
    <w:qFormat/>
    <w:uiPriority w:val="0"/>
    <w:pPr>
      <w:spacing w:line="413" w:lineRule="auto"/>
    </w:pPr>
    <w:rPr>
      <w:rFonts w:eastAsia="宋体"/>
      <w:kern w:val="0"/>
      <w:sz w:val="24"/>
    </w:rPr>
  </w:style>
  <w:style w:type="character" w:customStyle="1" w:styleId="109">
    <w:name w:val="日期 Char1"/>
    <w:qFormat/>
    <w:uiPriority w:val="0"/>
    <w:rPr>
      <w:kern w:val="2"/>
      <w:sz w:val="21"/>
      <w:szCs w:val="22"/>
    </w:rPr>
  </w:style>
  <w:style w:type="character" w:customStyle="1" w:styleId="110">
    <w:name w:val=" Char Char17"/>
    <w:qFormat/>
    <w:uiPriority w:val="0"/>
    <w:rPr>
      <w:rFonts w:ascii="Cambria" w:hAnsi="Cambria" w:eastAsia="宋体" w:cs="Times New Roman"/>
      <w:b/>
      <w:bCs/>
      <w:kern w:val="2"/>
      <w:sz w:val="32"/>
      <w:szCs w:val="32"/>
    </w:rPr>
  </w:style>
  <w:style w:type="character" w:customStyle="1" w:styleId="111">
    <w:name w:val="_Style 110"/>
    <w:qFormat/>
    <w:uiPriority w:val="0"/>
    <w:rPr>
      <w:smallCaps/>
      <w:color w:val="C0504D"/>
      <w:u w:val="single"/>
    </w:rPr>
  </w:style>
  <w:style w:type="character" w:customStyle="1" w:styleId="112">
    <w:name w:val="引用 Char"/>
    <w:qFormat/>
    <w:uiPriority w:val="0"/>
    <w:rPr>
      <w:i/>
      <w:iCs/>
      <w:color w:val="000000"/>
      <w:kern w:val="2"/>
      <w:sz w:val="21"/>
      <w:szCs w:val="22"/>
    </w:rPr>
  </w:style>
  <w:style w:type="paragraph" w:styleId="113">
    <w:name w:val="Quote"/>
    <w:basedOn w:val="1"/>
    <w:next w:val="1"/>
    <w:link w:val="114"/>
    <w:qFormat/>
    <w:uiPriority w:val="0"/>
    <w:rPr>
      <w:i/>
      <w:iCs/>
      <w:color w:val="000000"/>
      <w:szCs w:val="22"/>
    </w:rPr>
  </w:style>
  <w:style w:type="character" w:customStyle="1" w:styleId="114">
    <w:name w:val="引用 Char1"/>
    <w:basedOn w:val="44"/>
    <w:link w:val="113"/>
    <w:qFormat/>
    <w:uiPriority w:val="99"/>
    <w:rPr>
      <w:i/>
      <w:iCs/>
      <w:color w:val="000000"/>
      <w:kern w:val="2"/>
      <w:sz w:val="21"/>
      <w:szCs w:val="24"/>
    </w:rPr>
  </w:style>
  <w:style w:type="character" w:customStyle="1" w:styleId="115">
    <w:name w:val="明显引用 Char"/>
    <w:qFormat/>
    <w:uiPriority w:val="0"/>
    <w:rPr>
      <w:b/>
      <w:bCs/>
      <w:i/>
      <w:iCs/>
      <w:color w:val="4F81BD"/>
      <w:kern w:val="2"/>
      <w:sz w:val="21"/>
      <w:szCs w:val="22"/>
    </w:rPr>
  </w:style>
  <w:style w:type="paragraph" w:styleId="116">
    <w:name w:val="Intense Quote"/>
    <w:basedOn w:val="1"/>
    <w:next w:val="1"/>
    <w:link w:val="117"/>
    <w:qFormat/>
    <w:uiPriority w:val="0"/>
    <w:pPr>
      <w:pBdr>
        <w:bottom w:val="single" w:color="4F81BD" w:sz="4" w:space="4"/>
      </w:pBdr>
      <w:spacing w:before="200" w:after="280"/>
      <w:ind w:left="936" w:right="936"/>
    </w:pPr>
    <w:rPr>
      <w:b/>
      <w:bCs/>
      <w:i/>
      <w:iCs/>
      <w:color w:val="4F81BD"/>
      <w:szCs w:val="22"/>
    </w:rPr>
  </w:style>
  <w:style w:type="character" w:customStyle="1" w:styleId="117">
    <w:name w:val="明显引用 Char1"/>
    <w:basedOn w:val="44"/>
    <w:link w:val="116"/>
    <w:qFormat/>
    <w:uiPriority w:val="99"/>
    <w:rPr>
      <w:b/>
      <w:bCs/>
      <w:i/>
      <w:iCs/>
      <w:color w:val="4F81BD"/>
      <w:kern w:val="2"/>
      <w:sz w:val="21"/>
      <w:szCs w:val="24"/>
    </w:rPr>
  </w:style>
  <w:style w:type="character" w:customStyle="1" w:styleId="118">
    <w:name w:val="textcontents"/>
    <w:qFormat/>
    <w:uiPriority w:val="0"/>
    <w:rPr>
      <w:rFonts w:cs="Times New Roman"/>
    </w:rPr>
  </w:style>
  <w:style w:type="character" w:customStyle="1" w:styleId="119">
    <w:name w:val="文档结构图 Char1"/>
    <w:qFormat/>
    <w:uiPriority w:val="0"/>
    <w:rPr>
      <w:rFonts w:ascii="宋体"/>
      <w:kern w:val="2"/>
      <w:sz w:val="18"/>
      <w:szCs w:val="18"/>
    </w:rPr>
  </w:style>
  <w:style w:type="character" w:customStyle="1" w:styleId="120">
    <w:name w:val="_Style 119"/>
    <w:qFormat/>
    <w:uiPriority w:val="0"/>
    <w:rPr>
      <w:b/>
      <w:bCs/>
      <w:i/>
      <w:iCs/>
      <w:color w:val="4F81BD"/>
    </w:rPr>
  </w:style>
  <w:style w:type="paragraph" w:styleId="121">
    <w:name w:val="No Spacing"/>
    <w:qFormat/>
    <w:uiPriority w:val="0"/>
    <w:pPr>
      <w:widowControl w:val="0"/>
      <w:jc w:val="both"/>
    </w:pPr>
    <w:rPr>
      <w:rFonts w:ascii="Calibri" w:hAnsi="Calibri" w:eastAsia="宋体" w:cs="Times New Roman"/>
      <w:kern w:val="2"/>
      <w:sz w:val="21"/>
      <w:szCs w:val="22"/>
      <w:lang w:val="en-US" w:eastAsia="zh-CN" w:bidi="ar-SA"/>
    </w:rPr>
  </w:style>
  <w:style w:type="paragraph" w:customStyle="1" w:styleId="122">
    <w:name w:val="_Style 121"/>
    <w:qFormat/>
    <w:uiPriority w:val="0"/>
    <w:rPr>
      <w:rFonts w:ascii="Calibri" w:hAnsi="Calibri" w:eastAsia="宋体" w:cs="Times New Roman"/>
      <w:kern w:val="2"/>
      <w:sz w:val="21"/>
      <w:szCs w:val="24"/>
      <w:lang w:val="en-US" w:eastAsia="zh-CN" w:bidi="ar-SA"/>
    </w:rPr>
  </w:style>
  <w:style w:type="paragraph" w:customStyle="1" w:styleId="123">
    <w:name w:val="空半行"/>
    <w:basedOn w:val="1"/>
    <w:qFormat/>
    <w:uiPriority w:val="0"/>
    <w:pPr>
      <w:adjustRightInd w:val="0"/>
      <w:spacing w:line="120" w:lineRule="exact"/>
      <w:textAlignment w:val="baseline"/>
    </w:pPr>
    <w:rPr>
      <w:rFonts w:ascii="Calibri" w:hAnsi="Calibri" w:eastAsia="仿宋_GB2312"/>
      <w:color w:val="FFFFFF"/>
      <w:kern w:val="0"/>
      <w:sz w:val="30"/>
      <w:szCs w:val="20"/>
    </w:rPr>
  </w:style>
  <w:style w:type="paragraph" w:customStyle="1" w:styleId="124">
    <w:name w:val="flNote"/>
    <w:basedOn w:val="1"/>
    <w:qFormat/>
    <w:uiPriority w:val="0"/>
    <w:pPr>
      <w:adjustRightInd w:val="0"/>
      <w:spacing w:before="320" w:after="160" w:line="360" w:lineRule="atLeast"/>
      <w:jc w:val="center"/>
      <w:textAlignment w:val="baseline"/>
    </w:pPr>
    <w:rPr>
      <w:rFonts w:ascii="Arial" w:hAnsi="Calibri" w:eastAsia="黑体"/>
      <w:kern w:val="0"/>
      <w:sz w:val="30"/>
      <w:szCs w:val="20"/>
    </w:rPr>
  </w:style>
  <w:style w:type="paragraph" w:customStyle="1" w:styleId="125">
    <w:name w:val="_Style 124"/>
    <w:basedOn w:val="3"/>
    <w:next w:val="1"/>
    <w:qFormat/>
    <w:uiPriority w:val="0"/>
    <w:pPr>
      <w:spacing w:line="576" w:lineRule="auto"/>
      <w:outlineLvl w:val="9"/>
    </w:pPr>
    <w:rPr>
      <w:rFonts w:ascii="Calibri" w:hAnsi="Calibri"/>
    </w:rPr>
  </w:style>
  <w:style w:type="paragraph" w:styleId="126">
    <w:name w:val="List Paragraph"/>
    <w:basedOn w:val="1"/>
    <w:qFormat/>
    <w:uiPriority w:val="0"/>
    <w:pPr>
      <w:ind w:firstLine="420" w:firstLineChars="200"/>
    </w:pPr>
    <w:rPr>
      <w:rFonts w:ascii="Calibri" w:hAnsi="Calibri"/>
      <w:szCs w:val="22"/>
    </w:rPr>
  </w:style>
  <w:style w:type="character" w:customStyle="1" w:styleId="127">
    <w:name w:val="hover"/>
    <w:basedOn w:val="44"/>
    <w:qFormat/>
    <w:uiPriority w:val="0"/>
  </w:style>
  <w:style w:type="character" w:customStyle="1" w:styleId="128">
    <w:name w:val="hover1"/>
    <w:basedOn w:val="44"/>
    <w:qFormat/>
    <w:uiPriority w:val="0"/>
    <w:rPr>
      <w:color w:val="2590EB"/>
    </w:rPr>
  </w:style>
  <w:style w:type="character" w:customStyle="1" w:styleId="129">
    <w:name w:val="hover2"/>
    <w:basedOn w:val="44"/>
    <w:qFormat/>
    <w:uiPriority w:val="0"/>
    <w:rPr>
      <w:color w:val="2590EB"/>
    </w:rPr>
  </w:style>
  <w:style w:type="character" w:customStyle="1" w:styleId="130">
    <w:name w:val="hover3"/>
    <w:basedOn w:val="44"/>
    <w:qFormat/>
    <w:uiPriority w:val="0"/>
    <w:rPr>
      <w:color w:val="2590EB"/>
      <w:shd w:val="clear" w:fill="E9F4FD"/>
    </w:rPr>
  </w:style>
  <w:style w:type="character" w:customStyle="1" w:styleId="131">
    <w:name w:val="hover4"/>
    <w:basedOn w:val="44"/>
    <w:qFormat/>
    <w:uiPriority w:val="0"/>
    <w:rPr>
      <w:color w:val="2590EB"/>
    </w:rPr>
  </w:style>
  <w:style w:type="paragraph" w:customStyle="1" w:styleId="132">
    <w:name w:val="Blockquote"/>
    <w:basedOn w:val="1"/>
    <w:qFormat/>
    <w:uiPriority w:val="0"/>
    <w:pPr>
      <w:autoSpaceDE w:val="0"/>
      <w:autoSpaceDN w:val="0"/>
      <w:adjustRightInd w:val="0"/>
      <w:spacing w:before="100" w:after="100"/>
      <w:ind w:left="360" w:right="360"/>
      <w:jc w:val="left"/>
    </w:pPr>
    <w:rPr>
      <w:kern w:val="0"/>
      <w:sz w:val="24"/>
      <w:szCs w:val="20"/>
    </w:rPr>
  </w:style>
</w:styles>
</file>

<file path=word/_rels/document.xml.rels><?xml version="1.0" encoding="UTF-8" standalone="yes"?>
<Relationships xmlns="http://schemas.openxmlformats.org/package/2006/relationships"><Relationship Id="rId9" Type="http://schemas.openxmlformats.org/officeDocument/2006/relationships/image" Target="media/image2.wmf"/><Relationship Id="rId8" Type="http://schemas.openxmlformats.org/officeDocument/2006/relationships/oleObject" Target="embeddings/oleObject1.bin"/><Relationship Id="rId7" Type="http://schemas.openxmlformats.org/officeDocument/2006/relationships/image" Target="media/image1.jpeg"/><Relationship Id="rId6" Type="http://schemas.openxmlformats.org/officeDocument/2006/relationships/theme" Target="theme/theme1.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9" Type="http://schemas.openxmlformats.org/officeDocument/2006/relationships/fontTable" Target="fontTable.xml"/><Relationship Id="rId18" Type="http://schemas.openxmlformats.org/officeDocument/2006/relationships/customXml" Target="../customXml/item1.xml"/><Relationship Id="rId17" Type="http://schemas.openxmlformats.org/officeDocument/2006/relationships/image" Target="media/image6.wmf"/><Relationship Id="rId16" Type="http://schemas.openxmlformats.org/officeDocument/2006/relationships/oleObject" Target="embeddings/oleObject5.bin"/><Relationship Id="rId15" Type="http://schemas.openxmlformats.org/officeDocument/2006/relationships/image" Target="media/image5.wmf"/><Relationship Id="rId14" Type="http://schemas.openxmlformats.org/officeDocument/2006/relationships/oleObject" Target="embeddings/oleObject4.bin"/><Relationship Id="rId13" Type="http://schemas.openxmlformats.org/officeDocument/2006/relationships/image" Target="media/image4.wmf"/><Relationship Id="rId12" Type="http://schemas.openxmlformats.org/officeDocument/2006/relationships/oleObject" Target="embeddings/oleObject3.bin"/><Relationship Id="rId11" Type="http://schemas.openxmlformats.org/officeDocument/2006/relationships/image" Target="media/image3.wmf"/><Relationship Id="rId10" Type="http://schemas.openxmlformats.org/officeDocument/2006/relationships/oleObject" Target="embeddings/oleObject2.bin"/><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135</Pages>
  <Words>2549</Words>
  <Characters>2799</Characters>
  <Lines>356</Lines>
  <Paragraphs>100</Paragraphs>
  <TotalTime>1</TotalTime>
  <ScaleCrop>false</ScaleCrop>
  <LinksUpToDate>false</LinksUpToDate>
  <CharactersWithSpaces>2937</CharactersWithSpaces>
  <Application>WPS Office_12.1.0.19302_F1E327BC-269C-435d-A152-05C5408002CA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2016-12-06T06:16:00Z</dcterms:created>
  <dc:creator>1</dc:creator>
  <cp:lastModifiedBy>han'wan</cp:lastModifiedBy>
  <cp:lastPrinted>2023-05-26T03:44:00Z</cp:lastPrinted>
  <dcterms:modified xsi:type="dcterms:W3CDTF">2024-12-02T08:47:52Z</dcterms:modified>
  <dc:title>中华人民共和国</dc:title>
  <cp:revision>178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2052-12.1.0.19302</vt:lpwstr>
  </property>
  <property fmtid="{D5CDD505-2E9C-101B-9397-08002B2CF9AE}" pid="3" name="ICV">
    <vt:lpwstr>F7E7A13DD28644B485E052B75687D44C_13</vt:lpwstr>
  </property>
</Properties>
</file>