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FCD3BF">
      <w:pPr>
        <w:jc w:val="center"/>
        <w:rPr>
          <w:rFonts w:hint="eastAsia" w:ascii="黑体" w:hAnsi="黑体" w:eastAsia="黑体"/>
          <w:sz w:val="32"/>
          <w:szCs w:val="32"/>
          <w:lang w:eastAsia="zh-CN"/>
        </w:rPr>
      </w:pPr>
      <w:r>
        <w:rPr>
          <w:rFonts w:hint="eastAsia" w:ascii="黑体" w:hAnsi="黑体" w:eastAsia="黑体"/>
          <w:sz w:val="32"/>
          <w:szCs w:val="32"/>
        </w:rPr>
        <w:t>周口市生态环境局关于</w:t>
      </w:r>
      <w:r>
        <w:rPr>
          <w:rFonts w:hint="eastAsia" w:ascii="黑体" w:hAnsi="黑体" w:eastAsia="黑体"/>
          <w:sz w:val="32"/>
          <w:szCs w:val="32"/>
          <w:lang w:eastAsia="zh-CN"/>
        </w:rPr>
        <w:t>上海长寿松药业（项城）制药生物医药原料药研发生产项目</w:t>
      </w:r>
    </w:p>
    <w:p w14:paraId="1AFEE2F5">
      <w:pPr>
        <w:jc w:val="center"/>
        <w:rPr>
          <w:rFonts w:ascii="黑体" w:hAnsi="黑体" w:eastAsia="黑体"/>
          <w:sz w:val="32"/>
          <w:szCs w:val="32"/>
        </w:rPr>
      </w:pPr>
      <w:r>
        <w:rPr>
          <w:rFonts w:hint="eastAsia" w:ascii="黑体" w:hAnsi="黑体" w:eastAsia="黑体"/>
          <w:sz w:val="32"/>
          <w:szCs w:val="32"/>
        </w:rPr>
        <w:t>环境影响评价文件拟审批情况的公示</w:t>
      </w:r>
    </w:p>
    <w:p w14:paraId="68CEC9C8">
      <w:pPr>
        <w:ind w:firstLine="560" w:firstLineChars="200"/>
        <w:rPr>
          <w:rFonts w:ascii="Times New Roman" w:cs="Times New Roman" w:hAnsiTheme="minorEastAsia"/>
          <w:sz w:val="28"/>
          <w:szCs w:val="28"/>
          <w:highlight w:val="yellow"/>
        </w:rPr>
      </w:pPr>
      <w:r>
        <w:rPr>
          <w:rFonts w:hint="eastAsia" w:ascii="Times New Roman" w:cs="Times New Roman" w:hAnsiTheme="minorEastAsia"/>
          <w:sz w:val="28"/>
          <w:szCs w:val="28"/>
        </w:rPr>
        <w:t>根据建设项目环境影响评价审批程序的有关规定，经审议，我局拟对</w:t>
      </w:r>
      <w:r>
        <w:rPr>
          <w:rFonts w:hint="eastAsia" w:ascii="Times New Roman" w:cs="Times New Roman" w:hAnsiTheme="minorEastAsia"/>
          <w:sz w:val="28"/>
          <w:szCs w:val="28"/>
          <w:lang w:eastAsia="zh-CN"/>
        </w:rPr>
        <w:t>上海长寿松药业（项城）制药生物医药原料药研发生产项目</w:t>
      </w:r>
      <w:r>
        <w:rPr>
          <w:rFonts w:hint="eastAsia" w:ascii="Times New Roman" w:cs="Times New Roman" w:hAnsiTheme="minorEastAsia"/>
          <w:sz w:val="28"/>
          <w:szCs w:val="28"/>
        </w:rPr>
        <w:t>环境影响评价文件作出拟审批意见。为保证拟审批意见的严肃性和公正性，现将建设项目环境影响评价文件的基本情况予以公示。如有异议，</w:t>
      </w:r>
      <w:r>
        <w:rPr>
          <w:rFonts w:hint="eastAsia" w:ascii="Times New Roman" w:hAnsi="宋体" w:eastAsia="宋体" w:cs="Times New Roman"/>
          <w:sz w:val="28"/>
          <w:szCs w:val="28"/>
        </w:rPr>
        <w:t>请自本公告发布之日起5个工作日内反馈我局行政审批服务科</w:t>
      </w:r>
      <w:r>
        <w:rPr>
          <w:rFonts w:hint="eastAsia" w:ascii="Times New Roman" w:cs="Times New Roman" w:hAnsiTheme="minorEastAsia"/>
          <w:color w:val="0000FF"/>
          <w:sz w:val="28"/>
          <w:szCs w:val="28"/>
        </w:rPr>
        <w:t>。</w:t>
      </w:r>
    </w:p>
    <w:p w14:paraId="66CB79C0">
      <w:pPr>
        <w:ind w:firstLine="560" w:firstLineChars="200"/>
        <w:rPr>
          <w:rFonts w:ascii="Times New Roman" w:cs="Times New Roman" w:hAnsiTheme="minorEastAsia"/>
          <w:sz w:val="28"/>
          <w:szCs w:val="28"/>
        </w:rPr>
      </w:pPr>
      <w:r>
        <w:rPr>
          <w:rFonts w:hint="eastAsia" w:ascii="Times New Roman" w:cs="Times New Roman" w:hAnsiTheme="minorEastAsia"/>
          <w:sz w:val="28"/>
          <w:szCs w:val="28"/>
        </w:rPr>
        <w:t>电话（传真）：0394-8278830</w:t>
      </w:r>
    </w:p>
    <w:p w14:paraId="3A517E07">
      <w:pPr>
        <w:ind w:firstLine="560" w:firstLineChars="200"/>
        <w:rPr>
          <w:rFonts w:ascii="Times New Roman" w:cs="Times New Roman" w:hAnsiTheme="minorEastAsia"/>
          <w:sz w:val="28"/>
          <w:szCs w:val="28"/>
        </w:rPr>
      </w:pPr>
      <w:r>
        <w:rPr>
          <w:rFonts w:hint="eastAsia" w:ascii="Times New Roman" w:cs="Times New Roman" w:hAnsiTheme="minorEastAsia"/>
          <w:sz w:val="28"/>
          <w:szCs w:val="28"/>
        </w:rPr>
        <w:t>通讯地址：周口市政务服务中心二楼北厅生态环境局窗口</w:t>
      </w:r>
    </w:p>
    <w:p w14:paraId="3CFA4468">
      <w:pPr>
        <w:ind w:firstLine="560" w:firstLineChars="200"/>
        <w:rPr>
          <w:rFonts w:ascii="Times New Roman" w:cs="Times New Roman" w:hAnsiTheme="minorEastAsia"/>
          <w:sz w:val="28"/>
          <w:szCs w:val="28"/>
        </w:rPr>
      </w:pPr>
      <w:r>
        <w:rPr>
          <w:rFonts w:hint="eastAsia" w:ascii="Times New Roman" w:cs="Times New Roman" w:hAnsiTheme="minorEastAsia"/>
          <w:sz w:val="28"/>
          <w:szCs w:val="28"/>
        </w:rPr>
        <w:t>听证告知：依据《中华人民共和国行政许可法》，自公示起五个工作日内申请人、有重大利益关系的利害关系人可对以下拟作出的建设项目环境影响评价文件批复决定要求听证。</w:t>
      </w:r>
    </w:p>
    <w:p w14:paraId="6F5A1DEC">
      <w:pPr>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受理拟审批的建设项目环境影响报告表</w:t>
      </w:r>
    </w:p>
    <w:tbl>
      <w:tblPr>
        <w:tblStyle w:val="10"/>
        <w:tblW w:w="1417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426"/>
        <w:gridCol w:w="1100"/>
        <w:gridCol w:w="1134"/>
        <w:gridCol w:w="709"/>
        <w:gridCol w:w="850"/>
        <w:gridCol w:w="3086"/>
        <w:gridCol w:w="5986"/>
        <w:gridCol w:w="883"/>
      </w:tblGrid>
      <w:tr w14:paraId="52E163D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26" w:type="dxa"/>
            <w:vAlign w:val="center"/>
          </w:tcPr>
          <w:p w14:paraId="62307F90">
            <w:pPr>
              <w:jc w:val="center"/>
              <w:rPr>
                <w:rFonts w:ascii="Times New Roman" w:hAnsi="Times New Roman" w:cs="Times New Roman"/>
                <w:szCs w:val="21"/>
              </w:rPr>
            </w:pPr>
            <w:r>
              <w:rPr>
                <w:rFonts w:ascii="Times New Roman" w:cs="Times New Roman" w:hAnsiTheme="minorEastAsia"/>
                <w:szCs w:val="21"/>
              </w:rPr>
              <w:t>序号</w:t>
            </w:r>
          </w:p>
        </w:tc>
        <w:tc>
          <w:tcPr>
            <w:tcW w:w="1100" w:type="dxa"/>
            <w:vAlign w:val="center"/>
          </w:tcPr>
          <w:p w14:paraId="07579573">
            <w:pPr>
              <w:jc w:val="center"/>
              <w:rPr>
                <w:rFonts w:ascii="Times New Roman" w:hAnsi="Times New Roman" w:cs="Times New Roman"/>
                <w:szCs w:val="21"/>
              </w:rPr>
            </w:pPr>
            <w:r>
              <w:rPr>
                <w:rFonts w:ascii="Times New Roman" w:cs="Times New Roman" w:hAnsiTheme="minorEastAsia"/>
                <w:szCs w:val="21"/>
              </w:rPr>
              <w:t>项目名称</w:t>
            </w:r>
          </w:p>
        </w:tc>
        <w:tc>
          <w:tcPr>
            <w:tcW w:w="1134" w:type="dxa"/>
            <w:vAlign w:val="center"/>
          </w:tcPr>
          <w:p w14:paraId="3A3573D9">
            <w:pPr>
              <w:jc w:val="center"/>
              <w:rPr>
                <w:rFonts w:ascii="Times New Roman" w:hAnsi="Times New Roman" w:cs="Times New Roman"/>
                <w:szCs w:val="21"/>
              </w:rPr>
            </w:pPr>
            <w:r>
              <w:rPr>
                <w:rFonts w:ascii="Times New Roman" w:cs="Times New Roman" w:hAnsiTheme="minorEastAsia"/>
                <w:szCs w:val="21"/>
              </w:rPr>
              <w:t>建设地点</w:t>
            </w:r>
          </w:p>
        </w:tc>
        <w:tc>
          <w:tcPr>
            <w:tcW w:w="709" w:type="dxa"/>
            <w:vAlign w:val="center"/>
          </w:tcPr>
          <w:p w14:paraId="1A7E7A9F">
            <w:pPr>
              <w:jc w:val="center"/>
              <w:rPr>
                <w:rFonts w:ascii="Times New Roman" w:hAnsi="Times New Roman" w:cs="Times New Roman"/>
                <w:szCs w:val="21"/>
              </w:rPr>
            </w:pPr>
            <w:r>
              <w:rPr>
                <w:rFonts w:ascii="Times New Roman" w:cs="Times New Roman" w:hAnsiTheme="minorEastAsia"/>
                <w:szCs w:val="21"/>
              </w:rPr>
              <w:t>建设单位</w:t>
            </w:r>
          </w:p>
        </w:tc>
        <w:tc>
          <w:tcPr>
            <w:tcW w:w="850" w:type="dxa"/>
            <w:vAlign w:val="center"/>
          </w:tcPr>
          <w:p w14:paraId="472C680C">
            <w:pPr>
              <w:jc w:val="center"/>
              <w:rPr>
                <w:rFonts w:ascii="Times New Roman" w:hAnsi="Times New Roman" w:cs="Times New Roman"/>
                <w:szCs w:val="21"/>
              </w:rPr>
            </w:pPr>
            <w:r>
              <w:rPr>
                <w:rFonts w:ascii="Times New Roman" w:cs="Times New Roman" w:hAnsiTheme="minorEastAsia"/>
                <w:szCs w:val="21"/>
              </w:rPr>
              <w:t>环境影响评价机构</w:t>
            </w:r>
          </w:p>
        </w:tc>
        <w:tc>
          <w:tcPr>
            <w:tcW w:w="3086" w:type="dxa"/>
            <w:vAlign w:val="center"/>
          </w:tcPr>
          <w:p w14:paraId="3B30638C">
            <w:pPr>
              <w:jc w:val="center"/>
              <w:rPr>
                <w:rFonts w:ascii="Times New Roman" w:hAnsi="Times New Roman" w:cs="Times New Roman"/>
                <w:szCs w:val="21"/>
              </w:rPr>
            </w:pPr>
            <w:r>
              <w:rPr>
                <w:rFonts w:ascii="Times New Roman" w:cs="Times New Roman" w:hAnsiTheme="minorEastAsia"/>
                <w:szCs w:val="21"/>
              </w:rPr>
              <w:t>建设项目概况</w:t>
            </w:r>
          </w:p>
        </w:tc>
        <w:tc>
          <w:tcPr>
            <w:tcW w:w="5986" w:type="dxa"/>
            <w:vAlign w:val="center"/>
          </w:tcPr>
          <w:p w14:paraId="45ED47D6">
            <w:pPr>
              <w:jc w:val="center"/>
              <w:rPr>
                <w:rFonts w:ascii="Times New Roman" w:hAnsi="Times New Roman" w:cs="Times New Roman"/>
                <w:szCs w:val="21"/>
              </w:rPr>
            </w:pPr>
            <w:r>
              <w:rPr>
                <w:rFonts w:ascii="Times New Roman" w:cs="Times New Roman" w:hAnsiTheme="minorEastAsia"/>
                <w:szCs w:val="21"/>
              </w:rPr>
              <w:t>主要环境影响及预防或减轻不良环境影响的对策和措施</w:t>
            </w:r>
          </w:p>
        </w:tc>
        <w:tc>
          <w:tcPr>
            <w:tcW w:w="883" w:type="dxa"/>
            <w:vAlign w:val="center"/>
          </w:tcPr>
          <w:p w14:paraId="3012F84A">
            <w:pPr>
              <w:jc w:val="center"/>
              <w:rPr>
                <w:rFonts w:ascii="Times New Roman" w:hAnsi="Times New Roman" w:cs="Times New Roman"/>
                <w:szCs w:val="21"/>
              </w:rPr>
            </w:pPr>
            <w:r>
              <w:rPr>
                <w:rFonts w:ascii="Times New Roman" w:cs="Times New Roman" w:hAnsiTheme="minorEastAsia"/>
                <w:szCs w:val="21"/>
              </w:rPr>
              <w:t>公众参与情况</w:t>
            </w:r>
          </w:p>
        </w:tc>
      </w:tr>
      <w:tr w14:paraId="0739AF5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943" w:hRule="atLeast"/>
        </w:trPr>
        <w:tc>
          <w:tcPr>
            <w:tcW w:w="426" w:type="dxa"/>
          </w:tcPr>
          <w:p w14:paraId="182CD600">
            <w:pPr>
              <w:jc w:val="center"/>
              <w:rPr>
                <w:rFonts w:ascii="Times New Roman" w:hAnsi="Times New Roman" w:cs="Times New Roman"/>
                <w:szCs w:val="21"/>
              </w:rPr>
            </w:pPr>
            <w:r>
              <w:rPr>
                <w:rFonts w:ascii="Times New Roman" w:hAnsi="Times New Roman" w:cs="Times New Roman"/>
                <w:szCs w:val="21"/>
              </w:rPr>
              <w:t>1</w:t>
            </w:r>
          </w:p>
        </w:tc>
        <w:tc>
          <w:tcPr>
            <w:tcW w:w="1100" w:type="dxa"/>
            <w:shd w:val="clear" w:color="auto" w:fill="auto"/>
          </w:tcPr>
          <w:p w14:paraId="74CB2E84">
            <w:pPr>
              <w:jc w:val="center"/>
              <w:rPr>
                <w:rFonts w:hint="eastAsia" w:ascii="Times New Roman" w:hAnsi="Times New Roman" w:cs="Times New Roman" w:eastAsiaTheme="minorEastAsia"/>
                <w:szCs w:val="21"/>
                <w:lang w:eastAsia="zh-CN"/>
              </w:rPr>
            </w:pPr>
            <w:r>
              <w:rPr>
                <w:rFonts w:hint="eastAsia" w:ascii="Times New Roman" w:hAnsi="Times New Roman" w:cs="Times New Roman"/>
                <w:szCs w:val="21"/>
                <w:lang w:eastAsia="zh-CN"/>
              </w:rPr>
              <w:t>上海长寿松药业（项城）制药生物医药原料药研发生产项目</w:t>
            </w:r>
          </w:p>
        </w:tc>
        <w:tc>
          <w:tcPr>
            <w:tcW w:w="1134" w:type="dxa"/>
            <w:shd w:val="clear" w:color="auto" w:fill="auto"/>
          </w:tcPr>
          <w:p w14:paraId="1465480B">
            <w:pPr>
              <w:jc w:val="center"/>
              <w:rPr>
                <w:rFonts w:ascii="Times New Roman" w:hAnsi="Times New Roman" w:cs="Times New Roman"/>
                <w:szCs w:val="21"/>
              </w:rPr>
            </w:pPr>
            <w:r>
              <w:rPr>
                <w:rFonts w:hint="eastAsia"/>
                <w:color w:val="auto"/>
                <w:spacing w:val="4"/>
                <w:sz w:val="21"/>
                <w:szCs w:val="21"/>
                <w:highlight w:val="none"/>
                <w:u w:val="none"/>
              </w:rPr>
              <w:t>河南省周口市项城市东方大道胡营路口东</w:t>
            </w:r>
            <w:r>
              <w:rPr>
                <w:rFonts w:hint="eastAsia" w:ascii="Times New Roman" w:hAnsi="Times New Roman"/>
                <w:color w:val="auto"/>
                <w:spacing w:val="4"/>
                <w:sz w:val="21"/>
                <w:szCs w:val="21"/>
                <w:highlight w:val="none"/>
                <w:u w:val="none"/>
              </w:rPr>
              <w:t>1</w:t>
            </w:r>
            <w:r>
              <w:rPr>
                <w:rFonts w:hint="eastAsia"/>
                <w:color w:val="auto"/>
                <w:spacing w:val="4"/>
                <w:sz w:val="21"/>
                <w:szCs w:val="21"/>
                <w:highlight w:val="none"/>
                <w:u w:val="none"/>
              </w:rPr>
              <w:t>公里路北</w:t>
            </w:r>
          </w:p>
        </w:tc>
        <w:tc>
          <w:tcPr>
            <w:tcW w:w="709" w:type="dxa"/>
            <w:shd w:val="clear" w:color="auto" w:fill="auto"/>
          </w:tcPr>
          <w:p w14:paraId="39F29EE9">
            <w:pPr>
              <w:jc w:val="center"/>
              <w:rPr>
                <w:rFonts w:ascii="Times New Roman" w:hAnsi="Times New Roman" w:cs="Times New Roman"/>
                <w:szCs w:val="21"/>
              </w:rPr>
            </w:pPr>
            <w:r>
              <w:rPr>
                <w:rFonts w:hint="eastAsia"/>
                <w:color w:val="auto"/>
                <w:spacing w:val="4"/>
                <w:sz w:val="21"/>
                <w:szCs w:val="21"/>
                <w:highlight w:val="none"/>
                <w:u w:val="none"/>
              </w:rPr>
              <w:t>上海长寿松药业</w:t>
            </w:r>
            <w:r>
              <w:rPr>
                <w:rFonts w:hint="eastAsia"/>
                <w:color w:val="auto"/>
                <w:spacing w:val="4"/>
                <w:sz w:val="21"/>
                <w:szCs w:val="21"/>
                <w:highlight w:val="none"/>
                <w:u w:val="none"/>
                <w:lang w:eastAsia="zh-CN"/>
              </w:rPr>
              <w:t>（</w:t>
            </w:r>
            <w:r>
              <w:rPr>
                <w:rFonts w:hint="eastAsia"/>
                <w:color w:val="auto"/>
                <w:spacing w:val="4"/>
                <w:sz w:val="21"/>
                <w:szCs w:val="21"/>
                <w:highlight w:val="none"/>
                <w:u w:val="none"/>
              </w:rPr>
              <w:t>项城</w:t>
            </w:r>
            <w:r>
              <w:rPr>
                <w:rFonts w:hint="eastAsia"/>
                <w:color w:val="auto"/>
                <w:spacing w:val="4"/>
                <w:sz w:val="21"/>
                <w:szCs w:val="21"/>
                <w:highlight w:val="none"/>
                <w:u w:val="none"/>
                <w:lang w:eastAsia="zh-CN"/>
              </w:rPr>
              <w:t>）</w:t>
            </w:r>
            <w:r>
              <w:rPr>
                <w:rFonts w:hint="eastAsia"/>
                <w:color w:val="auto"/>
                <w:spacing w:val="4"/>
                <w:sz w:val="21"/>
                <w:szCs w:val="21"/>
                <w:highlight w:val="none"/>
                <w:u w:val="none"/>
              </w:rPr>
              <w:t>制药有限公司</w:t>
            </w:r>
          </w:p>
        </w:tc>
        <w:tc>
          <w:tcPr>
            <w:tcW w:w="850" w:type="dxa"/>
            <w:shd w:val="clear" w:color="auto" w:fill="auto"/>
          </w:tcPr>
          <w:p w14:paraId="057D67B6">
            <w:pPr>
              <w:jc w:val="center"/>
              <w:rPr>
                <w:rFonts w:ascii="Times New Roman" w:hAnsi="Times New Roman" w:cs="Times New Roman"/>
                <w:szCs w:val="21"/>
              </w:rPr>
            </w:pPr>
            <w:r>
              <w:rPr>
                <w:rFonts w:hint="eastAsia" w:ascii="Times New Roman" w:hAnsi="Times New Roman" w:cs="Times New Roman"/>
                <w:szCs w:val="21"/>
              </w:rPr>
              <w:t>河南咏蓝环境科技有限公司</w:t>
            </w:r>
          </w:p>
        </w:tc>
        <w:tc>
          <w:tcPr>
            <w:tcW w:w="3086" w:type="dxa"/>
            <w:shd w:val="clear" w:color="auto" w:fill="auto"/>
          </w:tcPr>
          <w:p w14:paraId="1FD9FB2D">
            <w:pPr>
              <w:widowControl/>
              <w:jc w:val="left"/>
              <w:rPr>
                <w:rFonts w:ascii="Times New Roman" w:hAnsi="Times New Roman" w:cs="Times New Roman"/>
                <w:szCs w:val="21"/>
              </w:rPr>
            </w:pPr>
            <w:r>
              <w:rPr>
                <w:rFonts w:hint="eastAsia" w:ascii="Times New Roman" w:hAnsi="Times New Roman" w:cs="Times New Roman"/>
                <w:szCs w:val="21"/>
              </w:rPr>
              <w:t>本项目占地约80亩，拟改造车间20000平方米，办公楼、宿舍楼及配套设施5000平方米，总建筑面积25000米，拟建设医药口服固体制剂、小容量注射剂、口服液体制剂、保健产品、原料药</w:t>
            </w:r>
            <w:r>
              <w:rPr>
                <w:rFonts w:hint="eastAsia" w:ascii="Times New Roman" w:hAnsi="Times New Roman" w:cs="Times New Roman"/>
                <w:szCs w:val="21"/>
                <w:lang w:eastAsia="zh-CN"/>
              </w:rPr>
              <w:t>（</w:t>
            </w:r>
            <w:r>
              <w:rPr>
                <w:rFonts w:hint="eastAsia" w:ascii="Times New Roman" w:hAnsi="Times New Roman" w:cs="Times New Roman"/>
                <w:szCs w:val="21"/>
              </w:rPr>
              <w:t>枸橼酸喷托维林、曲克芦丁、</w:t>
            </w:r>
            <w:r>
              <w:rPr>
                <w:rFonts w:hint="eastAsia" w:ascii="Times New Roman" w:hAnsi="Times New Roman" w:cs="Times New Roman"/>
                <w:szCs w:val="21"/>
                <w:lang w:val="en-US" w:eastAsia="zh-CN"/>
              </w:rPr>
              <w:t>吲哚</w:t>
            </w:r>
            <w:r>
              <w:rPr>
                <w:rFonts w:hint="eastAsia" w:ascii="Times New Roman" w:hAnsi="Times New Roman" w:cs="Times New Roman"/>
                <w:szCs w:val="21"/>
              </w:rPr>
              <w:t>美辛等生产线</w:t>
            </w:r>
            <w:r>
              <w:rPr>
                <w:rFonts w:hint="eastAsia" w:ascii="Times New Roman" w:hAnsi="Times New Roman" w:cs="Times New Roman"/>
                <w:szCs w:val="21"/>
                <w:lang w:eastAsia="zh-CN"/>
              </w:rPr>
              <w:t>）</w:t>
            </w:r>
            <w:r>
              <w:rPr>
                <w:rFonts w:hint="eastAsia" w:ascii="Times New Roman" w:hAnsi="Times New Roman" w:cs="Times New Roman"/>
                <w:szCs w:val="21"/>
              </w:rPr>
              <w:t>主要设备包括</w:t>
            </w:r>
            <w:r>
              <w:rPr>
                <w:rFonts w:hint="eastAsia" w:ascii="Times New Roman" w:hAnsi="Times New Roman" w:cs="Times New Roman"/>
                <w:szCs w:val="21"/>
                <w:lang w:eastAsia="zh-CN"/>
              </w:rPr>
              <w:t>：</w:t>
            </w:r>
            <w:r>
              <w:rPr>
                <w:rFonts w:hint="eastAsia" w:ascii="Times New Roman" w:hAnsi="Times New Roman" w:cs="Times New Roman"/>
                <w:szCs w:val="21"/>
              </w:rPr>
              <w:t>真空泵、反应釜、离心机、制冷机组、蒸汽发生器、燃气锅炉、空压机、烘干机、粉碎机、压片机、胶囊机、针剂灌装、针剂灯检、总混机器。</w:t>
            </w:r>
          </w:p>
        </w:tc>
        <w:tc>
          <w:tcPr>
            <w:tcW w:w="5986" w:type="dxa"/>
            <w:shd w:val="clear" w:color="auto" w:fill="auto"/>
          </w:tcPr>
          <w:p w14:paraId="003970B1">
            <w:pPr>
              <w:ind w:firstLine="420" w:firstLineChars="200"/>
              <w:rPr>
                <w:rFonts w:ascii="Times New Roman" w:hAnsi="Times New Roman" w:cs="Times New Roman"/>
                <w:szCs w:val="21"/>
              </w:rPr>
            </w:pPr>
            <w:r>
              <w:rPr>
                <w:rFonts w:hint="eastAsia" w:ascii="Times New Roman" w:hAnsi="Times New Roman" w:cs="Times New Roman"/>
                <w:szCs w:val="21"/>
              </w:rPr>
              <w:t>废气</w:t>
            </w:r>
            <w:r>
              <w:rPr>
                <w:rFonts w:hint="eastAsia" w:ascii="Times New Roman" w:hAnsi="Times New Roman" w:cs="Times New Roman"/>
                <w:szCs w:val="21"/>
                <w:lang w:eastAsia="zh-CN"/>
              </w:rPr>
              <w:t>：</w:t>
            </w:r>
            <w:r>
              <w:rPr>
                <w:rFonts w:hint="eastAsia" w:eastAsia="宋体"/>
                <w:color w:val="auto"/>
                <w:sz w:val="21"/>
                <w:szCs w:val="21"/>
                <w:highlight w:val="none"/>
                <w:u w:val="none"/>
                <w:lang w:eastAsia="zh-CN"/>
              </w:rPr>
              <w:t>项目原料药车间工艺废气含甲苯、乙醇等VOCs废气、危废暂存间废气、</w:t>
            </w:r>
            <w:r>
              <w:rPr>
                <w:rFonts w:hint="eastAsia" w:eastAsia="宋体"/>
                <w:color w:val="auto"/>
                <w:sz w:val="21"/>
                <w:szCs w:val="21"/>
                <w:highlight w:val="none"/>
                <w:u w:val="none"/>
                <w:lang w:val="en-US" w:eastAsia="zh-CN"/>
              </w:rPr>
              <w:t>蒸发预处理废气</w:t>
            </w:r>
            <w:r>
              <w:rPr>
                <w:rFonts w:hint="eastAsia" w:eastAsia="宋体"/>
                <w:color w:val="auto"/>
                <w:sz w:val="21"/>
                <w:szCs w:val="21"/>
                <w:highlight w:val="none"/>
                <w:u w:val="none"/>
                <w:lang w:eastAsia="zh-CN"/>
              </w:rPr>
              <w:t>经管道收集后引入废气处理装置（“水吸收+碱吸收+活性炭吸附浓缩+催化燃烧”）处理</w:t>
            </w:r>
            <w:r>
              <w:rPr>
                <w:rFonts w:hint="eastAsia" w:eastAsia="宋体"/>
                <w:color w:val="auto"/>
                <w:sz w:val="21"/>
                <w:szCs w:val="21"/>
                <w:highlight w:val="none"/>
                <w:u w:val="none"/>
                <w:lang w:val="en-US" w:eastAsia="zh-CN"/>
              </w:rPr>
              <w:t>后</w:t>
            </w:r>
            <w:r>
              <w:rPr>
                <w:rFonts w:hint="eastAsia" w:eastAsia="宋体"/>
                <w:color w:val="auto"/>
                <w:sz w:val="21"/>
                <w:szCs w:val="21"/>
                <w:highlight w:val="none"/>
                <w:u w:val="none"/>
                <w:lang w:eastAsia="zh-CN"/>
              </w:rPr>
              <w:t>与经布袋除尘处理后的</w:t>
            </w:r>
            <w:r>
              <w:rPr>
                <w:rFonts w:hint="eastAsia" w:eastAsia="宋体"/>
                <w:color w:val="auto"/>
                <w:sz w:val="21"/>
                <w:szCs w:val="21"/>
                <w:highlight w:val="none"/>
                <w:u w:val="none"/>
                <w:lang w:val="en-US" w:eastAsia="zh-CN"/>
              </w:rPr>
              <w:t>原料药车间</w:t>
            </w:r>
            <w:bookmarkStart w:id="0" w:name="_GoBack"/>
            <w:bookmarkEnd w:id="0"/>
            <w:r>
              <w:rPr>
                <w:rFonts w:hint="eastAsia" w:eastAsia="宋体"/>
                <w:color w:val="auto"/>
                <w:sz w:val="21"/>
                <w:szCs w:val="21"/>
                <w:highlight w:val="none"/>
                <w:u w:val="none"/>
                <w:lang w:eastAsia="zh-CN"/>
              </w:rPr>
              <w:t>含尘废气一同经15m高排气筒排放。污水处理站废气引入处理装置（“水喷淋+生物滤池+活性炭吸附”）处理后由15m高排气筒排放。实验室废气引入“水喷淋+活性炭吸附”处理装置处理后由15m高排气筒排放。固体制剂车间、保健品车间粉尘收集分别引入各车间布袋除尘器处理后分别</w:t>
            </w:r>
            <w:r>
              <w:rPr>
                <w:rFonts w:hint="eastAsia" w:eastAsia="宋体"/>
                <w:color w:val="auto"/>
                <w:sz w:val="21"/>
                <w:szCs w:val="21"/>
                <w:highlight w:val="none"/>
                <w:u w:val="none"/>
                <w:lang w:val="en-US" w:eastAsia="zh-CN"/>
              </w:rPr>
              <w:t>经两根排气筒</w:t>
            </w:r>
            <w:r>
              <w:rPr>
                <w:rFonts w:hint="eastAsia" w:eastAsia="宋体"/>
                <w:color w:val="auto"/>
                <w:sz w:val="21"/>
                <w:szCs w:val="21"/>
                <w:highlight w:val="none"/>
                <w:u w:val="none"/>
                <w:lang w:eastAsia="zh-CN"/>
              </w:rPr>
              <w:t>排放，锅炉房废气通过“低氮燃烧+烟气再循环”处理后</w:t>
            </w:r>
            <w:r>
              <w:rPr>
                <w:rFonts w:hint="eastAsia" w:eastAsia="宋体"/>
                <w:color w:val="auto"/>
                <w:sz w:val="21"/>
                <w:szCs w:val="21"/>
                <w:highlight w:val="none"/>
                <w:u w:val="none"/>
                <w:lang w:val="en-US" w:eastAsia="zh-CN"/>
              </w:rPr>
              <w:t>经排气筒</w:t>
            </w:r>
            <w:r>
              <w:rPr>
                <w:rFonts w:hint="eastAsia" w:eastAsia="宋体"/>
                <w:color w:val="auto"/>
                <w:sz w:val="21"/>
                <w:szCs w:val="21"/>
                <w:highlight w:val="none"/>
                <w:u w:val="none"/>
                <w:lang w:eastAsia="zh-CN"/>
              </w:rPr>
              <w:t>排放。</w:t>
            </w:r>
          </w:p>
          <w:p w14:paraId="431CFD8B">
            <w:pPr>
              <w:ind w:firstLine="420" w:firstLineChars="200"/>
              <w:rPr>
                <w:rFonts w:ascii="Times New Roman" w:hAnsi="Times New Roman" w:cs="Times New Roman"/>
                <w:szCs w:val="21"/>
              </w:rPr>
            </w:pPr>
            <w:r>
              <w:rPr>
                <w:rFonts w:hint="eastAsia" w:ascii="Times New Roman" w:hAnsi="Times New Roman" w:cs="Times New Roman"/>
                <w:szCs w:val="21"/>
              </w:rPr>
              <w:t>废水：</w:t>
            </w:r>
            <w:r>
              <w:rPr>
                <w:rFonts w:hint="eastAsia"/>
                <w:color w:val="auto"/>
                <w:sz w:val="21"/>
                <w:szCs w:val="21"/>
                <w:highlight w:val="none"/>
                <w:u w:val="none"/>
              </w:rPr>
              <w:t>新建</w:t>
            </w:r>
            <w:r>
              <w:rPr>
                <w:rFonts w:hint="eastAsia" w:ascii="Times New Roman" w:hAnsi="Times New Roman"/>
                <w:color w:val="auto"/>
                <w:sz w:val="21"/>
                <w:szCs w:val="21"/>
                <w:highlight w:val="none"/>
                <w:u w:val="none"/>
              </w:rPr>
              <w:t>100</w:t>
            </w:r>
            <w:r>
              <w:rPr>
                <w:rFonts w:hint="eastAsia"/>
                <w:color w:val="auto"/>
                <w:sz w:val="21"/>
                <w:szCs w:val="21"/>
                <w:highlight w:val="none"/>
                <w:u w:val="none"/>
                <w:lang w:eastAsia="zh-CN"/>
              </w:rPr>
              <w:t>m</w:t>
            </w:r>
            <w:r>
              <w:rPr>
                <w:rFonts w:hint="eastAsia" w:ascii="Times New Roman" w:hAnsi="Times New Roman"/>
                <w:color w:val="auto"/>
                <w:sz w:val="21"/>
                <w:szCs w:val="21"/>
                <w:highlight w:val="none"/>
                <w:u w:val="none"/>
                <w:vertAlign w:val="superscript"/>
                <w:lang w:eastAsia="zh-CN"/>
              </w:rPr>
              <w:t>3</w:t>
            </w:r>
            <w:r>
              <w:rPr>
                <w:rFonts w:hint="eastAsia"/>
                <w:color w:val="auto"/>
                <w:sz w:val="21"/>
                <w:szCs w:val="21"/>
                <w:highlight w:val="none"/>
                <w:u w:val="none"/>
              </w:rPr>
              <w:t>/d污水处理站。</w:t>
            </w:r>
            <w:r>
              <w:rPr>
                <w:rFonts w:hint="eastAsia" w:ascii="宋体" w:hAnsi="宋体" w:cs="宋体"/>
                <w:color w:val="auto"/>
                <w:sz w:val="21"/>
                <w:szCs w:val="21"/>
                <w:highlight w:val="none"/>
                <w:u w:val="none"/>
              </w:rPr>
              <w:t>高浓度废水进行</w:t>
            </w:r>
            <w:r>
              <w:rPr>
                <w:rFonts w:hint="eastAsia" w:cs="宋体"/>
                <w:color w:val="auto"/>
                <w:sz w:val="21"/>
                <w:szCs w:val="21"/>
                <w:highlight w:val="none"/>
                <w:u w:val="none"/>
                <w:lang w:val="en-US" w:eastAsia="zh-CN"/>
              </w:rPr>
              <w:t>蒸发</w:t>
            </w:r>
            <w:r>
              <w:rPr>
                <w:rFonts w:hint="eastAsia" w:ascii="宋体" w:hAnsi="宋体" w:cs="宋体"/>
                <w:color w:val="auto"/>
                <w:sz w:val="21"/>
                <w:szCs w:val="21"/>
                <w:highlight w:val="none"/>
                <w:u w:val="none"/>
              </w:rPr>
              <w:t>预处理，</w:t>
            </w:r>
            <w:r>
              <w:rPr>
                <w:rFonts w:hint="eastAsia" w:cs="宋体"/>
                <w:color w:val="auto"/>
                <w:sz w:val="21"/>
                <w:szCs w:val="21"/>
                <w:highlight w:val="none"/>
                <w:u w:val="none"/>
                <w:lang w:val="en-US" w:eastAsia="zh-CN"/>
              </w:rPr>
              <w:t>处理后</w:t>
            </w:r>
            <w:r>
              <w:rPr>
                <w:rFonts w:hint="eastAsia" w:ascii="宋体" w:hAnsi="宋体" w:cs="宋体"/>
                <w:color w:val="auto"/>
                <w:sz w:val="21"/>
                <w:szCs w:val="21"/>
                <w:highlight w:val="none"/>
                <w:u w:val="none"/>
              </w:rPr>
              <w:t>废水再与其他中低浓度废水一并进入污水</w:t>
            </w:r>
            <w:r>
              <w:rPr>
                <w:rFonts w:hint="eastAsia" w:ascii="宋体" w:hAnsi="宋体" w:cs="宋体"/>
                <w:color w:val="auto"/>
                <w:sz w:val="21"/>
                <w:szCs w:val="21"/>
                <w:highlight w:val="none"/>
                <w:u w:val="none"/>
                <w:lang w:eastAsia="zh-CN"/>
              </w:rPr>
              <w:t>站进</w:t>
            </w:r>
            <w:r>
              <w:rPr>
                <w:rFonts w:hint="eastAsia" w:ascii="宋体" w:hAnsi="宋体" w:cs="宋体"/>
                <w:color w:val="auto"/>
                <w:sz w:val="21"/>
                <w:szCs w:val="21"/>
                <w:highlight w:val="none"/>
                <w:u w:val="none"/>
              </w:rPr>
              <w:t>行后续生化处理。项目废水经厂区污水处理站处理（处理工艺为“</w:t>
            </w:r>
            <w:r>
              <w:rPr>
                <w:rFonts w:hint="eastAsia" w:ascii="宋体" w:hAnsi="宋体" w:cs="宋体"/>
                <w:color w:val="auto"/>
                <w:sz w:val="21"/>
                <w:szCs w:val="21"/>
                <w:highlight w:val="none"/>
                <w:u w:val="none"/>
                <w:lang w:val="en-US" w:eastAsia="zh-CN"/>
              </w:rPr>
              <w:t>芬顿氧化</w:t>
            </w:r>
            <w:r>
              <w:rPr>
                <w:rFonts w:hint="eastAsia" w:ascii="宋体" w:hAnsi="宋体" w:cs="宋体"/>
                <w:color w:val="auto"/>
                <w:sz w:val="21"/>
                <w:szCs w:val="21"/>
                <w:highlight w:val="none"/>
                <w:u w:val="none"/>
              </w:rPr>
              <w:t>+水解酸化+</w:t>
            </w:r>
            <w:r>
              <w:rPr>
                <w:rFonts w:hint="eastAsia" w:cs="宋体"/>
                <w:color w:val="auto"/>
                <w:sz w:val="21"/>
                <w:szCs w:val="21"/>
                <w:highlight w:val="none"/>
                <w:u w:val="none"/>
              </w:rPr>
              <w:t>UASB</w:t>
            </w:r>
            <w:r>
              <w:rPr>
                <w:rFonts w:hint="eastAsia" w:ascii="宋体" w:hAnsi="宋体" w:cs="宋体"/>
                <w:color w:val="auto"/>
                <w:sz w:val="21"/>
                <w:szCs w:val="21"/>
                <w:highlight w:val="none"/>
                <w:u w:val="none"/>
              </w:rPr>
              <w:t>+改进型</w:t>
            </w:r>
            <w:r>
              <w:rPr>
                <w:rFonts w:hint="eastAsia" w:cs="宋体"/>
                <w:color w:val="auto"/>
                <w:sz w:val="21"/>
                <w:szCs w:val="21"/>
                <w:highlight w:val="none"/>
                <w:u w:val="none"/>
              </w:rPr>
              <w:t>A</w:t>
            </w:r>
            <w:r>
              <w:rPr>
                <w:rFonts w:hint="eastAsia" w:ascii="宋体" w:hAnsi="宋体" w:cs="宋体"/>
                <w:color w:val="auto"/>
                <w:sz w:val="21"/>
                <w:szCs w:val="21"/>
                <w:highlight w:val="none"/>
                <w:u w:val="none"/>
              </w:rPr>
              <w:t>/</w:t>
            </w:r>
            <w:r>
              <w:rPr>
                <w:rFonts w:hint="eastAsia" w:cs="宋体"/>
                <w:color w:val="auto"/>
                <w:sz w:val="21"/>
                <w:szCs w:val="21"/>
                <w:highlight w:val="none"/>
                <w:u w:val="none"/>
              </w:rPr>
              <w:t>O</w:t>
            </w:r>
            <w:r>
              <w:rPr>
                <w:rFonts w:hint="eastAsia" w:ascii="宋体" w:hAnsi="宋体" w:cs="宋体"/>
                <w:color w:val="auto"/>
                <w:sz w:val="21"/>
                <w:szCs w:val="21"/>
                <w:highlight w:val="none"/>
                <w:u w:val="none"/>
              </w:rPr>
              <w:t>+混凝沉淀”）达标后进入项城市第二污水处理厂。</w:t>
            </w:r>
          </w:p>
          <w:p w14:paraId="48F2FDE5">
            <w:pPr>
              <w:ind w:firstLine="420" w:firstLineChars="200"/>
              <w:rPr>
                <w:rFonts w:ascii="Times New Roman" w:hAnsi="Times New Roman" w:cs="Times New Roman"/>
                <w:szCs w:val="21"/>
              </w:rPr>
            </w:pPr>
            <w:r>
              <w:rPr>
                <w:rFonts w:hint="eastAsia" w:ascii="Times New Roman" w:hAnsi="Times New Roman" w:cs="Times New Roman"/>
                <w:szCs w:val="21"/>
              </w:rPr>
              <w:t>噪声：</w:t>
            </w:r>
            <w:r>
              <w:rPr>
                <w:color w:val="auto"/>
                <w:highlight w:val="none"/>
                <w:u w:val="none"/>
              </w:rPr>
              <w:t>采取减振基础、</w:t>
            </w:r>
            <w:r>
              <w:rPr>
                <w:rFonts w:hint="eastAsia"/>
                <w:color w:val="auto"/>
                <w:highlight w:val="none"/>
                <w:u w:val="none"/>
              </w:rPr>
              <w:t>安装消声器</w:t>
            </w:r>
            <w:r>
              <w:rPr>
                <w:color w:val="auto"/>
                <w:highlight w:val="none"/>
                <w:u w:val="none"/>
              </w:rPr>
              <w:t>等措施</w:t>
            </w:r>
            <w:r>
              <w:rPr>
                <w:rFonts w:hint="eastAsia" w:ascii="Times New Roman" w:hAnsi="Times New Roman" w:cs="Times New Roman"/>
                <w:szCs w:val="21"/>
              </w:rPr>
              <w:t>，厂界满足《工业企业厂界环境噪声排放标准》（GB12348-2008）</w:t>
            </w:r>
            <w:r>
              <w:rPr>
                <w:rFonts w:ascii="Times New Roman" w:hAnsi="Times New Roman" w:cs="Times New Roman"/>
                <w:szCs w:val="21"/>
              </w:rPr>
              <w:t>3</w:t>
            </w:r>
            <w:r>
              <w:rPr>
                <w:rFonts w:hint="eastAsia" w:ascii="Times New Roman" w:hAnsi="Times New Roman" w:cs="Times New Roman"/>
                <w:szCs w:val="21"/>
              </w:rPr>
              <w:t>类标准要求。</w:t>
            </w:r>
          </w:p>
          <w:p w14:paraId="7FD0259F">
            <w:pPr>
              <w:ind w:firstLine="420" w:firstLineChars="200"/>
            </w:pPr>
            <w:r>
              <w:rPr>
                <w:rFonts w:hint="eastAsia" w:ascii="Times New Roman" w:hAnsi="Times New Roman" w:cs="Times New Roman"/>
                <w:szCs w:val="21"/>
              </w:rPr>
              <w:t>固废：</w:t>
            </w:r>
            <w:r>
              <w:rPr>
                <w:rFonts w:hint="eastAsia"/>
                <w:color w:val="auto"/>
                <w:highlight w:val="none"/>
                <w:u w:val="none"/>
              </w:rPr>
              <w:t>项目生活垃圾由环卫部门统一</w:t>
            </w:r>
            <w:r>
              <w:rPr>
                <w:color w:val="auto"/>
                <w:highlight w:val="none"/>
                <w:u w:val="none"/>
              </w:rPr>
              <w:t>处理</w:t>
            </w:r>
            <w:r>
              <w:rPr>
                <w:rFonts w:hint="eastAsia"/>
                <w:color w:val="auto"/>
                <w:highlight w:val="none"/>
                <w:u w:val="none"/>
              </w:rPr>
              <w:t>；</w:t>
            </w:r>
            <w:r>
              <w:rPr>
                <w:rFonts w:hint="eastAsia"/>
                <w:color w:val="auto"/>
                <w:highlight w:val="none"/>
                <w:u w:val="none"/>
                <w:lang w:val="en-US" w:eastAsia="zh-CN"/>
              </w:rPr>
              <w:t>其他一般工业固体废物暂存于一般固废暂存间；</w:t>
            </w:r>
            <w:r>
              <w:rPr>
                <w:color w:val="auto"/>
                <w:highlight w:val="none"/>
                <w:u w:val="none"/>
              </w:rPr>
              <w:t>危险废物</w:t>
            </w:r>
            <w:r>
              <w:rPr>
                <w:rFonts w:hint="eastAsia"/>
                <w:color w:val="auto"/>
                <w:highlight w:val="none"/>
                <w:u w:val="none"/>
              </w:rPr>
              <w:t>将在厂区内危废暂存间临时贮存，污泥进行袋装，</w:t>
            </w:r>
            <w:r>
              <w:rPr>
                <w:rFonts w:hint="eastAsia"/>
                <w:bCs/>
                <w:color w:val="auto"/>
                <w:highlight w:val="none"/>
                <w:u w:val="none"/>
              </w:rPr>
              <w:t>蒸馏残液、浓缩残液</w:t>
            </w:r>
            <w:r>
              <w:rPr>
                <w:rFonts w:hint="eastAsia"/>
                <w:color w:val="auto"/>
                <w:highlight w:val="none"/>
                <w:u w:val="none"/>
              </w:rPr>
              <w:t>等其他废物分别进行桶装，</w:t>
            </w:r>
            <w:r>
              <w:rPr>
                <w:color w:val="auto"/>
                <w:highlight w:val="none"/>
                <w:u w:val="none"/>
              </w:rPr>
              <w:t>分类存放在各自的堆放区，</w:t>
            </w:r>
            <w:r>
              <w:rPr>
                <w:rFonts w:hint="eastAsia"/>
                <w:color w:val="auto"/>
                <w:highlight w:val="none"/>
                <w:u w:val="none"/>
              </w:rPr>
              <w:t>再由有资质单位定期</w:t>
            </w:r>
            <w:r>
              <w:rPr>
                <w:color w:val="auto"/>
                <w:highlight w:val="none"/>
                <w:u w:val="none"/>
              </w:rPr>
              <w:t>进行无害化安全处置</w:t>
            </w:r>
            <w:r>
              <w:rPr>
                <w:rFonts w:hint="eastAsia" w:ascii="Times New Roman" w:hAnsi="Times New Roman" w:cs="Times New Roman"/>
                <w:szCs w:val="21"/>
              </w:rPr>
              <w:t>。</w:t>
            </w:r>
          </w:p>
        </w:tc>
        <w:tc>
          <w:tcPr>
            <w:tcW w:w="883" w:type="dxa"/>
            <w:shd w:val="clear" w:color="auto" w:fill="auto"/>
          </w:tcPr>
          <w:p w14:paraId="393A323A">
            <w:pPr>
              <w:jc w:val="center"/>
              <w:rPr>
                <w:rFonts w:ascii="Times New Roman" w:cs="Times New Roman" w:hAnsiTheme="minorEastAsia"/>
                <w:szCs w:val="21"/>
              </w:rPr>
            </w:pPr>
            <w:r>
              <w:rPr>
                <w:rFonts w:hint="eastAsia" w:ascii="Times New Roman" w:cs="Times New Roman" w:hAnsiTheme="minorEastAsia"/>
                <w:szCs w:val="21"/>
              </w:rPr>
              <w:t xml:space="preserve">建设单位开展 </w:t>
            </w:r>
          </w:p>
          <w:p w14:paraId="2995280A">
            <w:pPr>
              <w:jc w:val="center"/>
              <w:rPr>
                <w:rFonts w:ascii="Times New Roman" w:cs="Times New Roman" w:hAnsiTheme="minorEastAsia"/>
                <w:szCs w:val="21"/>
              </w:rPr>
            </w:pPr>
            <w:r>
              <w:rPr>
                <w:rFonts w:hint="eastAsia" w:ascii="Times New Roman" w:cs="Times New Roman" w:hAnsiTheme="minorEastAsia"/>
                <w:szCs w:val="21"/>
              </w:rPr>
              <w:t xml:space="preserve">了公众参与调查，通过两次网络公示、报纸公示、信息张贴公告等形式广泛征求 </w:t>
            </w:r>
          </w:p>
          <w:p w14:paraId="35927C6E">
            <w:pPr>
              <w:jc w:val="center"/>
              <w:rPr>
                <w:rFonts w:ascii="Times New Roman" w:hAnsi="Times New Roman" w:cs="Times New Roman"/>
                <w:szCs w:val="21"/>
              </w:rPr>
            </w:pPr>
            <w:r>
              <w:rPr>
                <w:rFonts w:hint="eastAsia" w:ascii="Times New Roman" w:cs="Times New Roman" w:hAnsiTheme="minorEastAsia"/>
                <w:szCs w:val="21"/>
              </w:rPr>
              <w:t>了公众意见。</w:t>
            </w:r>
          </w:p>
        </w:tc>
      </w:tr>
    </w:tbl>
    <w:p w14:paraId="6D1044D0">
      <w:pPr>
        <w:rPr>
          <w:rFonts w:ascii="Times New Roman" w:cs="Times New Roman" w:hAnsiTheme="minorEastAsia"/>
          <w:sz w:val="28"/>
          <w:szCs w:val="28"/>
        </w:rPr>
      </w:pPr>
      <w:r>
        <w:rPr>
          <w:rFonts w:hint="eastAsia" w:ascii="Times New Roman" w:cs="Times New Roman" w:hAnsiTheme="minorEastAsia"/>
          <w:sz w:val="28"/>
          <w:szCs w:val="28"/>
        </w:rPr>
        <w:t>注：根据《建设项目环境影响评价政府信息公开指南（试行）》的有关规定，上述环境影响报告书、表不含涉及国家秘密、商业秘密、个人隐私以及涉及国家安全、公共安全、经济安全和社会稳定的内容。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2"/>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E7358C"/>
    <w:multiLevelType w:val="singleLevel"/>
    <w:tmpl w:val="02E7358C"/>
    <w:lvl w:ilvl="0" w:tentative="0">
      <w:start w:val="1"/>
      <w:numFmt w:val="bullet"/>
      <w:pStyle w:val="5"/>
      <w:lvlText w:val=""/>
      <w:lvlJc w:val="left"/>
      <w:pPr>
        <w:tabs>
          <w:tab w:val="left" w:pos="2040"/>
        </w:tabs>
        <w:ind w:left="204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jBmNjY0OWM0ZmM5NDE4NjcxYmU4ODI1ODcyMjE2NDEifQ=="/>
  </w:docVars>
  <w:rsids>
    <w:rsidRoot w:val="001E5CDA"/>
    <w:rsid w:val="000158FF"/>
    <w:rsid w:val="000254D6"/>
    <w:rsid w:val="000D1D58"/>
    <w:rsid w:val="00137019"/>
    <w:rsid w:val="00172BB5"/>
    <w:rsid w:val="001D4EB9"/>
    <w:rsid w:val="001E5CDA"/>
    <w:rsid w:val="00346556"/>
    <w:rsid w:val="00901730"/>
    <w:rsid w:val="00E2472E"/>
    <w:rsid w:val="00EE20F3"/>
    <w:rsid w:val="07747E88"/>
    <w:rsid w:val="0C771E12"/>
    <w:rsid w:val="0D79298D"/>
    <w:rsid w:val="0F1C1CB3"/>
    <w:rsid w:val="117F61F0"/>
    <w:rsid w:val="16707C20"/>
    <w:rsid w:val="2473652D"/>
    <w:rsid w:val="24980B09"/>
    <w:rsid w:val="27052EC1"/>
    <w:rsid w:val="296348D8"/>
    <w:rsid w:val="2B033176"/>
    <w:rsid w:val="2BC50FE3"/>
    <w:rsid w:val="2C9A25B7"/>
    <w:rsid w:val="2E264D56"/>
    <w:rsid w:val="2FA70495"/>
    <w:rsid w:val="303C36D2"/>
    <w:rsid w:val="33D8698B"/>
    <w:rsid w:val="37D5281F"/>
    <w:rsid w:val="3C9B48E8"/>
    <w:rsid w:val="43BA548A"/>
    <w:rsid w:val="44244342"/>
    <w:rsid w:val="46F550A6"/>
    <w:rsid w:val="4BA6413B"/>
    <w:rsid w:val="4C87000A"/>
    <w:rsid w:val="4D7E008B"/>
    <w:rsid w:val="5C5B5395"/>
    <w:rsid w:val="5CD65E0C"/>
    <w:rsid w:val="61EC0466"/>
    <w:rsid w:val="6508627A"/>
    <w:rsid w:val="696541D7"/>
    <w:rsid w:val="6BB80972"/>
    <w:rsid w:val="6D3E1F4F"/>
    <w:rsid w:val="7E7A55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0"/>
    <w:pPr>
      <w:keepNext/>
      <w:keepLines/>
      <w:spacing w:before="260" w:after="260" w:line="416" w:lineRule="auto"/>
      <w:outlineLvl w:val="1"/>
    </w:pPr>
    <w:rPr>
      <w:rFonts w:ascii="Calibri Light" w:hAnsi="Calibri Light" w:eastAsia="宋体" w:cs="Times New Roman"/>
      <w:b/>
      <w:bCs/>
      <w:sz w:val="32"/>
      <w:szCs w:val="32"/>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spacing w:line="520" w:lineRule="atLeast"/>
      <w:ind w:firstLine="200"/>
    </w:pPr>
    <w:rPr>
      <w:sz w:val="28"/>
      <w:szCs w:val="21"/>
    </w:rPr>
  </w:style>
  <w:style w:type="paragraph" w:styleId="4">
    <w:name w:val="Body Text"/>
    <w:basedOn w:val="1"/>
    <w:next w:val="5"/>
    <w:qFormat/>
    <w:uiPriority w:val="0"/>
    <w:pPr>
      <w:spacing w:line="400" w:lineRule="exact"/>
    </w:pPr>
    <w:rPr>
      <w:sz w:val="28"/>
    </w:rPr>
  </w:style>
  <w:style w:type="paragraph" w:styleId="5">
    <w:name w:val="List Bullet 5"/>
    <w:basedOn w:val="1"/>
    <w:semiHidden/>
    <w:unhideWhenUsed/>
    <w:qFormat/>
    <w:uiPriority w:val="99"/>
    <w:pPr>
      <w:numPr>
        <w:ilvl w:val="0"/>
        <w:numId w:val="1"/>
      </w:numPr>
    </w:pPr>
  </w:style>
  <w:style w:type="paragraph" w:styleId="6">
    <w:name w:val="footer"/>
    <w:basedOn w:val="1"/>
    <w:link w:val="14"/>
    <w:unhideWhenUsed/>
    <w:qFormat/>
    <w:uiPriority w:val="99"/>
    <w:pPr>
      <w:tabs>
        <w:tab w:val="center" w:pos="4153"/>
        <w:tab w:val="right" w:pos="8306"/>
      </w:tabs>
      <w:snapToGrid w:val="0"/>
      <w:jc w:val="left"/>
    </w:pPr>
    <w:rPr>
      <w:sz w:val="18"/>
      <w:szCs w:val="18"/>
    </w:rPr>
  </w:style>
  <w:style w:type="paragraph" w:styleId="7">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Body Text First Indent"/>
    <w:basedOn w:val="4"/>
    <w:next w:val="1"/>
    <w:unhideWhenUsed/>
    <w:qFormat/>
    <w:uiPriority w:val="0"/>
    <w:pPr>
      <w:ind w:firstLine="420" w:firstLineChars="100"/>
    </w:pPr>
  </w:style>
  <w:style w:type="table" w:styleId="10">
    <w:name w:val="Table Grid"/>
    <w:basedOn w:val="9"/>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paragraph" w:customStyle="1" w:styleId="12">
    <w:name w:val="正文一"/>
    <w:basedOn w:val="1"/>
    <w:qFormat/>
    <w:uiPriority w:val="0"/>
    <w:pPr>
      <w:spacing w:line="600" w:lineRule="exact"/>
      <w:ind w:firstLine="200" w:firstLineChars="200"/>
    </w:pPr>
    <w:rPr>
      <w:rFonts w:ascii="Times New Roman" w:hAnsi="Times New Roman" w:eastAsia="宋体" w:cs="Times New Roman"/>
      <w:kern w:val="0"/>
      <w:sz w:val="28"/>
      <w:szCs w:val="28"/>
    </w:rPr>
  </w:style>
  <w:style w:type="character" w:customStyle="1" w:styleId="13">
    <w:name w:val="页眉 字符"/>
    <w:basedOn w:val="11"/>
    <w:link w:val="7"/>
    <w:qFormat/>
    <w:uiPriority w:val="99"/>
    <w:rPr>
      <w:rFonts w:asciiTheme="minorHAnsi" w:hAnsiTheme="minorHAnsi" w:eastAsiaTheme="minorEastAsia" w:cstheme="minorBidi"/>
      <w:kern w:val="2"/>
      <w:sz w:val="18"/>
      <w:szCs w:val="18"/>
    </w:rPr>
  </w:style>
  <w:style w:type="character" w:customStyle="1" w:styleId="14">
    <w:name w:val="页脚 字符"/>
    <w:basedOn w:val="11"/>
    <w:link w:val="6"/>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3aaf70c1-1895-44f2-96f2-fa6561c70a3d</errorID>
      <errorWord>可</errorWord>
      <group>L1_Word</group>
      <groupName>字词问题</groupName>
      <ability>L2_Typo</ability>
      <abilityName>字词错误</abilityName>
      <candidateList>
        <item>可以</item>
      </candidateList>
      <explain>〈口〉〈形〉❶好；不坏；过得去：这篇文章写得还～。❷厉害：你这张嘴真～｜天气实在热得～。</explain>
      <paraID>3CFA4468</paraID>
      <start>49</start>
      <end>50</end>
      <status>unmodified</status>
      <modifiedWord/>
      <trackRevisions>false</trackRevisions>
    </reviewItem>
    <reviewItem>
      <errorID>c1689a3f-77aa-4c96-933d-8f4c102d2441</errorID>
      <errorWord>(</errorWord>
      <group>L1_Format</group>
      <groupName>格式问题</groupName>
      <ability>L2_HalfPunc</ability>
      <abilityName>全半角检查</abilityName>
      <candidateList>
        <item>（</item>
      </candidateList>
      <explain>文本全半角错误。</explain>
      <paraID>1FD9FB2D</paraID>
      <start>90</start>
      <end>91</end>
      <status>modified</status>
      <modifiedWord>（</modifiedWord>
      <trackRevisions>false</trackRevisions>
    </reviewItem>
    <reviewItem>
      <errorID>53fd71b7-374b-4b79-ad73-ff425d43c560</errorID>
      <errorWord>)</errorWord>
      <group>L1_Format</group>
      <groupName>格式问题</groupName>
      <ability>L2_HalfPunc</ability>
      <abilityName>全半角检查</abilityName>
      <candidateList>
        <item>）</item>
      </candidateList>
      <explain>文本全半角错误。</explain>
      <paraID>1FD9FB2D</paraID>
      <start>112</start>
      <end>113</end>
      <status>modified</status>
      <modifiedWord>）</modifiedWord>
      <trackRevisions>false</trackRevisions>
    </reviewItem>
    <reviewItem>
      <errorID>14504cf2-eee1-4cc3-aabd-3f49b8396db3</errorID>
      <errorWord>:</errorWord>
      <group>L1_Format</group>
      <groupName>格式问题</groupName>
      <ability>L2_HalfPunc</ability>
      <abilityName>全半角检查</abilityName>
      <candidateList>
        <item>：</item>
      </candidateList>
      <explain>文本全半角错误。</explain>
      <paraID>1FD9FB2D</paraID>
      <start>119</start>
      <end>120</end>
      <status>modified</status>
      <modifiedWord>：</modifiedWord>
      <trackRevisions>false</trackRevisions>
    </reviewItem>
    <reviewItem>
      <errorID>f9fd1fe3-c11f-4ca8-ac3c-f9b8b07d27b2</errorID>
      <errorWord>:</errorWord>
      <group>L1_Format</group>
      <groupName>格式问题</groupName>
      <ability>L2_HalfPunc</ability>
      <abilityName>全半角检查</abilityName>
      <candidateList>
        <item>：</item>
      </candidateList>
      <explain>文本全半角错误。</explain>
      <paraID>  3970B1</paraID>
      <start>2</start>
      <end>3</end>
      <status>modified</status>
      <modifiedWord>：</modifiedWord>
      <trackRevisions>false</trackRevisions>
    </reviewItem>
    <reviewItem>
      <errorID>95752f3e-1653-480a-864f-ecad60e99f8a</errorID>
      <errorWord>了</errorWord>
      <group>L1_Grammar</group>
      <groupName>语法问题</groupName>
      <ability>L2_Order</ability>
      <abilityName>语序不当</abilityName>
      <candidateList>
        <item>为了</item>
      </candidateList>
      <explain>句子可能没有遵循时空、逻辑顺序，或者介词、关联词等位置不当。</explain>
      <paraID>2995280A</paraID>
      <start>0</start>
      <end>1</end>
      <status>unmodified</status>
      <modifiedWord/>
      <trackRevisions>false</trackRevisions>
    </reviewItem>
  </reviewItems>
  <config/>
</contractReview>
</file>

<file path=customXml/itemProps1.xml><?xml version="1.0" encoding="utf-8"?>
<ds:datastoreItem xmlns:ds="http://schemas.openxmlformats.org/officeDocument/2006/customXml" ds:itemID="{42eba224-857b-4926-82a2-02035c82edb7}">
  <ds:schemaRefs/>
</ds:datastoreItem>
</file>

<file path=docProps/app.xml><?xml version="1.0" encoding="utf-8"?>
<Properties xmlns="http://schemas.openxmlformats.org/officeDocument/2006/extended-properties" xmlns:vt="http://schemas.openxmlformats.org/officeDocument/2006/docPropsVTypes">
  <Template>Normal.dotm</Template>
  <Pages>2</Pages>
  <Words>1305</Words>
  <Characters>1362</Characters>
  <Lines>13</Lines>
  <Paragraphs>3</Paragraphs>
  <TotalTime>3</TotalTime>
  <ScaleCrop>false</ScaleCrop>
  <LinksUpToDate>false</LinksUpToDate>
  <CharactersWithSpaces>1364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2024-06-04T10:25:00Z</dcterms:created>
  <dc:creator>DUGUOZHU</dc:creator>
  <cp:lastModifiedBy>～～～～河～～～～</cp:lastModifiedBy>
  <dcterms:modified xsi:type="dcterms:W3CDTF">2025-11-24T08:56:48Z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94860026EB3B4334A86938CA00B9B21C_12</vt:lpwstr>
  </property>
  <property fmtid="{D5CDD505-2E9C-101B-9397-08002B2CF9AE}" pid="4" name="KSOTemplateDocerSaveRecord">
    <vt:lpwstr>eyJoZGlkIjoiZjJmMzMwZmZhNmJlYWE2MjBmMGE2NDdjZGJlY2YzM2EiLCJ1c2VySWQiOiIyNTAwNDYyNTgifQ==</vt:lpwstr>
  </property>
</Properties>
</file>