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E047C94">
      <w:pPr>
        <w:jc w:val="center"/>
        <w:rPr>
          <w:rFonts w:hint="eastAsia" w:ascii="黑体" w:hAnsi="黑体" w:eastAsia="黑体"/>
          <w:sz w:val="32"/>
          <w:szCs w:val="32"/>
        </w:rPr>
      </w:pPr>
      <w:r>
        <w:rPr>
          <w:rFonts w:hint="eastAsia" w:ascii="黑体" w:hAnsi="黑体" w:eastAsia="黑体"/>
          <w:sz w:val="32"/>
          <w:szCs w:val="32"/>
        </w:rPr>
        <w:t>周口市生态环境局关于</w:t>
      </w:r>
      <w:r>
        <w:rPr>
          <w:rFonts w:ascii="黑体" w:hAnsi="黑体" w:eastAsia="黑体"/>
          <w:sz w:val="32"/>
          <w:szCs w:val="32"/>
        </w:rPr>
        <w:t>富联科技（周口）有限公司智能手机精密机构件项目</w:t>
      </w:r>
    </w:p>
    <w:p w14:paraId="1AFEE2F5">
      <w:pPr>
        <w:jc w:val="center"/>
        <w:rPr>
          <w:rFonts w:hint="eastAsia" w:ascii="黑体" w:hAnsi="黑体" w:eastAsia="黑体"/>
          <w:sz w:val="32"/>
          <w:szCs w:val="32"/>
        </w:rPr>
      </w:pPr>
      <w:r>
        <w:rPr>
          <w:rFonts w:hint="eastAsia" w:ascii="黑体" w:hAnsi="黑体" w:eastAsia="黑体"/>
          <w:sz w:val="32"/>
          <w:szCs w:val="32"/>
        </w:rPr>
        <w:t>环境影响评价文件</w:t>
      </w:r>
      <w:r>
        <w:rPr>
          <w:rFonts w:hint="eastAsia" w:ascii="黑体" w:hAnsi="黑体" w:eastAsia="黑体"/>
          <w:sz w:val="32"/>
          <w:szCs w:val="32"/>
          <w:lang w:val="en-US" w:eastAsia="zh-CN"/>
        </w:rPr>
        <w:t>受理</w:t>
      </w:r>
      <w:r>
        <w:rPr>
          <w:rFonts w:hint="eastAsia" w:ascii="黑体" w:hAnsi="黑体" w:eastAsia="黑体"/>
          <w:sz w:val="32"/>
          <w:szCs w:val="32"/>
        </w:rPr>
        <w:t>拟审批情况的公示</w:t>
      </w:r>
    </w:p>
    <w:p w14:paraId="68CEC9C8">
      <w:pPr>
        <w:ind w:firstLine="560" w:firstLineChars="200"/>
        <w:rPr>
          <w:rFonts w:hint="eastAsia" w:ascii="Times New Roman" w:cs="Times New Roman" w:hAnsiTheme="minorEastAsia"/>
          <w:sz w:val="28"/>
          <w:szCs w:val="28"/>
          <w:highlight w:val="yellow"/>
        </w:rPr>
      </w:pPr>
      <w:r>
        <w:rPr>
          <w:rFonts w:hint="eastAsia" w:ascii="Times New Roman" w:cs="Times New Roman" w:hAnsiTheme="minorEastAsia"/>
          <w:sz w:val="28"/>
          <w:szCs w:val="28"/>
        </w:rPr>
        <w:t>根据建设项目环境影响评价审批程序的有关规定，经审议，我局拟对</w:t>
      </w:r>
      <w:r>
        <w:rPr>
          <w:rFonts w:ascii="Times New Roman" w:cs="Times New Roman" w:hAnsiTheme="minorEastAsia"/>
          <w:sz w:val="28"/>
          <w:szCs w:val="28"/>
        </w:rPr>
        <w:t>富联科技（周口）有限公司智能手机精密机构件项目</w:t>
      </w:r>
      <w:r>
        <w:rPr>
          <w:rFonts w:hint="eastAsia" w:ascii="Times New Roman" w:cs="Times New Roman" w:hAnsiTheme="minorEastAsia"/>
          <w:sz w:val="28"/>
          <w:szCs w:val="28"/>
        </w:rPr>
        <w:t>环境影响评价文件作出拟审批意见。为保证拟审批意见的严肃性和公正性，现将建设项目环境影响评价文件的基本情况予以公示。</w:t>
      </w:r>
      <w:r>
        <w:rPr>
          <w:rFonts w:hint="eastAsia" w:ascii="Times New Roman" w:hAnsi="宋体" w:eastAsia="宋体" w:cs="Times New Roman"/>
          <w:sz w:val="28"/>
          <w:szCs w:val="28"/>
        </w:rPr>
        <w:t>如有异议，请自本公示发布之日起5个工作日内反馈我局行政审批服务科</w:t>
      </w:r>
      <w:r>
        <w:rPr>
          <w:rFonts w:hint="eastAsia" w:ascii="Times New Roman" w:cs="Times New Roman" w:hAnsiTheme="minorEastAsia"/>
          <w:sz w:val="28"/>
          <w:szCs w:val="28"/>
        </w:rPr>
        <w:t>。</w:t>
      </w:r>
    </w:p>
    <w:p w14:paraId="66CB79C0">
      <w:pPr>
        <w:ind w:firstLine="560" w:firstLineChars="200"/>
        <w:rPr>
          <w:rFonts w:hint="eastAsia" w:ascii="Times New Roman" w:cs="Times New Roman" w:hAnsiTheme="minorEastAsia"/>
          <w:sz w:val="28"/>
          <w:szCs w:val="28"/>
        </w:rPr>
      </w:pPr>
      <w:r>
        <w:rPr>
          <w:rFonts w:hint="eastAsia" w:ascii="Times New Roman" w:cs="Times New Roman" w:hAnsiTheme="minorEastAsia"/>
          <w:sz w:val="28"/>
          <w:szCs w:val="28"/>
        </w:rPr>
        <w:t>电话（传真）：0394-8278830</w:t>
      </w:r>
      <w:bookmarkStart w:id="5" w:name="_GoBack"/>
      <w:bookmarkEnd w:id="5"/>
    </w:p>
    <w:p w14:paraId="3A517E07">
      <w:pPr>
        <w:ind w:firstLine="560" w:firstLineChars="200"/>
        <w:rPr>
          <w:rFonts w:hint="eastAsia" w:ascii="Times New Roman" w:cs="Times New Roman" w:hAnsiTheme="minorEastAsia"/>
          <w:sz w:val="28"/>
          <w:szCs w:val="28"/>
        </w:rPr>
      </w:pPr>
      <w:r>
        <w:rPr>
          <w:rFonts w:hint="eastAsia" w:ascii="Times New Roman" w:cs="Times New Roman" w:hAnsiTheme="minorEastAsia"/>
          <w:sz w:val="28"/>
          <w:szCs w:val="28"/>
        </w:rPr>
        <w:t>通讯地址：周口市政务服务中心二楼北厅生态环境局窗口</w:t>
      </w:r>
    </w:p>
    <w:p w14:paraId="3CFA4468">
      <w:pPr>
        <w:ind w:firstLine="560" w:firstLineChars="200"/>
        <w:rPr>
          <w:rFonts w:hint="eastAsia" w:ascii="Times New Roman" w:cs="Times New Roman" w:hAnsiTheme="minorEastAsia"/>
          <w:sz w:val="28"/>
          <w:szCs w:val="28"/>
        </w:rPr>
      </w:pPr>
      <w:r>
        <w:rPr>
          <w:rFonts w:hint="eastAsia" w:ascii="Times New Roman" w:cs="Times New Roman" w:hAnsiTheme="minorEastAsia"/>
          <w:sz w:val="28"/>
          <w:szCs w:val="28"/>
        </w:rPr>
        <w:t>听证告知：依据《中华人民共和国行政许可法》，自公示起五个工作日内申请人、有重大利益关系的利害关系人可对以下拟作出的建设项目环境影响评价文件批复决定要求听证。</w:t>
      </w:r>
    </w:p>
    <w:p w14:paraId="52C4CB90">
      <w:pPr>
        <w:ind w:firstLine="560" w:firstLineChars="200"/>
        <w:jc w:val="center"/>
        <w:rPr>
          <w:rFonts w:hint="eastAsia" w:ascii="黑体" w:hAnsi="黑体" w:eastAsia="黑体" w:cs="Times New Roman"/>
          <w:sz w:val="28"/>
          <w:szCs w:val="28"/>
        </w:rPr>
      </w:pPr>
    </w:p>
    <w:p w14:paraId="4CE972BF">
      <w:pPr>
        <w:ind w:firstLine="560" w:firstLineChars="200"/>
        <w:jc w:val="center"/>
        <w:rPr>
          <w:rFonts w:hint="eastAsia" w:ascii="黑体" w:hAnsi="黑体" w:eastAsia="黑体" w:cs="Times New Roman"/>
          <w:sz w:val="28"/>
          <w:szCs w:val="28"/>
        </w:rPr>
      </w:pPr>
    </w:p>
    <w:p w14:paraId="6CB90C6B">
      <w:pPr>
        <w:ind w:firstLine="560" w:firstLineChars="200"/>
        <w:jc w:val="center"/>
        <w:rPr>
          <w:rFonts w:hint="eastAsia" w:ascii="黑体" w:hAnsi="黑体" w:eastAsia="黑体" w:cs="Times New Roman"/>
          <w:sz w:val="28"/>
          <w:szCs w:val="28"/>
        </w:rPr>
      </w:pPr>
    </w:p>
    <w:p w14:paraId="7E27E36F">
      <w:pPr>
        <w:ind w:firstLine="560" w:firstLineChars="200"/>
        <w:jc w:val="center"/>
        <w:rPr>
          <w:rFonts w:ascii="黑体" w:hAnsi="黑体" w:eastAsia="黑体" w:cs="Times New Roman"/>
          <w:sz w:val="28"/>
          <w:szCs w:val="28"/>
        </w:rPr>
      </w:pPr>
    </w:p>
    <w:p w14:paraId="6F5A1DEC">
      <w:pPr>
        <w:ind w:firstLine="560" w:firstLineChars="200"/>
        <w:jc w:val="center"/>
        <w:rPr>
          <w:rFonts w:hint="eastAsia" w:ascii="黑体" w:hAnsi="黑体" w:eastAsia="黑体" w:cs="Times New Roman"/>
          <w:sz w:val="28"/>
          <w:szCs w:val="28"/>
        </w:rPr>
      </w:pPr>
      <w:r>
        <w:rPr>
          <w:rFonts w:hint="eastAsia" w:ascii="黑体" w:hAnsi="黑体" w:eastAsia="黑体" w:cs="Times New Roman"/>
          <w:sz w:val="28"/>
          <w:szCs w:val="28"/>
        </w:rPr>
        <w:t>受理拟审批的建设项目环境影响报告表</w:t>
      </w:r>
    </w:p>
    <w:tbl>
      <w:tblPr>
        <w:tblStyle w:val="10"/>
        <w:tblW w:w="14174" w:type="dxa"/>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tblGrid>
        <w:gridCol w:w="426"/>
        <w:gridCol w:w="1100"/>
        <w:gridCol w:w="850"/>
        <w:gridCol w:w="993"/>
        <w:gridCol w:w="850"/>
        <w:gridCol w:w="1985"/>
        <w:gridCol w:w="7087"/>
        <w:gridCol w:w="883"/>
      </w:tblGrid>
      <w:tr w14:paraId="52E163D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426" w:type="dxa"/>
            <w:vAlign w:val="center"/>
          </w:tcPr>
          <w:p w14:paraId="62307F90">
            <w:pPr>
              <w:jc w:val="center"/>
              <w:rPr>
                <w:rFonts w:ascii="Times New Roman" w:hAnsi="Times New Roman" w:cs="Times New Roman"/>
                <w:szCs w:val="21"/>
              </w:rPr>
            </w:pPr>
            <w:r>
              <w:rPr>
                <w:rFonts w:ascii="Times New Roman" w:hAnsi="Times New Roman" w:cs="Times New Roman"/>
                <w:szCs w:val="21"/>
              </w:rPr>
              <w:t>序号</w:t>
            </w:r>
          </w:p>
        </w:tc>
        <w:tc>
          <w:tcPr>
            <w:tcW w:w="1100" w:type="dxa"/>
            <w:vAlign w:val="center"/>
          </w:tcPr>
          <w:p w14:paraId="07579573">
            <w:pPr>
              <w:jc w:val="center"/>
              <w:rPr>
                <w:rFonts w:ascii="Times New Roman" w:hAnsi="Times New Roman" w:cs="Times New Roman"/>
                <w:szCs w:val="21"/>
              </w:rPr>
            </w:pPr>
            <w:r>
              <w:rPr>
                <w:rFonts w:ascii="Times New Roman" w:hAnsi="Times New Roman" w:cs="Times New Roman"/>
                <w:szCs w:val="21"/>
              </w:rPr>
              <w:t>项目名称</w:t>
            </w:r>
          </w:p>
        </w:tc>
        <w:tc>
          <w:tcPr>
            <w:tcW w:w="850" w:type="dxa"/>
            <w:vAlign w:val="center"/>
          </w:tcPr>
          <w:p w14:paraId="6269A673">
            <w:pPr>
              <w:jc w:val="center"/>
              <w:rPr>
                <w:rFonts w:ascii="Times New Roman" w:hAnsi="Times New Roman" w:cs="Times New Roman"/>
                <w:szCs w:val="21"/>
              </w:rPr>
            </w:pPr>
            <w:r>
              <w:rPr>
                <w:rFonts w:ascii="Times New Roman" w:hAnsi="Times New Roman" w:cs="Times New Roman"/>
                <w:szCs w:val="21"/>
              </w:rPr>
              <w:t>建设</w:t>
            </w:r>
          </w:p>
          <w:p w14:paraId="3A3573D9">
            <w:pPr>
              <w:jc w:val="center"/>
              <w:rPr>
                <w:rFonts w:ascii="Times New Roman" w:hAnsi="Times New Roman" w:cs="Times New Roman"/>
                <w:szCs w:val="21"/>
              </w:rPr>
            </w:pPr>
            <w:r>
              <w:rPr>
                <w:rFonts w:ascii="Times New Roman" w:hAnsi="Times New Roman" w:cs="Times New Roman"/>
                <w:szCs w:val="21"/>
              </w:rPr>
              <w:t>地点</w:t>
            </w:r>
          </w:p>
        </w:tc>
        <w:tc>
          <w:tcPr>
            <w:tcW w:w="993" w:type="dxa"/>
            <w:vAlign w:val="center"/>
          </w:tcPr>
          <w:p w14:paraId="0DCAD261">
            <w:pPr>
              <w:jc w:val="center"/>
              <w:rPr>
                <w:rFonts w:ascii="Times New Roman" w:hAnsi="Times New Roman" w:cs="Times New Roman"/>
                <w:szCs w:val="21"/>
              </w:rPr>
            </w:pPr>
            <w:r>
              <w:rPr>
                <w:rFonts w:ascii="Times New Roman" w:hAnsi="Times New Roman" w:cs="Times New Roman"/>
                <w:szCs w:val="21"/>
              </w:rPr>
              <w:t>建设</w:t>
            </w:r>
          </w:p>
          <w:p w14:paraId="1A7E7A9F">
            <w:pPr>
              <w:jc w:val="center"/>
              <w:rPr>
                <w:rFonts w:ascii="Times New Roman" w:hAnsi="Times New Roman" w:cs="Times New Roman"/>
                <w:szCs w:val="21"/>
              </w:rPr>
            </w:pPr>
            <w:r>
              <w:rPr>
                <w:rFonts w:ascii="Times New Roman" w:hAnsi="Times New Roman" w:cs="Times New Roman"/>
                <w:szCs w:val="21"/>
              </w:rPr>
              <w:t>单位</w:t>
            </w:r>
          </w:p>
        </w:tc>
        <w:tc>
          <w:tcPr>
            <w:tcW w:w="850" w:type="dxa"/>
            <w:vAlign w:val="center"/>
          </w:tcPr>
          <w:p w14:paraId="472C680C">
            <w:pPr>
              <w:jc w:val="center"/>
              <w:rPr>
                <w:rFonts w:ascii="Times New Roman" w:hAnsi="Times New Roman" w:cs="Times New Roman"/>
                <w:szCs w:val="21"/>
              </w:rPr>
            </w:pPr>
            <w:r>
              <w:rPr>
                <w:rFonts w:ascii="Times New Roman" w:hAnsi="Times New Roman" w:cs="Times New Roman"/>
                <w:szCs w:val="21"/>
              </w:rPr>
              <w:t>环境影响评价机构</w:t>
            </w:r>
          </w:p>
        </w:tc>
        <w:tc>
          <w:tcPr>
            <w:tcW w:w="1985" w:type="dxa"/>
            <w:vAlign w:val="center"/>
          </w:tcPr>
          <w:p w14:paraId="3B30638C">
            <w:pPr>
              <w:jc w:val="center"/>
              <w:rPr>
                <w:rFonts w:ascii="Times New Roman" w:hAnsi="Times New Roman" w:cs="Times New Roman"/>
                <w:szCs w:val="21"/>
              </w:rPr>
            </w:pPr>
            <w:r>
              <w:rPr>
                <w:rFonts w:ascii="Times New Roman" w:hAnsi="Times New Roman" w:cs="Times New Roman"/>
                <w:szCs w:val="21"/>
              </w:rPr>
              <w:t>建设项目概况</w:t>
            </w:r>
          </w:p>
        </w:tc>
        <w:tc>
          <w:tcPr>
            <w:tcW w:w="7087" w:type="dxa"/>
            <w:vAlign w:val="center"/>
          </w:tcPr>
          <w:p w14:paraId="45ED47D6">
            <w:pPr>
              <w:jc w:val="center"/>
              <w:rPr>
                <w:rFonts w:ascii="Times New Roman" w:hAnsi="Times New Roman" w:cs="Times New Roman"/>
                <w:szCs w:val="21"/>
              </w:rPr>
            </w:pPr>
            <w:r>
              <w:rPr>
                <w:rFonts w:ascii="Times New Roman" w:hAnsi="Times New Roman" w:cs="Times New Roman"/>
                <w:szCs w:val="21"/>
              </w:rPr>
              <w:t>主要环境影响及预防或减轻不良环境影响的对策和措施</w:t>
            </w:r>
          </w:p>
        </w:tc>
        <w:tc>
          <w:tcPr>
            <w:tcW w:w="883" w:type="dxa"/>
            <w:vAlign w:val="center"/>
          </w:tcPr>
          <w:p w14:paraId="3012F84A">
            <w:pPr>
              <w:jc w:val="center"/>
              <w:rPr>
                <w:rFonts w:ascii="Times New Roman" w:hAnsi="Times New Roman" w:cs="Times New Roman"/>
                <w:szCs w:val="21"/>
              </w:rPr>
            </w:pPr>
            <w:r>
              <w:rPr>
                <w:rFonts w:ascii="Times New Roman" w:hAnsi="Times New Roman" w:cs="Times New Roman"/>
                <w:szCs w:val="21"/>
              </w:rPr>
              <w:t>公众参与情况</w:t>
            </w:r>
          </w:p>
        </w:tc>
      </w:tr>
      <w:tr w14:paraId="0739AF52">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443" w:hRule="atLeast"/>
        </w:trPr>
        <w:tc>
          <w:tcPr>
            <w:tcW w:w="426" w:type="dxa"/>
          </w:tcPr>
          <w:p w14:paraId="182CD600">
            <w:pPr>
              <w:jc w:val="center"/>
              <w:rPr>
                <w:rFonts w:ascii="Times New Roman" w:hAnsi="Times New Roman" w:cs="Times New Roman"/>
                <w:szCs w:val="21"/>
              </w:rPr>
            </w:pPr>
            <w:r>
              <w:rPr>
                <w:rFonts w:ascii="Times New Roman" w:hAnsi="Times New Roman" w:cs="Times New Roman"/>
                <w:szCs w:val="21"/>
              </w:rPr>
              <w:t>1</w:t>
            </w:r>
          </w:p>
        </w:tc>
        <w:tc>
          <w:tcPr>
            <w:tcW w:w="1100" w:type="dxa"/>
          </w:tcPr>
          <w:p w14:paraId="74CB2E84">
            <w:pPr>
              <w:jc w:val="center"/>
              <w:rPr>
                <w:rFonts w:ascii="Times New Roman" w:hAnsi="Times New Roman" w:cs="Times New Roman"/>
                <w:szCs w:val="21"/>
              </w:rPr>
            </w:pPr>
            <w:r>
              <w:rPr>
                <w:rFonts w:ascii="Times New Roman" w:hAnsi="Times New Roman" w:cs="Times New Roman"/>
                <w:szCs w:val="21"/>
              </w:rPr>
              <w:t>智能手机精密机构件项目</w:t>
            </w:r>
          </w:p>
        </w:tc>
        <w:tc>
          <w:tcPr>
            <w:tcW w:w="850" w:type="dxa"/>
          </w:tcPr>
          <w:p w14:paraId="1465480B">
            <w:pPr>
              <w:jc w:val="center"/>
              <w:rPr>
                <w:rFonts w:ascii="Times New Roman" w:hAnsi="Times New Roman" w:cs="Times New Roman"/>
                <w:szCs w:val="21"/>
              </w:rPr>
            </w:pPr>
            <w:bookmarkStart w:id="0" w:name="OLE_LINK55"/>
            <w:r>
              <w:rPr>
                <w:rFonts w:ascii="Times New Roman" w:hAnsi="Times New Roman" w:cs="Times New Roman"/>
                <w:szCs w:val="21"/>
              </w:rPr>
              <w:t>周口市</w:t>
            </w:r>
            <w:bookmarkStart w:id="1" w:name="OLE_LINK168"/>
            <w:bookmarkStart w:id="2" w:name="OLE_LINK52"/>
            <w:r>
              <w:rPr>
                <w:rFonts w:ascii="Times New Roman" w:hAnsi="Times New Roman" w:cs="Times New Roman"/>
                <w:szCs w:val="21"/>
              </w:rPr>
              <w:t>周口高新技术产业开发区河南省周口市川汇区</w:t>
            </w:r>
            <w:bookmarkEnd w:id="1"/>
            <w:r>
              <w:rPr>
                <w:rFonts w:ascii="Times New Roman" w:hAnsi="Times New Roman" w:cs="Times New Roman"/>
                <w:szCs w:val="21"/>
              </w:rPr>
              <w:t>吉祥路以东、女娲路以北</w:t>
            </w:r>
            <w:bookmarkEnd w:id="0"/>
            <w:bookmarkEnd w:id="2"/>
          </w:p>
        </w:tc>
        <w:tc>
          <w:tcPr>
            <w:tcW w:w="993" w:type="dxa"/>
          </w:tcPr>
          <w:p w14:paraId="39F29EE9">
            <w:pPr>
              <w:jc w:val="center"/>
              <w:rPr>
                <w:rFonts w:ascii="Times New Roman" w:hAnsi="Times New Roman" w:cs="Times New Roman"/>
                <w:szCs w:val="21"/>
              </w:rPr>
            </w:pPr>
            <w:r>
              <w:rPr>
                <w:rFonts w:ascii="Times New Roman" w:hAnsi="Times New Roman" w:cs="Times New Roman"/>
                <w:szCs w:val="21"/>
              </w:rPr>
              <w:t>富联科技（周口）有限公司</w:t>
            </w:r>
          </w:p>
        </w:tc>
        <w:tc>
          <w:tcPr>
            <w:tcW w:w="850" w:type="dxa"/>
          </w:tcPr>
          <w:p w14:paraId="057D67B6">
            <w:pPr>
              <w:jc w:val="center"/>
              <w:rPr>
                <w:rFonts w:ascii="Times New Roman" w:hAnsi="Times New Roman" w:cs="Times New Roman"/>
                <w:szCs w:val="21"/>
              </w:rPr>
            </w:pPr>
            <w:r>
              <w:rPr>
                <w:rFonts w:ascii="Times New Roman" w:hAnsi="Times New Roman" w:cs="Times New Roman"/>
                <w:szCs w:val="21"/>
              </w:rPr>
              <w:t>河南省化工研究所有限责任公司</w:t>
            </w:r>
          </w:p>
        </w:tc>
        <w:tc>
          <w:tcPr>
            <w:tcW w:w="1985" w:type="dxa"/>
          </w:tcPr>
          <w:p w14:paraId="71EFC809">
            <w:pPr>
              <w:snapToGrid w:val="0"/>
              <w:spacing w:line="300" w:lineRule="exact"/>
              <w:jc w:val="center"/>
              <w:rPr>
                <w:rFonts w:ascii="Times New Roman" w:hAnsi="Times New Roman" w:cs="Times New Roman"/>
                <w:szCs w:val="21"/>
              </w:rPr>
            </w:pPr>
            <w:r>
              <w:rPr>
                <w:rFonts w:ascii="Times New Roman" w:hAnsi="Times New Roman" w:cs="Times New Roman"/>
                <w:color w:val="000000"/>
                <w:szCs w:val="21"/>
              </w:rPr>
              <w:t>为满足2026年产品市场需求，根据富士康科技集团总体规划，富联科技（周口）有限公司拟投资3500万元，利用厂区现有车间及设施等进行</w:t>
            </w:r>
            <w:r>
              <w:rPr>
                <w:rFonts w:ascii="Times New Roman" w:hAnsi="Times New Roman" w:cs="Times New Roman"/>
                <w:kern w:val="0"/>
                <w:szCs w:val="21"/>
              </w:rPr>
              <w:t>智能手机精密机构件</w:t>
            </w:r>
            <w:r>
              <w:rPr>
                <w:rFonts w:ascii="Times New Roman" w:hAnsi="Times New Roman" w:cs="Times New Roman"/>
                <w:color w:val="000000"/>
                <w:szCs w:val="21"/>
              </w:rPr>
              <w:t>项目的建设。本项目主要产品方案为：</w:t>
            </w:r>
            <w:r>
              <w:rPr>
                <w:rFonts w:ascii="Times New Roman" w:hAnsi="Times New Roman" w:cs="Times New Roman"/>
                <w:szCs w:val="21"/>
              </w:rPr>
              <w:t>手机机构件(6XX小件)314496Kpcs，</w:t>
            </w:r>
          </w:p>
          <w:p w14:paraId="1FD9FB2D">
            <w:pPr>
              <w:rPr>
                <w:rFonts w:ascii="Times New Roman" w:hAnsi="Times New Roman" w:cs="Times New Roman"/>
                <w:szCs w:val="21"/>
              </w:rPr>
            </w:pPr>
            <w:r>
              <w:rPr>
                <w:rFonts w:ascii="Times New Roman" w:hAnsi="Times New Roman" w:cs="Times New Roman"/>
                <w:szCs w:val="21"/>
              </w:rPr>
              <w:t>手机机件(6XX RC件)41600 Kpcs；</w:t>
            </w:r>
            <w:r>
              <w:rPr>
                <w:rFonts w:ascii="Times New Roman" w:hAnsi="Times New Roman" w:cs="Times New Roman"/>
                <w:color w:val="000000"/>
                <w:szCs w:val="21"/>
              </w:rPr>
              <w:t>主要设备为：</w:t>
            </w:r>
            <w:r>
              <w:rPr>
                <w:rFonts w:ascii="Times New Roman" w:hAnsi="Times New Roman" w:cs="Times New Roman"/>
                <w:szCs w:val="21"/>
              </w:rPr>
              <w:t>冲床、电镀线、落料+A0I(检测)+摆盘一体机、焊接机等；主要工艺流程为冲压、电镀、落料、A0I检测、摆盘、检包、焊接等制程。</w:t>
            </w:r>
          </w:p>
        </w:tc>
        <w:tc>
          <w:tcPr>
            <w:tcW w:w="7087" w:type="dxa"/>
          </w:tcPr>
          <w:p w14:paraId="732818E7">
            <w:pPr>
              <w:pStyle w:val="15"/>
              <w:numPr>
                <w:ilvl w:val="0"/>
                <w:numId w:val="2"/>
              </w:numPr>
              <w:ind w:firstLineChars="0"/>
              <w:rPr>
                <w:rFonts w:ascii="Times New Roman" w:hAnsi="Times New Roman" w:cs="Times New Roman"/>
                <w:szCs w:val="21"/>
              </w:rPr>
            </w:pPr>
            <w:r>
              <w:rPr>
                <w:rFonts w:ascii="Times New Roman" w:hAnsi="Times New Roman" w:cs="Times New Roman"/>
                <w:szCs w:val="21"/>
              </w:rPr>
              <w:t>废气：</w:t>
            </w:r>
          </w:p>
          <w:p w14:paraId="067ED8B6">
            <w:pPr>
              <w:ind w:firstLine="420" w:firstLineChars="200"/>
              <w:jc w:val="left"/>
              <w:rPr>
                <w:rFonts w:ascii="Times New Roman" w:hAnsi="Times New Roman" w:cs="Times New Roman"/>
                <w:bCs/>
                <w:szCs w:val="21"/>
              </w:rPr>
            </w:pPr>
            <w:r>
              <w:rPr>
                <w:rFonts w:ascii="Times New Roman" w:hAnsi="Times New Roman" w:cs="Times New Roman"/>
                <w:bCs/>
                <w:szCs w:val="21"/>
              </w:rPr>
              <w:t>CNC油雾经集成式油雾净化机组后，通过28.5m高排气筒外排</w:t>
            </w:r>
            <w:bookmarkStart w:id="3" w:name="OLE_LINK57"/>
            <w:r>
              <w:rPr>
                <w:rFonts w:ascii="Times New Roman" w:hAnsi="Times New Roman" w:cs="Times New Roman"/>
                <w:bCs/>
                <w:szCs w:val="21"/>
              </w:rPr>
              <w:t>，可满足《轧钢工业大气污染物排放标准》（GB28665-2012）</w:t>
            </w:r>
            <w:bookmarkEnd w:id="3"/>
            <w:r>
              <w:rPr>
                <w:rFonts w:ascii="Times New Roman" w:hAnsi="Times New Roman" w:cs="Times New Roman"/>
                <w:bCs/>
                <w:szCs w:val="21"/>
              </w:rPr>
              <w:t>要求。</w:t>
            </w:r>
          </w:p>
          <w:p w14:paraId="507A4242">
            <w:pPr>
              <w:pStyle w:val="15"/>
              <w:jc w:val="left"/>
              <w:rPr>
                <w:rFonts w:ascii="Times New Roman" w:hAnsi="Times New Roman" w:cs="Times New Roman"/>
                <w:bCs/>
                <w:szCs w:val="21"/>
              </w:rPr>
            </w:pPr>
            <w:r>
              <w:rPr>
                <w:rFonts w:ascii="Times New Roman" w:hAnsi="Times New Roman" w:cs="Times New Roman"/>
                <w:bCs/>
                <w:szCs w:val="21"/>
              </w:rPr>
              <w:t>焊接废气（颗粒物）及喷砂废气（颗粒物）分别经各自设置的水喷淋塔处理后，再分别通过28.5m高排气筒外排，均可满足《大气污染物综合排放标准》（GB16297-1996）及《河南省重污染天气通用行业应急减排措施制定技术指南》（2024年修订版）限值要求。</w:t>
            </w:r>
          </w:p>
          <w:p w14:paraId="0660B12F">
            <w:pPr>
              <w:pStyle w:val="15"/>
              <w:jc w:val="left"/>
              <w:rPr>
                <w:rFonts w:ascii="Times New Roman" w:hAnsi="Times New Roman" w:cs="Times New Roman"/>
                <w:bCs/>
                <w:szCs w:val="21"/>
              </w:rPr>
            </w:pPr>
            <w:r>
              <w:rPr>
                <w:rFonts w:ascii="Times New Roman" w:hAnsi="Times New Roman" w:cs="Times New Roman"/>
                <w:bCs/>
                <w:szCs w:val="21"/>
              </w:rPr>
              <w:t>电镀酸性废气（硫酸雾、HCl）经两级碱喷淋塔处理后，通过28.5m高排气筒外排；电镀含氰废气经两级喷淋吸收氧化塔处理后，通过28.5m高排气筒外排。均可满足《大气污染物综合排放标准》（GB16297-1996）、《电镀污染物排放标准》（GB21900-2008）以及《河南省重污染天气重点行业应急减排措施制定技术指南》（2024年修订版）等相关限值要求。</w:t>
            </w:r>
          </w:p>
          <w:p w14:paraId="5165058D">
            <w:pPr>
              <w:pStyle w:val="15"/>
              <w:jc w:val="left"/>
              <w:rPr>
                <w:rFonts w:ascii="Times New Roman" w:hAnsi="Times New Roman" w:cs="Times New Roman"/>
                <w:bCs/>
                <w:szCs w:val="21"/>
              </w:rPr>
            </w:pPr>
            <w:r>
              <w:rPr>
                <w:rFonts w:ascii="Times New Roman" w:hAnsi="Times New Roman" w:cs="Times New Roman"/>
                <w:bCs/>
                <w:szCs w:val="21"/>
              </w:rPr>
              <w:t>危废暂存间废气经UV光解+活性炭吸附处理后，通过28.5m高排气筒外排，可以满足《大气污染物综合排放标准》（GB16297-1996）、豫环攻坚办[2017]162 号以及《河南省重污染天气通用行业应急减排措施制定技术指南》（2024年修订版）等相关限值要求。</w:t>
            </w:r>
          </w:p>
          <w:p w14:paraId="4DAC7CCD">
            <w:pPr>
              <w:pStyle w:val="15"/>
              <w:jc w:val="left"/>
              <w:rPr>
                <w:rFonts w:ascii="Times New Roman" w:hAnsi="Times New Roman" w:cs="Times New Roman"/>
                <w:bCs/>
                <w:szCs w:val="21"/>
              </w:rPr>
            </w:pPr>
            <w:r>
              <w:rPr>
                <w:rFonts w:ascii="Times New Roman" w:hAnsi="Times New Roman" w:cs="Times New Roman"/>
                <w:bCs/>
                <w:szCs w:val="21"/>
              </w:rPr>
              <w:t>污水处理站废气经碱喷淋塔+生物滴滤处理后，通过15m高排气筒外排，可以满足《恶臭物染污物排放标准》（GB14554-93）限值要求；燃气锅炉烟气采用低氮燃烧+烟气再循环技术，最终通过15m高排气筒外排，可以满足《锅炉大气污染物排放标准》（</w:t>
            </w:r>
            <w:r>
              <w:fldChar w:fldCharType="begin"/>
            </w:r>
            <w:r>
              <w:instrText xml:space="preserve"> HYPERLINK "https://www.so.com/link?m=bh7pnMF3Akwa5MYjuKPwK/eUXiWlZOsVvbjE8pkHnfBjOs/N4I+ELZX90pCzOSo+Vj474cayPFTpFRDGRH5ebsb9AaynFeIiBLq9viT/UA5sJZ9OuZJd+9eBtXA9c1GLYa6xkk0y+gncaWgMk6jmdLabfnQCqvh0J9tFG95Fw+xiGSsqzE8dVDhESz8D3ppcHtmMnPnflZHdo/jwvticSC5KqHT17Y7U13LFq3ibHSsmxBErHInZBGyVWJTDdNZYA52vRHJVt/N5weyzQ4IkspDtCF3EcFICVPguYAg==" \t "https://www.so.com/_blank" </w:instrText>
            </w:r>
            <w:r>
              <w:fldChar w:fldCharType="separate"/>
            </w:r>
            <w:r>
              <w:rPr>
                <w:rFonts w:ascii="Times New Roman" w:hAnsi="Times New Roman" w:cs="Times New Roman"/>
                <w:bCs/>
                <w:szCs w:val="21"/>
              </w:rPr>
              <w:t>DB41 2089-2021</w:t>
            </w:r>
            <w:r>
              <w:rPr>
                <w:rFonts w:ascii="Times New Roman" w:hAnsi="Times New Roman" w:cs="Times New Roman"/>
                <w:bCs/>
                <w:szCs w:val="21"/>
              </w:rPr>
              <w:fldChar w:fldCharType="end"/>
            </w:r>
            <w:r>
              <w:rPr>
                <w:rFonts w:ascii="Times New Roman" w:hAnsi="Times New Roman" w:cs="Times New Roman"/>
                <w:bCs/>
                <w:szCs w:val="21"/>
              </w:rPr>
              <w:t>）以及《河南省重污染天气通用行业应急减排措施制定技术指南》（2024年修订版）限值要求。</w:t>
            </w:r>
          </w:p>
          <w:p w14:paraId="769F47A4">
            <w:pPr>
              <w:rPr>
                <w:rFonts w:ascii="Times New Roman" w:hAnsi="Times New Roman" w:cs="Times New Roman"/>
                <w:szCs w:val="21"/>
              </w:rPr>
            </w:pPr>
            <w:r>
              <w:rPr>
                <w:rFonts w:ascii="Times New Roman" w:hAnsi="Times New Roman" w:cs="Times New Roman"/>
                <w:szCs w:val="21"/>
              </w:rPr>
              <w:t>2、废水：</w:t>
            </w:r>
          </w:p>
          <w:p w14:paraId="1DD08E4D">
            <w:pPr>
              <w:pStyle w:val="2"/>
              <w:spacing w:before="0" w:after="0" w:line="320" w:lineRule="exact"/>
              <w:ind w:firstLine="420" w:firstLineChars="200"/>
              <w:rPr>
                <w:rFonts w:ascii="Times New Roman" w:hAnsi="Times New Roman" w:eastAsiaTheme="minorEastAsia"/>
                <w:b w:val="0"/>
                <w:bCs w:val="0"/>
                <w:sz w:val="21"/>
                <w:szCs w:val="21"/>
              </w:rPr>
            </w:pPr>
            <w:r>
              <w:rPr>
                <w:rFonts w:ascii="Times New Roman" w:hAnsi="Times New Roman" w:eastAsiaTheme="minorEastAsia"/>
                <w:b w:val="0"/>
                <w:bCs w:val="0"/>
                <w:sz w:val="21"/>
                <w:szCs w:val="21"/>
              </w:rPr>
              <w:t>本项目电镀制程产生的废水，经本次拟新建电镀废水处理设施进行处理后，全部回用电镀制程，不外排，可以实现重金属废水的零排放；本次纯水制备新增排水，拟全部回用于生活冲厕用水。</w:t>
            </w:r>
          </w:p>
          <w:p w14:paraId="071F74A9">
            <w:pPr>
              <w:pStyle w:val="2"/>
              <w:spacing w:before="0" w:after="0" w:line="320" w:lineRule="exact"/>
              <w:ind w:firstLine="420" w:firstLineChars="200"/>
              <w:rPr>
                <w:rFonts w:ascii="Times New Roman" w:hAnsi="Times New Roman" w:eastAsiaTheme="minorEastAsia"/>
                <w:b w:val="0"/>
                <w:bCs w:val="0"/>
                <w:sz w:val="21"/>
                <w:szCs w:val="21"/>
              </w:rPr>
            </w:pPr>
            <w:r>
              <w:rPr>
                <w:rFonts w:ascii="Times New Roman" w:hAnsi="Times New Roman" w:eastAsiaTheme="minorEastAsia"/>
                <w:b w:val="0"/>
                <w:bCs w:val="0"/>
                <w:sz w:val="21"/>
                <w:szCs w:val="21"/>
              </w:rPr>
              <w:t>本项目机加工制程废水拟依托厂区现有有机废水处理设施进行处理后，通过市政污水管网排入周口沙北污水处理厂。废水排放浓度</w:t>
            </w:r>
            <w:bookmarkStart w:id="4" w:name="_Hlk212494022"/>
            <w:r>
              <w:rPr>
                <w:rFonts w:ascii="Times New Roman" w:hAnsi="Times New Roman" w:eastAsiaTheme="minorEastAsia"/>
                <w:b w:val="0"/>
                <w:bCs w:val="0"/>
                <w:sz w:val="21"/>
                <w:szCs w:val="21"/>
              </w:rPr>
              <w:t>均能满足《电子工业水污染物排放标准》（GB 39731-2020）</w:t>
            </w:r>
            <w:bookmarkEnd w:id="4"/>
            <w:r>
              <w:rPr>
                <w:rFonts w:ascii="Times New Roman" w:hAnsi="Times New Roman" w:eastAsiaTheme="minorEastAsia"/>
                <w:b w:val="0"/>
                <w:bCs w:val="0"/>
                <w:sz w:val="21"/>
                <w:szCs w:val="21"/>
              </w:rPr>
              <w:t>、《电镀污染物排放标准》（GB21900-2008）及周口沙北污水处理厂进水水质要求。</w:t>
            </w:r>
          </w:p>
          <w:p w14:paraId="50910073">
            <w:pPr>
              <w:rPr>
                <w:rFonts w:ascii="Times New Roman" w:hAnsi="Times New Roman" w:cs="Times New Roman"/>
                <w:szCs w:val="21"/>
              </w:rPr>
            </w:pPr>
            <w:r>
              <w:rPr>
                <w:rFonts w:ascii="Times New Roman" w:hAnsi="Times New Roman" w:cs="Times New Roman"/>
                <w:szCs w:val="21"/>
              </w:rPr>
              <w:t>3、噪声：设备噪声，选用低噪声设备，经合理布局等措施，应满足《工业企业厂界环境噪声排放标准》（GB12348-2008）2类标准要求。</w:t>
            </w:r>
          </w:p>
          <w:p w14:paraId="3A228058">
            <w:pPr>
              <w:rPr>
                <w:rFonts w:ascii="Times New Roman" w:hAnsi="Times New Roman" w:cs="Times New Roman"/>
                <w:szCs w:val="21"/>
              </w:rPr>
            </w:pPr>
            <w:r>
              <w:rPr>
                <w:rFonts w:ascii="Times New Roman" w:hAnsi="Times New Roman" w:cs="Times New Roman"/>
                <w:szCs w:val="21"/>
              </w:rPr>
              <w:t>4、固废：</w:t>
            </w:r>
          </w:p>
          <w:p w14:paraId="2E52ABA1">
            <w:pPr>
              <w:ind w:firstLine="420" w:firstLineChars="200"/>
              <w:rPr>
                <w:rFonts w:ascii="Times New Roman" w:hAnsi="Times New Roman" w:cs="Times New Roman"/>
                <w:szCs w:val="21"/>
              </w:rPr>
            </w:pPr>
            <w:r>
              <w:rPr>
                <w:rFonts w:ascii="Times New Roman" w:hAnsi="Times New Roman" w:cs="Times New Roman"/>
                <w:szCs w:val="21"/>
              </w:rPr>
              <w:t>一般固废：冲压金属边角料及纯水制备新增废过滤膜依托现有一般固废暂存间暂存后，外售或综合利用；有机废水处理单元新增污泥，依托现有污泥贮存间暂存，定期交污泥处置单位。一般固废暂存间执行《一般工业固体废物贮存和填埋污染控制标准》（GB18599-2020）要求。</w:t>
            </w:r>
          </w:p>
          <w:p w14:paraId="1F469FE0">
            <w:pPr>
              <w:ind w:firstLine="210" w:firstLineChars="100"/>
              <w:rPr>
                <w:rFonts w:ascii="Times New Roman" w:hAnsi="Times New Roman" w:cs="Times New Roman"/>
              </w:rPr>
            </w:pPr>
            <w:r>
              <w:rPr>
                <w:rFonts w:ascii="Times New Roman" w:hAnsi="Times New Roman" w:cs="Times New Roman"/>
                <w:szCs w:val="21"/>
              </w:rPr>
              <w:t>本项目危废固废主要为：废清洗槽液、脱脂槽液、活化槽液、沉锌槽液、退锌槽液、镀镍槽液（槽渣）、镀铜槽液（槽渣）、镀金槽液（槽渣）、剥金槽液、封孔槽液、镀液再生废滤芯、废化学试剂、废化学品容器、含重金属污泥（渣）、废活性炭、废润滑油、含油废抹布/废手套、检测废液等，依托厂区现有危废暂存间暂存后，定期交给有资质单位处理。危废暂存间满足《危险废物贮存污染控制标准》（GB18597-2023）要求。</w:t>
            </w:r>
          </w:p>
        </w:tc>
        <w:tc>
          <w:tcPr>
            <w:tcW w:w="883" w:type="dxa"/>
          </w:tcPr>
          <w:p w14:paraId="35927C6E">
            <w:pPr>
              <w:jc w:val="center"/>
              <w:rPr>
                <w:rFonts w:ascii="Times New Roman" w:hAnsi="Times New Roman" w:cs="Times New Roman"/>
                <w:szCs w:val="21"/>
              </w:rPr>
            </w:pPr>
            <w:r>
              <w:rPr>
                <w:rFonts w:ascii="Times New Roman" w:hAnsi="Times New Roman" w:cs="Times New Roman"/>
                <w:szCs w:val="21"/>
              </w:rPr>
              <w:t>无</w:t>
            </w:r>
          </w:p>
        </w:tc>
      </w:tr>
    </w:tbl>
    <w:p w14:paraId="6D1044D0">
      <w:pPr>
        <w:rPr>
          <w:rFonts w:hint="eastAsia" w:ascii="Times New Roman" w:cs="Times New Roman" w:hAnsiTheme="minorEastAsia"/>
          <w:sz w:val="28"/>
          <w:szCs w:val="28"/>
        </w:rPr>
      </w:pPr>
      <w:r>
        <w:rPr>
          <w:rFonts w:hint="eastAsia" w:ascii="Times New Roman" w:cs="Times New Roman" w:hAnsiTheme="minorEastAsia"/>
          <w:sz w:val="28"/>
          <w:szCs w:val="28"/>
        </w:rPr>
        <w:t>注：根据《建设项目环境影响评价政府信息公开指南（试行）》的有关规定，上述环境影响报告书、表不含涉及国家秘密、商业秘密、个人隐私以及涉及国家安全、公共安全、经济安全和社会稳定的内容。</w:t>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libri Light">
    <w:panose1 w:val="020F03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E7358C"/>
    <w:multiLevelType w:val="singleLevel"/>
    <w:tmpl w:val="02E7358C"/>
    <w:lvl w:ilvl="0" w:tentative="0">
      <w:start w:val="1"/>
      <w:numFmt w:val="bullet"/>
      <w:pStyle w:val="5"/>
      <w:lvlText w:val=""/>
      <w:lvlJc w:val="left"/>
      <w:pPr>
        <w:tabs>
          <w:tab w:val="left" w:pos="2040"/>
        </w:tabs>
        <w:ind w:left="2040" w:hanging="360"/>
      </w:pPr>
      <w:rPr>
        <w:rFonts w:hint="default" w:ascii="Wingdings" w:hAnsi="Wingdings"/>
      </w:rPr>
    </w:lvl>
  </w:abstractNum>
  <w:abstractNum w:abstractNumId="1">
    <w:nsid w:val="67211DE5"/>
    <w:multiLevelType w:val="multilevel"/>
    <w:tmpl w:val="67211DE5"/>
    <w:lvl w:ilvl="0" w:tentative="0">
      <w:start w:val="1"/>
      <w:numFmt w:val="decimal"/>
      <w:lvlText w:val="%1."/>
      <w:lvlJc w:val="left"/>
      <w:pPr>
        <w:ind w:left="360" w:hanging="360"/>
      </w:pPr>
      <w:rPr>
        <w:rFonts w:hint="default"/>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HorizontalSpacing w:val="105"/>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YjBmNjY0OWM0ZmM5NDE4NjcxYmU4ODI1ODcyMjE2NDEifQ=="/>
  </w:docVars>
  <w:rsids>
    <w:rsidRoot w:val="001E5CDA"/>
    <w:rsid w:val="000254D6"/>
    <w:rsid w:val="0007729D"/>
    <w:rsid w:val="00137019"/>
    <w:rsid w:val="0018295B"/>
    <w:rsid w:val="001A1788"/>
    <w:rsid w:val="001E5CDA"/>
    <w:rsid w:val="00225DF9"/>
    <w:rsid w:val="002A2986"/>
    <w:rsid w:val="003266F1"/>
    <w:rsid w:val="00495F30"/>
    <w:rsid w:val="006C1EF8"/>
    <w:rsid w:val="00913ABE"/>
    <w:rsid w:val="0093169A"/>
    <w:rsid w:val="00991F65"/>
    <w:rsid w:val="00A90349"/>
    <w:rsid w:val="00B473D9"/>
    <w:rsid w:val="00C00E03"/>
    <w:rsid w:val="00DE1204"/>
    <w:rsid w:val="00E14B1A"/>
    <w:rsid w:val="00EE20F3"/>
    <w:rsid w:val="0C771E12"/>
    <w:rsid w:val="0D79298D"/>
    <w:rsid w:val="11243192"/>
    <w:rsid w:val="117F61F0"/>
    <w:rsid w:val="16707C20"/>
    <w:rsid w:val="19326690"/>
    <w:rsid w:val="2473652D"/>
    <w:rsid w:val="27052EC1"/>
    <w:rsid w:val="296348D8"/>
    <w:rsid w:val="2B033176"/>
    <w:rsid w:val="2BC50FE3"/>
    <w:rsid w:val="2FA70495"/>
    <w:rsid w:val="303C36D2"/>
    <w:rsid w:val="33D8698B"/>
    <w:rsid w:val="37D5281F"/>
    <w:rsid w:val="3C9B48E8"/>
    <w:rsid w:val="43BA548A"/>
    <w:rsid w:val="44244342"/>
    <w:rsid w:val="46F550A6"/>
    <w:rsid w:val="4BA6413B"/>
    <w:rsid w:val="4D7E008B"/>
    <w:rsid w:val="5C5B5395"/>
    <w:rsid w:val="5CD65E0C"/>
    <w:rsid w:val="61EC0466"/>
    <w:rsid w:val="696541D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qFormat="1"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iPriority="0"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unhideWhenUsed/>
    <w:qFormat/>
    <w:uiPriority w:val="0"/>
    <w:pPr>
      <w:keepNext/>
      <w:keepLines/>
      <w:spacing w:before="260" w:after="260" w:line="416" w:lineRule="auto"/>
      <w:outlineLvl w:val="1"/>
    </w:pPr>
    <w:rPr>
      <w:rFonts w:ascii="Calibri Light" w:hAnsi="Calibri Light" w:eastAsia="宋体" w:cs="Times New Roman"/>
      <w:b/>
      <w:bCs/>
      <w:sz w:val="32"/>
      <w:szCs w:val="32"/>
    </w:rPr>
  </w:style>
  <w:style w:type="character" w:default="1" w:styleId="11">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3">
    <w:name w:val="Normal Indent"/>
    <w:basedOn w:val="1"/>
    <w:next w:val="1"/>
    <w:qFormat/>
    <w:uiPriority w:val="0"/>
    <w:pPr>
      <w:spacing w:line="520" w:lineRule="atLeast"/>
      <w:ind w:firstLine="200"/>
    </w:pPr>
    <w:rPr>
      <w:sz w:val="28"/>
      <w:szCs w:val="21"/>
    </w:rPr>
  </w:style>
  <w:style w:type="paragraph" w:styleId="4">
    <w:name w:val="Body Text"/>
    <w:basedOn w:val="1"/>
    <w:next w:val="5"/>
    <w:qFormat/>
    <w:uiPriority w:val="0"/>
    <w:pPr>
      <w:spacing w:line="400" w:lineRule="exact"/>
    </w:pPr>
    <w:rPr>
      <w:sz w:val="28"/>
    </w:rPr>
  </w:style>
  <w:style w:type="paragraph" w:styleId="5">
    <w:name w:val="List Bullet 5"/>
    <w:basedOn w:val="1"/>
    <w:semiHidden/>
    <w:unhideWhenUsed/>
    <w:qFormat/>
    <w:uiPriority w:val="99"/>
    <w:pPr>
      <w:numPr>
        <w:ilvl w:val="0"/>
        <w:numId w:val="1"/>
      </w:numPr>
    </w:pPr>
  </w:style>
  <w:style w:type="paragraph" w:styleId="6">
    <w:name w:val="footer"/>
    <w:basedOn w:val="1"/>
    <w:link w:val="14"/>
    <w:unhideWhenUsed/>
    <w:qFormat/>
    <w:uiPriority w:val="99"/>
    <w:pPr>
      <w:tabs>
        <w:tab w:val="center" w:pos="4153"/>
        <w:tab w:val="right" w:pos="8306"/>
      </w:tabs>
      <w:snapToGrid w:val="0"/>
      <w:jc w:val="left"/>
    </w:pPr>
    <w:rPr>
      <w:sz w:val="18"/>
      <w:szCs w:val="18"/>
    </w:rPr>
  </w:style>
  <w:style w:type="paragraph" w:styleId="7">
    <w:name w:val="header"/>
    <w:basedOn w:val="1"/>
    <w:link w:val="13"/>
    <w:unhideWhenUsed/>
    <w:qFormat/>
    <w:uiPriority w:val="99"/>
    <w:pPr>
      <w:tabs>
        <w:tab w:val="center" w:pos="4153"/>
        <w:tab w:val="right" w:pos="8306"/>
      </w:tabs>
      <w:snapToGrid w:val="0"/>
      <w:jc w:val="center"/>
    </w:pPr>
    <w:rPr>
      <w:sz w:val="18"/>
      <w:szCs w:val="18"/>
    </w:rPr>
  </w:style>
  <w:style w:type="paragraph" w:styleId="8">
    <w:name w:val="Body Text First Indent"/>
    <w:basedOn w:val="4"/>
    <w:next w:val="1"/>
    <w:unhideWhenUsed/>
    <w:qFormat/>
    <w:uiPriority w:val="0"/>
    <w:pPr>
      <w:ind w:firstLine="420" w:firstLineChars="100"/>
    </w:pPr>
  </w:style>
  <w:style w:type="table" w:styleId="10">
    <w:name w:val="Table Grid"/>
    <w:basedOn w:val="9"/>
    <w:qFormat/>
    <w:uiPriority w:val="59"/>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
  </w:style>
  <w:style w:type="paragraph" w:customStyle="1" w:styleId="12">
    <w:name w:val="正文一"/>
    <w:basedOn w:val="1"/>
    <w:qFormat/>
    <w:uiPriority w:val="0"/>
    <w:pPr>
      <w:spacing w:line="600" w:lineRule="exact"/>
      <w:ind w:firstLine="200" w:firstLineChars="200"/>
    </w:pPr>
    <w:rPr>
      <w:rFonts w:ascii="Times New Roman" w:hAnsi="Times New Roman" w:eastAsia="宋体" w:cs="Times New Roman"/>
      <w:kern w:val="0"/>
      <w:sz w:val="28"/>
      <w:szCs w:val="28"/>
    </w:rPr>
  </w:style>
  <w:style w:type="character" w:customStyle="1" w:styleId="13">
    <w:name w:val="页眉 字符"/>
    <w:basedOn w:val="11"/>
    <w:link w:val="7"/>
    <w:qFormat/>
    <w:uiPriority w:val="99"/>
    <w:rPr>
      <w:rFonts w:asciiTheme="minorHAnsi" w:hAnsiTheme="minorHAnsi" w:eastAsiaTheme="minorEastAsia" w:cstheme="minorBidi"/>
      <w:kern w:val="2"/>
      <w:sz w:val="18"/>
      <w:szCs w:val="18"/>
    </w:rPr>
  </w:style>
  <w:style w:type="character" w:customStyle="1" w:styleId="14">
    <w:name w:val="页脚 字符"/>
    <w:basedOn w:val="11"/>
    <w:link w:val="6"/>
    <w:qFormat/>
    <w:uiPriority w:val="99"/>
    <w:rPr>
      <w:rFonts w:asciiTheme="minorHAnsi" w:hAnsiTheme="minorHAnsi" w:eastAsiaTheme="minorEastAsia" w:cstheme="minorBidi"/>
      <w:kern w:val="2"/>
      <w:sz w:val="18"/>
      <w:szCs w:val="18"/>
    </w:rPr>
  </w:style>
  <w:style w:type="paragraph" w:styleId="15">
    <w:name w:val="List Paragraph"/>
    <w:basedOn w:val="1"/>
    <w:unhideWhenUsed/>
    <w:qFormat/>
    <w:uiPriority w:val="99"/>
    <w:pPr>
      <w:ind w:firstLine="420" w:firstLineChars="200"/>
    </w:pPr>
  </w:style>
  <w:style w:type="paragraph" w:customStyle="1" w:styleId="16">
    <w:name w:val="Default"/>
    <w:basedOn w:val="1"/>
    <w:qFormat/>
    <w:uiPriority w:val="0"/>
    <w:pPr>
      <w:widowControl/>
      <w:autoSpaceDE w:val="0"/>
      <w:autoSpaceDN w:val="0"/>
      <w:spacing w:line="500" w:lineRule="exact"/>
      <w:jc w:val="left"/>
      <w:outlineLvl w:val="3"/>
    </w:pPr>
    <w:rPr>
      <w:rFonts w:ascii="宋体" w:hAnsi="Times New Roman" w:eastAsia="仿宋_GB2312" w:cs="Calibri"/>
      <w:b/>
      <w:color w:val="000000"/>
      <w:kern w:val="0"/>
      <w:sz w:val="24"/>
      <w:szCs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3</Pages>
  <Words>1823</Words>
  <Characters>2050</Characters>
  <Lines>17</Lines>
  <Paragraphs>4</Paragraphs>
  <TotalTime>71</TotalTime>
  <ScaleCrop>false</ScaleCrop>
  <LinksUpToDate>false</LinksUpToDate>
  <CharactersWithSpaces>2055</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2024-06-04T10:25:00Z</dcterms:created>
  <dc:creator>DUGUOZHU</dc:creator>
  <cp:lastModifiedBy>晴天</cp:lastModifiedBy>
  <cp:lastPrinted>2025-10-30T02:02:00Z</cp:lastPrinted>
  <dcterms:modified xsi:type="dcterms:W3CDTF">2025-11-06T02:09:54Z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94860026EB3B4334A86938CA00B9B21C_12</vt:lpwstr>
  </property>
  <property fmtid="{D5CDD505-2E9C-101B-9397-08002B2CF9AE}" pid="4" name="KSOTemplateDocerSaveRecord">
    <vt:lpwstr>eyJoZGlkIjoiNjg0MDBjN2JlODFkZTBiMzYyODkyNzM1Y2FkMjM2NmIiLCJ1c2VySWQiOiIyNjU4MDI5ODAifQ==</vt:lpwstr>
  </property>
</Properties>
</file>