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3288A8">
      <w:pPr>
        <w:jc w:val="center"/>
        <w:rPr>
          <w:rFonts w:hint="eastAsia" w:ascii="黑体" w:hAnsi="黑体" w:eastAsia="黑体"/>
          <w:sz w:val="32"/>
          <w:szCs w:val="32"/>
        </w:rPr>
      </w:pPr>
      <w:r>
        <w:rPr>
          <w:rFonts w:hint="eastAsia" w:ascii="黑体" w:hAnsi="黑体" w:eastAsia="黑体"/>
          <w:sz w:val="32"/>
          <w:szCs w:val="32"/>
        </w:rPr>
        <w:t>周口市生态环境局</w:t>
      </w:r>
      <w:r>
        <w:rPr>
          <w:rFonts w:hint="eastAsia" w:ascii="黑体" w:hAnsi="黑体" w:eastAsia="黑体"/>
          <w:sz w:val="32"/>
          <w:szCs w:val="32"/>
          <w:lang w:eastAsia="zh-CN"/>
        </w:rPr>
        <w:t>关于</w:t>
      </w:r>
      <w:r>
        <w:rPr>
          <w:rFonts w:hint="eastAsia" w:ascii="黑体" w:hAnsi="黑体" w:eastAsia="黑体"/>
          <w:sz w:val="32"/>
          <w:szCs w:val="32"/>
        </w:rPr>
        <w:t>周口市中心医院阜外华中心血管病医院周口医院病房大楼项目</w:t>
      </w:r>
    </w:p>
    <w:p w14:paraId="1A90BE77">
      <w:pPr>
        <w:jc w:val="center"/>
        <w:rPr>
          <w:rFonts w:hint="eastAsia" w:ascii="黑体" w:hAnsi="黑体" w:eastAsia="黑体"/>
          <w:sz w:val="32"/>
          <w:szCs w:val="32"/>
        </w:rPr>
      </w:pPr>
      <w:r>
        <w:rPr>
          <w:rFonts w:hint="eastAsia" w:ascii="黑体" w:hAnsi="黑体" w:eastAsia="黑体"/>
          <w:sz w:val="32"/>
          <w:szCs w:val="32"/>
        </w:rPr>
        <w:t>环境影响评价文件拟审批情况的公示</w:t>
      </w:r>
    </w:p>
    <w:p w14:paraId="554ED315">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根据建设项目环境影响评价审批程序的有关规定，经审议，我局拟对周口市中心医院阜外华中心血管病医院周口医院病房大楼项目环境影响评价文件作出拟审批意见。为保证拟审批意见的严肃性和公正性，现将建设项目环境影响评价文件的基本情况予以公示。如有异议，请在公示期内反馈我局行政审批服务科。公示期为2024 年</w:t>
      </w:r>
      <w:r>
        <w:rPr>
          <w:rFonts w:hint="eastAsia" w:ascii="Times New Roman" w:cs="Times New Roman" w:hAnsiTheme="minorEastAsia"/>
          <w:sz w:val="28"/>
          <w:szCs w:val="28"/>
          <w:lang w:val="en-US" w:eastAsia="zh-CN"/>
        </w:rPr>
        <w:t>8</w:t>
      </w:r>
      <w:r>
        <w:rPr>
          <w:rFonts w:hint="eastAsia" w:ascii="Times New Roman" w:cs="Times New Roman" w:hAnsiTheme="minorEastAsia"/>
          <w:sz w:val="28"/>
          <w:szCs w:val="28"/>
        </w:rPr>
        <w:t>月</w:t>
      </w:r>
      <w:r>
        <w:rPr>
          <w:rFonts w:hint="eastAsia" w:ascii="Times New Roman" w:cs="Times New Roman" w:hAnsiTheme="minorEastAsia"/>
          <w:sz w:val="28"/>
          <w:szCs w:val="28"/>
          <w:lang w:val="en-US" w:eastAsia="zh-CN"/>
        </w:rPr>
        <w:t>13</w:t>
      </w:r>
      <w:r>
        <w:rPr>
          <w:rFonts w:hint="eastAsia" w:ascii="Times New Roman" w:cs="Times New Roman" w:hAnsiTheme="minorEastAsia"/>
          <w:sz w:val="28"/>
          <w:szCs w:val="28"/>
        </w:rPr>
        <w:t>日－2024年</w:t>
      </w:r>
      <w:r>
        <w:rPr>
          <w:rFonts w:hint="eastAsia" w:ascii="Times New Roman" w:cs="Times New Roman" w:hAnsiTheme="minorEastAsia"/>
          <w:sz w:val="28"/>
          <w:szCs w:val="28"/>
          <w:lang w:val="en-US" w:eastAsia="zh-CN"/>
        </w:rPr>
        <w:t>8</w:t>
      </w:r>
      <w:r>
        <w:rPr>
          <w:rFonts w:hint="eastAsia" w:ascii="Times New Roman" w:cs="Times New Roman" w:hAnsiTheme="minorEastAsia"/>
          <w:sz w:val="28"/>
          <w:szCs w:val="28"/>
        </w:rPr>
        <w:t>月</w:t>
      </w:r>
      <w:r>
        <w:rPr>
          <w:rFonts w:hint="eastAsia" w:ascii="Times New Roman" w:cs="Times New Roman" w:hAnsiTheme="minorEastAsia"/>
          <w:sz w:val="28"/>
          <w:szCs w:val="28"/>
          <w:lang w:val="en-US" w:eastAsia="zh-CN"/>
        </w:rPr>
        <w:t>19</w:t>
      </w:r>
      <w:r>
        <w:rPr>
          <w:rFonts w:hint="eastAsia" w:ascii="Times New Roman" w:cs="Times New Roman" w:hAnsiTheme="minorEastAsia"/>
          <w:sz w:val="28"/>
          <w:szCs w:val="28"/>
        </w:rPr>
        <w:t>日。</w:t>
      </w:r>
      <w:bookmarkStart w:id="0" w:name="_GoBack"/>
      <w:bookmarkEnd w:id="0"/>
    </w:p>
    <w:p w14:paraId="6773829B">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7C8317A1">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72FEEE8D">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0E362BB6">
      <w:pPr>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受理拟审批的建设项目环境影响报告书</w:t>
      </w:r>
    </w:p>
    <w:tbl>
      <w:tblPr>
        <w:tblStyle w:val="7"/>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843"/>
        <w:gridCol w:w="7229"/>
        <w:gridCol w:w="883"/>
      </w:tblGrid>
      <w:tr w14:paraId="44DC20B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3B3C363">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599472D7">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57A309A6">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2E0BC949">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2DE81D50">
            <w:pPr>
              <w:jc w:val="center"/>
              <w:rPr>
                <w:rFonts w:ascii="Times New Roman" w:hAnsi="Times New Roman" w:cs="Times New Roman"/>
                <w:szCs w:val="21"/>
              </w:rPr>
            </w:pPr>
            <w:r>
              <w:rPr>
                <w:rFonts w:ascii="Times New Roman" w:cs="Times New Roman" w:hAnsiTheme="minorEastAsia"/>
                <w:szCs w:val="21"/>
              </w:rPr>
              <w:t>环境影响评价机构</w:t>
            </w:r>
          </w:p>
        </w:tc>
        <w:tc>
          <w:tcPr>
            <w:tcW w:w="1843" w:type="dxa"/>
            <w:vAlign w:val="center"/>
          </w:tcPr>
          <w:p w14:paraId="28D0B124">
            <w:pPr>
              <w:jc w:val="center"/>
              <w:rPr>
                <w:rFonts w:ascii="Times New Roman" w:hAnsi="Times New Roman" w:cs="Times New Roman"/>
                <w:szCs w:val="21"/>
              </w:rPr>
            </w:pPr>
            <w:r>
              <w:rPr>
                <w:rFonts w:ascii="Times New Roman" w:cs="Times New Roman" w:hAnsiTheme="minorEastAsia"/>
                <w:szCs w:val="21"/>
              </w:rPr>
              <w:t>建设项目概况</w:t>
            </w:r>
          </w:p>
        </w:tc>
        <w:tc>
          <w:tcPr>
            <w:tcW w:w="7229" w:type="dxa"/>
            <w:vAlign w:val="center"/>
          </w:tcPr>
          <w:p w14:paraId="2EA9074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541B6FB2">
            <w:pPr>
              <w:jc w:val="center"/>
              <w:rPr>
                <w:rFonts w:ascii="Times New Roman" w:hAnsi="Times New Roman" w:cs="Times New Roman"/>
                <w:szCs w:val="21"/>
              </w:rPr>
            </w:pPr>
            <w:r>
              <w:rPr>
                <w:rFonts w:ascii="Times New Roman" w:cs="Times New Roman" w:hAnsiTheme="minorEastAsia"/>
                <w:szCs w:val="21"/>
              </w:rPr>
              <w:t>公众参与情况</w:t>
            </w:r>
          </w:p>
        </w:tc>
      </w:tr>
      <w:tr w14:paraId="59EDF52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76" w:hRule="atLeast"/>
        </w:trPr>
        <w:tc>
          <w:tcPr>
            <w:tcW w:w="426" w:type="dxa"/>
          </w:tcPr>
          <w:p w14:paraId="26ECA8DB">
            <w:pPr>
              <w:jc w:val="center"/>
              <w:rPr>
                <w:rFonts w:ascii="Times New Roman" w:hAnsi="Times New Roman" w:cs="Times New Roman"/>
                <w:szCs w:val="21"/>
              </w:rPr>
            </w:pPr>
            <w:r>
              <w:rPr>
                <w:rFonts w:ascii="Times New Roman" w:hAnsi="Times New Roman" w:cs="Times New Roman"/>
                <w:szCs w:val="21"/>
              </w:rPr>
              <w:t>1</w:t>
            </w:r>
          </w:p>
        </w:tc>
        <w:tc>
          <w:tcPr>
            <w:tcW w:w="1100" w:type="dxa"/>
          </w:tcPr>
          <w:p w14:paraId="61C7629C">
            <w:pPr>
              <w:jc w:val="center"/>
              <w:rPr>
                <w:rFonts w:ascii="Times New Roman" w:hAnsi="Times New Roman" w:cs="Times New Roman"/>
                <w:szCs w:val="21"/>
              </w:rPr>
            </w:pPr>
            <w:r>
              <w:rPr>
                <w:rFonts w:hint="eastAsia" w:ascii="Times New Roman" w:hAnsi="Times New Roman" w:cs="Times New Roman"/>
                <w:szCs w:val="21"/>
              </w:rPr>
              <w:t>周口市中心医院阜外华中心血管病医院周口医院病房大楼项目</w:t>
            </w:r>
          </w:p>
        </w:tc>
        <w:tc>
          <w:tcPr>
            <w:tcW w:w="1134" w:type="dxa"/>
          </w:tcPr>
          <w:p w14:paraId="366374D4">
            <w:pPr>
              <w:jc w:val="center"/>
              <w:rPr>
                <w:rFonts w:ascii="Times New Roman" w:hAnsi="Times New Roman" w:cs="Times New Roman"/>
                <w:szCs w:val="21"/>
              </w:rPr>
            </w:pPr>
            <w:r>
              <w:rPr>
                <w:rFonts w:hint="eastAsia" w:ascii="Times New Roman" w:hAnsi="Times New Roman" w:cs="Times New Roman"/>
                <w:szCs w:val="21"/>
              </w:rPr>
              <w:t>周口市示范区文昌大道南侧、纬十九路(规划中)北侧、平原西路(规划中)西侧、经二路(规划中)东侧。</w:t>
            </w:r>
          </w:p>
        </w:tc>
        <w:tc>
          <w:tcPr>
            <w:tcW w:w="709" w:type="dxa"/>
          </w:tcPr>
          <w:p w14:paraId="7BC9F01F">
            <w:pPr>
              <w:jc w:val="center"/>
              <w:rPr>
                <w:rFonts w:ascii="Times New Roman" w:hAnsi="Times New Roman" w:cs="Times New Roman"/>
                <w:szCs w:val="21"/>
              </w:rPr>
            </w:pPr>
            <w:r>
              <w:rPr>
                <w:rFonts w:hint="eastAsia" w:ascii="Times New Roman" w:hAnsi="Times New Roman" w:cs="Times New Roman"/>
                <w:szCs w:val="21"/>
                <w:lang w:val="en-US" w:eastAsia="zh-CN"/>
              </w:rPr>
              <w:t>周口市中心医院</w:t>
            </w:r>
          </w:p>
        </w:tc>
        <w:tc>
          <w:tcPr>
            <w:tcW w:w="850" w:type="dxa"/>
          </w:tcPr>
          <w:p w14:paraId="1DC3008B">
            <w:pPr>
              <w:jc w:val="center"/>
              <w:rPr>
                <w:rFonts w:ascii="Times New Roman" w:hAnsi="Times New Roman" w:cs="Times New Roman"/>
                <w:szCs w:val="21"/>
              </w:rPr>
            </w:pPr>
            <w:r>
              <w:rPr>
                <w:rFonts w:hint="eastAsia" w:ascii="Times New Roman" w:hAnsi="Times New Roman" w:cs="Times New Roman"/>
                <w:szCs w:val="21"/>
                <w:lang w:val="en-US" w:eastAsia="zh-CN"/>
              </w:rPr>
              <w:t>河南嘉源环保技术有限公司</w:t>
            </w:r>
          </w:p>
        </w:tc>
        <w:tc>
          <w:tcPr>
            <w:tcW w:w="1843" w:type="dxa"/>
          </w:tcPr>
          <w:p w14:paraId="728E6BDD">
            <w:pPr>
              <w:rPr>
                <w:rFonts w:ascii="Times New Roman" w:hAnsi="Times New Roman" w:cs="Times New Roman"/>
                <w:szCs w:val="21"/>
              </w:rPr>
            </w:pPr>
            <w:r>
              <w:rPr>
                <w:rFonts w:hint="eastAsia" w:ascii="Times New Roman" w:hAnsi="Times New Roman" w:cs="Times New Roman"/>
                <w:szCs w:val="21"/>
              </w:rPr>
              <w:t>本项目为扩建项目，在现有中心医院院区东侧，方舱医院北侧建立病房大楼，该地块属于中心医院地块，用地面积为49900.90</w:t>
            </w:r>
            <w:r>
              <w:rPr>
                <w:rFonts w:hint="eastAsia" w:ascii="Times New Roman" w:hAnsi="Times New Roman" w:cs="Times New Roman"/>
                <w:szCs w:val="21"/>
                <w:lang w:eastAsia="zh-CN"/>
              </w:rPr>
              <w:t>平方米</w:t>
            </w:r>
            <w:r>
              <w:rPr>
                <w:rFonts w:hint="eastAsia" w:ascii="Times New Roman" w:hAnsi="Times New Roman" w:cs="Times New Roman"/>
                <w:szCs w:val="21"/>
              </w:rPr>
              <w:t>，主要新建病房楼一栋，包括地上16层、地下2层，拟设置床位 1200 张,主要建设血液病房、普通病房、ICU 病房、放射科、住院大厅、机械车库、设备用房、人防、急救医院，同时配套道路、绿化、给排水、电力及消防等附属设施。</w:t>
            </w:r>
          </w:p>
        </w:tc>
        <w:tc>
          <w:tcPr>
            <w:tcW w:w="7229" w:type="dxa"/>
          </w:tcPr>
          <w:p w14:paraId="05B8983B">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一、水污染防治措施</w:t>
            </w:r>
          </w:p>
          <w:p w14:paraId="1F8C9335">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项目废水主要为病房废水、</w:t>
            </w:r>
            <w:r>
              <w:rPr>
                <w:rFonts w:hint="eastAsia" w:ascii="宋体" w:hAnsi="宋体" w:eastAsia="宋体" w:cs="宋体"/>
                <w:sz w:val="21"/>
                <w:szCs w:val="21"/>
                <w:lang w:val="en-US" w:eastAsia="zh-CN"/>
              </w:rPr>
              <w:t>经化粪池处理后</w:t>
            </w:r>
            <w:r>
              <w:rPr>
                <w:rFonts w:hint="eastAsia" w:ascii="宋体" w:hAnsi="宋体" w:eastAsia="宋体" w:cs="宋体"/>
                <w:sz w:val="21"/>
                <w:szCs w:val="21"/>
                <w:lang w:val="en-US" w:eastAsia="zh-CN"/>
              </w:rPr>
              <w:t>生活污水、化验室废水、锅炉排污水和软化水废水。</w:t>
            </w:r>
          </w:p>
          <w:p w14:paraId="3961FFC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color w:val="0000FF"/>
                <w:sz w:val="21"/>
                <w:szCs w:val="21"/>
                <w:highlight w:val="yellow"/>
                <w:lang w:val="en-US" w:eastAsia="zh-CN"/>
              </w:rPr>
            </w:pPr>
            <w:r>
              <w:rPr>
                <w:rFonts w:hint="eastAsia" w:ascii="宋体" w:hAnsi="宋体" w:eastAsia="宋体" w:cs="宋体"/>
                <w:sz w:val="21"/>
                <w:szCs w:val="21"/>
                <w:lang w:val="en-US" w:eastAsia="zh-CN"/>
              </w:rPr>
              <w:t>项目病房废水、经化粪池处理后的医护人员及后勤人员生活污水依托现有院区污水处理站（格栅+调节池+A</w:t>
            </w:r>
            <w:r>
              <w:rPr>
                <w:rFonts w:hint="eastAsia" w:ascii="宋体" w:hAnsi="宋体" w:eastAsia="宋体" w:cs="宋体"/>
                <w:sz w:val="21"/>
                <w:szCs w:val="21"/>
                <w:vertAlign w:val="superscript"/>
                <w:lang w:val="en-US" w:eastAsia="zh-CN"/>
              </w:rPr>
              <w:t>2</w:t>
            </w:r>
            <w:r>
              <w:rPr>
                <w:rFonts w:hint="eastAsia" w:ascii="宋体" w:hAnsi="宋体" w:eastAsia="宋体" w:cs="宋体"/>
                <w:sz w:val="21"/>
                <w:szCs w:val="21"/>
                <w:lang w:val="en-US" w:eastAsia="zh-CN"/>
              </w:rPr>
              <w:t xml:space="preserve">/O+二沉池+消毒池（紫外线消毒）），经处理后的废水满足河南省《医疗机构水污染排放标准》(DB41/2555-2023)和周口市沙北污水处理厂进水水质要求，经市政污水管网最终进入周口市沙北污水处理厂进一步处理达标后排放。 </w:t>
            </w:r>
          </w:p>
          <w:p w14:paraId="47365F0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sz w:val="21"/>
                <w:szCs w:val="21"/>
                <w:lang w:val="en-GB" w:eastAsia="zh-CN"/>
              </w:rPr>
            </w:pPr>
            <w:r>
              <w:rPr>
                <w:rFonts w:hint="eastAsia" w:ascii="宋体" w:hAnsi="宋体" w:eastAsia="宋体" w:cs="宋体"/>
                <w:sz w:val="21"/>
                <w:szCs w:val="21"/>
                <w:lang w:val="en-GB" w:eastAsia="zh-CN"/>
              </w:rPr>
              <w:t>二、废气污染防治措施</w:t>
            </w:r>
          </w:p>
          <w:p w14:paraId="1232B132">
            <w:pPr>
              <w:keepNext w:val="0"/>
              <w:keepLines w:val="0"/>
              <w:pageBreakBefore w:val="0"/>
              <w:widowControl/>
              <w:suppressLineNumbers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sz w:val="21"/>
                <w:szCs w:val="21"/>
                <w:lang w:val="en-US" w:eastAsia="zh-CN"/>
              </w:rPr>
              <w:t>项目废气主要为污水处理站恶臭、天然气锅炉燃烧废气、汽车尾气和柴油发电机废气</w:t>
            </w:r>
            <w:r>
              <w:rPr>
                <w:rFonts w:hint="eastAsia" w:ascii="宋体" w:hAnsi="宋体" w:eastAsia="宋体" w:cs="宋体"/>
                <w:color w:val="000000"/>
                <w:kern w:val="0"/>
                <w:sz w:val="21"/>
                <w:szCs w:val="21"/>
                <w:lang w:val="en-US" w:eastAsia="zh-CN" w:bidi="ar"/>
              </w:rPr>
              <w:t>。</w:t>
            </w:r>
          </w:p>
          <w:p w14:paraId="0CEBE6AA">
            <w:pPr>
              <w:keepNext w:val="0"/>
              <w:keepLines w:val="0"/>
              <w:pageBreakBefore w:val="0"/>
              <w:widowControl/>
              <w:suppressLineNumbers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(1)锅炉废气</w:t>
            </w:r>
          </w:p>
          <w:p w14:paraId="08C02CD7">
            <w:pPr>
              <w:keepNext w:val="0"/>
              <w:keepLines w:val="0"/>
              <w:pageBreakBefore w:val="0"/>
              <w:widowControl/>
              <w:suppressLineNumbers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项目设置4台4t/h蒸汽锅炉，锅炉年运行时间120天，锅炉采取低氮燃烧器+烟气循环措施处理后</w:t>
            </w:r>
            <w:r>
              <w:rPr>
                <w:rFonts w:hint="eastAsia" w:ascii="宋体" w:hAnsi="宋体" w:eastAsia="宋体" w:cs="宋体"/>
                <w:color w:val="000000"/>
                <w:kern w:val="0"/>
                <w:sz w:val="21"/>
                <w:szCs w:val="21"/>
                <w:lang w:val="en-US" w:eastAsia="zh-CN" w:bidi="ar"/>
              </w:rPr>
              <w:t>经一根8m排气筒排放</w:t>
            </w:r>
            <w:r>
              <w:rPr>
                <w:rFonts w:hint="eastAsia" w:ascii="宋体" w:hAnsi="宋体" w:eastAsia="宋体" w:cs="宋体"/>
                <w:color w:val="000000"/>
                <w:kern w:val="0"/>
                <w:sz w:val="21"/>
                <w:szCs w:val="21"/>
                <w:lang w:val="en-US" w:eastAsia="zh-CN" w:bidi="ar"/>
              </w:rPr>
              <w:t>，满足《锅炉大气污染物排放标准》(DB41/2089-2021)表1标准要求及《河南省重污染天气通用行业应急减排措施制定技术指南》（2023年修订版）涉锅炉企业A级企业要求。</w:t>
            </w:r>
          </w:p>
          <w:p w14:paraId="057123A0">
            <w:pPr>
              <w:keepNext w:val="0"/>
              <w:keepLines w:val="0"/>
              <w:pageBreakBefore w:val="0"/>
              <w:widowControl/>
              <w:suppressLineNumbers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(2)恶臭废气</w:t>
            </w:r>
          </w:p>
          <w:p w14:paraId="6D5E289B">
            <w:pPr>
              <w:keepNext w:val="0"/>
              <w:keepLines w:val="0"/>
              <w:pageBreakBefore w:val="0"/>
              <w:widowControl/>
              <w:suppressLineNumbers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项目污水处理站为封闭式结构，各构筑物池顶均加盖封闭，盖板上预留进、出气口，出气口设置排气管道，恶臭气体(HS、NH</w:t>
            </w:r>
            <w:r>
              <w:rPr>
                <w:rFonts w:hint="eastAsia" w:ascii="宋体" w:hAnsi="宋体" w:eastAsia="宋体" w:cs="宋体"/>
                <w:color w:val="000000"/>
                <w:kern w:val="0"/>
                <w:sz w:val="21"/>
                <w:szCs w:val="21"/>
                <w:vertAlign w:val="subscript"/>
                <w:lang w:val="en-US" w:eastAsia="zh-CN" w:bidi="ar"/>
              </w:rPr>
              <w:t>3</w:t>
            </w:r>
            <w:r>
              <w:rPr>
                <w:rFonts w:hint="eastAsia" w:ascii="宋体" w:hAnsi="宋体" w:eastAsia="宋体" w:cs="宋体"/>
                <w:color w:val="000000"/>
                <w:kern w:val="0"/>
                <w:sz w:val="21"/>
                <w:szCs w:val="21"/>
                <w:lang w:val="en-US" w:eastAsia="zh-CN" w:bidi="ar"/>
              </w:rPr>
              <w:t>等)经管道收集后，引入1套“水喷淋+干式过滤器+活性炭吸附”处理，然后经1根 15m高排气简(DA002)排放，满足《恶臭污染物排放标准》(GB14554-93)表2要求及《医疗机构水污染物排放标准》（DB41/2555-2023）表3中限值要求。</w:t>
            </w:r>
          </w:p>
          <w:p w14:paraId="526BBF85">
            <w:pPr>
              <w:keepNext w:val="0"/>
              <w:keepLines w:val="0"/>
              <w:pageBreakBefore w:val="0"/>
              <w:widowControl/>
              <w:suppressLineNumbers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(3)汽车尾气</w:t>
            </w:r>
          </w:p>
          <w:p w14:paraId="272E764B">
            <w:pPr>
              <w:keepNext w:val="0"/>
              <w:keepLines w:val="0"/>
              <w:pageBreakBefore w:val="0"/>
              <w:widowControl/>
              <w:suppressLineNumbers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汽车尾气主要是指汽车进出停车场及在停车场内行驶时，汽车怠速及慢速（≤5km/h）状态下排放的尾气，主要污染因子为CO、THC、NOX等。建议停车场工作人员在上下班高峰期要及时疏导进出停车场车辆，减少汽车怠速、慢速行驶的时间，在泊车位和道路两侧加强绿化，可有效减少汽车尾气排放，减小对周围大气环境的影响。</w:t>
            </w:r>
          </w:p>
          <w:p w14:paraId="75E07D81">
            <w:pPr>
              <w:keepNext w:val="0"/>
              <w:keepLines w:val="0"/>
              <w:pageBreakBefore w:val="0"/>
              <w:widowControl/>
              <w:numPr>
                <w:ilvl w:val="0"/>
                <w:numId w:val="0"/>
              </w:numPr>
              <w:suppressLineNumbers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（4）</w:t>
            </w:r>
            <w:r>
              <w:rPr>
                <w:rFonts w:hint="eastAsia" w:ascii="宋体" w:hAnsi="宋体" w:eastAsia="宋体" w:cs="宋体"/>
                <w:color w:val="000000"/>
                <w:kern w:val="0"/>
                <w:sz w:val="21"/>
                <w:szCs w:val="21"/>
                <w:lang w:val="en-US" w:eastAsia="zh-CN" w:bidi="ar"/>
              </w:rPr>
              <w:t>柴油发电机废气</w:t>
            </w:r>
          </w:p>
          <w:p w14:paraId="1BFFFABF">
            <w:pPr>
              <w:keepNext w:val="0"/>
              <w:keepLines w:val="0"/>
              <w:pageBreakBefore w:val="0"/>
              <w:widowControl/>
              <w:numPr>
                <w:ilvl w:val="0"/>
                <w:numId w:val="0"/>
              </w:numPr>
              <w:suppressLineNumbers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color w:val="000000"/>
                <w:kern w:val="0"/>
                <w:sz w:val="21"/>
                <w:szCs w:val="21"/>
                <w:lang w:val="en-GB" w:eastAsia="zh-CN" w:bidi="ar"/>
              </w:rPr>
            </w:pPr>
            <w:r>
              <w:rPr>
                <w:rFonts w:hint="eastAsia" w:ascii="宋体" w:hAnsi="宋体" w:eastAsia="宋体" w:cs="宋体"/>
                <w:color w:val="000000"/>
                <w:kern w:val="0"/>
                <w:sz w:val="21"/>
                <w:szCs w:val="21"/>
                <w:lang w:val="en-US" w:eastAsia="zh-CN" w:bidi="ar"/>
              </w:rPr>
              <w:t>本项目发电机使用时间较少，污染物产生量较少，燃烧废气中的主要污染物烟尘、SO</w:t>
            </w:r>
            <w:r>
              <w:rPr>
                <w:rFonts w:hint="eastAsia" w:ascii="宋体" w:hAnsi="宋体" w:eastAsia="宋体" w:cs="宋体"/>
                <w:color w:val="000000"/>
                <w:kern w:val="0"/>
                <w:sz w:val="21"/>
                <w:szCs w:val="21"/>
                <w:vertAlign w:val="subscript"/>
                <w:lang w:val="en-US" w:eastAsia="zh-CN" w:bidi="ar"/>
              </w:rPr>
              <w:t>2</w:t>
            </w:r>
            <w:r>
              <w:rPr>
                <w:rFonts w:hint="eastAsia" w:ascii="宋体" w:hAnsi="宋体" w:eastAsia="宋体" w:cs="宋体"/>
                <w:color w:val="000000"/>
                <w:kern w:val="0"/>
                <w:sz w:val="21"/>
                <w:szCs w:val="21"/>
                <w:lang w:val="en-US" w:eastAsia="zh-CN" w:bidi="ar"/>
              </w:rPr>
              <w:t>、NO</w:t>
            </w:r>
            <w:r>
              <w:rPr>
                <w:rFonts w:hint="eastAsia" w:ascii="宋体" w:hAnsi="宋体" w:eastAsia="宋体" w:cs="宋体"/>
                <w:color w:val="000000"/>
                <w:kern w:val="0"/>
                <w:sz w:val="21"/>
                <w:szCs w:val="21"/>
                <w:vertAlign w:val="subscript"/>
                <w:lang w:val="en-US" w:eastAsia="zh-CN" w:bidi="ar"/>
              </w:rPr>
              <w:t>X</w:t>
            </w:r>
            <w:r>
              <w:rPr>
                <w:rFonts w:hint="eastAsia" w:ascii="宋体" w:hAnsi="宋体" w:eastAsia="宋体" w:cs="宋体"/>
                <w:color w:val="000000"/>
                <w:kern w:val="0"/>
                <w:sz w:val="21"/>
                <w:szCs w:val="21"/>
                <w:lang w:val="en-US" w:eastAsia="zh-CN" w:bidi="ar"/>
              </w:rPr>
              <w:t>经大气稀释后对周围环境空气质量影响较小。</w:t>
            </w:r>
          </w:p>
          <w:p w14:paraId="03D95F2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三、噪声污染防治措施</w:t>
            </w:r>
          </w:p>
          <w:p w14:paraId="23C98A12">
            <w:pPr>
              <w:keepNext w:val="0"/>
              <w:keepLines w:val="0"/>
              <w:pageBreakBefore w:val="0"/>
              <w:widowControl/>
              <w:suppressLineNumbers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本项目噪声主要为各类泵、风机、空调冷却塔等等运转产生的噪声。经过隔声、减振、消声等降噪措施处理后，应满足《工业企业厂界环境噪声排放标准》(GB12348-2008)2类标准要求，敏感点(泰和家园、世和府(三期)和万基星空城)噪声预测值均满足《声环境质量标准》(GB3096-2008)2类标准要求。</w:t>
            </w:r>
          </w:p>
          <w:p w14:paraId="3340BBF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四、固体废弃物处置措施</w:t>
            </w:r>
          </w:p>
          <w:p w14:paraId="54C41E0B">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项目运营期固体废物包括生活垃圾、废离子交换树脂、废活性炭、栅渣及污泥、未被感染的输液瓶和一次性卫生及医疗用品和医疗废物。</w:t>
            </w:r>
          </w:p>
          <w:p w14:paraId="2ADB66B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szCs w:val="21"/>
              </w:rPr>
            </w:pPr>
            <w:r>
              <w:rPr>
                <w:rFonts w:hint="eastAsia" w:ascii="宋体" w:hAnsi="宋体" w:eastAsia="宋体" w:cs="宋体"/>
                <w:sz w:val="21"/>
                <w:szCs w:val="21"/>
                <w:lang w:val="en-US" w:eastAsia="zh-CN"/>
              </w:rPr>
              <w:t>废离子交换树脂更换时由厂家直接带走，不在厂内储存；未被感染的输液瓶和一次性卫生及医疗用品集中收集后暂存于现有工程一般固废间，定期委托有处理能力的单位处置。废活性炭、污水处理站产生的栅渣、污泥和废气处理过程产生的废活性炭集中收集后暂存于现有院区配套危废暂存间，定期交有资质单位处理；医疗废物收集后依托现有医疗废物暂存间暂存，定期委托有资质单位进行处理；生活垃圾收集后定期交由环卫部门清运。</w:t>
            </w:r>
          </w:p>
        </w:tc>
        <w:tc>
          <w:tcPr>
            <w:tcW w:w="883" w:type="dxa"/>
          </w:tcPr>
          <w:p w14:paraId="5D020F50">
            <w:pPr>
              <w:jc w:val="center"/>
              <w:rPr>
                <w:rFonts w:hint="eastAsia" w:ascii="Times New Roman" w:hAnsi="Times New Roman" w:cs="Times New Roman" w:eastAsiaTheme="minorEastAsia"/>
                <w:szCs w:val="21"/>
                <w:lang w:eastAsia="zh-CN"/>
              </w:rPr>
            </w:pPr>
            <w:r>
              <w:rPr>
                <w:rFonts w:hint="eastAsia" w:ascii="Times New Roman" w:cs="Times New Roman" w:hAnsiTheme="minorEastAsia"/>
                <w:szCs w:val="21"/>
                <w:lang w:eastAsia="zh-CN"/>
              </w:rPr>
              <w:t>已进行公参</w:t>
            </w:r>
          </w:p>
        </w:tc>
      </w:tr>
    </w:tbl>
    <w:p w14:paraId="775F90E7">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modern"/>
    <w:pitch w:val="default"/>
    <w:sig w:usb0="E0002AFF" w:usb1="C0007841" w:usb2="00000009" w:usb3="00000000" w:csb0="400001FF" w:csb1="FFFF0000"/>
  </w:font>
  <w:font w:name="宋体">
    <w:panose1 w:val="02010600030101010101"/>
    <w:charset w:val="B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4"/>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EE20F3"/>
    <w:rsid w:val="0C771E12"/>
    <w:rsid w:val="0D79298D"/>
    <w:rsid w:val="117F61F0"/>
    <w:rsid w:val="16707C20"/>
    <w:rsid w:val="2473652D"/>
    <w:rsid w:val="296348D8"/>
    <w:rsid w:val="2B033176"/>
    <w:rsid w:val="2BC50FE3"/>
    <w:rsid w:val="303C36D2"/>
    <w:rsid w:val="3C9B48E8"/>
    <w:rsid w:val="46F550A6"/>
    <w:rsid w:val="4BA6413B"/>
    <w:rsid w:val="5CD65E0C"/>
    <w:rsid w:val="61EC0466"/>
    <w:rsid w:val="696541D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spacing w:line="520" w:lineRule="atLeast"/>
      <w:ind w:firstLine="200"/>
    </w:pPr>
    <w:rPr>
      <w:sz w:val="28"/>
      <w:szCs w:val="21"/>
    </w:rPr>
  </w:style>
  <w:style w:type="paragraph" w:styleId="3">
    <w:name w:val="Body Text"/>
    <w:basedOn w:val="1"/>
    <w:next w:val="4"/>
    <w:qFormat/>
    <w:uiPriority w:val="0"/>
    <w:pPr>
      <w:spacing w:line="400" w:lineRule="exact"/>
    </w:pPr>
    <w:rPr>
      <w:sz w:val="28"/>
    </w:rPr>
  </w:style>
  <w:style w:type="paragraph" w:styleId="4">
    <w:name w:val="List Bullet 5"/>
    <w:basedOn w:val="1"/>
    <w:semiHidden/>
    <w:unhideWhenUsed/>
    <w:qFormat/>
    <w:uiPriority w:val="99"/>
    <w:pPr>
      <w:numPr>
        <w:ilvl w:val="0"/>
        <w:numId w:val="1"/>
      </w:numPr>
    </w:pPr>
  </w:style>
  <w:style w:type="paragraph" w:styleId="5">
    <w:name w:val="Body Text First Indent"/>
    <w:basedOn w:val="3"/>
    <w:next w:val="1"/>
    <w:unhideWhenUsed/>
    <w:qFormat/>
    <w:uiPriority w:val="0"/>
    <w:pPr>
      <w:ind w:firstLine="420" w:firstLineChars="100"/>
    </w:pPr>
  </w:style>
  <w:style w:type="table" w:styleId="7">
    <w:name w:val="Table Grid"/>
    <w:basedOn w:val="6"/>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9">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1916</Words>
  <Characters>2114</Characters>
  <Lines>13</Lines>
  <Paragraphs>3</Paragraphs>
  <TotalTime>5</TotalTime>
  <ScaleCrop>false</ScaleCrop>
  <LinksUpToDate>false</LinksUpToDate>
  <CharactersWithSpaces>2129</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2024-08-09T07:33:05Z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94860026EB3B4334A86938CA00B9B21C_12</vt:lpwstr>
  </property>
</Properties>
</file>