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cs="Times New Roman"/>
          <w:b/>
          <w:bCs/>
          <w:kern w:val="2"/>
          <w:sz w:val="21"/>
          <w:szCs w:val="24"/>
          <w:lang w:val="en-US" w:eastAsia="zh-CN" w:bidi="ar-SA"/>
        </w:rPr>
        <w:id w:val="147476869"/>
        <w15:color w:val="DBDBDB"/>
        <w:docPartObj>
          <w:docPartGallery w:val="Table of Contents"/>
          <w:docPartUnique/>
        </w:docPartObj>
      </w:sdtPr>
      <w:sdtEndPr>
        <w:rPr>
          <w:rFonts w:ascii="宋体" w:hAnsi="宋体" w:eastAsia="宋体" w:cs="Times New Roman"/>
          <w:b/>
          <w:bCs/>
          <w:kern w:val="2"/>
          <w:sz w:val="21"/>
          <w:szCs w:val="24"/>
          <w:lang w:val="en-US" w:eastAsia="zh-CN" w:bidi="ar-SA"/>
        </w:rPr>
      </w:sdtEndPr>
      <w:sdtContent>
        <w:p w14:paraId="0C8E5EDC">
          <w:pPr>
            <w:spacing w:before="0" w:beforeLines="0" w:after="0" w:afterLines="0" w:line="240" w:lineRule="auto"/>
            <w:ind w:left="0" w:leftChars="0" w:right="0" w:rightChars="0" w:firstLine="0" w:firstLineChars="0"/>
            <w:jc w:val="center"/>
            <w:rPr>
              <w:b/>
              <w:bCs/>
              <w:sz w:val="30"/>
              <w:szCs w:val="30"/>
            </w:rPr>
          </w:pPr>
          <w:r>
            <w:rPr>
              <w:rFonts w:ascii="宋体" w:hAnsi="宋体" w:eastAsia="宋体"/>
              <w:b/>
              <w:bCs/>
              <w:sz w:val="30"/>
              <w:szCs w:val="30"/>
            </w:rPr>
            <w:t>目</w:t>
          </w:r>
          <w:r>
            <w:rPr>
              <w:rFonts w:hint="eastAsia" w:ascii="宋体" w:hAnsi="宋体"/>
              <w:b/>
              <w:bCs/>
              <w:sz w:val="30"/>
              <w:szCs w:val="30"/>
              <w:lang w:val="en-US" w:eastAsia="zh-CN"/>
            </w:rPr>
            <w:t xml:space="preserve">  </w:t>
          </w:r>
          <w:r>
            <w:rPr>
              <w:rFonts w:ascii="宋体" w:hAnsi="宋体" w:eastAsia="宋体"/>
              <w:b/>
              <w:bCs/>
              <w:sz w:val="30"/>
              <w:szCs w:val="30"/>
            </w:rPr>
            <w:t>录</w:t>
          </w:r>
        </w:p>
        <w:p w14:paraId="59EB4822">
          <w:pPr>
            <w:pStyle w:val="27"/>
            <w:tabs>
              <w:tab w:val="right" w:leader="dot" w:pos="8844"/>
            </w:tabs>
          </w:pPr>
          <w:r>
            <w:fldChar w:fldCharType="begin"/>
          </w:r>
          <w:r>
            <w:instrText xml:space="preserve">TOC \o "1-1" \h \u </w:instrText>
          </w:r>
          <w:r>
            <w:fldChar w:fldCharType="separate"/>
          </w:r>
        </w:p>
        <w:p w14:paraId="50BB85C7">
          <w:pPr>
            <w:pStyle w:val="27"/>
            <w:tabs>
              <w:tab w:val="right" w:leader="dot" w:pos="8844"/>
            </w:tabs>
            <w:spacing w:line="360" w:lineRule="auto"/>
            <w:rPr>
              <w:sz w:val="24"/>
              <w:szCs w:val="24"/>
            </w:rPr>
          </w:pPr>
          <w:r>
            <w:rPr>
              <w:sz w:val="24"/>
              <w:szCs w:val="24"/>
            </w:rPr>
            <w:fldChar w:fldCharType="begin"/>
          </w:r>
          <w:r>
            <w:rPr>
              <w:sz w:val="24"/>
              <w:szCs w:val="24"/>
            </w:rPr>
            <w:instrText xml:space="preserve"> HYPERLINK \l _Toc2635 </w:instrText>
          </w:r>
          <w:r>
            <w:rPr>
              <w:sz w:val="24"/>
              <w:szCs w:val="24"/>
            </w:rPr>
            <w:fldChar w:fldCharType="separate"/>
          </w:r>
          <w:r>
            <w:rPr>
              <w:rFonts w:ascii="Times New Roman" w:hAnsi="Times New Roman" w:eastAsia="黑体"/>
              <w:bCs w:val="0"/>
              <w:snapToGrid w:val="0"/>
              <w:sz w:val="24"/>
              <w:szCs w:val="24"/>
            </w:rPr>
            <w:t>一、建设项目基本情况</w:t>
          </w:r>
          <w:r>
            <w:rPr>
              <w:sz w:val="24"/>
              <w:szCs w:val="24"/>
            </w:rPr>
            <w:tab/>
          </w:r>
          <w:r>
            <w:rPr>
              <w:sz w:val="24"/>
              <w:szCs w:val="24"/>
            </w:rPr>
            <w:fldChar w:fldCharType="begin"/>
          </w:r>
          <w:r>
            <w:rPr>
              <w:sz w:val="24"/>
              <w:szCs w:val="24"/>
            </w:rPr>
            <w:instrText xml:space="preserve"> PAGEREF _Toc2635 \h </w:instrText>
          </w:r>
          <w:r>
            <w:rPr>
              <w:sz w:val="24"/>
              <w:szCs w:val="24"/>
            </w:rPr>
            <w:fldChar w:fldCharType="separate"/>
          </w:r>
          <w:r>
            <w:rPr>
              <w:sz w:val="24"/>
              <w:szCs w:val="24"/>
            </w:rPr>
            <w:t>1</w:t>
          </w:r>
          <w:r>
            <w:rPr>
              <w:sz w:val="24"/>
              <w:szCs w:val="24"/>
            </w:rPr>
            <w:fldChar w:fldCharType="end"/>
          </w:r>
          <w:r>
            <w:rPr>
              <w:sz w:val="24"/>
              <w:szCs w:val="24"/>
            </w:rPr>
            <w:fldChar w:fldCharType="end"/>
          </w:r>
        </w:p>
        <w:p w14:paraId="15EB9D32">
          <w:pPr>
            <w:pStyle w:val="27"/>
            <w:tabs>
              <w:tab w:val="right" w:leader="dot" w:pos="8844"/>
            </w:tabs>
            <w:spacing w:line="360" w:lineRule="auto"/>
            <w:rPr>
              <w:sz w:val="24"/>
              <w:szCs w:val="24"/>
            </w:rPr>
          </w:pPr>
          <w:r>
            <w:rPr>
              <w:sz w:val="24"/>
              <w:szCs w:val="24"/>
            </w:rPr>
            <w:fldChar w:fldCharType="begin"/>
          </w:r>
          <w:r>
            <w:rPr>
              <w:sz w:val="24"/>
              <w:szCs w:val="24"/>
            </w:rPr>
            <w:instrText xml:space="preserve"> HYPERLINK \l _Toc7391 </w:instrText>
          </w:r>
          <w:r>
            <w:rPr>
              <w:sz w:val="24"/>
              <w:szCs w:val="24"/>
            </w:rPr>
            <w:fldChar w:fldCharType="separate"/>
          </w:r>
          <w:r>
            <w:rPr>
              <w:rFonts w:ascii="Times New Roman" w:hAnsi="Times New Roman" w:eastAsia="黑体"/>
              <w:bCs w:val="0"/>
              <w:snapToGrid w:val="0"/>
              <w:sz w:val="24"/>
              <w:szCs w:val="24"/>
            </w:rPr>
            <w:t>二、建设项目工程分析</w:t>
          </w:r>
          <w:r>
            <w:rPr>
              <w:sz w:val="24"/>
              <w:szCs w:val="24"/>
            </w:rPr>
            <w:tab/>
          </w:r>
          <w:r>
            <w:rPr>
              <w:sz w:val="24"/>
              <w:szCs w:val="24"/>
            </w:rPr>
            <w:fldChar w:fldCharType="begin"/>
          </w:r>
          <w:r>
            <w:rPr>
              <w:sz w:val="24"/>
              <w:szCs w:val="24"/>
            </w:rPr>
            <w:instrText xml:space="preserve"> PAGEREF _Toc7391 \h </w:instrText>
          </w:r>
          <w:r>
            <w:rPr>
              <w:sz w:val="24"/>
              <w:szCs w:val="24"/>
            </w:rPr>
            <w:fldChar w:fldCharType="separate"/>
          </w:r>
          <w:r>
            <w:rPr>
              <w:sz w:val="24"/>
              <w:szCs w:val="24"/>
            </w:rPr>
            <w:t>29</w:t>
          </w:r>
          <w:r>
            <w:rPr>
              <w:sz w:val="24"/>
              <w:szCs w:val="24"/>
            </w:rPr>
            <w:fldChar w:fldCharType="end"/>
          </w:r>
          <w:r>
            <w:rPr>
              <w:sz w:val="24"/>
              <w:szCs w:val="24"/>
            </w:rPr>
            <w:fldChar w:fldCharType="end"/>
          </w:r>
        </w:p>
        <w:p w14:paraId="46223B4A">
          <w:pPr>
            <w:pStyle w:val="27"/>
            <w:tabs>
              <w:tab w:val="right" w:leader="dot" w:pos="8844"/>
            </w:tabs>
            <w:spacing w:line="360" w:lineRule="auto"/>
            <w:rPr>
              <w:sz w:val="24"/>
              <w:szCs w:val="24"/>
            </w:rPr>
          </w:pPr>
          <w:r>
            <w:rPr>
              <w:sz w:val="24"/>
              <w:szCs w:val="24"/>
            </w:rPr>
            <w:fldChar w:fldCharType="begin"/>
          </w:r>
          <w:r>
            <w:rPr>
              <w:sz w:val="24"/>
              <w:szCs w:val="24"/>
            </w:rPr>
            <w:instrText xml:space="preserve"> HYPERLINK \l _Toc8798 </w:instrText>
          </w:r>
          <w:r>
            <w:rPr>
              <w:sz w:val="24"/>
              <w:szCs w:val="24"/>
            </w:rPr>
            <w:fldChar w:fldCharType="separate"/>
          </w:r>
          <w:r>
            <w:rPr>
              <w:rFonts w:ascii="Times New Roman" w:hAnsi="Times New Roman" w:eastAsia="黑体"/>
              <w:bCs w:val="0"/>
              <w:snapToGrid w:val="0"/>
              <w:sz w:val="24"/>
              <w:szCs w:val="24"/>
            </w:rPr>
            <w:t>三、区域环境质量现状、环境保护目标及评价标准</w:t>
          </w:r>
          <w:r>
            <w:rPr>
              <w:sz w:val="24"/>
              <w:szCs w:val="24"/>
            </w:rPr>
            <w:tab/>
          </w:r>
          <w:r>
            <w:rPr>
              <w:sz w:val="24"/>
              <w:szCs w:val="24"/>
            </w:rPr>
            <w:fldChar w:fldCharType="begin"/>
          </w:r>
          <w:r>
            <w:rPr>
              <w:sz w:val="24"/>
              <w:szCs w:val="24"/>
            </w:rPr>
            <w:instrText xml:space="preserve"> PAGEREF _Toc8798 \h </w:instrText>
          </w:r>
          <w:r>
            <w:rPr>
              <w:sz w:val="24"/>
              <w:szCs w:val="24"/>
            </w:rPr>
            <w:fldChar w:fldCharType="separate"/>
          </w:r>
          <w:r>
            <w:rPr>
              <w:sz w:val="24"/>
              <w:szCs w:val="24"/>
            </w:rPr>
            <w:t>57</w:t>
          </w:r>
          <w:r>
            <w:rPr>
              <w:sz w:val="24"/>
              <w:szCs w:val="24"/>
            </w:rPr>
            <w:fldChar w:fldCharType="end"/>
          </w:r>
          <w:r>
            <w:rPr>
              <w:sz w:val="24"/>
              <w:szCs w:val="24"/>
            </w:rPr>
            <w:fldChar w:fldCharType="end"/>
          </w:r>
        </w:p>
        <w:p w14:paraId="75CC506B">
          <w:pPr>
            <w:pStyle w:val="27"/>
            <w:tabs>
              <w:tab w:val="right" w:leader="dot" w:pos="8844"/>
            </w:tabs>
            <w:spacing w:line="360" w:lineRule="auto"/>
            <w:rPr>
              <w:sz w:val="24"/>
              <w:szCs w:val="24"/>
            </w:rPr>
          </w:pPr>
          <w:r>
            <w:rPr>
              <w:sz w:val="24"/>
              <w:szCs w:val="24"/>
            </w:rPr>
            <w:fldChar w:fldCharType="begin"/>
          </w:r>
          <w:r>
            <w:rPr>
              <w:sz w:val="24"/>
              <w:szCs w:val="24"/>
            </w:rPr>
            <w:instrText xml:space="preserve"> HYPERLINK \l _Toc26838 </w:instrText>
          </w:r>
          <w:r>
            <w:rPr>
              <w:sz w:val="24"/>
              <w:szCs w:val="24"/>
            </w:rPr>
            <w:fldChar w:fldCharType="separate"/>
          </w:r>
          <w:r>
            <w:rPr>
              <w:rFonts w:ascii="Times New Roman" w:hAnsi="Times New Roman" w:eastAsia="黑体"/>
              <w:bCs w:val="0"/>
              <w:snapToGrid w:val="0"/>
              <w:sz w:val="24"/>
              <w:szCs w:val="24"/>
            </w:rPr>
            <w:t>四、主要环境影响和保护措施</w:t>
          </w:r>
          <w:r>
            <w:rPr>
              <w:sz w:val="24"/>
              <w:szCs w:val="24"/>
            </w:rPr>
            <w:tab/>
          </w:r>
          <w:r>
            <w:rPr>
              <w:sz w:val="24"/>
              <w:szCs w:val="24"/>
            </w:rPr>
            <w:fldChar w:fldCharType="begin"/>
          </w:r>
          <w:r>
            <w:rPr>
              <w:sz w:val="24"/>
              <w:szCs w:val="24"/>
            </w:rPr>
            <w:instrText xml:space="preserve"> PAGEREF _Toc26838 \h </w:instrText>
          </w:r>
          <w:r>
            <w:rPr>
              <w:sz w:val="24"/>
              <w:szCs w:val="24"/>
            </w:rPr>
            <w:fldChar w:fldCharType="separate"/>
          </w:r>
          <w:r>
            <w:rPr>
              <w:sz w:val="24"/>
              <w:szCs w:val="24"/>
            </w:rPr>
            <w:t>62</w:t>
          </w:r>
          <w:r>
            <w:rPr>
              <w:sz w:val="24"/>
              <w:szCs w:val="24"/>
            </w:rPr>
            <w:fldChar w:fldCharType="end"/>
          </w:r>
          <w:r>
            <w:rPr>
              <w:sz w:val="24"/>
              <w:szCs w:val="24"/>
            </w:rPr>
            <w:fldChar w:fldCharType="end"/>
          </w:r>
        </w:p>
        <w:p w14:paraId="53DA1B8A">
          <w:pPr>
            <w:pStyle w:val="27"/>
            <w:tabs>
              <w:tab w:val="right" w:leader="dot" w:pos="8844"/>
            </w:tabs>
            <w:spacing w:line="360" w:lineRule="auto"/>
            <w:rPr>
              <w:sz w:val="24"/>
              <w:szCs w:val="24"/>
            </w:rPr>
          </w:pPr>
          <w:r>
            <w:rPr>
              <w:sz w:val="24"/>
              <w:szCs w:val="24"/>
            </w:rPr>
            <w:fldChar w:fldCharType="begin"/>
          </w:r>
          <w:r>
            <w:rPr>
              <w:sz w:val="24"/>
              <w:szCs w:val="24"/>
            </w:rPr>
            <w:instrText xml:space="preserve"> HYPERLINK \l _Toc1347 </w:instrText>
          </w:r>
          <w:r>
            <w:rPr>
              <w:sz w:val="24"/>
              <w:szCs w:val="24"/>
            </w:rPr>
            <w:fldChar w:fldCharType="separate"/>
          </w:r>
          <w:r>
            <w:rPr>
              <w:rFonts w:hint="eastAsia" w:ascii="Times New Roman" w:hAnsi="Times New Roman" w:eastAsia="黑体"/>
              <w:bCs w:val="0"/>
              <w:snapToGrid w:val="0"/>
              <w:sz w:val="24"/>
              <w:szCs w:val="24"/>
            </w:rPr>
            <w:t xml:space="preserve">五、 </w:t>
          </w:r>
          <w:r>
            <w:rPr>
              <w:rFonts w:ascii="Times New Roman" w:hAnsi="Times New Roman" w:eastAsia="黑体"/>
              <w:bCs w:val="0"/>
              <w:snapToGrid w:val="0"/>
              <w:sz w:val="24"/>
              <w:szCs w:val="24"/>
            </w:rPr>
            <w:t>环境保护措施监督检查清单</w:t>
          </w:r>
          <w:r>
            <w:rPr>
              <w:sz w:val="24"/>
              <w:szCs w:val="24"/>
            </w:rPr>
            <w:tab/>
          </w:r>
          <w:r>
            <w:rPr>
              <w:sz w:val="24"/>
              <w:szCs w:val="24"/>
            </w:rPr>
            <w:fldChar w:fldCharType="begin"/>
          </w:r>
          <w:r>
            <w:rPr>
              <w:sz w:val="24"/>
              <w:szCs w:val="24"/>
            </w:rPr>
            <w:instrText xml:space="preserve"> PAGEREF _Toc1347 \h </w:instrText>
          </w:r>
          <w:r>
            <w:rPr>
              <w:sz w:val="24"/>
              <w:szCs w:val="24"/>
            </w:rPr>
            <w:fldChar w:fldCharType="separate"/>
          </w:r>
          <w:r>
            <w:rPr>
              <w:sz w:val="24"/>
              <w:szCs w:val="24"/>
            </w:rPr>
            <w:t>97</w:t>
          </w:r>
          <w:r>
            <w:rPr>
              <w:sz w:val="24"/>
              <w:szCs w:val="24"/>
            </w:rPr>
            <w:fldChar w:fldCharType="end"/>
          </w:r>
          <w:r>
            <w:rPr>
              <w:sz w:val="24"/>
              <w:szCs w:val="24"/>
            </w:rPr>
            <w:fldChar w:fldCharType="end"/>
          </w:r>
        </w:p>
        <w:p w14:paraId="2B296013">
          <w:pPr>
            <w:pStyle w:val="27"/>
            <w:tabs>
              <w:tab w:val="right" w:leader="dot" w:pos="8844"/>
            </w:tabs>
            <w:spacing w:line="360" w:lineRule="auto"/>
          </w:pPr>
          <w:r>
            <w:rPr>
              <w:sz w:val="24"/>
              <w:szCs w:val="24"/>
            </w:rPr>
            <w:fldChar w:fldCharType="begin"/>
          </w:r>
          <w:r>
            <w:rPr>
              <w:sz w:val="24"/>
              <w:szCs w:val="24"/>
            </w:rPr>
            <w:instrText xml:space="preserve"> HYPERLINK \l _Toc6562 </w:instrText>
          </w:r>
          <w:r>
            <w:rPr>
              <w:sz w:val="24"/>
              <w:szCs w:val="24"/>
            </w:rPr>
            <w:fldChar w:fldCharType="separate"/>
          </w:r>
          <w:r>
            <w:rPr>
              <w:rFonts w:ascii="Times New Roman" w:hAnsi="Times New Roman" w:eastAsia="黑体"/>
              <w:bCs w:val="0"/>
              <w:snapToGrid w:val="0"/>
              <w:sz w:val="24"/>
              <w:szCs w:val="24"/>
            </w:rPr>
            <w:t>六、结论</w:t>
          </w:r>
          <w:r>
            <w:rPr>
              <w:sz w:val="24"/>
              <w:szCs w:val="24"/>
            </w:rPr>
            <w:tab/>
          </w:r>
          <w:r>
            <w:rPr>
              <w:sz w:val="24"/>
              <w:szCs w:val="24"/>
            </w:rPr>
            <w:fldChar w:fldCharType="begin"/>
          </w:r>
          <w:r>
            <w:rPr>
              <w:sz w:val="24"/>
              <w:szCs w:val="24"/>
            </w:rPr>
            <w:instrText xml:space="preserve"> PAGEREF _Toc6562 \h </w:instrText>
          </w:r>
          <w:r>
            <w:rPr>
              <w:sz w:val="24"/>
              <w:szCs w:val="24"/>
            </w:rPr>
            <w:fldChar w:fldCharType="separate"/>
          </w:r>
          <w:r>
            <w:rPr>
              <w:sz w:val="24"/>
              <w:szCs w:val="24"/>
            </w:rPr>
            <w:t>99</w:t>
          </w:r>
          <w:r>
            <w:rPr>
              <w:sz w:val="24"/>
              <w:szCs w:val="24"/>
            </w:rPr>
            <w:fldChar w:fldCharType="end"/>
          </w:r>
          <w:r>
            <w:rPr>
              <w:sz w:val="24"/>
              <w:szCs w:val="24"/>
            </w:rPr>
            <w:fldChar w:fldCharType="end"/>
          </w:r>
        </w:p>
        <w:p w14:paraId="5A199401">
          <w:r>
            <w:fldChar w:fldCharType="end"/>
          </w:r>
        </w:p>
      </w:sdtContent>
    </w:sdt>
    <w:p w14:paraId="68468AC0">
      <w:pPr>
        <w:pStyle w:val="34"/>
        <w:keepNext w:val="0"/>
        <w:keepLines w:val="0"/>
        <w:pageBreakBefore w:val="0"/>
        <w:widowControl/>
        <w:kinsoku/>
        <w:wordWrap/>
        <w:overflowPunct/>
        <w:topLinePunct w:val="0"/>
        <w:autoSpaceDE/>
        <w:autoSpaceDN/>
        <w:bidi w:val="0"/>
        <w:adjustRightInd w:val="0"/>
        <w:snapToGrid w:val="0"/>
        <w:spacing w:before="0" w:beforeAutospacing="0" w:after="0" w:afterAutospacing="0" w:line="360" w:lineRule="auto"/>
        <w:jc w:val="both"/>
        <w:textAlignment w:val="auto"/>
        <w:outlineLvl w:val="0"/>
        <w:rPr>
          <w:rFonts w:hint="eastAsia" w:cs="Times New Roman"/>
          <w:b/>
          <w:bCs/>
          <w:sz w:val="24"/>
          <w:szCs w:val="24"/>
          <w:lang w:val="en-US" w:eastAsia="zh-CN"/>
        </w:rPr>
      </w:pPr>
      <w:bookmarkStart w:id="0" w:name="_Toc9003"/>
      <w:r>
        <w:rPr>
          <w:rFonts w:hint="eastAsia" w:cs="Times New Roman"/>
          <w:b/>
          <w:bCs/>
          <w:sz w:val="24"/>
          <w:szCs w:val="24"/>
          <w:lang w:val="en-US" w:eastAsia="zh-CN"/>
        </w:rPr>
        <w:t>附图：</w:t>
      </w:r>
      <w:bookmarkEnd w:id="0"/>
    </w:p>
    <w:p w14:paraId="034D1FD1">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附图一：本项目地理位置图</w:t>
      </w:r>
    </w:p>
    <w:p w14:paraId="441F3A4D">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附图二：本项目周围</w:t>
      </w:r>
      <w:r>
        <w:rPr>
          <w:rFonts w:hint="eastAsia" w:cs="Times New Roman"/>
          <w:snapToGrid w:val="0"/>
          <w:kern w:val="0"/>
          <w:sz w:val="24"/>
          <w:szCs w:val="24"/>
          <w:highlight w:val="none"/>
          <w:lang w:val="en-US" w:eastAsia="zh-CN" w:bidi="ar-SA"/>
        </w:rPr>
        <w:t>环境</w:t>
      </w:r>
      <w:r>
        <w:rPr>
          <w:rFonts w:hint="default" w:ascii="Times New Roman" w:hAnsi="Times New Roman" w:eastAsia="宋体" w:cs="Times New Roman"/>
          <w:snapToGrid w:val="0"/>
          <w:kern w:val="0"/>
          <w:sz w:val="24"/>
          <w:szCs w:val="24"/>
          <w:highlight w:val="none"/>
          <w:lang w:val="en-US" w:eastAsia="zh-CN" w:bidi="ar-SA"/>
        </w:rPr>
        <w:t>示意图</w:t>
      </w:r>
    </w:p>
    <w:p w14:paraId="6CA29DAE">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eastAsia"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附图三：本项目平面布置</w:t>
      </w:r>
      <w:r>
        <w:rPr>
          <w:rFonts w:hint="eastAsia" w:ascii="Times New Roman" w:hAnsi="Times New Roman" w:eastAsia="宋体" w:cs="Times New Roman"/>
          <w:snapToGrid w:val="0"/>
          <w:kern w:val="0"/>
          <w:sz w:val="24"/>
          <w:szCs w:val="24"/>
          <w:highlight w:val="none"/>
          <w:lang w:val="en-US" w:eastAsia="zh-CN" w:bidi="ar-SA"/>
        </w:rPr>
        <w:t>图</w:t>
      </w:r>
    </w:p>
    <w:p w14:paraId="420F4997">
      <w:pPr>
        <w:pStyle w:val="48"/>
        <w:ind w:left="0" w:leftChars="0" w:firstLine="0" w:firstLineChars="0"/>
        <w:rPr>
          <w:rFonts w:hint="default"/>
          <w:lang w:val="en-US" w:eastAsia="zh-CN"/>
        </w:rPr>
      </w:pPr>
      <w:r>
        <w:rPr>
          <w:rFonts w:hint="eastAsia" w:ascii="Times New Roman" w:cs="Times New Roman"/>
          <w:snapToGrid w:val="0"/>
          <w:kern w:val="0"/>
          <w:sz w:val="24"/>
          <w:szCs w:val="24"/>
          <w:highlight w:val="none"/>
          <w:lang w:val="en-US" w:eastAsia="zh-CN" w:bidi="ar-SA"/>
        </w:rPr>
        <w:t>附图四：本项目厂区防渗图</w:t>
      </w:r>
    </w:p>
    <w:p w14:paraId="2E8D7EC4">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w:t>
      </w:r>
      <w:r>
        <w:rPr>
          <w:rFonts w:hint="eastAsia" w:cs="Times New Roman"/>
          <w:snapToGrid w:val="0"/>
          <w:kern w:val="0"/>
          <w:sz w:val="24"/>
          <w:szCs w:val="24"/>
          <w:highlight w:val="none"/>
          <w:lang w:val="en-US" w:eastAsia="zh-CN" w:bidi="ar-SA"/>
        </w:rPr>
        <w:t>五</w:t>
      </w:r>
      <w:r>
        <w:rPr>
          <w:rFonts w:hint="default" w:ascii="Times New Roman" w:hAnsi="Times New Roman" w:eastAsia="宋体" w:cs="Times New Roman"/>
          <w:snapToGrid w:val="0"/>
          <w:kern w:val="0"/>
          <w:sz w:val="24"/>
          <w:szCs w:val="24"/>
          <w:highlight w:val="none"/>
          <w:lang w:val="en-US" w:eastAsia="zh-CN" w:bidi="ar-SA"/>
        </w:rPr>
        <w:t>：</w:t>
      </w:r>
      <w:r>
        <w:rPr>
          <w:rFonts w:hint="eastAsia" w:ascii="Times New Roman" w:hAnsi="Times New Roman" w:eastAsia="宋体" w:cs="Times New Roman"/>
          <w:snapToGrid w:val="0"/>
          <w:kern w:val="0"/>
          <w:sz w:val="24"/>
          <w:szCs w:val="24"/>
          <w:highlight w:val="none"/>
          <w:lang w:val="en-US" w:eastAsia="zh-CN" w:bidi="ar-SA"/>
        </w:rPr>
        <w:t>本项目与老厂区位置关系图</w:t>
      </w:r>
    </w:p>
    <w:p w14:paraId="6D10ADE8">
      <w:pPr>
        <w:keepNext w:val="0"/>
        <w:keepLines w:val="0"/>
        <w:pageBreakBefore w:val="0"/>
        <w:widowControl w:val="0"/>
        <w:kinsoku/>
        <w:wordWrap/>
        <w:overflowPunct/>
        <w:topLinePunct w:val="0"/>
        <w:autoSpaceDE/>
        <w:autoSpaceDN/>
        <w:bidi w:val="0"/>
        <w:adjustRightInd/>
        <w:snapToGrid/>
        <w:spacing w:line="348" w:lineRule="auto"/>
        <w:jc w:val="both"/>
        <w:rPr>
          <w:rFonts w:hint="eastAsia"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w:t>
      </w:r>
      <w:r>
        <w:rPr>
          <w:rFonts w:hint="eastAsia" w:cs="Times New Roman"/>
          <w:snapToGrid w:val="0"/>
          <w:kern w:val="0"/>
          <w:sz w:val="24"/>
          <w:szCs w:val="24"/>
          <w:highlight w:val="none"/>
          <w:lang w:val="en-US" w:eastAsia="zh-CN" w:bidi="ar-SA"/>
        </w:rPr>
        <w:t>六</w:t>
      </w:r>
      <w:r>
        <w:rPr>
          <w:rFonts w:hint="default" w:ascii="Times New Roman" w:hAnsi="Times New Roman" w:eastAsia="宋体" w:cs="Times New Roman"/>
          <w:snapToGrid w:val="0"/>
          <w:kern w:val="0"/>
          <w:sz w:val="24"/>
          <w:szCs w:val="24"/>
          <w:highlight w:val="none"/>
          <w:lang w:val="en-US" w:eastAsia="zh-CN" w:bidi="ar-SA"/>
        </w:rPr>
        <w:t>：淮阳县产业集聚区</w:t>
      </w:r>
      <w:r>
        <w:rPr>
          <w:rFonts w:hint="eastAsia" w:ascii="Times New Roman" w:hAnsi="Times New Roman" w:eastAsia="宋体" w:cs="Times New Roman"/>
          <w:snapToGrid w:val="0"/>
          <w:kern w:val="0"/>
          <w:sz w:val="24"/>
          <w:szCs w:val="24"/>
          <w:highlight w:val="none"/>
          <w:lang w:val="en-US" w:eastAsia="zh-CN" w:bidi="ar-SA"/>
        </w:rPr>
        <w:t>土地利用规划图</w:t>
      </w:r>
    </w:p>
    <w:p w14:paraId="33FE5E23">
      <w:pPr>
        <w:keepNext w:val="0"/>
        <w:keepLines w:val="0"/>
        <w:pageBreakBefore w:val="0"/>
        <w:widowControl w:val="0"/>
        <w:kinsoku/>
        <w:wordWrap/>
        <w:overflowPunct/>
        <w:topLinePunct w:val="0"/>
        <w:autoSpaceDE/>
        <w:autoSpaceDN/>
        <w:bidi w:val="0"/>
        <w:adjustRightInd/>
        <w:snapToGrid/>
        <w:spacing w:line="348" w:lineRule="auto"/>
        <w:jc w:val="both"/>
        <w:rPr>
          <w:rFonts w:hint="default"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附图</w:t>
      </w:r>
      <w:r>
        <w:rPr>
          <w:rFonts w:hint="eastAsia" w:cs="Times New Roman"/>
          <w:snapToGrid w:val="0"/>
          <w:kern w:val="0"/>
          <w:sz w:val="24"/>
          <w:szCs w:val="24"/>
          <w:highlight w:val="none"/>
          <w:lang w:val="en-US" w:eastAsia="zh-CN" w:bidi="ar-SA"/>
        </w:rPr>
        <w:t>七</w:t>
      </w:r>
      <w:r>
        <w:rPr>
          <w:rFonts w:hint="eastAsia" w:ascii="Times New Roman" w:hAnsi="Times New Roman" w:eastAsia="宋体" w:cs="Times New Roman"/>
          <w:snapToGrid w:val="0"/>
          <w:kern w:val="0"/>
          <w:sz w:val="24"/>
          <w:szCs w:val="24"/>
          <w:highlight w:val="none"/>
          <w:lang w:val="en-US" w:eastAsia="zh-CN" w:bidi="ar-SA"/>
        </w:rPr>
        <w:t>：</w:t>
      </w:r>
      <w:r>
        <w:rPr>
          <w:rFonts w:hint="default" w:ascii="Times New Roman" w:hAnsi="Times New Roman" w:eastAsia="宋体" w:cs="Times New Roman"/>
          <w:snapToGrid w:val="0"/>
          <w:kern w:val="0"/>
          <w:sz w:val="24"/>
          <w:szCs w:val="24"/>
          <w:highlight w:val="none"/>
          <w:lang w:val="en-US" w:eastAsia="zh-CN" w:bidi="ar-SA"/>
        </w:rPr>
        <w:t>淮阳县产业集聚区产业布局图</w:t>
      </w:r>
    </w:p>
    <w:p w14:paraId="6997C822">
      <w:pPr>
        <w:keepNext w:val="0"/>
        <w:keepLines w:val="0"/>
        <w:pageBreakBefore w:val="0"/>
        <w:widowControl w:val="0"/>
        <w:tabs>
          <w:tab w:val="left" w:pos="7867"/>
        </w:tabs>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附件</w:t>
      </w:r>
      <w:r>
        <w:rPr>
          <w:rFonts w:hint="eastAsia" w:cs="Times New Roman"/>
          <w:snapToGrid w:val="0"/>
          <w:kern w:val="0"/>
          <w:sz w:val="24"/>
          <w:szCs w:val="24"/>
          <w:highlight w:val="none"/>
          <w:lang w:val="en-US" w:eastAsia="zh-CN" w:bidi="ar-SA"/>
        </w:rPr>
        <w:t>八</w:t>
      </w:r>
      <w:r>
        <w:rPr>
          <w:rFonts w:hint="default" w:ascii="Times New Roman" w:hAnsi="Times New Roman" w:eastAsia="宋体" w:cs="Times New Roman"/>
          <w:snapToGrid w:val="0"/>
          <w:kern w:val="0"/>
          <w:sz w:val="24"/>
          <w:szCs w:val="24"/>
          <w:highlight w:val="none"/>
          <w:lang w:val="en-US" w:eastAsia="zh-CN" w:bidi="ar-SA"/>
        </w:rPr>
        <w:t>：周口淮阳高新技术产业开发区发展规划（2022-2035）初稿产业布局图</w:t>
      </w:r>
    </w:p>
    <w:p w14:paraId="47948487">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附图九</w:t>
      </w:r>
      <w:r>
        <w:rPr>
          <w:rFonts w:hint="eastAsia" w:ascii="Times New Roman" w:hAnsi="Times New Roman" w:eastAsia="宋体" w:cs="Times New Roman"/>
          <w:snapToGrid w:val="0"/>
          <w:kern w:val="0"/>
          <w:sz w:val="24"/>
          <w:szCs w:val="24"/>
          <w:highlight w:val="none"/>
          <w:lang w:val="en-US" w:eastAsia="zh-CN" w:bidi="ar-SA"/>
        </w:rPr>
        <w:t>：</w:t>
      </w:r>
      <w:r>
        <w:rPr>
          <w:rFonts w:hint="default" w:ascii="Times New Roman" w:hAnsi="Times New Roman" w:eastAsia="宋体" w:cs="Times New Roman"/>
          <w:snapToGrid w:val="0"/>
          <w:kern w:val="0"/>
          <w:sz w:val="24"/>
          <w:szCs w:val="24"/>
          <w:highlight w:val="none"/>
          <w:lang w:val="en-US" w:eastAsia="zh-CN" w:bidi="ar-SA"/>
        </w:rPr>
        <w:t>项目与周口先进制造业开发区国土空间规划（2024-2035）道路交通规划图的关系图</w:t>
      </w:r>
    </w:p>
    <w:p w14:paraId="4AB7B69A">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eastAsia"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附图十：本项目与周口市淮阳县中心城区用地规划图的位置关系图</w:t>
      </w:r>
    </w:p>
    <w:p w14:paraId="59127E55">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附图十一：本项目与淮阳区污水处理厂收水范围关系示意图</w:t>
      </w:r>
    </w:p>
    <w:p w14:paraId="4373D378">
      <w:pPr>
        <w:keepNext w:val="0"/>
        <w:keepLines w:val="0"/>
        <w:pageBreakBefore w:val="0"/>
        <w:widowControl w:val="0"/>
        <w:tabs>
          <w:tab w:val="left" w:pos="7867"/>
        </w:tabs>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w:t>
      </w:r>
      <w:r>
        <w:rPr>
          <w:rFonts w:hint="eastAsia" w:cs="Times New Roman"/>
          <w:snapToGrid w:val="0"/>
          <w:kern w:val="0"/>
          <w:sz w:val="24"/>
          <w:szCs w:val="24"/>
          <w:highlight w:val="none"/>
          <w:lang w:val="en-US" w:eastAsia="zh-CN" w:bidi="ar-SA"/>
        </w:rPr>
        <w:t>十二</w:t>
      </w:r>
      <w:r>
        <w:rPr>
          <w:rFonts w:hint="default" w:ascii="Times New Roman" w:hAnsi="Times New Roman" w:eastAsia="宋体" w:cs="Times New Roman"/>
          <w:snapToGrid w:val="0"/>
          <w:kern w:val="0"/>
          <w:sz w:val="24"/>
          <w:szCs w:val="24"/>
          <w:highlight w:val="none"/>
          <w:lang w:val="en-US" w:eastAsia="zh-CN" w:bidi="ar-SA"/>
        </w:rPr>
        <w:t>：项目与周口市淮阳区饮用水源位置关系图</w:t>
      </w:r>
    </w:p>
    <w:p w14:paraId="0FF048A7">
      <w:pPr>
        <w:keepNext w:val="0"/>
        <w:keepLines w:val="0"/>
        <w:pageBreakBefore w:val="0"/>
        <w:widowControl w:val="0"/>
        <w:kinsoku/>
        <w:wordWrap/>
        <w:overflowPunct/>
        <w:topLinePunct w:val="0"/>
        <w:autoSpaceDE/>
        <w:autoSpaceDN/>
        <w:bidi w:val="0"/>
        <w:adjustRightInd/>
        <w:snapToGrid/>
        <w:spacing w:line="348" w:lineRule="auto"/>
        <w:jc w:val="both"/>
        <w:textAlignment w:val="auto"/>
        <w:outlineLvl w:val="9"/>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w:t>
      </w:r>
      <w:r>
        <w:rPr>
          <w:rFonts w:hint="eastAsia" w:cs="Times New Roman"/>
          <w:snapToGrid w:val="0"/>
          <w:kern w:val="0"/>
          <w:sz w:val="24"/>
          <w:szCs w:val="24"/>
          <w:highlight w:val="none"/>
          <w:lang w:val="en-US" w:eastAsia="zh-CN" w:bidi="ar-SA"/>
        </w:rPr>
        <w:t>十三</w:t>
      </w:r>
      <w:r>
        <w:rPr>
          <w:rFonts w:hint="default" w:ascii="Times New Roman" w:hAnsi="Times New Roman" w:eastAsia="宋体" w:cs="Times New Roman"/>
          <w:snapToGrid w:val="0"/>
          <w:kern w:val="0"/>
          <w:sz w:val="24"/>
          <w:szCs w:val="24"/>
          <w:highlight w:val="none"/>
          <w:lang w:val="en-US" w:eastAsia="zh-CN" w:bidi="ar-SA"/>
        </w:rPr>
        <w:t>：河南省生态环境分区管控应用平台截图</w:t>
      </w:r>
    </w:p>
    <w:p w14:paraId="0D596A8A">
      <w:pPr>
        <w:pStyle w:val="142"/>
        <w:keepNext w:val="0"/>
        <w:keepLines w:val="0"/>
        <w:pageBreakBefore w:val="0"/>
        <w:widowControl w:val="0"/>
        <w:kinsoku/>
        <w:wordWrap/>
        <w:overflowPunct/>
        <w:topLinePunct w:val="0"/>
        <w:autoSpaceDE/>
        <w:autoSpaceDN/>
        <w:bidi w:val="0"/>
        <w:adjustRightInd/>
        <w:snapToGrid/>
        <w:spacing w:line="348" w:lineRule="auto"/>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附图</w:t>
      </w:r>
      <w:r>
        <w:rPr>
          <w:rFonts w:hint="eastAsia" w:cs="Times New Roman"/>
          <w:snapToGrid w:val="0"/>
          <w:kern w:val="0"/>
          <w:sz w:val="24"/>
          <w:szCs w:val="24"/>
          <w:highlight w:val="none"/>
          <w:lang w:val="en-US" w:eastAsia="zh-CN" w:bidi="ar-SA"/>
        </w:rPr>
        <w:t>十四</w:t>
      </w:r>
      <w:r>
        <w:rPr>
          <w:rFonts w:hint="default" w:ascii="Times New Roman" w:hAnsi="Times New Roman" w:eastAsia="宋体" w:cs="Times New Roman"/>
          <w:snapToGrid w:val="0"/>
          <w:kern w:val="0"/>
          <w:sz w:val="24"/>
          <w:szCs w:val="24"/>
          <w:highlight w:val="none"/>
          <w:lang w:val="en-US" w:eastAsia="zh-CN" w:bidi="ar-SA"/>
        </w:rPr>
        <w:t>：</w:t>
      </w:r>
      <w:r>
        <w:rPr>
          <w:rFonts w:hint="eastAsia" w:cs="Times New Roman"/>
          <w:snapToGrid w:val="0"/>
          <w:kern w:val="0"/>
          <w:sz w:val="24"/>
          <w:szCs w:val="24"/>
          <w:highlight w:val="none"/>
          <w:lang w:val="en-US" w:eastAsia="zh-CN" w:bidi="ar-SA"/>
        </w:rPr>
        <w:t>项目周围环境</w:t>
      </w:r>
      <w:r>
        <w:rPr>
          <w:rFonts w:hint="default" w:ascii="Times New Roman" w:hAnsi="Times New Roman" w:eastAsia="宋体" w:cs="Times New Roman"/>
          <w:snapToGrid w:val="0"/>
          <w:kern w:val="0"/>
          <w:sz w:val="24"/>
          <w:szCs w:val="24"/>
          <w:highlight w:val="none"/>
          <w:lang w:val="en-US" w:eastAsia="zh-CN" w:bidi="ar-SA"/>
        </w:rPr>
        <w:t>现场照片</w:t>
      </w:r>
    </w:p>
    <w:p w14:paraId="6085B11F">
      <w:pPr>
        <w:keepNext w:val="0"/>
        <w:keepLines w:val="0"/>
        <w:pageBreakBefore w:val="0"/>
        <w:widowControl w:val="0"/>
        <w:kinsoku/>
        <w:wordWrap/>
        <w:overflowPunct/>
        <w:topLinePunct w:val="0"/>
        <w:autoSpaceDE/>
        <w:autoSpaceDN/>
        <w:bidi w:val="0"/>
        <w:adjustRightInd/>
        <w:snapToGrid/>
        <w:spacing w:line="348" w:lineRule="auto"/>
        <w:rPr>
          <w:rFonts w:hint="eastAsia" w:ascii="Times New Roman" w:hAnsi="Times New Roman" w:eastAsia="宋体" w:cs="Times New Roman"/>
          <w:b/>
          <w:bCs/>
          <w:sz w:val="24"/>
          <w:szCs w:val="24"/>
          <w:lang w:val="en-US" w:eastAsia="zh-CN"/>
        </w:rPr>
      </w:pPr>
      <w:r>
        <w:rPr>
          <w:rFonts w:hint="eastAsia" w:cs="Times New Roman"/>
          <w:b/>
          <w:bCs/>
          <w:sz w:val="24"/>
          <w:szCs w:val="24"/>
          <w:lang w:val="en-US" w:eastAsia="zh-CN"/>
        </w:rPr>
        <w:t>附件：</w:t>
      </w:r>
    </w:p>
    <w:p w14:paraId="16A7ACD3">
      <w:pPr>
        <w:pStyle w:val="142"/>
        <w:keepNext w:val="0"/>
        <w:keepLines w:val="0"/>
        <w:pageBreakBefore w:val="0"/>
        <w:widowControl w:val="0"/>
        <w:kinsoku/>
        <w:wordWrap/>
        <w:overflowPunct/>
        <w:topLinePunct w:val="0"/>
        <w:autoSpaceDE/>
        <w:autoSpaceDN/>
        <w:bidi w:val="0"/>
        <w:adjustRightInd/>
        <w:snapToGrid/>
        <w:spacing w:line="348" w:lineRule="auto"/>
        <w:textAlignment w:val="baseline"/>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附件</w:t>
      </w:r>
      <w:r>
        <w:rPr>
          <w:rFonts w:hint="eastAsia" w:cs="Times New Roman"/>
          <w:snapToGrid w:val="0"/>
          <w:kern w:val="0"/>
          <w:sz w:val="24"/>
          <w:szCs w:val="24"/>
          <w:highlight w:val="none"/>
          <w:lang w:val="en-US" w:eastAsia="zh-CN" w:bidi="ar-SA"/>
        </w:rPr>
        <w:t>1</w:t>
      </w:r>
      <w:r>
        <w:rPr>
          <w:rFonts w:hint="default" w:ascii="Times New Roman" w:hAnsi="Times New Roman" w:eastAsia="宋体" w:cs="Times New Roman"/>
          <w:snapToGrid w:val="0"/>
          <w:kern w:val="0"/>
          <w:sz w:val="24"/>
          <w:szCs w:val="24"/>
          <w:highlight w:val="none"/>
          <w:lang w:val="en-US" w:eastAsia="zh-CN" w:bidi="ar-SA"/>
        </w:rPr>
        <w:t>：委托书</w:t>
      </w:r>
    </w:p>
    <w:p w14:paraId="5ED1A968">
      <w:pPr>
        <w:pStyle w:val="142"/>
        <w:keepNext w:val="0"/>
        <w:keepLines w:val="0"/>
        <w:pageBreakBefore w:val="0"/>
        <w:widowControl w:val="0"/>
        <w:kinsoku/>
        <w:wordWrap/>
        <w:overflowPunct/>
        <w:topLinePunct w:val="0"/>
        <w:autoSpaceDE/>
        <w:autoSpaceDN/>
        <w:bidi w:val="0"/>
        <w:adjustRightInd/>
        <w:snapToGrid/>
        <w:spacing w:line="348" w:lineRule="auto"/>
        <w:textAlignment w:val="baseline"/>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附件</w:t>
      </w:r>
      <w:r>
        <w:rPr>
          <w:rFonts w:hint="eastAsia" w:cs="Times New Roman"/>
          <w:snapToGrid w:val="0"/>
          <w:kern w:val="0"/>
          <w:sz w:val="24"/>
          <w:szCs w:val="24"/>
          <w:highlight w:val="none"/>
          <w:lang w:val="en-US" w:eastAsia="zh-CN" w:bidi="ar-SA"/>
        </w:rPr>
        <w:t>2</w:t>
      </w:r>
      <w:r>
        <w:rPr>
          <w:rFonts w:hint="default" w:ascii="Times New Roman" w:hAnsi="Times New Roman" w:eastAsia="宋体" w:cs="Times New Roman"/>
          <w:snapToGrid w:val="0"/>
          <w:kern w:val="0"/>
          <w:sz w:val="24"/>
          <w:szCs w:val="24"/>
          <w:highlight w:val="none"/>
          <w:lang w:val="en-US" w:eastAsia="zh-CN" w:bidi="ar-SA"/>
        </w:rPr>
        <w:t>：备案证明</w:t>
      </w:r>
    </w:p>
    <w:p w14:paraId="3F5A12BB">
      <w:pPr>
        <w:pStyle w:val="142"/>
        <w:keepNext w:val="0"/>
        <w:keepLines w:val="0"/>
        <w:pageBreakBefore w:val="0"/>
        <w:widowControl w:val="0"/>
        <w:kinsoku/>
        <w:wordWrap/>
        <w:overflowPunct/>
        <w:topLinePunct w:val="0"/>
        <w:autoSpaceDE/>
        <w:autoSpaceDN/>
        <w:bidi w:val="0"/>
        <w:adjustRightInd/>
        <w:snapToGrid/>
        <w:spacing w:line="348" w:lineRule="auto"/>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附件</w:t>
      </w:r>
      <w:r>
        <w:rPr>
          <w:rFonts w:hint="eastAsia" w:ascii="Times New Roman" w:hAnsi="Times New Roman" w:eastAsia="宋体" w:cs="Times New Roman"/>
          <w:snapToGrid w:val="0"/>
          <w:kern w:val="0"/>
          <w:sz w:val="24"/>
          <w:szCs w:val="24"/>
          <w:highlight w:val="none"/>
          <w:lang w:val="en-US" w:eastAsia="zh-CN" w:bidi="ar-SA"/>
        </w:rPr>
        <w:t>3</w:t>
      </w:r>
      <w:r>
        <w:rPr>
          <w:rFonts w:hint="default" w:ascii="Times New Roman" w:hAnsi="Times New Roman" w:eastAsia="宋体" w:cs="Times New Roman"/>
          <w:snapToGrid w:val="0"/>
          <w:kern w:val="0"/>
          <w:sz w:val="24"/>
          <w:szCs w:val="24"/>
          <w:highlight w:val="none"/>
          <w:lang w:val="en-US" w:eastAsia="zh-CN" w:bidi="ar-SA"/>
        </w:rPr>
        <w:t>：入园证明</w:t>
      </w:r>
    </w:p>
    <w:p w14:paraId="77A9B58F">
      <w:pPr>
        <w:pStyle w:val="142"/>
        <w:keepNext w:val="0"/>
        <w:keepLines w:val="0"/>
        <w:pageBreakBefore w:val="0"/>
        <w:widowControl w:val="0"/>
        <w:kinsoku/>
        <w:wordWrap/>
        <w:overflowPunct/>
        <w:topLinePunct w:val="0"/>
        <w:autoSpaceDE/>
        <w:autoSpaceDN/>
        <w:bidi w:val="0"/>
        <w:adjustRightInd/>
        <w:snapToGrid/>
        <w:spacing w:line="348" w:lineRule="auto"/>
        <w:rPr>
          <w:rFonts w:hint="default" w:ascii="Times New Roman" w:hAnsi="Times New Roman" w:eastAsia="宋体" w:cs="Times New Roman"/>
          <w:snapToGrid w:val="0"/>
          <w:kern w:val="0"/>
          <w:sz w:val="24"/>
          <w:szCs w:val="24"/>
          <w:highlight w:val="none"/>
          <w:lang w:val="en-US" w:eastAsia="zh-CN" w:bidi="ar-SA"/>
        </w:rPr>
      </w:pPr>
      <w:r>
        <w:rPr>
          <w:rFonts w:hint="default" w:ascii="Times New Roman" w:hAnsi="Times New Roman" w:eastAsia="宋体" w:cs="Times New Roman"/>
          <w:snapToGrid w:val="0"/>
          <w:kern w:val="0"/>
          <w:sz w:val="24"/>
          <w:szCs w:val="24"/>
          <w:highlight w:val="none"/>
          <w:lang w:val="en-US" w:eastAsia="zh-CN" w:bidi="ar-SA"/>
        </w:rPr>
        <w:t>附件</w:t>
      </w:r>
      <w:r>
        <w:rPr>
          <w:rFonts w:hint="eastAsia" w:ascii="Times New Roman" w:hAnsi="Times New Roman" w:eastAsia="宋体" w:cs="Times New Roman"/>
          <w:snapToGrid w:val="0"/>
          <w:kern w:val="0"/>
          <w:sz w:val="24"/>
          <w:szCs w:val="24"/>
          <w:highlight w:val="none"/>
          <w:lang w:val="en-US" w:eastAsia="zh-CN" w:bidi="ar-SA"/>
        </w:rPr>
        <w:t>4</w:t>
      </w:r>
      <w:r>
        <w:rPr>
          <w:rFonts w:hint="default" w:ascii="Times New Roman" w:hAnsi="Times New Roman" w:eastAsia="宋体" w:cs="Times New Roman"/>
          <w:snapToGrid w:val="0"/>
          <w:kern w:val="0"/>
          <w:sz w:val="24"/>
          <w:szCs w:val="24"/>
          <w:highlight w:val="none"/>
          <w:lang w:val="en-US" w:eastAsia="zh-CN" w:bidi="ar-SA"/>
        </w:rPr>
        <w:t>：租赁协议</w:t>
      </w:r>
    </w:p>
    <w:p w14:paraId="5ADBC508">
      <w:pPr>
        <w:pStyle w:val="142"/>
        <w:keepNext w:val="0"/>
        <w:keepLines w:val="0"/>
        <w:pageBreakBefore w:val="0"/>
        <w:widowControl w:val="0"/>
        <w:kinsoku/>
        <w:wordWrap/>
        <w:overflowPunct/>
        <w:topLinePunct w:val="0"/>
        <w:autoSpaceDE/>
        <w:autoSpaceDN/>
        <w:bidi w:val="0"/>
        <w:adjustRightInd/>
        <w:snapToGrid/>
        <w:spacing w:line="348" w:lineRule="auto"/>
        <w:rPr>
          <w:rFonts w:hint="eastAsia" w:cs="Times New Roman"/>
          <w:b w:val="0"/>
          <w:bCs w:val="0"/>
          <w:snapToGrid w:val="0"/>
          <w:kern w:val="0"/>
          <w:sz w:val="24"/>
          <w:szCs w:val="24"/>
          <w:highlight w:val="none"/>
          <w:u w:val="none"/>
          <w:lang w:val="en-US" w:eastAsia="zh-CN" w:bidi="ar-SA"/>
        </w:rPr>
      </w:pPr>
      <w:r>
        <w:rPr>
          <w:rFonts w:hint="eastAsia" w:cs="Times New Roman"/>
          <w:b w:val="0"/>
          <w:bCs w:val="0"/>
          <w:snapToGrid w:val="0"/>
          <w:kern w:val="0"/>
          <w:sz w:val="24"/>
          <w:szCs w:val="24"/>
          <w:highlight w:val="none"/>
          <w:u w:val="none"/>
          <w:lang w:val="en-US" w:eastAsia="zh-CN" w:bidi="ar-SA"/>
        </w:rPr>
        <w:t>附件5：玻璃油墨的VOC</w:t>
      </w:r>
      <w:r>
        <w:rPr>
          <w:rFonts w:hint="eastAsia" w:cs="Times New Roman"/>
          <w:b w:val="0"/>
          <w:bCs w:val="0"/>
          <w:snapToGrid w:val="0"/>
          <w:kern w:val="0"/>
          <w:sz w:val="24"/>
          <w:szCs w:val="24"/>
          <w:highlight w:val="none"/>
          <w:u w:val="none"/>
          <w:vertAlign w:val="subscript"/>
          <w:lang w:val="en-US" w:eastAsia="zh-CN" w:bidi="ar-SA"/>
        </w:rPr>
        <w:t>S</w:t>
      </w:r>
      <w:r>
        <w:rPr>
          <w:rFonts w:hint="eastAsia" w:cs="Times New Roman"/>
          <w:b w:val="0"/>
          <w:bCs w:val="0"/>
          <w:snapToGrid w:val="0"/>
          <w:kern w:val="0"/>
          <w:sz w:val="24"/>
          <w:szCs w:val="24"/>
          <w:highlight w:val="none"/>
          <w:u w:val="none"/>
          <w:lang w:val="en-US" w:eastAsia="zh-CN" w:bidi="ar-SA"/>
        </w:rPr>
        <w:t>检测报告</w:t>
      </w:r>
    </w:p>
    <w:p w14:paraId="60A1D022">
      <w:pPr>
        <w:pStyle w:val="142"/>
        <w:keepNext w:val="0"/>
        <w:keepLines w:val="0"/>
        <w:pageBreakBefore w:val="0"/>
        <w:widowControl w:val="0"/>
        <w:kinsoku/>
        <w:wordWrap/>
        <w:overflowPunct/>
        <w:topLinePunct w:val="0"/>
        <w:autoSpaceDE/>
        <w:autoSpaceDN/>
        <w:bidi w:val="0"/>
        <w:adjustRightInd/>
        <w:snapToGrid/>
        <w:spacing w:line="348" w:lineRule="auto"/>
        <w:textAlignment w:val="baseline"/>
        <w:rPr>
          <w:rFonts w:hint="eastAsia"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附件6：玻璃墨水的MSDS说明书</w:t>
      </w:r>
    </w:p>
    <w:p w14:paraId="22100606">
      <w:pPr>
        <w:pStyle w:val="142"/>
        <w:keepNext w:val="0"/>
        <w:keepLines w:val="0"/>
        <w:pageBreakBefore w:val="0"/>
        <w:widowControl w:val="0"/>
        <w:kinsoku/>
        <w:wordWrap/>
        <w:overflowPunct/>
        <w:topLinePunct w:val="0"/>
        <w:autoSpaceDE/>
        <w:autoSpaceDN/>
        <w:bidi w:val="0"/>
        <w:adjustRightInd/>
        <w:snapToGrid/>
        <w:spacing w:line="348" w:lineRule="auto"/>
        <w:textAlignment w:val="baseline"/>
        <w:rPr>
          <w:rFonts w:hint="eastAsia"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附件7：双组分硅酮结构密封胶的VOC</w:t>
      </w:r>
      <w:r>
        <w:rPr>
          <w:rFonts w:hint="eastAsia" w:ascii="Times New Roman" w:hAnsi="Times New Roman" w:eastAsia="宋体" w:cs="Times New Roman"/>
          <w:snapToGrid w:val="0"/>
          <w:kern w:val="0"/>
          <w:sz w:val="24"/>
          <w:szCs w:val="24"/>
          <w:highlight w:val="none"/>
          <w:vertAlign w:val="subscript"/>
          <w:lang w:val="en-US" w:eastAsia="zh-CN" w:bidi="ar-SA"/>
        </w:rPr>
        <w:t>S</w:t>
      </w:r>
      <w:r>
        <w:rPr>
          <w:rFonts w:hint="eastAsia" w:ascii="Times New Roman" w:hAnsi="Times New Roman" w:eastAsia="宋体" w:cs="Times New Roman"/>
          <w:snapToGrid w:val="0"/>
          <w:kern w:val="0"/>
          <w:sz w:val="24"/>
          <w:szCs w:val="24"/>
          <w:highlight w:val="none"/>
          <w:lang w:val="en-US" w:eastAsia="zh-CN" w:bidi="ar-SA"/>
        </w:rPr>
        <w:t>检测报告</w:t>
      </w:r>
    </w:p>
    <w:p w14:paraId="7ED9B5FC">
      <w:pPr>
        <w:pStyle w:val="142"/>
        <w:keepNext w:val="0"/>
        <w:keepLines w:val="0"/>
        <w:pageBreakBefore w:val="0"/>
        <w:widowControl w:val="0"/>
        <w:kinsoku/>
        <w:wordWrap/>
        <w:overflowPunct/>
        <w:topLinePunct w:val="0"/>
        <w:autoSpaceDE/>
        <w:autoSpaceDN/>
        <w:bidi w:val="0"/>
        <w:adjustRightInd/>
        <w:snapToGrid/>
        <w:spacing w:line="348" w:lineRule="auto"/>
        <w:textAlignment w:val="baseline"/>
        <w:rPr>
          <w:rFonts w:hint="eastAsia"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附件8：双组分硅酮结构密封胶质量检验报告</w:t>
      </w:r>
    </w:p>
    <w:p w14:paraId="2E8292D8">
      <w:pPr>
        <w:pStyle w:val="142"/>
        <w:keepNext w:val="0"/>
        <w:keepLines w:val="0"/>
        <w:pageBreakBefore w:val="0"/>
        <w:widowControl w:val="0"/>
        <w:kinsoku/>
        <w:wordWrap/>
        <w:overflowPunct/>
        <w:topLinePunct w:val="0"/>
        <w:autoSpaceDE/>
        <w:autoSpaceDN/>
        <w:bidi w:val="0"/>
        <w:adjustRightInd/>
        <w:snapToGrid/>
        <w:spacing w:line="348" w:lineRule="auto"/>
        <w:textAlignment w:val="baseline"/>
        <w:rPr>
          <w:rFonts w:hint="eastAsia" w:ascii="Times New Roman" w:hAnsi="Times New Roman" w:eastAsia="宋体" w:cs="Times New Roman"/>
          <w:snapToGrid w:val="0"/>
          <w:kern w:val="0"/>
          <w:sz w:val="24"/>
          <w:szCs w:val="24"/>
          <w:highlight w:val="none"/>
          <w:lang w:val="en-US" w:eastAsia="zh-CN" w:bidi="ar-SA"/>
        </w:rPr>
      </w:pPr>
      <w:r>
        <w:rPr>
          <w:rFonts w:hint="eastAsia" w:ascii="Times New Roman" w:hAnsi="Times New Roman" w:eastAsia="宋体" w:cs="Times New Roman"/>
          <w:snapToGrid w:val="0"/>
          <w:kern w:val="0"/>
          <w:sz w:val="24"/>
          <w:szCs w:val="24"/>
          <w:highlight w:val="none"/>
          <w:lang w:val="en-US" w:eastAsia="zh-CN" w:bidi="ar-SA"/>
        </w:rPr>
        <w:t>附件9：丁基胶的VOC</w:t>
      </w:r>
      <w:r>
        <w:rPr>
          <w:rFonts w:hint="eastAsia" w:ascii="Times New Roman" w:hAnsi="Times New Roman" w:eastAsia="宋体" w:cs="Times New Roman"/>
          <w:snapToGrid w:val="0"/>
          <w:kern w:val="0"/>
          <w:sz w:val="24"/>
          <w:szCs w:val="24"/>
          <w:highlight w:val="none"/>
          <w:vertAlign w:val="subscript"/>
          <w:lang w:val="en-US" w:eastAsia="zh-CN" w:bidi="ar-SA"/>
        </w:rPr>
        <w:t>S</w:t>
      </w:r>
      <w:r>
        <w:rPr>
          <w:rFonts w:hint="eastAsia" w:ascii="Times New Roman" w:hAnsi="Times New Roman" w:eastAsia="宋体" w:cs="Times New Roman"/>
          <w:snapToGrid w:val="0"/>
          <w:kern w:val="0"/>
          <w:sz w:val="24"/>
          <w:szCs w:val="24"/>
          <w:highlight w:val="none"/>
          <w:lang w:val="en-US" w:eastAsia="zh-CN" w:bidi="ar-SA"/>
        </w:rPr>
        <w:t>检测报告</w:t>
      </w:r>
    </w:p>
    <w:p w14:paraId="010E654E">
      <w:pPr>
        <w:pStyle w:val="142"/>
        <w:keepNext w:val="0"/>
        <w:keepLines w:val="0"/>
        <w:pageBreakBefore w:val="0"/>
        <w:widowControl w:val="0"/>
        <w:kinsoku/>
        <w:wordWrap/>
        <w:overflowPunct/>
        <w:topLinePunct w:val="0"/>
        <w:autoSpaceDE/>
        <w:autoSpaceDN/>
        <w:bidi w:val="0"/>
        <w:adjustRightInd/>
        <w:snapToGrid/>
        <w:spacing w:line="348" w:lineRule="auto"/>
        <w:rPr>
          <w:rFonts w:hint="default" w:ascii="Times New Roman" w:hAnsi="Times New Roman" w:eastAsia="宋体" w:cs="Times New Roman"/>
          <w:b w:val="0"/>
          <w:bCs w:val="0"/>
          <w:snapToGrid w:val="0"/>
          <w:kern w:val="0"/>
          <w:sz w:val="24"/>
          <w:szCs w:val="24"/>
          <w:highlight w:val="none"/>
          <w:u w:val="none"/>
          <w:lang w:val="en-US" w:eastAsia="zh-CN" w:bidi="ar-SA"/>
        </w:rPr>
      </w:pPr>
      <w:r>
        <w:rPr>
          <w:rFonts w:hint="eastAsia" w:cs="Times New Roman"/>
          <w:b w:val="0"/>
          <w:bCs w:val="0"/>
          <w:snapToGrid w:val="0"/>
          <w:kern w:val="0"/>
          <w:sz w:val="24"/>
          <w:szCs w:val="24"/>
          <w:highlight w:val="none"/>
          <w:u w:val="none"/>
          <w:lang w:val="en-US" w:eastAsia="zh-CN" w:bidi="ar-SA"/>
        </w:rPr>
        <w:t>附件10：原项目环评批复及竣工环境保护验收意见</w:t>
      </w:r>
    </w:p>
    <w:p w14:paraId="72FFF8FA">
      <w:pPr>
        <w:pStyle w:val="142"/>
        <w:keepNext w:val="0"/>
        <w:keepLines w:val="0"/>
        <w:pageBreakBefore w:val="0"/>
        <w:widowControl w:val="0"/>
        <w:kinsoku/>
        <w:wordWrap/>
        <w:overflowPunct/>
        <w:topLinePunct w:val="0"/>
        <w:autoSpaceDE/>
        <w:autoSpaceDN/>
        <w:bidi w:val="0"/>
        <w:adjustRightInd/>
        <w:snapToGrid/>
        <w:spacing w:line="348" w:lineRule="auto"/>
        <w:rPr>
          <w:rFonts w:hint="default" w:ascii="Times New Roman" w:hAnsi="Times New Roman" w:eastAsia="宋体" w:cs="Times New Roman"/>
          <w:b w:val="0"/>
          <w:bCs w:val="0"/>
          <w:snapToGrid w:val="0"/>
          <w:kern w:val="0"/>
          <w:sz w:val="24"/>
          <w:szCs w:val="24"/>
          <w:highlight w:val="none"/>
          <w:u w:val="none"/>
          <w:lang w:val="en-US" w:eastAsia="zh-CN" w:bidi="ar-SA"/>
        </w:rPr>
      </w:pPr>
      <w:r>
        <w:rPr>
          <w:rFonts w:hint="eastAsia" w:cs="Times New Roman"/>
          <w:b w:val="0"/>
          <w:bCs w:val="0"/>
          <w:snapToGrid w:val="0"/>
          <w:kern w:val="0"/>
          <w:sz w:val="24"/>
          <w:szCs w:val="24"/>
          <w:highlight w:val="none"/>
          <w:u w:val="none"/>
          <w:lang w:val="en-US" w:eastAsia="zh-CN" w:bidi="ar-SA"/>
        </w:rPr>
        <w:t>附件11：原项目排污许可证</w:t>
      </w:r>
    </w:p>
    <w:p w14:paraId="400E51E2">
      <w:pPr>
        <w:pStyle w:val="142"/>
        <w:keepNext w:val="0"/>
        <w:keepLines w:val="0"/>
        <w:pageBreakBefore w:val="0"/>
        <w:widowControl w:val="0"/>
        <w:kinsoku/>
        <w:wordWrap/>
        <w:overflowPunct/>
        <w:topLinePunct w:val="0"/>
        <w:autoSpaceDE/>
        <w:autoSpaceDN/>
        <w:bidi w:val="0"/>
        <w:adjustRightInd/>
        <w:snapToGrid/>
        <w:spacing w:line="348" w:lineRule="auto"/>
        <w:rPr>
          <w:rFonts w:hint="default" w:ascii="Times New Roman" w:hAnsi="Times New Roman" w:eastAsia="宋体" w:cs="Times New Roman"/>
          <w:b w:val="0"/>
          <w:bCs w:val="0"/>
          <w:snapToGrid w:val="0"/>
          <w:kern w:val="0"/>
          <w:sz w:val="24"/>
          <w:szCs w:val="24"/>
          <w:highlight w:val="none"/>
          <w:u w:val="none"/>
          <w:lang w:val="en-US" w:eastAsia="zh-CN" w:bidi="ar-SA"/>
        </w:rPr>
      </w:pPr>
      <w:r>
        <w:rPr>
          <w:rFonts w:hint="eastAsia" w:cs="Times New Roman"/>
          <w:b w:val="0"/>
          <w:bCs w:val="0"/>
          <w:snapToGrid w:val="0"/>
          <w:kern w:val="0"/>
          <w:sz w:val="24"/>
          <w:szCs w:val="24"/>
          <w:highlight w:val="none"/>
          <w:u w:val="none"/>
          <w:lang w:val="en-US" w:eastAsia="zh-CN" w:bidi="ar-SA"/>
        </w:rPr>
        <w:t>附件12：自行监测报告及声环境质量监测报告</w:t>
      </w:r>
    </w:p>
    <w:p w14:paraId="4EA492AB">
      <w:pPr>
        <w:pStyle w:val="142"/>
        <w:keepNext w:val="0"/>
        <w:keepLines w:val="0"/>
        <w:pageBreakBefore w:val="0"/>
        <w:widowControl w:val="0"/>
        <w:kinsoku/>
        <w:wordWrap/>
        <w:overflowPunct/>
        <w:topLinePunct w:val="0"/>
        <w:autoSpaceDE/>
        <w:autoSpaceDN/>
        <w:bidi w:val="0"/>
        <w:adjustRightInd/>
        <w:snapToGrid/>
        <w:spacing w:line="348" w:lineRule="auto"/>
        <w:rPr>
          <w:rFonts w:hint="eastAsia" w:cs="Times New Roman"/>
          <w:b w:val="0"/>
          <w:bCs w:val="0"/>
          <w:snapToGrid w:val="0"/>
          <w:kern w:val="0"/>
          <w:sz w:val="24"/>
          <w:szCs w:val="24"/>
          <w:highlight w:val="none"/>
          <w:u w:val="none"/>
          <w:lang w:val="en-US" w:eastAsia="zh-CN" w:bidi="ar-SA"/>
        </w:rPr>
      </w:pPr>
      <w:r>
        <w:rPr>
          <w:rFonts w:hint="default" w:ascii="Times New Roman" w:hAnsi="Times New Roman" w:eastAsia="宋体" w:cs="Times New Roman"/>
          <w:b w:val="0"/>
          <w:bCs w:val="0"/>
          <w:snapToGrid w:val="0"/>
          <w:kern w:val="0"/>
          <w:sz w:val="24"/>
          <w:szCs w:val="24"/>
          <w:highlight w:val="none"/>
          <w:u w:val="none"/>
          <w:lang w:val="en-US" w:eastAsia="zh-CN" w:bidi="ar-SA"/>
        </w:rPr>
        <w:t>附件</w:t>
      </w:r>
      <w:r>
        <w:rPr>
          <w:rFonts w:hint="eastAsia" w:cs="Times New Roman"/>
          <w:b w:val="0"/>
          <w:bCs w:val="0"/>
          <w:snapToGrid w:val="0"/>
          <w:kern w:val="0"/>
          <w:sz w:val="24"/>
          <w:szCs w:val="24"/>
          <w:highlight w:val="none"/>
          <w:u w:val="none"/>
          <w:lang w:val="en-US" w:eastAsia="zh-CN" w:bidi="ar-SA"/>
        </w:rPr>
        <w:t>13</w:t>
      </w:r>
      <w:r>
        <w:rPr>
          <w:rFonts w:hint="default" w:ascii="Times New Roman" w:hAnsi="Times New Roman" w:eastAsia="宋体" w:cs="Times New Roman"/>
          <w:b w:val="0"/>
          <w:bCs w:val="0"/>
          <w:snapToGrid w:val="0"/>
          <w:kern w:val="0"/>
          <w:sz w:val="24"/>
          <w:szCs w:val="24"/>
          <w:highlight w:val="none"/>
          <w:u w:val="none"/>
          <w:lang w:val="en-US" w:eastAsia="zh-CN" w:bidi="ar-SA"/>
        </w:rPr>
        <w:t>：</w:t>
      </w:r>
      <w:r>
        <w:rPr>
          <w:rFonts w:hint="eastAsia" w:cs="Times New Roman"/>
          <w:b w:val="0"/>
          <w:bCs w:val="0"/>
          <w:snapToGrid w:val="0"/>
          <w:kern w:val="0"/>
          <w:sz w:val="24"/>
          <w:szCs w:val="24"/>
          <w:highlight w:val="none"/>
          <w:u w:val="none"/>
          <w:lang w:val="en-US" w:eastAsia="zh-CN" w:bidi="ar-SA"/>
        </w:rPr>
        <w:t>建设单位环保承诺书</w:t>
      </w:r>
    </w:p>
    <w:p w14:paraId="6B89EB01">
      <w:pPr>
        <w:pStyle w:val="142"/>
        <w:keepNext w:val="0"/>
        <w:keepLines w:val="0"/>
        <w:pageBreakBefore w:val="0"/>
        <w:widowControl w:val="0"/>
        <w:kinsoku/>
        <w:wordWrap/>
        <w:overflowPunct/>
        <w:topLinePunct w:val="0"/>
        <w:autoSpaceDE/>
        <w:autoSpaceDN/>
        <w:bidi w:val="0"/>
        <w:adjustRightInd/>
        <w:snapToGrid/>
        <w:spacing w:line="348" w:lineRule="auto"/>
        <w:rPr>
          <w:rFonts w:hint="default" w:cs="Times New Roman"/>
          <w:b w:val="0"/>
          <w:bCs w:val="0"/>
          <w:snapToGrid w:val="0"/>
          <w:kern w:val="0"/>
          <w:sz w:val="24"/>
          <w:szCs w:val="24"/>
          <w:highlight w:val="none"/>
          <w:u w:val="none"/>
          <w:lang w:val="en-US" w:eastAsia="zh-CN" w:bidi="ar-SA"/>
        </w:rPr>
        <w:sectPr>
          <w:footerReference r:id="rId3"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r>
        <w:rPr>
          <w:rFonts w:hint="eastAsia" w:cs="Times New Roman"/>
          <w:b w:val="0"/>
          <w:bCs w:val="0"/>
          <w:snapToGrid w:val="0"/>
          <w:kern w:val="0"/>
          <w:sz w:val="24"/>
          <w:szCs w:val="24"/>
          <w:highlight w:val="none"/>
          <w:u w:val="none"/>
          <w:lang w:val="en-US" w:eastAsia="zh-CN" w:bidi="ar-SA"/>
        </w:rPr>
        <w:t>附件14：专家函审意见</w:t>
      </w:r>
    </w:p>
    <w:p w14:paraId="4A0BBC69">
      <w:pPr>
        <w:pStyle w:val="34"/>
        <w:jc w:val="both"/>
        <w:outlineLvl w:val="0"/>
        <w:rPr>
          <w:rFonts w:ascii="Times New Roman" w:hAnsi="Times New Roman" w:eastAsia="黑体"/>
          <w:b w:val="0"/>
          <w:bCs w:val="0"/>
          <w:snapToGrid w:val="0"/>
          <w:color w:val="auto"/>
          <w:sz w:val="30"/>
          <w:szCs w:val="30"/>
        </w:rPr>
      </w:pPr>
      <w:bookmarkStart w:id="1" w:name="_Toc2635"/>
      <w:r>
        <w:rPr>
          <w:rFonts w:ascii="Times New Roman" w:hAnsi="Times New Roman" w:eastAsia="黑体"/>
          <w:b w:val="0"/>
          <w:bCs w:val="0"/>
          <w:snapToGrid w:val="0"/>
          <w:color w:val="auto"/>
          <w:sz w:val="30"/>
          <w:szCs w:val="30"/>
        </w:rPr>
        <w:t>一、建设项目基本情况</w:t>
      </w:r>
      <w:bookmarkEnd w:id="1"/>
    </w:p>
    <w:tbl>
      <w:tblPr>
        <w:tblStyle w:val="3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720"/>
        <w:gridCol w:w="1785"/>
        <w:gridCol w:w="2006"/>
        <w:gridCol w:w="3359"/>
      </w:tblGrid>
      <w:tr w14:paraId="4D81C4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4169CC0B">
            <w:pPr>
              <w:adjustRightInd w:val="0"/>
              <w:snapToGrid w:val="0"/>
              <w:contextualSpacing/>
              <w:jc w:val="center"/>
              <w:rPr>
                <w:b w:val="0"/>
                <w:bCs w:val="0"/>
                <w:color w:val="auto"/>
                <w:sz w:val="24"/>
              </w:rPr>
            </w:pPr>
            <w:r>
              <w:rPr>
                <w:b w:val="0"/>
                <w:bCs w:val="0"/>
                <w:color w:val="auto"/>
                <w:sz w:val="24"/>
              </w:rPr>
              <w:t>建设项目名称</w:t>
            </w:r>
          </w:p>
        </w:tc>
        <w:tc>
          <w:tcPr>
            <w:tcW w:w="7150" w:type="dxa"/>
            <w:gridSpan w:val="3"/>
            <w:noWrap w:val="0"/>
            <w:vAlign w:val="center"/>
          </w:tcPr>
          <w:p w14:paraId="5E81DE91">
            <w:pPr>
              <w:adjustRightInd w:val="0"/>
              <w:snapToGrid w:val="0"/>
              <w:contextualSpacing/>
              <w:jc w:val="center"/>
              <w:rPr>
                <w:rFonts w:hint="default"/>
                <w:b w:val="0"/>
                <w:bCs w:val="0"/>
                <w:color w:val="auto"/>
                <w:sz w:val="24"/>
                <w:lang w:val="en-US"/>
              </w:rPr>
            </w:pPr>
            <w:r>
              <w:rPr>
                <w:rFonts w:hint="eastAsia"/>
                <w:b w:val="0"/>
                <w:bCs w:val="0"/>
                <w:color w:val="auto"/>
                <w:sz w:val="24"/>
                <w:lang w:val="en-US" w:eastAsia="zh-CN"/>
              </w:rPr>
              <w:t>节能安全玻璃新材料及技术装备生产线建设项目</w:t>
            </w:r>
          </w:p>
        </w:tc>
      </w:tr>
      <w:tr w14:paraId="1A9CA4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7" w:hRule="atLeast"/>
          <w:jc w:val="center"/>
        </w:trPr>
        <w:tc>
          <w:tcPr>
            <w:tcW w:w="1720" w:type="dxa"/>
            <w:noWrap w:val="0"/>
            <w:tcMar>
              <w:top w:w="16" w:type="dxa"/>
              <w:left w:w="16" w:type="dxa"/>
              <w:right w:w="16" w:type="dxa"/>
            </w:tcMar>
            <w:vAlign w:val="center"/>
          </w:tcPr>
          <w:p w14:paraId="15CF1D6E">
            <w:pPr>
              <w:adjustRightInd w:val="0"/>
              <w:snapToGrid w:val="0"/>
              <w:contextualSpacing/>
              <w:jc w:val="center"/>
              <w:rPr>
                <w:b w:val="0"/>
                <w:bCs w:val="0"/>
                <w:color w:val="auto"/>
                <w:sz w:val="24"/>
              </w:rPr>
            </w:pPr>
            <w:r>
              <w:rPr>
                <w:b w:val="0"/>
                <w:bCs w:val="0"/>
                <w:color w:val="auto"/>
                <w:sz w:val="24"/>
              </w:rPr>
              <w:t>项目代码</w:t>
            </w:r>
          </w:p>
        </w:tc>
        <w:tc>
          <w:tcPr>
            <w:tcW w:w="7150" w:type="dxa"/>
            <w:gridSpan w:val="3"/>
            <w:noWrap w:val="0"/>
            <w:vAlign w:val="center"/>
          </w:tcPr>
          <w:p w14:paraId="085CC383">
            <w:pPr>
              <w:adjustRightInd w:val="0"/>
              <w:snapToGrid w:val="0"/>
              <w:contextualSpacing/>
              <w:jc w:val="center"/>
              <w:rPr>
                <w:rFonts w:hint="default" w:eastAsia="宋体"/>
                <w:b w:val="0"/>
                <w:bCs w:val="0"/>
                <w:color w:val="auto"/>
                <w:sz w:val="24"/>
                <w:lang w:val="en-US" w:eastAsia="zh-CN"/>
              </w:rPr>
            </w:pPr>
            <w:r>
              <w:rPr>
                <w:b w:val="0"/>
                <w:bCs w:val="0"/>
                <w:color w:val="auto"/>
                <w:sz w:val="24"/>
              </w:rPr>
              <w:t>2</w:t>
            </w:r>
            <w:r>
              <w:rPr>
                <w:rFonts w:hint="eastAsia"/>
                <w:b w:val="0"/>
                <w:bCs w:val="0"/>
                <w:color w:val="auto"/>
                <w:sz w:val="24"/>
                <w:lang w:val="en-US" w:eastAsia="zh-CN"/>
              </w:rPr>
              <w:t>603</w:t>
            </w:r>
            <w:r>
              <w:rPr>
                <w:b w:val="0"/>
                <w:bCs w:val="0"/>
                <w:color w:val="auto"/>
                <w:sz w:val="24"/>
              </w:rPr>
              <w:t>-4116</w:t>
            </w:r>
            <w:r>
              <w:rPr>
                <w:rFonts w:hint="eastAsia"/>
                <w:b w:val="0"/>
                <w:bCs w:val="0"/>
                <w:color w:val="auto"/>
                <w:sz w:val="24"/>
              </w:rPr>
              <w:t>57</w:t>
            </w:r>
            <w:r>
              <w:rPr>
                <w:b w:val="0"/>
                <w:bCs w:val="0"/>
                <w:color w:val="auto"/>
                <w:sz w:val="24"/>
              </w:rPr>
              <w:t>-04-0</w:t>
            </w:r>
            <w:r>
              <w:rPr>
                <w:rFonts w:hint="eastAsia"/>
                <w:b w:val="0"/>
                <w:bCs w:val="0"/>
                <w:color w:val="auto"/>
                <w:sz w:val="24"/>
                <w:lang w:val="en-US" w:eastAsia="zh-CN"/>
              </w:rPr>
              <w:t>2</w:t>
            </w:r>
            <w:r>
              <w:rPr>
                <w:b w:val="0"/>
                <w:bCs w:val="0"/>
                <w:color w:val="auto"/>
                <w:sz w:val="24"/>
              </w:rPr>
              <w:t>-</w:t>
            </w:r>
            <w:r>
              <w:rPr>
                <w:rFonts w:hint="eastAsia"/>
                <w:b w:val="0"/>
                <w:bCs w:val="0"/>
                <w:color w:val="auto"/>
                <w:sz w:val="24"/>
                <w:lang w:val="en-US" w:eastAsia="zh-CN"/>
              </w:rPr>
              <w:t>627768</w:t>
            </w:r>
          </w:p>
        </w:tc>
      </w:tr>
      <w:tr w14:paraId="053065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2FEF490F">
            <w:pPr>
              <w:adjustRightInd w:val="0"/>
              <w:snapToGrid w:val="0"/>
              <w:contextualSpacing/>
              <w:jc w:val="center"/>
              <w:rPr>
                <w:b w:val="0"/>
                <w:bCs w:val="0"/>
                <w:color w:val="auto"/>
                <w:sz w:val="24"/>
              </w:rPr>
            </w:pPr>
            <w:r>
              <w:rPr>
                <w:b w:val="0"/>
                <w:bCs w:val="0"/>
                <w:color w:val="auto"/>
                <w:sz w:val="24"/>
              </w:rPr>
              <w:t>建设单位联系人</w:t>
            </w:r>
          </w:p>
        </w:tc>
        <w:tc>
          <w:tcPr>
            <w:tcW w:w="1785" w:type="dxa"/>
            <w:noWrap w:val="0"/>
            <w:vAlign w:val="center"/>
          </w:tcPr>
          <w:p w14:paraId="30F565B4">
            <w:pPr>
              <w:snapToGrid w:val="0"/>
              <w:contextualSpacing/>
              <w:jc w:val="center"/>
              <w:rPr>
                <w:rFonts w:hint="default" w:eastAsia="宋体"/>
                <w:b w:val="0"/>
                <w:bCs w:val="0"/>
                <w:color w:val="auto"/>
                <w:sz w:val="24"/>
                <w:lang w:val="en-US" w:eastAsia="zh-CN"/>
              </w:rPr>
            </w:pPr>
            <w:r>
              <w:rPr>
                <w:rFonts w:hint="eastAsia" w:eastAsia="宋体"/>
                <w:b w:val="0"/>
                <w:bCs w:val="0"/>
                <w:color w:val="auto"/>
                <w:sz w:val="24"/>
                <w:lang w:val="en-US" w:eastAsia="zh-CN"/>
              </w:rPr>
              <w:t>顾桂文</w:t>
            </w:r>
          </w:p>
        </w:tc>
        <w:tc>
          <w:tcPr>
            <w:tcW w:w="2006" w:type="dxa"/>
            <w:noWrap w:val="0"/>
            <w:vAlign w:val="center"/>
          </w:tcPr>
          <w:p w14:paraId="0D485B7B">
            <w:pPr>
              <w:snapToGrid w:val="0"/>
              <w:contextualSpacing/>
              <w:jc w:val="center"/>
              <w:rPr>
                <w:b w:val="0"/>
                <w:bCs w:val="0"/>
                <w:color w:val="auto"/>
                <w:sz w:val="24"/>
              </w:rPr>
            </w:pPr>
            <w:r>
              <w:rPr>
                <w:b w:val="0"/>
                <w:bCs w:val="0"/>
                <w:color w:val="auto"/>
                <w:sz w:val="24"/>
              </w:rPr>
              <w:t>联系电话</w:t>
            </w:r>
          </w:p>
        </w:tc>
        <w:tc>
          <w:tcPr>
            <w:tcW w:w="3359" w:type="dxa"/>
            <w:noWrap w:val="0"/>
            <w:vAlign w:val="center"/>
          </w:tcPr>
          <w:p w14:paraId="66A169FD">
            <w:pPr>
              <w:snapToGrid w:val="0"/>
              <w:contextualSpacing/>
              <w:jc w:val="center"/>
              <w:rPr>
                <w:rFonts w:hint="default" w:eastAsia="宋体"/>
                <w:b w:val="0"/>
                <w:bCs w:val="0"/>
                <w:color w:val="auto"/>
                <w:sz w:val="24"/>
                <w:lang w:val="en-US" w:eastAsia="zh-CN"/>
              </w:rPr>
            </w:pPr>
            <w:r>
              <w:rPr>
                <w:rFonts w:hint="eastAsia"/>
                <w:b w:val="0"/>
                <w:bCs w:val="0"/>
                <w:color w:val="auto"/>
                <w:sz w:val="24"/>
                <w:lang w:val="en-US" w:eastAsia="zh-CN"/>
              </w:rPr>
              <w:t>13014626776</w:t>
            </w:r>
            <w:bookmarkStart w:id="113" w:name="_GoBack"/>
            <w:bookmarkEnd w:id="113"/>
          </w:p>
        </w:tc>
      </w:tr>
      <w:tr w14:paraId="378B98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3107C8CD">
            <w:pPr>
              <w:adjustRightInd w:val="0"/>
              <w:snapToGrid w:val="0"/>
              <w:contextualSpacing/>
              <w:jc w:val="center"/>
              <w:rPr>
                <w:b w:val="0"/>
                <w:bCs w:val="0"/>
                <w:color w:val="auto"/>
                <w:sz w:val="24"/>
              </w:rPr>
            </w:pPr>
            <w:r>
              <w:rPr>
                <w:b w:val="0"/>
                <w:bCs w:val="0"/>
                <w:color w:val="auto"/>
                <w:sz w:val="24"/>
              </w:rPr>
              <w:t>建设地点</w:t>
            </w:r>
          </w:p>
        </w:tc>
        <w:tc>
          <w:tcPr>
            <w:tcW w:w="7150" w:type="dxa"/>
            <w:gridSpan w:val="3"/>
            <w:noWrap w:val="0"/>
            <w:vAlign w:val="center"/>
          </w:tcPr>
          <w:p w14:paraId="00B1333C">
            <w:pPr>
              <w:adjustRightInd w:val="0"/>
              <w:snapToGrid w:val="0"/>
              <w:contextualSpacing/>
              <w:jc w:val="center"/>
              <w:rPr>
                <w:rFonts w:hint="default" w:eastAsia="宋体"/>
                <w:b w:val="0"/>
                <w:bCs w:val="0"/>
                <w:color w:val="auto"/>
                <w:sz w:val="24"/>
                <w:lang w:val="en-US" w:eastAsia="zh-CN"/>
              </w:rPr>
            </w:pPr>
            <w:r>
              <w:rPr>
                <w:rFonts w:hint="eastAsia"/>
                <w:b w:val="0"/>
                <w:bCs w:val="0"/>
                <w:color w:val="auto"/>
                <w:sz w:val="24"/>
                <w:lang w:val="en-US" w:eastAsia="zh-CN"/>
              </w:rPr>
              <w:t>河南省周口市</w:t>
            </w:r>
            <w:r>
              <w:rPr>
                <w:rFonts w:hint="eastAsia"/>
                <w:b w:val="0"/>
                <w:bCs w:val="0"/>
                <w:color w:val="auto"/>
                <w:sz w:val="24"/>
              </w:rPr>
              <w:t>周口先进制造业开发区</w:t>
            </w:r>
          </w:p>
        </w:tc>
      </w:tr>
      <w:tr w14:paraId="0D030C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5C864AA1">
            <w:pPr>
              <w:adjustRightInd w:val="0"/>
              <w:snapToGrid w:val="0"/>
              <w:contextualSpacing/>
              <w:jc w:val="center"/>
              <w:rPr>
                <w:b w:val="0"/>
                <w:bCs w:val="0"/>
                <w:color w:val="auto"/>
                <w:sz w:val="24"/>
              </w:rPr>
            </w:pPr>
            <w:r>
              <w:rPr>
                <w:b w:val="0"/>
                <w:bCs w:val="0"/>
                <w:color w:val="auto"/>
                <w:sz w:val="24"/>
              </w:rPr>
              <w:t>地理坐标</w:t>
            </w:r>
          </w:p>
        </w:tc>
        <w:tc>
          <w:tcPr>
            <w:tcW w:w="7150" w:type="dxa"/>
            <w:gridSpan w:val="3"/>
            <w:noWrap w:val="0"/>
            <w:vAlign w:val="center"/>
          </w:tcPr>
          <w:p w14:paraId="6F738C11">
            <w:pPr>
              <w:snapToGrid w:val="0"/>
              <w:contextualSpacing/>
              <w:jc w:val="center"/>
              <w:rPr>
                <w:b w:val="0"/>
                <w:bCs w:val="0"/>
                <w:color w:val="auto"/>
                <w:sz w:val="24"/>
              </w:rPr>
            </w:pPr>
            <w:r>
              <w:rPr>
                <w:b w:val="0"/>
                <w:bCs w:val="0"/>
                <w:color w:val="auto"/>
                <w:sz w:val="24"/>
              </w:rPr>
              <w:t>（</w:t>
            </w:r>
            <w:r>
              <w:rPr>
                <w:b w:val="0"/>
                <w:bCs w:val="0"/>
                <w:color w:val="auto"/>
                <w:sz w:val="24"/>
                <w:u w:val="single"/>
              </w:rPr>
              <w:t xml:space="preserve"> 114 </w:t>
            </w:r>
            <w:r>
              <w:rPr>
                <w:b w:val="0"/>
                <w:bCs w:val="0"/>
                <w:color w:val="auto"/>
                <w:sz w:val="24"/>
              </w:rPr>
              <w:t>度</w:t>
            </w:r>
            <w:r>
              <w:rPr>
                <w:b w:val="0"/>
                <w:bCs w:val="0"/>
                <w:color w:val="auto"/>
                <w:sz w:val="24"/>
                <w:u w:val="single"/>
              </w:rPr>
              <w:t>5</w:t>
            </w:r>
            <w:r>
              <w:rPr>
                <w:rFonts w:hint="eastAsia"/>
                <w:b w:val="0"/>
                <w:bCs w:val="0"/>
                <w:color w:val="auto"/>
                <w:sz w:val="24"/>
                <w:u w:val="single"/>
              </w:rPr>
              <w:t>0</w:t>
            </w:r>
            <w:r>
              <w:rPr>
                <w:b w:val="0"/>
                <w:bCs w:val="0"/>
                <w:color w:val="auto"/>
                <w:sz w:val="24"/>
              </w:rPr>
              <w:t>分</w:t>
            </w:r>
            <w:r>
              <w:rPr>
                <w:b w:val="0"/>
                <w:bCs w:val="0"/>
                <w:color w:val="auto"/>
                <w:sz w:val="24"/>
                <w:u w:val="single"/>
              </w:rPr>
              <w:t xml:space="preserve"> </w:t>
            </w:r>
            <w:r>
              <w:rPr>
                <w:rFonts w:hint="eastAsia"/>
                <w:b w:val="0"/>
                <w:bCs w:val="0"/>
                <w:color w:val="auto"/>
                <w:sz w:val="24"/>
                <w:u w:val="single"/>
                <w:lang w:val="en-US" w:eastAsia="zh-CN"/>
              </w:rPr>
              <w:t>7.078</w:t>
            </w:r>
            <w:r>
              <w:rPr>
                <w:b w:val="0"/>
                <w:bCs w:val="0"/>
                <w:color w:val="auto"/>
                <w:sz w:val="24"/>
              </w:rPr>
              <w:t>秒，</w:t>
            </w:r>
            <w:r>
              <w:rPr>
                <w:b w:val="0"/>
                <w:bCs w:val="0"/>
                <w:color w:val="auto"/>
                <w:sz w:val="24"/>
                <w:u w:val="single"/>
              </w:rPr>
              <w:t xml:space="preserve"> 33 </w:t>
            </w:r>
            <w:r>
              <w:rPr>
                <w:b w:val="0"/>
                <w:bCs w:val="0"/>
                <w:color w:val="auto"/>
                <w:sz w:val="24"/>
              </w:rPr>
              <w:t>度</w:t>
            </w:r>
            <w:r>
              <w:rPr>
                <w:b w:val="0"/>
                <w:bCs w:val="0"/>
                <w:color w:val="auto"/>
                <w:sz w:val="24"/>
                <w:u w:val="single"/>
              </w:rPr>
              <w:t>4</w:t>
            </w:r>
            <w:r>
              <w:rPr>
                <w:rFonts w:hint="eastAsia"/>
                <w:b w:val="0"/>
                <w:bCs w:val="0"/>
                <w:color w:val="auto"/>
                <w:sz w:val="24"/>
                <w:u w:val="single"/>
                <w:lang w:val="en-US" w:eastAsia="zh-CN"/>
              </w:rPr>
              <w:t>0</w:t>
            </w:r>
            <w:r>
              <w:rPr>
                <w:b w:val="0"/>
                <w:bCs w:val="0"/>
                <w:color w:val="auto"/>
                <w:sz w:val="24"/>
              </w:rPr>
              <w:t>分</w:t>
            </w:r>
            <w:r>
              <w:rPr>
                <w:rFonts w:hint="eastAsia"/>
                <w:b w:val="0"/>
                <w:bCs w:val="0"/>
                <w:color w:val="auto"/>
                <w:sz w:val="24"/>
                <w:u w:val="single"/>
                <w:lang w:val="en-US" w:eastAsia="zh-CN"/>
              </w:rPr>
              <w:t>51.925</w:t>
            </w:r>
            <w:r>
              <w:rPr>
                <w:b w:val="0"/>
                <w:bCs w:val="0"/>
                <w:color w:val="auto"/>
                <w:sz w:val="24"/>
                <w:u w:val="single"/>
              </w:rPr>
              <w:t xml:space="preserve"> </w:t>
            </w:r>
            <w:r>
              <w:rPr>
                <w:b w:val="0"/>
                <w:bCs w:val="0"/>
                <w:color w:val="auto"/>
                <w:sz w:val="24"/>
              </w:rPr>
              <w:t>秒）</w:t>
            </w:r>
          </w:p>
        </w:tc>
      </w:tr>
      <w:tr w14:paraId="64D7E6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720" w:type="dxa"/>
            <w:noWrap w:val="0"/>
            <w:tcMar>
              <w:top w:w="16" w:type="dxa"/>
              <w:left w:w="16" w:type="dxa"/>
              <w:right w:w="16" w:type="dxa"/>
            </w:tcMar>
            <w:vAlign w:val="center"/>
          </w:tcPr>
          <w:p w14:paraId="0128D1C4">
            <w:pPr>
              <w:snapToGrid w:val="0"/>
              <w:ind w:firstLine="358"/>
              <w:contextualSpacing/>
              <w:rPr>
                <w:b w:val="0"/>
                <w:bCs w:val="0"/>
                <w:color w:val="auto"/>
                <w:sz w:val="24"/>
              </w:rPr>
            </w:pPr>
            <w:r>
              <w:rPr>
                <w:b w:val="0"/>
                <w:bCs w:val="0"/>
                <w:color w:val="auto"/>
                <w:spacing w:val="-9"/>
                <w:sz w:val="24"/>
              </w:rPr>
              <w:t>国民经济</w:t>
            </w:r>
          </w:p>
          <w:p w14:paraId="4AB5C4FA">
            <w:pPr>
              <w:snapToGrid w:val="0"/>
              <w:ind w:firstLine="338"/>
              <w:contextualSpacing/>
              <w:rPr>
                <w:b w:val="0"/>
                <w:bCs w:val="0"/>
                <w:color w:val="auto"/>
                <w:sz w:val="24"/>
              </w:rPr>
            </w:pPr>
            <w:r>
              <w:rPr>
                <w:b w:val="0"/>
                <w:bCs w:val="0"/>
                <w:color w:val="auto"/>
                <w:spacing w:val="-4"/>
                <w:sz w:val="24"/>
              </w:rPr>
              <w:t>行业类别</w:t>
            </w:r>
          </w:p>
        </w:tc>
        <w:tc>
          <w:tcPr>
            <w:tcW w:w="1785" w:type="dxa"/>
            <w:noWrap w:val="0"/>
            <w:vAlign w:val="center"/>
          </w:tcPr>
          <w:p w14:paraId="00A8E904">
            <w:pPr>
              <w:snapToGrid w:val="0"/>
              <w:ind w:left="99" w:right="94" w:firstLine="6"/>
              <w:contextualSpacing/>
              <w:rPr>
                <w:rFonts w:hint="default" w:eastAsia="宋体"/>
                <w:b w:val="0"/>
                <w:bCs w:val="0"/>
                <w:color w:val="auto"/>
                <w:sz w:val="24"/>
                <w:lang w:val="en-US" w:eastAsia="zh-CN"/>
              </w:rPr>
            </w:pPr>
            <w:r>
              <w:rPr>
                <w:rFonts w:hint="eastAsia" w:eastAsia="宋体"/>
                <w:b w:val="0"/>
                <w:bCs w:val="0"/>
                <w:color w:val="auto"/>
                <w:spacing w:val="-3"/>
                <w:sz w:val="24"/>
                <w:lang w:val="en-US" w:eastAsia="zh-CN"/>
              </w:rPr>
              <w:t>C3042特种玻璃制造</w:t>
            </w:r>
            <w:r>
              <w:rPr>
                <w:rFonts w:eastAsia="Times New Roman"/>
                <w:b w:val="0"/>
                <w:bCs w:val="0"/>
                <w:color w:val="auto"/>
                <w:spacing w:val="-3"/>
                <w:sz w:val="24"/>
              </w:rPr>
              <w:t>C30</w:t>
            </w:r>
            <w:r>
              <w:rPr>
                <w:rFonts w:hint="eastAsia" w:eastAsia="宋体"/>
                <w:b w:val="0"/>
                <w:bCs w:val="0"/>
                <w:color w:val="auto"/>
                <w:spacing w:val="-3"/>
                <w:sz w:val="24"/>
                <w:lang w:val="en-US" w:eastAsia="zh-CN"/>
              </w:rPr>
              <w:t>51</w:t>
            </w:r>
            <w:r>
              <w:rPr>
                <w:rFonts w:hint="eastAsia" w:eastAsia="宋体"/>
                <w:b w:val="0"/>
                <w:bCs w:val="0"/>
                <w:color w:val="auto"/>
                <w:spacing w:val="19"/>
                <w:sz w:val="24"/>
                <w:lang w:val="en-US" w:eastAsia="zh-CN"/>
              </w:rPr>
              <w:t>技术</w:t>
            </w:r>
            <w:r>
              <w:rPr>
                <w:rFonts w:hint="eastAsia" w:eastAsia="宋体"/>
                <w:b w:val="0"/>
                <w:bCs w:val="0"/>
                <w:color w:val="auto"/>
                <w:spacing w:val="-3"/>
                <w:sz w:val="24"/>
                <w:lang w:val="en-US" w:eastAsia="zh-CN"/>
              </w:rPr>
              <w:t>玻璃制品制造</w:t>
            </w:r>
          </w:p>
        </w:tc>
        <w:tc>
          <w:tcPr>
            <w:tcW w:w="2006" w:type="dxa"/>
            <w:noWrap w:val="0"/>
            <w:vAlign w:val="center"/>
          </w:tcPr>
          <w:p w14:paraId="30998660">
            <w:pPr>
              <w:snapToGrid w:val="0"/>
              <w:ind w:firstLine="646"/>
              <w:contextualSpacing/>
              <w:rPr>
                <w:b w:val="0"/>
                <w:bCs w:val="0"/>
                <w:color w:val="auto"/>
                <w:sz w:val="24"/>
              </w:rPr>
            </w:pPr>
            <w:r>
              <w:rPr>
                <w:b w:val="0"/>
                <w:bCs w:val="0"/>
                <w:color w:val="auto"/>
                <w:spacing w:val="-4"/>
                <w:sz w:val="24"/>
              </w:rPr>
              <w:t>建设项目</w:t>
            </w:r>
          </w:p>
          <w:p w14:paraId="38FC5A05">
            <w:pPr>
              <w:snapToGrid w:val="0"/>
              <w:ind w:firstLine="647"/>
              <w:contextualSpacing/>
              <w:rPr>
                <w:b w:val="0"/>
                <w:bCs w:val="0"/>
                <w:color w:val="auto"/>
                <w:sz w:val="24"/>
              </w:rPr>
            </w:pPr>
            <w:r>
              <w:rPr>
                <w:b w:val="0"/>
                <w:bCs w:val="0"/>
                <w:color w:val="auto"/>
                <w:spacing w:val="-4"/>
                <w:sz w:val="24"/>
              </w:rPr>
              <w:t>行业类别</w:t>
            </w:r>
          </w:p>
        </w:tc>
        <w:tc>
          <w:tcPr>
            <w:tcW w:w="3359" w:type="dxa"/>
            <w:noWrap w:val="0"/>
            <w:vAlign w:val="center"/>
          </w:tcPr>
          <w:p w14:paraId="409154B0">
            <w:pPr>
              <w:snapToGrid w:val="0"/>
              <w:ind w:firstLine="85"/>
              <w:contextualSpacing/>
              <w:rPr>
                <w:b w:val="0"/>
                <w:bCs w:val="0"/>
                <w:color w:val="auto"/>
                <w:sz w:val="24"/>
              </w:rPr>
            </w:pPr>
            <w:r>
              <w:rPr>
                <w:b w:val="0"/>
                <w:bCs w:val="0"/>
                <w:color w:val="auto"/>
                <w:spacing w:val="-2"/>
                <w:sz w:val="24"/>
              </w:rPr>
              <w:t>二十七、非金属矿物制品业</w:t>
            </w:r>
            <w:r>
              <w:rPr>
                <w:rFonts w:hint="eastAsia"/>
                <w:b w:val="0"/>
                <w:bCs w:val="0"/>
                <w:color w:val="auto"/>
                <w:spacing w:val="-2"/>
                <w:sz w:val="24"/>
                <w:lang w:val="en-US" w:eastAsia="zh-CN"/>
              </w:rPr>
              <w:t>中“57玻璃制造304；玻璃制品制造305”中的特种玻璃制造和玻璃制品制造</w:t>
            </w:r>
          </w:p>
        </w:tc>
      </w:tr>
      <w:tr w14:paraId="2C7CEB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720" w:type="dxa"/>
            <w:noWrap w:val="0"/>
            <w:tcMar>
              <w:top w:w="16" w:type="dxa"/>
              <w:left w:w="16" w:type="dxa"/>
              <w:right w:w="16" w:type="dxa"/>
            </w:tcMar>
            <w:vAlign w:val="center"/>
          </w:tcPr>
          <w:p w14:paraId="3FE02F3D">
            <w:pPr>
              <w:adjustRightInd w:val="0"/>
              <w:snapToGrid w:val="0"/>
              <w:contextualSpacing/>
              <w:jc w:val="center"/>
              <w:rPr>
                <w:b w:val="0"/>
                <w:bCs w:val="0"/>
                <w:color w:val="auto"/>
                <w:sz w:val="24"/>
              </w:rPr>
            </w:pPr>
            <w:r>
              <w:rPr>
                <w:b w:val="0"/>
                <w:bCs w:val="0"/>
                <w:color w:val="auto"/>
                <w:sz w:val="24"/>
              </w:rPr>
              <w:t>建设性质</w:t>
            </w:r>
          </w:p>
        </w:tc>
        <w:tc>
          <w:tcPr>
            <w:tcW w:w="1785" w:type="dxa"/>
            <w:noWrap w:val="0"/>
            <w:vAlign w:val="center"/>
          </w:tcPr>
          <w:p w14:paraId="050488CC">
            <w:pPr>
              <w:snapToGrid w:val="0"/>
              <w:contextualSpacing/>
              <w:jc w:val="left"/>
              <w:rPr>
                <w:b w:val="0"/>
                <w:bCs w:val="0"/>
                <w:color w:val="auto"/>
                <w:sz w:val="24"/>
              </w:rPr>
            </w:pPr>
            <w:r>
              <w:rPr>
                <w:b w:val="0"/>
                <w:bCs w:val="0"/>
                <w:color w:val="auto"/>
                <w:sz w:val="24"/>
              </w:rPr>
              <w:t>□新建（迁建）</w:t>
            </w:r>
          </w:p>
          <w:p w14:paraId="1400687D">
            <w:pPr>
              <w:snapToGrid w:val="0"/>
              <w:contextualSpacing/>
              <w:jc w:val="left"/>
              <w:rPr>
                <w:b w:val="0"/>
                <w:bCs w:val="0"/>
                <w:color w:val="auto"/>
                <w:sz w:val="24"/>
              </w:rPr>
            </w:pPr>
            <w:r>
              <w:rPr>
                <w:b w:val="0"/>
                <w:bCs w:val="0"/>
                <w:color w:val="auto"/>
                <w:sz w:val="24"/>
              </w:rPr>
              <w:t>□改建</w:t>
            </w:r>
          </w:p>
          <w:p w14:paraId="2697AA0B">
            <w:pPr>
              <w:snapToGrid w:val="0"/>
              <w:contextualSpacing/>
              <w:jc w:val="left"/>
              <w:rPr>
                <w:b w:val="0"/>
                <w:bCs w:val="0"/>
                <w:color w:val="auto"/>
                <w:sz w:val="24"/>
              </w:rPr>
            </w:pPr>
            <w:r>
              <w:rPr>
                <w:rFonts w:hint="eastAsia"/>
                <w:b w:val="0"/>
                <w:bCs w:val="0"/>
                <w:color w:val="auto"/>
                <w:sz w:val="24"/>
                <w:lang w:eastAsia="zh-CN"/>
              </w:rPr>
              <w:t>☑</w:t>
            </w:r>
            <w:r>
              <w:rPr>
                <w:b w:val="0"/>
                <w:bCs w:val="0"/>
                <w:color w:val="auto"/>
                <w:sz w:val="24"/>
              </w:rPr>
              <w:t>扩建</w:t>
            </w:r>
          </w:p>
          <w:p w14:paraId="30E9ADEC">
            <w:pPr>
              <w:snapToGrid w:val="0"/>
              <w:contextualSpacing/>
              <w:jc w:val="left"/>
              <w:rPr>
                <w:b w:val="0"/>
                <w:bCs w:val="0"/>
                <w:color w:val="auto"/>
                <w:sz w:val="24"/>
              </w:rPr>
            </w:pPr>
            <w:r>
              <w:rPr>
                <w:b w:val="0"/>
                <w:bCs w:val="0"/>
                <w:color w:val="auto"/>
                <w:sz w:val="24"/>
              </w:rPr>
              <w:t>□技术改造</w:t>
            </w:r>
          </w:p>
        </w:tc>
        <w:tc>
          <w:tcPr>
            <w:tcW w:w="2006" w:type="dxa"/>
            <w:noWrap w:val="0"/>
            <w:vAlign w:val="center"/>
          </w:tcPr>
          <w:p w14:paraId="25DA78D7">
            <w:pPr>
              <w:adjustRightInd w:val="0"/>
              <w:snapToGrid w:val="0"/>
              <w:contextualSpacing/>
              <w:jc w:val="center"/>
              <w:rPr>
                <w:b w:val="0"/>
                <w:bCs w:val="0"/>
                <w:color w:val="auto"/>
                <w:sz w:val="24"/>
              </w:rPr>
            </w:pPr>
            <w:r>
              <w:rPr>
                <w:b w:val="0"/>
                <w:bCs w:val="0"/>
                <w:color w:val="auto"/>
                <w:sz w:val="24"/>
              </w:rPr>
              <w:t>建设项目</w:t>
            </w:r>
          </w:p>
          <w:p w14:paraId="41EE4C3D">
            <w:pPr>
              <w:adjustRightInd w:val="0"/>
              <w:snapToGrid w:val="0"/>
              <w:contextualSpacing/>
              <w:jc w:val="center"/>
              <w:rPr>
                <w:b w:val="0"/>
                <w:bCs w:val="0"/>
                <w:color w:val="auto"/>
                <w:sz w:val="24"/>
              </w:rPr>
            </w:pPr>
            <w:r>
              <w:rPr>
                <w:b w:val="0"/>
                <w:bCs w:val="0"/>
                <w:color w:val="auto"/>
                <w:sz w:val="24"/>
              </w:rPr>
              <w:t>申报情形</w:t>
            </w:r>
          </w:p>
        </w:tc>
        <w:tc>
          <w:tcPr>
            <w:tcW w:w="3359" w:type="dxa"/>
            <w:noWrap w:val="0"/>
            <w:vAlign w:val="center"/>
          </w:tcPr>
          <w:p w14:paraId="2EA052C5">
            <w:pPr>
              <w:snapToGrid w:val="0"/>
              <w:contextualSpacing/>
              <w:jc w:val="left"/>
              <w:rPr>
                <w:b w:val="0"/>
                <w:bCs w:val="0"/>
                <w:color w:val="auto"/>
                <w:sz w:val="24"/>
              </w:rPr>
            </w:pPr>
            <w:r>
              <w:rPr>
                <w:rFonts w:hint="eastAsia"/>
                <w:b w:val="0"/>
                <w:bCs w:val="0"/>
                <w:color w:val="auto"/>
                <w:sz w:val="24"/>
                <w:lang w:eastAsia="zh-CN"/>
              </w:rPr>
              <w:t>☑</w:t>
            </w:r>
            <w:r>
              <w:rPr>
                <w:b w:val="0"/>
                <w:bCs w:val="0"/>
                <w:color w:val="auto"/>
                <w:sz w:val="24"/>
              </w:rPr>
              <w:t xml:space="preserve">首次申报项目             </w:t>
            </w:r>
          </w:p>
          <w:p w14:paraId="41F23D54">
            <w:pPr>
              <w:snapToGrid w:val="0"/>
              <w:contextualSpacing/>
              <w:jc w:val="left"/>
              <w:rPr>
                <w:b w:val="0"/>
                <w:bCs w:val="0"/>
                <w:color w:val="auto"/>
                <w:sz w:val="24"/>
              </w:rPr>
            </w:pPr>
            <w:r>
              <w:rPr>
                <w:b w:val="0"/>
                <w:bCs w:val="0"/>
                <w:color w:val="auto"/>
                <w:sz w:val="24"/>
              </w:rPr>
              <w:t>□不予批准后再次申报项目</w:t>
            </w:r>
          </w:p>
          <w:p w14:paraId="2EBD7827">
            <w:pPr>
              <w:snapToGrid w:val="0"/>
              <w:contextualSpacing/>
              <w:jc w:val="left"/>
              <w:rPr>
                <w:b w:val="0"/>
                <w:bCs w:val="0"/>
                <w:color w:val="auto"/>
                <w:sz w:val="24"/>
              </w:rPr>
            </w:pPr>
            <w:r>
              <w:rPr>
                <w:b w:val="0"/>
                <w:bCs w:val="0"/>
                <w:color w:val="auto"/>
                <w:sz w:val="24"/>
              </w:rPr>
              <w:t xml:space="preserve">□超五年重新审核项目     </w:t>
            </w:r>
          </w:p>
          <w:p w14:paraId="6A22C0A2">
            <w:pPr>
              <w:snapToGrid w:val="0"/>
              <w:contextualSpacing/>
              <w:jc w:val="left"/>
              <w:rPr>
                <w:b w:val="0"/>
                <w:bCs w:val="0"/>
                <w:color w:val="auto"/>
                <w:sz w:val="24"/>
              </w:rPr>
            </w:pPr>
            <w:r>
              <w:rPr>
                <w:b w:val="0"/>
                <w:bCs w:val="0"/>
                <w:color w:val="auto"/>
                <w:sz w:val="24"/>
              </w:rPr>
              <w:t>□重大变动重新报批项目</w:t>
            </w:r>
          </w:p>
        </w:tc>
      </w:tr>
      <w:tr w14:paraId="3652B1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720" w:type="dxa"/>
            <w:noWrap w:val="0"/>
            <w:tcMar>
              <w:top w:w="16" w:type="dxa"/>
              <w:left w:w="16" w:type="dxa"/>
              <w:right w:w="16" w:type="dxa"/>
            </w:tcMar>
            <w:vAlign w:val="center"/>
          </w:tcPr>
          <w:p w14:paraId="49448EFD">
            <w:pPr>
              <w:adjustRightInd w:val="0"/>
              <w:snapToGrid w:val="0"/>
              <w:jc w:val="center"/>
              <w:rPr>
                <w:b w:val="0"/>
                <w:bCs w:val="0"/>
                <w:color w:val="auto"/>
                <w:sz w:val="24"/>
                <w:highlight w:val="none"/>
              </w:rPr>
            </w:pPr>
            <w:r>
              <w:rPr>
                <w:b w:val="0"/>
                <w:bCs w:val="0"/>
                <w:color w:val="auto"/>
                <w:sz w:val="24"/>
                <w:highlight w:val="none"/>
              </w:rPr>
              <w:t>项目审批（核准/备案）部门（选填）</w:t>
            </w:r>
          </w:p>
        </w:tc>
        <w:tc>
          <w:tcPr>
            <w:tcW w:w="1785" w:type="dxa"/>
            <w:noWrap w:val="0"/>
            <w:vAlign w:val="center"/>
          </w:tcPr>
          <w:p w14:paraId="28734351">
            <w:pPr>
              <w:adjustRightInd w:val="0"/>
              <w:snapToGrid w:val="0"/>
              <w:jc w:val="center"/>
              <w:rPr>
                <w:rFonts w:hint="default" w:eastAsia="宋体"/>
                <w:b w:val="0"/>
                <w:bCs w:val="0"/>
                <w:color w:val="auto"/>
                <w:sz w:val="24"/>
                <w:highlight w:val="none"/>
                <w:lang w:val="en-US" w:eastAsia="zh-CN"/>
              </w:rPr>
            </w:pPr>
            <w:r>
              <w:rPr>
                <w:b w:val="0"/>
                <w:bCs w:val="0"/>
                <w:color w:val="auto"/>
                <w:sz w:val="24"/>
                <w:highlight w:val="none"/>
              </w:rPr>
              <w:t>周口</w:t>
            </w:r>
            <w:r>
              <w:rPr>
                <w:rFonts w:hint="eastAsia"/>
                <w:b w:val="0"/>
                <w:bCs w:val="0"/>
                <w:color w:val="auto"/>
                <w:sz w:val="24"/>
                <w:highlight w:val="none"/>
                <w:lang w:val="en-US" w:eastAsia="zh-CN"/>
              </w:rPr>
              <w:t>市淮阳区人民政府行政许可</w:t>
            </w:r>
          </w:p>
        </w:tc>
        <w:tc>
          <w:tcPr>
            <w:tcW w:w="2006" w:type="dxa"/>
            <w:noWrap w:val="0"/>
            <w:vAlign w:val="center"/>
          </w:tcPr>
          <w:p w14:paraId="2D96E215">
            <w:pPr>
              <w:adjustRightInd w:val="0"/>
              <w:snapToGrid w:val="0"/>
              <w:jc w:val="center"/>
              <w:rPr>
                <w:b w:val="0"/>
                <w:bCs w:val="0"/>
                <w:color w:val="auto"/>
                <w:sz w:val="24"/>
                <w:highlight w:val="none"/>
              </w:rPr>
            </w:pPr>
            <w:r>
              <w:rPr>
                <w:b w:val="0"/>
                <w:bCs w:val="0"/>
                <w:color w:val="auto"/>
                <w:sz w:val="24"/>
                <w:highlight w:val="none"/>
              </w:rPr>
              <w:t>项目审批（核准/</w:t>
            </w:r>
          </w:p>
          <w:p w14:paraId="1C6074F5">
            <w:pPr>
              <w:adjustRightInd w:val="0"/>
              <w:snapToGrid w:val="0"/>
              <w:jc w:val="center"/>
              <w:rPr>
                <w:b w:val="0"/>
                <w:bCs w:val="0"/>
                <w:color w:val="auto"/>
                <w:sz w:val="24"/>
                <w:highlight w:val="none"/>
              </w:rPr>
            </w:pPr>
            <w:r>
              <w:rPr>
                <w:b w:val="0"/>
                <w:bCs w:val="0"/>
                <w:color w:val="auto"/>
                <w:sz w:val="24"/>
                <w:highlight w:val="none"/>
              </w:rPr>
              <w:t>备案）文号（选填）</w:t>
            </w:r>
          </w:p>
        </w:tc>
        <w:tc>
          <w:tcPr>
            <w:tcW w:w="3359" w:type="dxa"/>
            <w:noWrap w:val="0"/>
            <w:vAlign w:val="center"/>
          </w:tcPr>
          <w:p w14:paraId="3FE7617C">
            <w:pPr>
              <w:adjustRightInd w:val="0"/>
              <w:snapToGrid w:val="0"/>
              <w:jc w:val="center"/>
              <w:rPr>
                <w:b w:val="0"/>
                <w:bCs w:val="0"/>
                <w:color w:val="auto"/>
                <w:sz w:val="24"/>
                <w:highlight w:val="none"/>
              </w:rPr>
            </w:pPr>
            <w:r>
              <w:rPr>
                <w:b w:val="0"/>
                <w:bCs w:val="0"/>
                <w:color w:val="auto"/>
                <w:sz w:val="24"/>
                <w:highlight w:val="none"/>
              </w:rPr>
              <w:t>2</w:t>
            </w:r>
            <w:r>
              <w:rPr>
                <w:rFonts w:hint="eastAsia"/>
                <w:b w:val="0"/>
                <w:bCs w:val="0"/>
                <w:color w:val="auto"/>
                <w:sz w:val="24"/>
                <w:highlight w:val="none"/>
                <w:lang w:val="en-US" w:eastAsia="zh-CN"/>
              </w:rPr>
              <w:t>603</w:t>
            </w:r>
            <w:r>
              <w:rPr>
                <w:b w:val="0"/>
                <w:bCs w:val="0"/>
                <w:color w:val="auto"/>
                <w:sz w:val="24"/>
                <w:highlight w:val="none"/>
              </w:rPr>
              <w:t>-4116</w:t>
            </w:r>
            <w:r>
              <w:rPr>
                <w:rFonts w:hint="eastAsia"/>
                <w:b w:val="0"/>
                <w:bCs w:val="0"/>
                <w:color w:val="auto"/>
                <w:sz w:val="24"/>
                <w:highlight w:val="none"/>
              </w:rPr>
              <w:t>57</w:t>
            </w:r>
            <w:r>
              <w:rPr>
                <w:b w:val="0"/>
                <w:bCs w:val="0"/>
                <w:color w:val="auto"/>
                <w:sz w:val="24"/>
                <w:highlight w:val="none"/>
              </w:rPr>
              <w:t>-04-0</w:t>
            </w:r>
            <w:r>
              <w:rPr>
                <w:rFonts w:hint="eastAsia"/>
                <w:b w:val="0"/>
                <w:bCs w:val="0"/>
                <w:color w:val="auto"/>
                <w:sz w:val="24"/>
                <w:highlight w:val="none"/>
                <w:lang w:val="en-US" w:eastAsia="zh-CN"/>
              </w:rPr>
              <w:t>2</w:t>
            </w:r>
            <w:r>
              <w:rPr>
                <w:b w:val="0"/>
                <w:bCs w:val="0"/>
                <w:color w:val="auto"/>
                <w:sz w:val="24"/>
                <w:highlight w:val="none"/>
              </w:rPr>
              <w:t>-</w:t>
            </w:r>
            <w:r>
              <w:rPr>
                <w:rFonts w:hint="eastAsia"/>
                <w:b w:val="0"/>
                <w:bCs w:val="0"/>
                <w:color w:val="auto"/>
                <w:sz w:val="24"/>
                <w:highlight w:val="none"/>
                <w:lang w:val="en-US" w:eastAsia="zh-CN"/>
              </w:rPr>
              <w:t>627768</w:t>
            </w:r>
          </w:p>
        </w:tc>
      </w:tr>
      <w:tr w14:paraId="47EAE4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31FBD0F4">
            <w:pPr>
              <w:adjustRightInd w:val="0"/>
              <w:snapToGrid w:val="0"/>
              <w:jc w:val="center"/>
              <w:rPr>
                <w:b w:val="0"/>
                <w:bCs w:val="0"/>
                <w:color w:val="auto"/>
                <w:sz w:val="24"/>
                <w:highlight w:val="none"/>
              </w:rPr>
            </w:pPr>
            <w:r>
              <w:rPr>
                <w:b w:val="0"/>
                <w:bCs w:val="0"/>
                <w:color w:val="auto"/>
                <w:sz w:val="24"/>
                <w:highlight w:val="none"/>
              </w:rPr>
              <w:t>总投资（万元）</w:t>
            </w:r>
          </w:p>
        </w:tc>
        <w:tc>
          <w:tcPr>
            <w:tcW w:w="1785" w:type="dxa"/>
            <w:noWrap w:val="0"/>
            <w:vAlign w:val="center"/>
          </w:tcPr>
          <w:p w14:paraId="5159341A">
            <w:pPr>
              <w:adjustRightInd w:val="0"/>
              <w:snapToGrid w:val="0"/>
              <w:jc w:val="center"/>
              <w:rPr>
                <w:rFonts w:hint="default" w:eastAsia="宋体"/>
                <w:b w:val="0"/>
                <w:bCs w:val="0"/>
                <w:color w:val="auto"/>
                <w:sz w:val="24"/>
                <w:highlight w:val="none"/>
                <w:lang w:val="en-US" w:eastAsia="zh-CN"/>
              </w:rPr>
            </w:pPr>
            <w:r>
              <w:rPr>
                <w:rFonts w:hint="eastAsia"/>
                <w:b w:val="0"/>
                <w:bCs w:val="0"/>
                <w:color w:val="auto"/>
                <w:sz w:val="24"/>
                <w:highlight w:val="none"/>
                <w:lang w:val="en-US" w:eastAsia="zh-CN"/>
              </w:rPr>
              <w:t>15000</w:t>
            </w:r>
          </w:p>
        </w:tc>
        <w:tc>
          <w:tcPr>
            <w:tcW w:w="2006" w:type="dxa"/>
            <w:noWrap w:val="0"/>
            <w:tcMar>
              <w:top w:w="16" w:type="dxa"/>
              <w:left w:w="16" w:type="dxa"/>
              <w:right w:w="16" w:type="dxa"/>
            </w:tcMar>
            <w:vAlign w:val="center"/>
          </w:tcPr>
          <w:p w14:paraId="0FC77D04">
            <w:pPr>
              <w:adjustRightInd w:val="0"/>
              <w:snapToGrid w:val="0"/>
              <w:jc w:val="center"/>
              <w:rPr>
                <w:b w:val="0"/>
                <w:bCs w:val="0"/>
                <w:color w:val="auto"/>
                <w:sz w:val="24"/>
                <w:highlight w:val="none"/>
              </w:rPr>
            </w:pPr>
            <w:r>
              <w:rPr>
                <w:b w:val="0"/>
                <w:bCs w:val="0"/>
                <w:color w:val="auto"/>
                <w:sz w:val="24"/>
                <w:highlight w:val="none"/>
              </w:rPr>
              <w:t>环保投资（万元）</w:t>
            </w:r>
          </w:p>
        </w:tc>
        <w:tc>
          <w:tcPr>
            <w:tcW w:w="3359" w:type="dxa"/>
            <w:noWrap w:val="0"/>
            <w:vAlign w:val="center"/>
          </w:tcPr>
          <w:p w14:paraId="71767593">
            <w:pPr>
              <w:adjustRightInd w:val="0"/>
              <w:snapToGrid w:val="0"/>
              <w:jc w:val="center"/>
              <w:rPr>
                <w:rFonts w:hint="default" w:eastAsia="宋体"/>
                <w:b w:val="0"/>
                <w:bCs w:val="0"/>
                <w:color w:val="auto"/>
                <w:sz w:val="24"/>
                <w:highlight w:val="none"/>
                <w:lang w:val="en-US" w:eastAsia="zh-CN"/>
              </w:rPr>
            </w:pPr>
            <w:r>
              <w:rPr>
                <w:rFonts w:hint="eastAsia"/>
                <w:b w:val="0"/>
                <w:bCs w:val="0"/>
                <w:color w:val="auto"/>
                <w:sz w:val="24"/>
                <w:highlight w:val="none"/>
                <w:lang w:val="en-US" w:eastAsia="zh-CN"/>
              </w:rPr>
              <w:t>89</w:t>
            </w:r>
          </w:p>
        </w:tc>
      </w:tr>
      <w:tr w14:paraId="606260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54A3D869">
            <w:pPr>
              <w:adjustRightInd w:val="0"/>
              <w:snapToGrid w:val="0"/>
              <w:jc w:val="center"/>
              <w:rPr>
                <w:b w:val="0"/>
                <w:bCs w:val="0"/>
                <w:color w:val="auto"/>
                <w:sz w:val="24"/>
                <w:highlight w:val="none"/>
              </w:rPr>
            </w:pPr>
            <w:r>
              <w:rPr>
                <w:b w:val="0"/>
                <w:bCs w:val="0"/>
                <w:color w:val="auto"/>
                <w:sz w:val="24"/>
                <w:highlight w:val="none"/>
              </w:rPr>
              <w:t>环保投资占比（%）</w:t>
            </w:r>
          </w:p>
        </w:tc>
        <w:tc>
          <w:tcPr>
            <w:tcW w:w="1785" w:type="dxa"/>
            <w:noWrap w:val="0"/>
            <w:vAlign w:val="center"/>
          </w:tcPr>
          <w:p w14:paraId="7C4CD09B">
            <w:pPr>
              <w:adjustRightInd w:val="0"/>
              <w:snapToGrid w:val="0"/>
              <w:jc w:val="center"/>
              <w:rPr>
                <w:rFonts w:hint="default"/>
                <w:b w:val="0"/>
                <w:bCs w:val="0"/>
                <w:color w:val="auto"/>
                <w:sz w:val="24"/>
                <w:highlight w:val="none"/>
                <w:lang w:val="en-US" w:eastAsia="zh-CN"/>
              </w:rPr>
            </w:pPr>
            <w:r>
              <w:rPr>
                <w:rFonts w:hint="eastAsia"/>
                <w:b w:val="0"/>
                <w:bCs w:val="0"/>
                <w:color w:val="auto"/>
                <w:sz w:val="24"/>
                <w:highlight w:val="none"/>
                <w:lang w:val="en-US" w:eastAsia="zh-CN"/>
              </w:rPr>
              <w:t>0.59</w:t>
            </w:r>
          </w:p>
        </w:tc>
        <w:tc>
          <w:tcPr>
            <w:tcW w:w="2006" w:type="dxa"/>
            <w:noWrap w:val="0"/>
            <w:tcMar>
              <w:top w:w="16" w:type="dxa"/>
              <w:left w:w="16" w:type="dxa"/>
              <w:right w:w="16" w:type="dxa"/>
            </w:tcMar>
            <w:vAlign w:val="center"/>
          </w:tcPr>
          <w:p w14:paraId="1C863893">
            <w:pPr>
              <w:adjustRightInd w:val="0"/>
              <w:snapToGrid w:val="0"/>
              <w:jc w:val="center"/>
              <w:rPr>
                <w:b w:val="0"/>
                <w:bCs w:val="0"/>
                <w:color w:val="auto"/>
                <w:sz w:val="24"/>
                <w:highlight w:val="none"/>
              </w:rPr>
            </w:pPr>
            <w:r>
              <w:rPr>
                <w:b w:val="0"/>
                <w:bCs w:val="0"/>
                <w:color w:val="auto"/>
                <w:sz w:val="24"/>
                <w:highlight w:val="none"/>
              </w:rPr>
              <w:t>施工工期</w:t>
            </w:r>
          </w:p>
        </w:tc>
        <w:tc>
          <w:tcPr>
            <w:tcW w:w="3359" w:type="dxa"/>
            <w:noWrap w:val="0"/>
            <w:vAlign w:val="center"/>
          </w:tcPr>
          <w:p w14:paraId="152EB733">
            <w:pPr>
              <w:adjustRightInd w:val="0"/>
              <w:snapToGrid w:val="0"/>
              <w:jc w:val="center"/>
              <w:rPr>
                <w:b w:val="0"/>
                <w:bCs w:val="0"/>
                <w:color w:val="auto"/>
                <w:sz w:val="24"/>
                <w:highlight w:val="none"/>
              </w:rPr>
            </w:pPr>
            <w:r>
              <w:rPr>
                <w:rFonts w:hint="eastAsia"/>
                <w:b w:val="0"/>
                <w:bCs w:val="0"/>
                <w:color w:val="auto"/>
                <w:sz w:val="24"/>
                <w:highlight w:val="none"/>
                <w:lang w:val="en-US" w:eastAsia="zh-CN"/>
              </w:rPr>
              <w:t>6</w:t>
            </w:r>
            <w:r>
              <w:rPr>
                <w:b w:val="0"/>
                <w:bCs w:val="0"/>
                <w:color w:val="auto"/>
                <w:sz w:val="24"/>
                <w:highlight w:val="none"/>
              </w:rPr>
              <w:t>个月</w:t>
            </w:r>
          </w:p>
        </w:tc>
      </w:tr>
      <w:tr w14:paraId="4E97B4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20" w:type="dxa"/>
            <w:noWrap w:val="0"/>
            <w:tcMar>
              <w:top w:w="16" w:type="dxa"/>
              <w:left w:w="16" w:type="dxa"/>
              <w:right w:w="16" w:type="dxa"/>
            </w:tcMar>
            <w:vAlign w:val="center"/>
          </w:tcPr>
          <w:p w14:paraId="2A2C0A7E">
            <w:pPr>
              <w:adjustRightInd w:val="0"/>
              <w:snapToGrid w:val="0"/>
              <w:jc w:val="center"/>
              <w:rPr>
                <w:b w:val="0"/>
                <w:bCs w:val="0"/>
                <w:color w:val="auto"/>
                <w:sz w:val="24"/>
              </w:rPr>
            </w:pPr>
            <w:r>
              <w:rPr>
                <w:b w:val="0"/>
                <w:bCs w:val="0"/>
                <w:color w:val="auto"/>
                <w:sz w:val="24"/>
              </w:rPr>
              <w:t>是否开工建设</w:t>
            </w:r>
          </w:p>
        </w:tc>
        <w:tc>
          <w:tcPr>
            <w:tcW w:w="1785" w:type="dxa"/>
            <w:noWrap w:val="0"/>
            <w:vAlign w:val="center"/>
          </w:tcPr>
          <w:p w14:paraId="02729118">
            <w:pPr>
              <w:adjustRightInd w:val="0"/>
              <w:snapToGrid w:val="0"/>
              <w:rPr>
                <w:b w:val="0"/>
                <w:bCs w:val="0"/>
                <w:color w:val="auto"/>
                <w:sz w:val="24"/>
              </w:rPr>
            </w:pPr>
            <w:r>
              <w:rPr>
                <w:rFonts w:eastAsia="MS Mincho"/>
                <w:b w:val="0"/>
                <w:bCs w:val="0"/>
                <w:color w:val="auto"/>
                <w:sz w:val="24"/>
              </w:rPr>
              <w:t>☑</w:t>
            </w:r>
            <w:r>
              <w:rPr>
                <w:b w:val="0"/>
                <w:bCs w:val="0"/>
                <w:color w:val="auto"/>
                <w:sz w:val="24"/>
              </w:rPr>
              <w:t>否</w:t>
            </w:r>
          </w:p>
          <w:p w14:paraId="332BC8BB">
            <w:pPr>
              <w:adjustRightInd w:val="0"/>
              <w:snapToGrid w:val="0"/>
              <w:rPr>
                <w:b w:val="0"/>
                <w:bCs w:val="0"/>
                <w:color w:val="auto"/>
                <w:sz w:val="24"/>
              </w:rPr>
            </w:pPr>
            <w:r>
              <w:rPr>
                <w:b w:val="0"/>
                <w:bCs w:val="0"/>
                <w:color w:val="auto"/>
                <w:sz w:val="24"/>
              </w:rPr>
              <w:t xml:space="preserve">□是：             </w:t>
            </w:r>
          </w:p>
        </w:tc>
        <w:tc>
          <w:tcPr>
            <w:tcW w:w="2006" w:type="dxa"/>
            <w:noWrap w:val="0"/>
            <w:tcMar>
              <w:top w:w="16" w:type="dxa"/>
              <w:left w:w="16" w:type="dxa"/>
              <w:right w:w="16" w:type="dxa"/>
            </w:tcMar>
            <w:vAlign w:val="center"/>
          </w:tcPr>
          <w:p w14:paraId="269B9091">
            <w:pPr>
              <w:adjustRightInd w:val="0"/>
              <w:snapToGrid w:val="0"/>
              <w:jc w:val="center"/>
              <w:rPr>
                <w:b w:val="0"/>
                <w:bCs w:val="0"/>
                <w:color w:val="auto"/>
                <w:spacing w:val="-6"/>
                <w:sz w:val="24"/>
              </w:rPr>
            </w:pPr>
            <w:r>
              <w:rPr>
                <w:b w:val="0"/>
                <w:bCs w:val="0"/>
                <w:color w:val="auto"/>
                <w:spacing w:val="-6"/>
                <w:sz w:val="24"/>
              </w:rPr>
              <w:t>用地（用海）</w:t>
            </w:r>
          </w:p>
          <w:p w14:paraId="45C32990">
            <w:pPr>
              <w:adjustRightInd w:val="0"/>
              <w:snapToGrid w:val="0"/>
              <w:jc w:val="center"/>
              <w:rPr>
                <w:b w:val="0"/>
                <w:bCs w:val="0"/>
                <w:color w:val="auto"/>
                <w:sz w:val="24"/>
              </w:rPr>
            </w:pPr>
            <w:r>
              <w:rPr>
                <w:b w:val="0"/>
                <w:bCs w:val="0"/>
                <w:color w:val="auto"/>
                <w:spacing w:val="-6"/>
                <w:sz w:val="24"/>
              </w:rPr>
              <w:t>面积（m</w:t>
            </w:r>
            <w:r>
              <w:rPr>
                <w:b w:val="0"/>
                <w:bCs w:val="0"/>
                <w:color w:val="auto"/>
                <w:spacing w:val="-6"/>
                <w:sz w:val="24"/>
                <w:vertAlign w:val="superscript"/>
              </w:rPr>
              <w:t>2</w:t>
            </w:r>
            <w:r>
              <w:rPr>
                <w:b w:val="0"/>
                <w:bCs w:val="0"/>
                <w:color w:val="auto"/>
                <w:spacing w:val="-6"/>
                <w:sz w:val="24"/>
              </w:rPr>
              <w:t>）</w:t>
            </w:r>
          </w:p>
        </w:tc>
        <w:tc>
          <w:tcPr>
            <w:tcW w:w="3359" w:type="dxa"/>
            <w:noWrap w:val="0"/>
            <w:vAlign w:val="center"/>
          </w:tcPr>
          <w:p w14:paraId="7AAB9392">
            <w:pPr>
              <w:adjustRightInd w:val="0"/>
              <w:snapToGrid w:val="0"/>
              <w:jc w:val="center"/>
              <w:rPr>
                <w:rFonts w:hint="default" w:eastAsia="宋体"/>
                <w:b w:val="0"/>
                <w:bCs w:val="0"/>
                <w:color w:val="auto"/>
                <w:sz w:val="24"/>
                <w:lang w:val="en-US" w:eastAsia="zh-CN"/>
              </w:rPr>
            </w:pPr>
            <w:r>
              <w:rPr>
                <w:rFonts w:hint="eastAsia"/>
                <w:b w:val="0"/>
                <w:bCs w:val="0"/>
                <w:color w:val="auto"/>
                <w:sz w:val="24"/>
                <w:lang w:val="en-US" w:eastAsia="zh-CN"/>
              </w:rPr>
              <w:t>223663</w:t>
            </w:r>
          </w:p>
        </w:tc>
      </w:tr>
      <w:tr w14:paraId="6E5736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720" w:type="dxa"/>
            <w:noWrap w:val="0"/>
            <w:vAlign w:val="center"/>
          </w:tcPr>
          <w:p w14:paraId="04F76513">
            <w:pPr>
              <w:autoSpaceDE w:val="0"/>
              <w:autoSpaceDN w:val="0"/>
              <w:adjustRightInd w:val="0"/>
              <w:snapToGrid w:val="0"/>
              <w:jc w:val="center"/>
              <w:rPr>
                <w:b w:val="0"/>
                <w:bCs w:val="0"/>
                <w:color w:val="auto"/>
                <w:kern w:val="0"/>
                <w:sz w:val="24"/>
              </w:rPr>
            </w:pPr>
            <w:r>
              <w:rPr>
                <w:b w:val="0"/>
                <w:bCs w:val="0"/>
                <w:color w:val="auto"/>
                <w:kern w:val="0"/>
                <w:sz w:val="24"/>
              </w:rPr>
              <w:t>专项评价设置情况</w:t>
            </w:r>
          </w:p>
        </w:tc>
        <w:tc>
          <w:tcPr>
            <w:tcW w:w="7150" w:type="dxa"/>
            <w:gridSpan w:val="3"/>
            <w:noWrap w:val="0"/>
            <w:vAlign w:val="center"/>
          </w:tcPr>
          <w:p w14:paraId="42528E50">
            <w:pPr>
              <w:autoSpaceDE w:val="0"/>
              <w:autoSpaceDN w:val="0"/>
              <w:adjustRightInd w:val="0"/>
              <w:snapToGrid w:val="0"/>
              <w:jc w:val="center"/>
              <w:rPr>
                <w:b w:val="0"/>
                <w:bCs w:val="0"/>
                <w:color w:val="auto"/>
                <w:kern w:val="0"/>
                <w:sz w:val="24"/>
              </w:rPr>
            </w:pPr>
            <w:r>
              <w:rPr>
                <w:b w:val="0"/>
                <w:bCs w:val="0"/>
                <w:color w:val="auto"/>
                <w:kern w:val="0"/>
                <w:sz w:val="24"/>
              </w:rPr>
              <w:t>无</w:t>
            </w:r>
          </w:p>
        </w:tc>
      </w:tr>
      <w:tr w14:paraId="106FA5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720" w:type="dxa"/>
            <w:noWrap w:val="0"/>
            <w:vAlign w:val="center"/>
          </w:tcPr>
          <w:p w14:paraId="281DCDC6">
            <w:pPr>
              <w:autoSpaceDE w:val="0"/>
              <w:autoSpaceDN w:val="0"/>
              <w:adjustRightInd w:val="0"/>
              <w:snapToGrid w:val="0"/>
              <w:jc w:val="center"/>
              <w:rPr>
                <w:b w:val="0"/>
                <w:bCs w:val="0"/>
                <w:color w:val="000000"/>
                <w:kern w:val="0"/>
                <w:sz w:val="24"/>
              </w:rPr>
            </w:pPr>
            <w:r>
              <w:rPr>
                <w:b w:val="0"/>
                <w:bCs w:val="0"/>
                <w:color w:val="000000"/>
                <w:sz w:val="24"/>
              </w:rPr>
              <w:t>规划情况</w:t>
            </w:r>
          </w:p>
        </w:tc>
        <w:tc>
          <w:tcPr>
            <w:tcW w:w="7150" w:type="dxa"/>
            <w:gridSpan w:val="3"/>
            <w:noWrap w:val="0"/>
            <w:vAlign w:val="center"/>
          </w:tcPr>
          <w:p w14:paraId="101F2C7A">
            <w:pPr>
              <w:pStyle w:val="96"/>
              <w:ind w:left="0" w:leftChars="0" w:firstLine="0" w:firstLineChars="0"/>
              <w:jc w:val="left"/>
              <w:rPr>
                <w:b w:val="0"/>
                <w:bCs w:val="0"/>
                <w:color w:val="000000"/>
              </w:rPr>
            </w:pPr>
            <w:r>
              <w:rPr>
                <w:b w:val="0"/>
                <w:bCs w:val="0"/>
                <w:color w:val="000000"/>
              </w:rPr>
              <w:t>规划名称：《淮阳县产业集聚区发展规划》（2009-2020）；</w:t>
            </w:r>
          </w:p>
          <w:p w14:paraId="65C82B60">
            <w:pPr>
              <w:pStyle w:val="96"/>
              <w:ind w:left="0" w:leftChars="0" w:firstLine="0" w:firstLineChars="0"/>
              <w:jc w:val="left"/>
              <w:rPr>
                <w:b w:val="0"/>
                <w:bCs w:val="0"/>
                <w:color w:val="000000"/>
              </w:rPr>
            </w:pPr>
            <w:r>
              <w:rPr>
                <w:b w:val="0"/>
                <w:bCs w:val="0"/>
                <w:color w:val="000000"/>
              </w:rPr>
              <w:t xml:space="preserve"> 审批机关：河南省发展和改革委员会； </w:t>
            </w:r>
          </w:p>
          <w:p w14:paraId="21DC044D">
            <w:pPr>
              <w:pStyle w:val="96"/>
              <w:ind w:left="0" w:leftChars="0" w:firstLine="0" w:firstLineChars="0"/>
              <w:jc w:val="left"/>
              <w:rPr>
                <w:b w:val="0"/>
                <w:bCs w:val="0"/>
                <w:color w:val="000000"/>
                <w:kern w:val="21"/>
                <w:szCs w:val="21"/>
              </w:rPr>
            </w:pPr>
            <w:r>
              <w:rPr>
                <w:b w:val="0"/>
                <w:bCs w:val="0"/>
                <w:color w:val="000000"/>
              </w:rPr>
              <w:t>审批文件及文号</w:t>
            </w:r>
            <w:r>
              <w:rPr>
                <w:rFonts w:hint="eastAsia"/>
                <w:b w:val="0"/>
                <w:bCs w:val="0"/>
                <w:color w:val="000000"/>
              </w:rPr>
              <w:t>：</w:t>
            </w:r>
            <w:r>
              <w:rPr>
                <w:b w:val="0"/>
                <w:bCs w:val="0"/>
                <w:color w:val="000000"/>
              </w:rPr>
              <w:t>豫发改工业[2010]2108号。</w:t>
            </w:r>
          </w:p>
        </w:tc>
      </w:tr>
      <w:tr w14:paraId="29C81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20" w:type="dxa"/>
            <w:noWrap w:val="0"/>
            <w:vAlign w:val="center"/>
          </w:tcPr>
          <w:p w14:paraId="187FD7F4">
            <w:pPr>
              <w:adjustRightInd w:val="0"/>
              <w:snapToGrid w:val="0"/>
              <w:jc w:val="center"/>
              <w:rPr>
                <w:b w:val="0"/>
                <w:bCs w:val="0"/>
                <w:color w:val="000000"/>
                <w:kern w:val="0"/>
                <w:sz w:val="24"/>
              </w:rPr>
            </w:pPr>
            <w:r>
              <w:rPr>
                <w:b w:val="0"/>
                <w:bCs w:val="0"/>
                <w:color w:val="000000"/>
                <w:sz w:val="24"/>
              </w:rPr>
              <w:t>规划环境影响评价情况</w:t>
            </w:r>
          </w:p>
        </w:tc>
        <w:tc>
          <w:tcPr>
            <w:tcW w:w="7150" w:type="dxa"/>
            <w:gridSpan w:val="3"/>
            <w:noWrap w:val="0"/>
            <w:vAlign w:val="center"/>
          </w:tcPr>
          <w:p w14:paraId="449B2EBC">
            <w:pPr>
              <w:pStyle w:val="96"/>
              <w:ind w:left="0" w:leftChars="0" w:firstLine="0" w:firstLineChars="0"/>
              <w:rPr>
                <w:b w:val="0"/>
                <w:bCs w:val="0"/>
                <w:color w:val="000000"/>
              </w:rPr>
            </w:pPr>
            <w:r>
              <w:rPr>
                <w:rFonts w:hint="eastAsia"/>
                <w:b w:val="0"/>
                <w:bCs w:val="0"/>
                <w:color w:val="000000"/>
              </w:rPr>
              <w:t>（1）</w:t>
            </w:r>
            <w:r>
              <w:rPr>
                <w:b w:val="0"/>
                <w:bCs w:val="0"/>
                <w:color w:val="000000"/>
              </w:rPr>
              <w:t xml:space="preserve">规划环评名称：《淮阳县产业集聚区发展规划 (2009-2020)环境影响报告书》； </w:t>
            </w:r>
          </w:p>
          <w:p w14:paraId="1BA2E219">
            <w:pPr>
              <w:pStyle w:val="96"/>
              <w:ind w:left="0" w:leftChars="0" w:firstLine="480" w:firstLineChars="200"/>
              <w:rPr>
                <w:b w:val="0"/>
                <w:bCs w:val="0"/>
                <w:color w:val="000000"/>
              </w:rPr>
            </w:pPr>
            <w:r>
              <w:rPr>
                <w:b w:val="0"/>
                <w:bCs w:val="0"/>
                <w:color w:val="000000"/>
              </w:rPr>
              <w:t>审批机关：原河南省环境保护厅；</w:t>
            </w:r>
          </w:p>
          <w:p w14:paraId="0D9F09BA">
            <w:pPr>
              <w:pStyle w:val="96"/>
              <w:ind w:left="0" w:leftChars="0" w:firstLine="480" w:firstLineChars="200"/>
              <w:rPr>
                <w:b w:val="0"/>
                <w:bCs w:val="0"/>
                <w:color w:val="000000"/>
              </w:rPr>
            </w:pPr>
            <w:r>
              <w:rPr>
                <w:b w:val="0"/>
                <w:bCs w:val="0"/>
                <w:color w:val="000000"/>
              </w:rPr>
              <w:t>审批文件</w:t>
            </w:r>
            <w:r>
              <w:rPr>
                <w:rFonts w:hint="eastAsia"/>
                <w:b w:val="0"/>
                <w:bCs w:val="0"/>
                <w:color w:val="000000"/>
              </w:rPr>
              <w:t>及</w:t>
            </w:r>
            <w:r>
              <w:rPr>
                <w:b w:val="0"/>
                <w:bCs w:val="0"/>
                <w:color w:val="000000"/>
              </w:rPr>
              <w:t>批复文号：</w:t>
            </w:r>
            <w:r>
              <w:rPr>
                <w:rFonts w:hint="eastAsia"/>
                <w:b w:val="0"/>
                <w:bCs w:val="0"/>
                <w:color w:val="000000"/>
              </w:rPr>
              <w:t>《河南省环境保护厅关于</w:t>
            </w:r>
            <w:r>
              <w:rPr>
                <w:b w:val="0"/>
                <w:bCs w:val="0"/>
                <w:color w:val="000000"/>
              </w:rPr>
              <w:t>淮阳县产业集聚区发展规划 (2009-2020)环境影响报告书</w:t>
            </w:r>
            <w:r>
              <w:rPr>
                <w:rFonts w:hint="eastAsia"/>
                <w:b w:val="0"/>
                <w:bCs w:val="0"/>
                <w:color w:val="000000"/>
              </w:rPr>
              <w:t>的审查意见》（</w:t>
            </w:r>
            <w:r>
              <w:rPr>
                <w:b w:val="0"/>
                <w:bCs w:val="0"/>
                <w:color w:val="000000"/>
              </w:rPr>
              <w:t>豫环函[2011]338号</w:t>
            </w:r>
            <w:r>
              <w:rPr>
                <w:rFonts w:hint="eastAsia"/>
                <w:b w:val="0"/>
                <w:bCs w:val="0"/>
                <w:color w:val="000000"/>
              </w:rPr>
              <w:t>）</w:t>
            </w:r>
            <w:r>
              <w:rPr>
                <w:b w:val="0"/>
                <w:bCs w:val="0"/>
                <w:color w:val="000000"/>
              </w:rPr>
              <w:t>。</w:t>
            </w:r>
          </w:p>
          <w:p w14:paraId="63FCB021">
            <w:pPr>
              <w:pStyle w:val="96"/>
              <w:ind w:left="0" w:leftChars="0" w:firstLine="0" w:firstLineChars="0"/>
              <w:rPr>
                <w:b w:val="0"/>
                <w:bCs w:val="0"/>
                <w:color w:val="000000"/>
              </w:rPr>
            </w:pPr>
            <w:r>
              <w:rPr>
                <w:rFonts w:hint="eastAsia"/>
                <w:b w:val="0"/>
                <w:bCs w:val="0"/>
                <w:color w:val="000000"/>
              </w:rPr>
              <w:t>（2）</w:t>
            </w:r>
            <w:r>
              <w:rPr>
                <w:b w:val="0"/>
                <w:bCs w:val="0"/>
                <w:color w:val="000000"/>
              </w:rPr>
              <w:t>规划环评名称：《淮阳县产业集聚区发展规划环境影响跟踪评价报告书》</w:t>
            </w:r>
          </w:p>
          <w:p w14:paraId="375BE59C">
            <w:pPr>
              <w:pStyle w:val="96"/>
              <w:ind w:firstLine="480"/>
              <w:rPr>
                <w:b w:val="0"/>
                <w:bCs w:val="0"/>
                <w:color w:val="000000"/>
              </w:rPr>
            </w:pPr>
            <w:r>
              <w:rPr>
                <w:rFonts w:hint="eastAsia"/>
                <w:b w:val="0"/>
                <w:bCs w:val="0"/>
                <w:color w:val="000000"/>
              </w:rPr>
              <w:t>审批机关：河南省生态环境厅</w:t>
            </w:r>
          </w:p>
          <w:p w14:paraId="5C199BE6">
            <w:pPr>
              <w:pStyle w:val="96"/>
              <w:ind w:firstLine="480"/>
              <w:rPr>
                <w:b w:val="0"/>
                <w:bCs w:val="0"/>
                <w:color w:val="000000"/>
                <w:szCs w:val="21"/>
              </w:rPr>
            </w:pPr>
            <w:r>
              <w:rPr>
                <w:b w:val="0"/>
                <w:bCs w:val="0"/>
                <w:color w:val="000000"/>
              </w:rPr>
              <w:t>审批文件</w:t>
            </w:r>
            <w:r>
              <w:rPr>
                <w:rFonts w:hint="eastAsia"/>
                <w:b w:val="0"/>
                <w:bCs w:val="0"/>
                <w:color w:val="000000"/>
              </w:rPr>
              <w:t>及</w:t>
            </w:r>
            <w:r>
              <w:rPr>
                <w:b w:val="0"/>
                <w:bCs w:val="0"/>
                <w:color w:val="000000"/>
              </w:rPr>
              <w:t>批复文号：</w:t>
            </w:r>
            <w:r>
              <w:rPr>
                <w:rFonts w:hint="eastAsia"/>
                <w:b w:val="0"/>
                <w:bCs w:val="0"/>
                <w:color w:val="000000"/>
              </w:rPr>
              <w:t>《河南省生态环境厅关于</w:t>
            </w:r>
            <w:r>
              <w:rPr>
                <w:b w:val="0"/>
                <w:bCs w:val="0"/>
                <w:color w:val="000000"/>
              </w:rPr>
              <w:t>淮阳县产业集聚区发展规划环境影响跟踪评价报告书</w:t>
            </w:r>
            <w:r>
              <w:rPr>
                <w:rFonts w:hint="eastAsia"/>
                <w:b w:val="0"/>
                <w:bCs w:val="0"/>
                <w:color w:val="000000"/>
              </w:rPr>
              <w:t>的审核意见》</w:t>
            </w:r>
            <w:r>
              <w:rPr>
                <w:b w:val="0"/>
                <w:bCs w:val="0"/>
                <w:color w:val="000000"/>
                <w:szCs w:val="21"/>
              </w:rPr>
              <w:t>（豫环函[2019]226号）。</w:t>
            </w:r>
          </w:p>
        </w:tc>
      </w:tr>
      <w:tr w14:paraId="33087C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46" w:hRule="atLeast"/>
          <w:jc w:val="center"/>
        </w:trPr>
        <w:tc>
          <w:tcPr>
            <w:tcW w:w="1720" w:type="dxa"/>
            <w:noWrap w:val="0"/>
            <w:vAlign w:val="center"/>
          </w:tcPr>
          <w:p w14:paraId="48032B0F">
            <w:pPr>
              <w:autoSpaceDE w:val="0"/>
              <w:autoSpaceDN w:val="0"/>
              <w:adjustRightInd w:val="0"/>
              <w:snapToGrid w:val="0"/>
              <w:jc w:val="center"/>
              <w:rPr>
                <w:b w:val="0"/>
                <w:bCs w:val="0"/>
                <w:color w:val="FF0000"/>
                <w:kern w:val="0"/>
                <w:sz w:val="24"/>
              </w:rPr>
            </w:pPr>
            <w:r>
              <w:rPr>
                <w:b w:val="0"/>
                <w:bCs w:val="0"/>
                <w:color w:val="000000"/>
                <w:kern w:val="0"/>
                <w:sz w:val="24"/>
              </w:rPr>
              <w:t>规划及规划环境影响评价符合性分析</w:t>
            </w:r>
          </w:p>
        </w:tc>
        <w:tc>
          <w:tcPr>
            <w:tcW w:w="7150" w:type="dxa"/>
            <w:gridSpan w:val="3"/>
            <w:noWrap w:val="0"/>
            <w:vAlign w:val="center"/>
          </w:tcPr>
          <w:p w14:paraId="1BE0A422">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eastAsia"/>
                <w:b w:val="0"/>
                <w:bCs w:val="0"/>
                <w:color w:val="FF0000"/>
              </w:rPr>
            </w:pPr>
            <w:r>
              <w:rPr>
                <w:rFonts w:hint="default" w:ascii="Times New Roman" w:hAnsi="Times New Roman" w:eastAsia="宋体" w:cs="Times New Roman"/>
                <w:b/>
                <w:bCs/>
                <w:color w:val="auto"/>
                <w:kern w:val="0"/>
                <w:sz w:val="24"/>
                <w:szCs w:val="24"/>
                <w:highlight w:val="none"/>
                <w:u w:val="single"/>
                <w:lang w:val="en-US" w:eastAsia="zh-CN"/>
              </w:rPr>
              <w:t>2021年9月，中共河南省委和河南省人民政府以</w:t>
            </w:r>
            <w:r>
              <w:rPr>
                <w:rFonts w:hint="eastAsia" w:ascii="Times New Roman" w:hAnsi="Times New Roman" w:eastAsia="宋体" w:cs="Times New Roman"/>
                <w:b/>
                <w:bCs/>
                <w:color w:val="auto"/>
                <w:kern w:val="0"/>
                <w:sz w:val="24"/>
                <w:szCs w:val="24"/>
                <w:highlight w:val="none"/>
                <w:u w:val="single"/>
                <w:lang w:val="en-US" w:eastAsia="zh-CN"/>
              </w:rPr>
              <w:t>“</w:t>
            </w:r>
            <w:r>
              <w:rPr>
                <w:rFonts w:hint="default" w:ascii="Times New Roman" w:hAnsi="Times New Roman" w:eastAsia="宋体" w:cs="Times New Roman"/>
                <w:b/>
                <w:bCs/>
                <w:color w:val="auto"/>
                <w:kern w:val="0"/>
                <w:sz w:val="24"/>
                <w:szCs w:val="24"/>
                <w:highlight w:val="none"/>
                <w:u w:val="single"/>
                <w:lang w:val="en-US" w:eastAsia="zh-CN"/>
              </w:rPr>
              <w:t>豫发〔2021〕21号</w:t>
            </w:r>
            <w:r>
              <w:rPr>
                <w:rFonts w:hint="eastAsia" w:ascii="Times New Roman" w:hAnsi="Times New Roman" w:eastAsia="宋体" w:cs="Times New Roman"/>
                <w:b/>
                <w:bCs/>
                <w:color w:val="auto"/>
                <w:kern w:val="0"/>
                <w:sz w:val="24"/>
                <w:szCs w:val="24"/>
                <w:highlight w:val="none"/>
                <w:u w:val="single"/>
                <w:lang w:val="en-US" w:eastAsia="zh-CN"/>
              </w:rPr>
              <w:t>”</w:t>
            </w:r>
            <w:r>
              <w:rPr>
                <w:rFonts w:hint="default" w:ascii="Times New Roman" w:hAnsi="Times New Roman" w:eastAsia="宋体" w:cs="Times New Roman"/>
                <w:b/>
                <w:bCs/>
                <w:color w:val="auto"/>
                <w:kern w:val="0"/>
                <w:sz w:val="24"/>
                <w:szCs w:val="24"/>
                <w:highlight w:val="none"/>
                <w:u w:val="single"/>
                <w:lang w:val="en-US" w:eastAsia="zh-CN"/>
              </w:rPr>
              <w:t>文发布了《关于推动河南省开发区高质量发展的指导意见》，该指导意见提出，要推动全省开发区整合扩区，其中先进制造业开发区以国家级和省级经济技术开发区、高新技术产业开发区、产业集聚区为主体整合扩区。根据该意见精神，2022年2月15日，河南省发展和改革委员会以</w:t>
            </w:r>
            <w:r>
              <w:rPr>
                <w:rFonts w:hint="eastAsia" w:ascii="Times New Roman" w:hAnsi="Times New Roman" w:eastAsia="宋体" w:cs="Times New Roman"/>
                <w:b/>
                <w:bCs/>
                <w:color w:val="auto"/>
                <w:kern w:val="0"/>
                <w:sz w:val="24"/>
                <w:szCs w:val="24"/>
                <w:highlight w:val="none"/>
                <w:u w:val="single"/>
                <w:lang w:val="en-US" w:eastAsia="zh-CN"/>
              </w:rPr>
              <w:t>“</w:t>
            </w:r>
            <w:r>
              <w:rPr>
                <w:rFonts w:hint="default" w:ascii="Times New Roman" w:hAnsi="Times New Roman" w:eastAsia="宋体" w:cs="Times New Roman"/>
                <w:b/>
                <w:bCs/>
                <w:color w:val="auto"/>
                <w:kern w:val="0"/>
                <w:sz w:val="24"/>
                <w:szCs w:val="24"/>
                <w:highlight w:val="none"/>
                <w:u w:val="single"/>
                <w:lang w:val="en-US" w:eastAsia="zh-CN"/>
              </w:rPr>
              <w:t>豫发改工业函[2022]26号</w:t>
            </w:r>
            <w:r>
              <w:rPr>
                <w:rFonts w:hint="eastAsia" w:ascii="Times New Roman" w:hAnsi="Times New Roman" w:eastAsia="宋体" w:cs="Times New Roman"/>
                <w:b/>
                <w:bCs/>
                <w:color w:val="auto"/>
                <w:kern w:val="0"/>
                <w:sz w:val="24"/>
                <w:szCs w:val="24"/>
                <w:highlight w:val="none"/>
                <w:u w:val="single"/>
                <w:lang w:val="en-US" w:eastAsia="zh-CN"/>
              </w:rPr>
              <w:t>”</w:t>
            </w:r>
            <w:r>
              <w:rPr>
                <w:rFonts w:hint="default" w:ascii="Times New Roman" w:hAnsi="Times New Roman" w:eastAsia="宋体" w:cs="Times New Roman"/>
                <w:b/>
                <w:bCs/>
                <w:color w:val="auto"/>
                <w:kern w:val="0"/>
                <w:sz w:val="24"/>
                <w:szCs w:val="24"/>
                <w:highlight w:val="none"/>
                <w:u w:val="single"/>
                <w:lang w:val="en-US" w:eastAsia="zh-CN"/>
              </w:rPr>
              <w:t>文同意了周口市开发区整合方案，其中以淮阳县产业集聚区为主体整合扩区为周口先进制造业开发区。2023 年 1 月 20 号，河 南省人民政府以“《河南省人民政府关于建设周口淮阳高新技术产业开发 区的批复》（豫政文〔2023〕12 号）”同意依托周口先进制造业开发区建 设省级高新技术产业开发区，定名为周口淮阳高新技术产业开发区，实行现行的省级高新技术产业开发区政策。因周口淮阳高新技术产业开发区规划暂未发布，</w:t>
            </w:r>
            <w:r>
              <w:rPr>
                <w:rFonts w:hint="eastAsia" w:cs="Times New Roman"/>
                <w:b/>
                <w:bCs/>
                <w:color w:val="auto"/>
                <w:kern w:val="0"/>
                <w:sz w:val="24"/>
                <w:szCs w:val="24"/>
                <w:highlight w:val="none"/>
                <w:u w:val="single"/>
                <w:lang w:val="en-US" w:eastAsia="zh-CN"/>
              </w:rPr>
              <w:t>且《周口淮阳高新技术产业开发区发展规划环境影响报告书》正在编制中，尚未批复，</w:t>
            </w:r>
            <w:r>
              <w:rPr>
                <w:rFonts w:hint="default" w:ascii="Times New Roman" w:hAnsi="Times New Roman" w:eastAsia="宋体" w:cs="Times New Roman"/>
                <w:b/>
                <w:bCs/>
                <w:color w:val="auto"/>
                <w:kern w:val="0"/>
                <w:sz w:val="24"/>
                <w:szCs w:val="24"/>
                <w:highlight w:val="none"/>
                <w:u w:val="single"/>
                <w:lang w:val="en-US" w:eastAsia="zh-CN"/>
              </w:rPr>
              <w:t>现仍沿用淮阳县产业集聚区发展规划文件及土地利用总体规划、产 业布局相关图件。</w:t>
            </w:r>
            <w:r>
              <w:rPr>
                <w:rFonts w:hint="eastAsia" w:cs="Times New Roman"/>
                <w:b/>
                <w:bCs/>
                <w:color w:val="auto"/>
                <w:kern w:val="0"/>
                <w:sz w:val="24"/>
                <w:szCs w:val="24"/>
                <w:highlight w:val="none"/>
                <w:u w:val="single"/>
                <w:lang w:val="en-US" w:eastAsia="zh-CN"/>
              </w:rPr>
              <w:t>（同时与新的产业布局进行对比）</w:t>
            </w:r>
            <w:r>
              <w:rPr>
                <w:rFonts w:hint="eastAsia" w:ascii="Times New Roman" w:hAnsi="Times New Roman" w:eastAsia="宋体" w:cs="Times New Roman"/>
                <w:b/>
                <w:bCs/>
                <w:color w:val="auto"/>
                <w:kern w:val="0"/>
                <w:sz w:val="24"/>
                <w:szCs w:val="24"/>
                <w:highlight w:val="none"/>
                <w:u w:val="single"/>
                <w:lang w:val="en-US" w:eastAsia="zh-CN"/>
              </w:rPr>
              <w:t>，</w:t>
            </w:r>
            <w:r>
              <w:rPr>
                <w:rFonts w:hint="default" w:ascii="Times New Roman" w:hAnsi="Times New Roman" w:eastAsia="宋体" w:cs="Times New Roman"/>
                <w:b/>
                <w:bCs/>
                <w:color w:val="auto"/>
                <w:kern w:val="0"/>
                <w:sz w:val="24"/>
                <w:szCs w:val="24"/>
                <w:highlight w:val="none"/>
                <w:u w:val="single"/>
                <w:lang w:eastAsia="zh-CN"/>
              </w:rPr>
              <w:t>为与规划文本统一说法，本报告仍按</w:t>
            </w:r>
            <w:r>
              <w:rPr>
                <w:rFonts w:hint="eastAsia" w:ascii="Times New Roman" w:hAnsi="Times New Roman" w:eastAsia="宋体" w:cs="Times New Roman"/>
                <w:b/>
                <w:bCs/>
                <w:color w:val="auto"/>
                <w:kern w:val="0"/>
                <w:sz w:val="24"/>
                <w:szCs w:val="24"/>
                <w:highlight w:val="none"/>
                <w:u w:val="single"/>
                <w:lang w:eastAsia="zh-CN"/>
              </w:rPr>
              <w:t>“</w:t>
            </w:r>
            <w:r>
              <w:rPr>
                <w:rFonts w:hint="default" w:ascii="Times New Roman" w:hAnsi="Times New Roman" w:eastAsia="宋体" w:cs="Times New Roman"/>
                <w:b/>
                <w:bCs/>
                <w:color w:val="auto"/>
                <w:kern w:val="0"/>
                <w:sz w:val="24"/>
                <w:szCs w:val="24"/>
                <w:highlight w:val="none"/>
                <w:u w:val="single"/>
                <w:lang w:val="en-US" w:eastAsia="zh-CN"/>
              </w:rPr>
              <w:t>淮阳县产业</w:t>
            </w:r>
            <w:r>
              <w:rPr>
                <w:rFonts w:hint="eastAsia" w:cs="Times New Roman"/>
                <w:b/>
                <w:bCs/>
                <w:color w:val="auto"/>
                <w:kern w:val="0"/>
                <w:sz w:val="24"/>
                <w:szCs w:val="24"/>
                <w:highlight w:val="none"/>
                <w:u w:val="single"/>
                <w:lang w:val="en-US" w:eastAsia="zh-CN"/>
              </w:rPr>
              <w:t>集聚</w:t>
            </w:r>
            <w:r>
              <w:rPr>
                <w:rFonts w:hint="default" w:ascii="Times New Roman" w:hAnsi="Times New Roman" w:eastAsia="宋体" w:cs="Times New Roman"/>
                <w:b/>
                <w:bCs/>
                <w:color w:val="auto"/>
                <w:kern w:val="0"/>
                <w:sz w:val="24"/>
                <w:szCs w:val="24"/>
                <w:highlight w:val="none"/>
                <w:u w:val="single"/>
                <w:lang w:val="en-US" w:eastAsia="zh-CN"/>
              </w:rPr>
              <w:t>区</w:t>
            </w:r>
            <w:r>
              <w:rPr>
                <w:rFonts w:hint="eastAsia" w:ascii="Times New Roman" w:hAnsi="Times New Roman" w:eastAsia="宋体" w:cs="Times New Roman"/>
                <w:b/>
                <w:bCs/>
                <w:color w:val="auto"/>
                <w:kern w:val="0"/>
                <w:sz w:val="24"/>
                <w:szCs w:val="24"/>
                <w:highlight w:val="none"/>
                <w:u w:val="single"/>
                <w:lang w:eastAsia="zh-CN"/>
              </w:rPr>
              <w:t>”</w:t>
            </w:r>
            <w:r>
              <w:rPr>
                <w:rFonts w:hint="default" w:ascii="Times New Roman" w:hAnsi="Times New Roman" w:eastAsia="宋体" w:cs="Times New Roman"/>
                <w:b/>
                <w:bCs/>
                <w:color w:val="auto"/>
                <w:kern w:val="0"/>
                <w:sz w:val="24"/>
                <w:szCs w:val="24"/>
                <w:highlight w:val="none"/>
                <w:u w:val="single"/>
                <w:lang w:eastAsia="zh-CN"/>
              </w:rPr>
              <w:t>来进行相关分析</w:t>
            </w:r>
            <w:r>
              <w:rPr>
                <w:rFonts w:hint="default" w:ascii="Times New Roman" w:hAnsi="Times New Roman" w:eastAsia="宋体" w:cs="Times New Roman"/>
                <w:b w:val="0"/>
                <w:bCs w:val="0"/>
                <w:color w:val="auto"/>
                <w:kern w:val="0"/>
                <w:sz w:val="24"/>
                <w:szCs w:val="24"/>
                <w:highlight w:val="none"/>
                <w:lang w:eastAsia="zh-CN"/>
              </w:rPr>
              <w:t>。</w:t>
            </w:r>
          </w:p>
          <w:p w14:paraId="4695317A">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default" w:ascii="Times New Roman" w:hAnsi="Times New Roman" w:eastAsia="宋体" w:cs="Times New Roman"/>
                <w:b/>
                <w:bCs/>
                <w:color w:val="000000"/>
              </w:rPr>
            </w:pPr>
            <w:bookmarkStart w:id="2" w:name="_Toc24932"/>
            <w:bookmarkStart w:id="3" w:name="_Toc16857"/>
            <w:r>
              <w:rPr>
                <w:rFonts w:hint="default" w:ascii="Times New Roman" w:hAnsi="Times New Roman" w:eastAsia="宋体" w:cs="Times New Roman"/>
                <w:b/>
                <w:bCs/>
                <w:color w:val="000000"/>
              </w:rPr>
              <w:t>1、与《淮阳县产业集聚区发展规划》（2009-2020）相符性</w:t>
            </w:r>
            <w:bookmarkEnd w:id="2"/>
            <w:bookmarkEnd w:id="3"/>
          </w:p>
          <w:p w14:paraId="0AC867A5">
            <w:pPr>
              <w:pStyle w:val="96"/>
              <w:ind w:firstLine="480"/>
              <w:rPr>
                <w:b w:val="0"/>
                <w:bCs w:val="0"/>
                <w:color w:val="000000"/>
              </w:rPr>
            </w:pPr>
            <w:r>
              <w:rPr>
                <w:b w:val="0"/>
                <w:bCs w:val="0"/>
                <w:color w:val="000000"/>
              </w:rPr>
              <w:t>（1）规划年限</w:t>
            </w:r>
          </w:p>
          <w:p w14:paraId="64E305D8">
            <w:pPr>
              <w:pStyle w:val="96"/>
              <w:ind w:firstLine="480"/>
              <w:rPr>
                <w:b w:val="0"/>
                <w:bCs w:val="0"/>
                <w:color w:val="000000"/>
              </w:rPr>
            </w:pPr>
            <w:r>
              <w:rPr>
                <w:b w:val="0"/>
                <w:bCs w:val="0"/>
                <w:color w:val="000000"/>
              </w:rPr>
              <w:t>规划的期限为2009-2020年，其中近期：2009年—2012年；中期：2013年—2015年；远期：2016年—2020年。</w:t>
            </w:r>
          </w:p>
          <w:p w14:paraId="747BFEBB">
            <w:pPr>
              <w:pStyle w:val="96"/>
              <w:ind w:firstLine="480"/>
              <w:rPr>
                <w:b w:val="0"/>
                <w:bCs w:val="0"/>
                <w:color w:val="000000"/>
              </w:rPr>
            </w:pPr>
            <w:r>
              <w:rPr>
                <w:b w:val="0"/>
                <w:bCs w:val="0"/>
                <w:color w:val="000000"/>
              </w:rPr>
              <w:t>（2）规划范围</w:t>
            </w:r>
          </w:p>
          <w:p w14:paraId="2F5AE85C">
            <w:pPr>
              <w:pStyle w:val="96"/>
              <w:ind w:firstLine="480"/>
              <w:rPr>
                <w:b w:val="0"/>
                <w:bCs w:val="0"/>
                <w:color w:val="000000"/>
              </w:rPr>
            </w:pPr>
            <w:r>
              <w:rPr>
                <w:b w:val="0"/>
                <w:bCs w:val="0"/>
                <w:color w:val="000000"/>
              </w:rPr>
              <w:t>淮阳县产业集聚区规划范围为：北至弦歌路、东北侧至羲皇路和南环路、东至106国道、南至王店乡北彭老家和刘菜园一带、西到西三环，规划面积15.0平方公里，规划范围内包括22个自然村，分别为：李柿园、张桥、徐庄、小王庄、棠棣</w:t>
            </w:r>
            <w:r>
              <w:rPr>
                <w:rFonts w:hint="eastAsia"/>
                <w:b w:val="0"/>
                <w:bCs w:val="0"/>
                <w:color w:val="000000"/>
                <w:lang w:val="en-US" w:eastAsia="zh-CN"/>
              </w:rPr>
              <w:t>村</w:t>
            </w:r>
            <w:r>
              <w:rPr>
                <w:b w:val="0"/>
                <w:bCs w:val="0"/>
                <w:color w:val="000000"/>
              </w:rPr>
              <w:t>、小张庄、大张庄、大李庄；杨坑、刘庄、蒋楼、西吴、左桥、胡庄、劳桥、楼湾、李营子、黄庄、彭瓦房、彭老家、刘菜园、焦岗等。</w:t>
            </w:r>
          </w:p>
          <w:p w14:paraId="48ED8DFE">
            <w:pPr>
              <w:pStyle w:val="96"/>
              <w:ind w:firstLine="480"/>
              <w:rPr>
                <w:b w:val="0"/>
                <w:bCs w:val="0"/>
                <w:color w:val="000000"/>
              </w:rPr>
            </w:pPr>
            <w:r>
              <w:rPr>
                <w:b w:val="0"/>
                <w:bCs w:val="0"/>
                <w:color w:val="000000"/>
              </w:rPr>
              <w:t>（3）规划面积</w:t>
            </w:r>
          </w:p>
          <w:p w14:paraId="39197AC0">
            <w:pPr>
              <w:pStyle w:val="96"/>
              <w:ind w:firstLine="480"/>
              <w:rPr>
                <w:b w:val="0"/>
                <w:bCs w:val="0"/>
                <w:color w:val="000000"/>
              </w:rPr>
            </w:pPr>
            <w:r>
              <w:rPr>
                <w:b w:val="0"/>
                <w:bCs w:val="0"/>
                <w:color w:val="000000"/>
              </w:rPr>
              <w:t>淮阳县产业集聚区规划面积为15.0平方公里，其中建成区5.1平方公里，发展区4.9平方公里，控制区5.0平方公里。</w:t>
            </w:r>
          </w:p>
          <w:p w14:paraId="01D3906B">
            <w:pPr>
              <w:pStyle w:val="96"/>
              <w:ind w:firstLine="480"/>
              <w:rPr>
                <w:b w:val="0"/>
                <w:bCs w:val="0"/>
                <w:color w:val="000000"/>
              </w:rPr>
            </w:pPr>
            <w:r>
              <w:rPr>
                <w:b w:val="0"/>
                <w:bCs w:val="0"/>
                <w:color w:val="000000"/>
              </w:rPr>
              <w:t>（4）发展定位和产业定位</w:t>
            </w:r>
          </w:p>
          <w:p w14:paraId="4CD8CC2D">
            <w:pPr>
              <w:pStyle w:val="96"/>
              <w:ind w:firstLine="480"/>
              <w:rPr>
                <w:b w:val="0"/>
                <w:bCs w:val="0"/>
                <w:color w:val="000000"/>
              </w:rPr>
            </w:pPr>
            <w:r>
              <w:rPr>
                <w:b w:val="0"/>
                <w:bCs w:val="0"/>
                <w:color w:val="000000"/>
              </w:rPr>
              <w:t>淮阳县产业集聚区的发展定位是：全省重要的塑料制品产业基地；淮阳县主要经济增长基地；协调产业发展，促进产城融合，推进城市化进程的现代化城市功能区。结合淮阳县产业现状和其发展趋势，以及产业集聚区发展基础，淮阳县产业集聚区产业选择为：以塑料制品业、纺织业为主导，农副产品加工业为非主导产业，高新技术产业和现代物流业为配套产业。</w:t>
            </w:r>
          </w:p>
          <w:p w14:paraId="29B0F2F5">
            <w:pPr>
              <w:pStyle w:val="96"/>
              <w:ind w:firstLine="480"/>
              <w:rPr>
                <w:b w:val="0"/>
                <w:bCs w:val="0"/>
                <w:color w:val="000000"/>
              </w:rPr>
            </w:pPr>
            <w:r>
              <w:rPr>
                <w:b w:val="0"/>
                <w:bCs w:val="0"/>
                <w:color w:val="000000"/>
              </w:rPr>
              <w:t>（5）总体布局</w:t>
            </w:r>
          </w:p>
          <w:p w14:paraId="27242BCA">
            <w:pPr>
              <w:pStyle w:val="96"/>
              <w:ind w:firstLine="480"/>
              <w:rPr>
                <w:b w:val="0"/>
                <w:bCs w:val="0"/>
                <w:color w:val="000000"/>
              </w:rPr>
            </w:pPr>
            <w:r>
              <w:rPr>
                <w:b w:val="0"/>
                <w:bCs w:val="0"/>
                <w:color w:val="000000"/>
              </w:rPr>
              <w:t>结合产业集聚区的功能要求和产业布局，依据城市总体规划空间结构，本着统筹兼顾，综合协调的原则确定了产业集聚区“两心、两轴、四区”的规划结构。</w:t>
            </w:r>
          </w:p>
          <w:p w14:paraId="0F0EC441">
            <w:pPr>
              <w:pStyle w:val="96"/>
              <w:ind w:firstLine="480"/>
              <w:rPr>
                <w:b w:val="0"/>
                <w:bCs w:val="0"/>
                <w:color w:val="000000"/>
              </w:rPr>
            </w:pPr>
            <w:r>
              <w:rPr>
                <w:b w:val="0"/>
                <w:bCs w:val="0"/>
                <w:color w:val="000000"/>
              </w:rPr>
              <w:t>两心：即是一主一副两个中心。主中心，是集聚区综合服务中心，承担着集聚区的行政管理、商务休闲、商业服务、原料及产品的物流集散、产品营销等功能，同时该中心配套形</w:t>
            </w:r>
            <w:r>
              <w:rPr>
                <w:rFonts w:hint="eastAsia"/>
                <w:b w:val="0"/>
                <w:bCs w:val="0"/>
                <w:color w:val="000000"/>
                <w:lang w:val="en-US" w:eastAsia="zh-CN"/>
              </w:rPr>
              <w:t>成</w:t>
            </w:r>
            <w:r>
              <w:rPr>
                <w:b w:val="0"/>
                <w:bCs w:val="0"/>
                <w:color w:val="000000"/>
              </w:rPr>
              <w:t>规模的各类公共服务设施和市政基础设施。副中心，是城市总体规划中确定的李柿园生活组团，以居住生活为主，配套有满足集聚区生产、生活需要的各类公共服务设施，如商业设施、文化设施、医疗卫生设施、教育设施等，形成一个规模较大，人口集中、设施齐全、环境优美、相对独立的居住组团。</w:t>
            </w:r>
          </w:p>
          <w:p w14:paraId="2883B4D2">
            <w:pPr>
              <w:pStyle w:val="96"/>
              <w:ind w:firstLine="480"/>
              <w:rPr>
                <w:b w:val="0"/>
                <w:bCs w:val="0"/>
                <w:color w:val="000000"/>
              </w:rPr>
            </w:pPr>
            <w:r>
              <w:rPr>
                <w:b w:val="0"/>
                <w:bCs w:val="0"/>
                <w:color w:val="000000"/>
              </w:rPr>
              <w:t>两轴：即是城市综合发展轴和集聚区拓展轴。一是，延伸城市总体规划确定的南北向城市综合发展轴--羲皇大道；二是，为增强城市综合发展轴的辐射带动作用，规划集聚区内部东西向拓展轴--中大道，串联集聚区内的各个产业片区，引导和带动集聚区的快速、有序、健康发展。</w:t>
            </w:r>
          </w:p>
          <w:p w14:paraId="31DDF804">
            <w:pPr>
              <w:pStyle w:val="96"/>
              <w:ind w:firstLine="480"/>
              <w:rPr>
                <w:b w:val="0"/>
                <w:bCs w:val="0"/>
                <w:color w:val="000000"/>
              </w:rPr>
            </w:pPr>
            <w:r>
              <w:rPr>
                <w:b w:val="0"/>
                <w:bCs w:val="0"/>
                <w:color w:val="000000"/>
              </w:rPr>
              <w:t>四区：一个生活片区、两个工业片区和一个综合服务区。</w:t>
            </w:r>
          </w:p>
          <w:p w14:paraId="088BCB89">
            <w:pPr>
              <w:pStyle w:val="96"/>
              <w:ind w:firstLine="480"/>
              <w:rPr>
                <w:b w:val="0"/>
                <w:bCs w:val="0"/>
                <w:color w:val="000000"/>
              </w:rPr>
            </w:pPr>
            <w:r>
              <w:rPr>
                <w:b w:val="0"/>
                <w:bCs w:val="0"/>
                <w:color w:val="000000"/>
              </w:rPr>
              <w:t>（6）产业</w:t>
            </w:r>
            <w:r>
              <w:rPr>
                <w:rFonts w:hint="eastAsia"/>
                <w:b w:val="0"/>
                <w:bCs w:val="0"/>
                <w:color w:val="000000"/>
                <w:lang w:eastAsia="zh-CN"/>
              </w:rPr>
              <w:t>集聚</w:t>
            </w:r>
            <w:r>
              <w:rPr>
                <w:b w:val="0"/>
                <w:bCs w:val="0"/>
                <w:color w:val="000000"/>
              </w:rPr>
              <w:t>区产业空间布局</w:t>
            </w:r>
          </w:p>
          <w:p w14:paraId="310F7817">
            <w:pPr>
              <w:pStyle w:val="96"/>
              <w:ind w:firstLine="480"/>
              <w:rPr>
                <w:b w:val="0"/>
                <w:bCs w:val="0"/>
                <w:color w:val="000000"/>
              </w:rPr>
            </w:pPr>
            <w:r>
              <w:rPr>
                <w:b w:val="0"/>
                <w:bCs w:val="0"/>
                <w:color w:val="000000"/>
              </w:rPr>
              <w:t>产业集聚空间规划中，采用“园中园”的布局方式，根据不同产业类型之间相互协同和相互影响的关系，在集聚区内形成若干个产业类型单一，相对独立成片的小型产业园区。以集聚区现有的工业生产用地为基础，整合提升腾飞路以北的产业结构，将其作为集聚区的起步区，培育壮大各产业，使塑料制品业、纺织业、非主导产业以及配套产业，根据各自发展要求，由北向南推进式发展。共包括两大现代服务产业片区、混合产业片区、塑料加工产业片区、纺织产业片区和农副食品加工产业片区。</w:t>
            </w:r>
          </w:p>
          <w:p w14:paraId="783B024A">
            <w:pPr>
              <w:pStyle w:val="96"/>
              <w:ind w:firstLine="480"/>
              <w:rPr>
                <w:b w:val="0"/>
                <w:bCs w:val="0"/>
                <w:color w:val="000000"/>
              </w:rPr>
            </w:pPr>
            <w:r>
              <w:rPr>
                <w:b w:val="0"/>
                <w:bCs w:val="0"/>
                <w:color w:val="000000"/>
              </w:rPr>
              <w:t>（7）基础设施规划</w:t>
            </w:r>
          </w:p>
          <w:p w14:paraId="28EE924D">
            <w:pPr>
              <w:pStyle w:val="96"/>
              <w:ind w:firstLine="480"/>
              <w:rPr>
                <w:b w:val="0"/>
                <w:bCs w:val="0"/>
                <w:color w:val="000000"/>
              </w:rPr>
            </w:pPr>
            <w:r>
              <w:rPr>
                <w:rFonts w:hint="eastAsia" w:ascii="宋体" w:hAnsi="宋体" w:cs="宋体"/>
                <w:b w:val="0"/>
                <w:bCs w:val="0"/>
                <w:color w:val="000000"/>
              </w:rPr>
              <w:t>①</w:t>
            </w:r>
            <w:r>
              <w:rPr>
                <w:b w:val="0"/>
                <w:bCs w:val="0"/>
                <w:color w:val="000000"/>
              </w:rPr>
              <w:t>给水规划</w:t>
            </w:r>
          </w:p>
          <w:p w14:paraId="663E7261">
            <w:pPr>
              <w:pStyle w:val="96"/>
              <w:ind w:firstLine="480"/>
              <w:rPr>
                <w:b w:val="0"/>
                <w:bCs w:val="0"/>
                <w:color w:val="000000"/>
              </w:rPr>
            </w:pPr>
            <w:r>
              <w:rPr>
                <w:b w:val="0"/>
                <w:bCs w:val="0"/>
                <w:color w:val="000000"/>
              </w:rPr>
              <w:t>规划范围内给水水源来自淮阳区供水厂，目前供水管网已建成供水，因此本项目用水可由供水管网供给。</w:t>
            </w:r>
          </w:p>
          <w:p w14:paraId="147B6463">
            <w:pPr>
              <w:pStyle w:val="96"/>
              <w:ind w:firstLine="480"/>
              <w:rPr>
                <w:b w:val="0"/>
                <w:bCs w:val="0"/>
                <w:color w:val="000000"/>
              </w:rPr>
            </w:pPr>
            <w:r>
              <w:rPr>
                <w:rFonts w:hint="eastAsia" w:ascii="宋体" w:hAnsi="宋体" w:cs="宋体"/>
                <w:b w:val="0"/>
                <w:bCs w:val="0"/>
                <w:color w:val="000000"/>
              </w:rPr>
              <w:t>②</w:t>
            </w:r>
            <w:r>
              <w:rPr>
                <w:b w:val="0"/>
                <w:bCs w:val="0"/>
                <w:color w:val="000000"/>
              </w:rPr>
              <w:t>污水工程规划</w:t>
            </w:r>
          </w:p>
          <w:p w14:paraId="190EB497">
            <w:pPr>
              <w:pStyle w:val="96"/>
              <w:ind w:firstLine="480"/>
              <w:rPr>
                <w:b w:val="0"/>
                <w:bCs w:val="0"/>
                <w:color w:val="000000"/>
                <w:highlight w:val="none"/>
              </w:rPr>
            </w:pPr>
            <w:r>
              <w:rPr>
                <w:b w:val="0"/>
                <w:bCs w:val="0"/>
                <w:color w:val="000000"/>
              </w:rPr>
              <w:t>淮阳县产业集聚区严格执行雨污分流排水体制。淮阳县产业集聚区位于淮阳县西南部，污水处理系统应纳入淮阳县城市污水处理系统。根据淮阳县产业集聚区规划，产业集聚区废水进入淮阳县污水处理厂进行再处理后外排。</w:t>
            </w:r>
            <w:r>
              <w:rPr>
                <w:b w:val="0"/>
                <w:bCs w:val="0"/>
                <w:color w:val="000000"/>
                <w:highlight w:val="none"/>
              </w:rPr>
              <w:t>根据调查，目前项目所处位置铺设有污水管网，</w:t>
            </w:r>
            <w:r>
              <w:rPr>
                <w:rFonts w:hint="eastAsia"/>
                <w:b w:val="0"/>
                <w:bCs w:val="0"/>
                <w:color w:val="000000"/>
                <w:highlight w:val="none"/>
                <w:lang w:val="en-US" w:eastAsia="zh-CN"/>
              </w:rPr>
              <w:t>项目区域废水排入</w:t>
            </w:r>
            <w:r>
              <w:rPr>
                <w:b w:val="0"/>
                <w:bCs w:val="0"/>
                <w:color w:val="000000"/>
                <w:highlight w:val="none"/>
              </w:rPr>
              <w:t>淮阳区第</w:t>
            </w:r>
            <w:r>
              <w:rPr>
                <w:rFonts w:hint="eastAsia"/>
                <w:b w:val="0"/>
                <w:bCs w:val="0"/>
                <w:color w:val="000000"/>
                <w:highlight w:val="none"/>
                <w:lang w:val="en-US" w:eastAsia="zh-CN"/>
              </w:rPr>
              <w:t>二</w:t>
            </w:r>
            <w:r>
              <w:rPr>
                <w:b w:val="0"/>
                <w:bCs w:val="0"/>
                <w:color w:val="000000"/>
                <w:highlight w:val="none"/>
              </w:rPr>
              <w:t>污水处理厂进行处理。</w:t>
            </w:r>
          </w:p>
          <w:p w14:paraId="098A73C8">
            <w:pPr>
              <w:pStyle w:val="96"/>
              <w:ind w:firstLine="480"/>
              <w:rPr>
                <w:b w:val="0"/>
                <w:bCs w:val="0"/>
                <w:color w:val="000000"/>
              </w:rPr>
            </w:pPr>
            <w:r>
              <w:rPr>
                <w:b w:val="0"/>
                <w:bCs w:val="0"/>
                <w:color w:val="000000"/>
              </w:rPr>
              <w:t>（8）本项目符合性分析</w:t>
            </w:r>
          </w:p>
          <w:p w14:paraId="7F16E765">
            <w:pPr>
              <w:pStyle w:val="96"/>
              <w:ind w:firstLine="480"/>
              <w:rPr>
                <w:b/>
                <w:bCs/>
                <w:color w:val="000000"/>
                <w:highlight w:val="none"/>
                <w:u w:val="single"/>
              </w:rPr>
            </w:pPr>
            <w:r>
              <w:rPr>
                <w:b/>
                <w:bCs/>
                <w:color w:val="000000"/>
                <w:u w:val="single"/>
              </w:rPr>
              <w:t>本项目位于</w:t>
            </w:r>
            <w:r>
              <w:rPr>
                <w:rFonts w:hint="eastAsia"/>
                <w:b/>
                <w:bCs/>
                <w:color w:val="000000"/>
                <w:u w:val="single"/>
                <w:lang w:val="en-US" w:eastAsia="zh-CN"/>
              </w:rPr>
              <w:t>周口市</w:t>
            </w:r>
            <w:r>
              <w:rPr>
                <w:rFonts w:hint="eastAsia"/>
                <w:b/>
                <w:bCs/>
                <w:color w:val="000000"/>
                <w:u w:val="single"/>
              </w:rPr>
              <w:t>周口先进制造业开发区</w:t>
            </w:r>
            <w:r>
              <w:rPr>
                <w:rFonts w:hint="eastAsia"/>
                <w:b/>
                <w:bCs/>
                <w:color w:val="000000"/>
                <w:u w:val="single"/>
                <w:lang w:val="en-US" w:eastAsia="zh-CN"/>
              </w:rPr>
              <w:t>河南省周口市淮阳区产业集聚区</w:t>
            </w:r>
            <w:r>
              <w:rPr>
                <w:b/>
                <w:bCs/>
                <w:color w:val="000000"/>
                <w:u w:val="single"/>
              </w:rPr>
              <w:t>，对照《淮阳县产业</w:t>
            </w:r>
            <w:r>
              <w:rPr>
                <w:rFonts w:hint="eastAsia"/>
                <w:b/>
                <w:bCs/>
                <w:color w:val="000000"/>
                <w:u w:val="single"/>
                <w:lang w:eastAsia="zh-CN"/>
              </w:rPr>
              <w:t>集聚</w:t>
            </w:r>
            <w:r>
              <w:rPr>
                <w:b/>
                <w:bCs/>
                <w:color w:val="000000"/>
                <w:u w:val="single"/>
              </w:rPr>
              <w:t>区发展规划（土地利用规划图）》（2009-2020），本项目用地为工业用地，符合淮阳县产业集聚区土地规划要求。本项目</w:t>
            </w:r>
            <w:r>
              <w:rPr>
                <w:rFonts w:hint="eastAsia"/>
                <w:b/>
                <w:bCs/>
                <w:color w:val="000000"/>
                <w:u w:val="single"/>
                <w:lang w:val="en-US" w:eastAsia="zh-CN"/>
              </w:rPr>
              <w:t>涉及特种玻璃制造和玻璃制品制造</w:t>
            </w:r>
            <w:r>
              <w:rPr>
                <w:b/>
                <w:bCs/>
                <w:color w:val="000000"/>
                <w:u w:val="single"/>
              </w:rPr>
              <w:t>，对照《淮阳县产业</w:t>
            </w:r>
            <w:r>
              <w:rPr>
                <w:rFonts w:hint="eastAsia"/>
                <w:b/>
                <w:bCs/>
                <w:color w:val="000000"/>
                <w:u w:val="single"/>
                <w:lang w:eastAsia="zh-CN"/>
              </w:rPr>
              <w:t>集聚</w:t>
            </w:r>
            <w:r>
              <w:rPr>
                <w:b/>
                <w:bCs/>
                <w:color w:val="000000"/>
                <w:u w:val="single"/>
              </w:rPr>
              <w:t>区发展规划（产业布局规划图）》（2009-2020），本项目选址位于</w:t>
            </w:r>
            <w:r>
              <w:rPr>
                <w:rFonts w:hint="eastAsia"/>
                <w:b/>
                <w:bCs/>
                <w:color w:val="000000"/>
                <w:u w:val="single"/>
                <w:lang w:val="en-US" w:eastAsia="zh-CN"/>
              </w:rPr>
              <w:t>纺织</w:t>
            </w:r>
            <w:r>
              <w:rPr>
                <w:rFonts w:hint="eastAsia"/>
                <w:b/>
                <w:bCs/>
                <w:color w:val="000000"/>
                <w:u w:val="single"/>
                <w:lang w:eastAsia="zh-CN"/>
              </w:rPr>
              <w:t>产业片区</w:t>
            </w:r>
            <w:r>
              <w:rPr>
                <w:b/>
                <w:bCs/>
                <w:color w:val="000000"/>
                <w:u w:val="single"/>
              </w:rPr>
              <w:t>，项目性质与片区产业</w:t>
            </w:r>
            <w:r>
              <w:rPr>
                <w:rFonts w:hint="eastAsia"/>
                <w:b/>
                <w:bCs/>
                <w:color w:val="000000"/>
                <w:u w:val="single"/>
              </w:rPr>
              <w:t>布局</w:t>
            </w:r>
            <w:r>
              <w:rPr>
                <w:rFonts w:hint="eastAsia"/>
                <w:b/>
                <w:bCs/>
                <w:color w:val="000000"/>
                <w:u w:val="single"/>
                <w:lang w:val="en-US" w:eastAsia="zh-CN"/>
              </w:rPr>
              <w:t>不冲突。根据周口淮阳高新技术产业开发区发展规划（2022-2035）初稿可知，本项目选址位于规划的战略新兴产业园区，项目性质与新的片区布局相符。</w:t>
            </w:r>
            <w:r>
              <w:rPr>
                <w:b/>
                <w:bCs/>
                <w:color w:val="000000"/>
                <w:highlight w:val="none"/>
                <w:u w:val="single"/>
              </w:rPr>
              <w:t>周口先进制造业开发区管理委员会</w:t>
            </w:r>
            <w:r>
              <w:rPr>
                <w:rFonts w:hint="eastAsia"/>
                <w:b/>
                <w:bCs/>
                <w:color w:val="000000"/>
                <w:highlight w:val="none"/>
                <w:u w:val="single"/>
              </w:rPr>
              <w:t>已</w:t>
            </w:r>
            <w:r>
              <w:rPr>
                <w:b/>
                <w:bCs/>
                <w:color w:val="000000"/>
                <w:highlight w:val="none"/>
                <w:u w:val="single"/>
              </w:rPr>
              <w:t>为本项目出具</w:t>
            </w:r>
            <w:r>
              <w:rPr>
                <w:rFonts w:hint="eastAsia"/>
                <w:b/>
                <w:bCs/>
                <w:color w:val="000000"/>
                <w:highlight w:val="none"/>
                <w:u w:val="single"/>
              </w:rPr>
              <w:t>入驻证明，</w:t>
            </w:r>
            <w:r>
              <w:rPr>
                <w:b/>
                <w:bCs/>
                <w:color w:val="000000"/>
                <w:highlight w:val="none"/>
                <w:u w:val="single"/>
              </w:rPr>
              <w:t>项目建设符合淮阳县产业</w:t>
            </w:r>
            <w:r>
              <w:rPr>
                <w:rFonts w:hint="eastAsia"/>
                <w:b/>
                <w:bCs/>
                <w:color w:val="000000"/>
                <w:highlight w:val="none"/>
                <w:u w:val="single"/>
                <w:lang w:eastAsia="zh-CN"/>
              </w:rPr>
              <w:t>集聚</w:t>
            </w:r>
            <w:r>
              <w:rPr>
                <w:b/>
                <w:bCs/>
                <w:color w:val="000000"/>
                <w:highlight w:val="none"/>
                <w:u w:val="single"/>
              </w:rPr>
              <w:t>区的发展规划。</w:t>
            </w:r>
          </w:p>
          <w:p w14:paraId="790B6C41">
            <w:pPr>
              <w:pStyle w:val="96"/>
              <w:ind w:firstLine="480"/>
              <w:rPr>
                <w:rFonts w:hint="default" w:eastAsia="宋体"/>
                <w:b/>
                <w:bCs/>
                <w:color w:val="000000"/>
                <w:highlight w:val="none"/>
                <w:u w:val="single"/>
                <w:lang w:val="en-US" w:eastAsia="zh-CN"/>
              </w:rPr>
            </w:pPr>
            <w:r>
              <w:rPr>
                <w:rFonts w:hint="eastAsia"/>
                <w:b/>
                <w:bCs/>
                <w:color w:val="000000"/>
                <w:highlight w:val="none"/>
                <w:u w:val="single"/>
                <w:lang w:val="en-US" w:eastAsia="zh-CN"/>
              </w:rPr>
              <w:t>根据周口先进制造业开发区国土空间规划（2024-2035）道路交通规划图，项目厂区内已不再规划有道路（见附图）。</w:t>
            </w:r>
          </w:p>
          <w:p w14:paraId="204331D9">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kern w:val="0"/>
                <w:sz w:val="24"/>
                <w:szCs w:val="24"/>
                <w:highlight w:val="none"/>
                <w:u w:val="none"/>
                <w:lang w:eastAsia="zh-CN"/>
              </w:rPr>
            </w:pPr>
            <w:r>
              <w:rPr>
                <w:rFonts w:hint="default" w:ascii="Times New Roman" w:hAnsi="Times New Roman" w:eastAsia="宋体" w:cs="Times New Roman"/>
                <w:b w:val="0"/>
                <w:bCs w:val="0"/>
                <w:color w:val="auto"/>
                <w:kern w:val="0"/>
                <w:sz w:val="24"/>
                <w:szCs w:val="24"/>
                <w:highlight w:val="none"/>
                <w:u w:val="none"/>
                <w:lang w:eastAsia="zh-CN"/>
              </w:rPr>
              <w:t>本项目用水来自</w:t>
            </w:r>
            <w:r>
              <w:rPr>
                <w:rFonts w:hint="default" w:ascii="Times New Roman" w:hAnsi="Times New Roman" w:eastAsia="宋体" w:cs="Times New Roman"/>
                <w:b w:val="0"/>
                <w:bCs w:val="0"/>
                <w:color w:val="auto"/>
                <w:kern w:val="0"/>
                <w:sz w:val="24"/>
                <w:szCs w:val="24"/>
                <w:highlight w:val="none"/>
                <w:u w:val="none"/>
              </w:rPr>
              <w:t>淮阳县供水厂</w:t>
            </w:r>
            <w:r>
              <w:rPr>
                <w:rFonts w:hint="default" w:ascii="Times New Roman" w:hAnsi="Times New Roman" w:eastAsia="宋体" w:cs="Times New Roman"/>
                <w:b w:val="0"/>
                <w:bCs w:val="0"/>
                <w:color w:val="auto"/>
                <w:kern w:val="0"/>
                <w:sz w:val="24"/>
                <w:szCs w:val="24"/>
                <w:highlight w:val="none"/>
                <w:u w:val="none"/>
                <w:lang w:eastAsia="zh-CN"/>
              </w:rPr>
              <w:t>，本项目</w:t>
            </w:r>
            <w:r>
              <w:rPr>
                <w:rFonts w:hint="eastAsia" w:ascii="Times New Roman" w:hAnsi="Times New Roman" w:eastAsia="宋体" w:cs="Times New Roman"/>
                <w:b w:val="0"/>
                <w:bCs w:val="0"/>
                <w:color w:val="auto"/>
                <w:kern w:val="0"/>
                <w:sz w:val="24"/>
                <w:szCs w:val="24"/>
                <w:highlight w:val="none"/>
                <w:u w:val="none"/>
                <w:lang w:val="en-US" w:eastAsia="zh-CN"/>
              </w:rPr>
              <w:t>废水</w:t>
            </w:r>
            <w:r>
              <w:rPr>
                <w:rFonts w:hint="default" w:ascii="Times New Roman" w:hAnsi="Times New Roman" w:eastAsia="宋体" w:cs="Times New Roman"/>
                <w:b w:val="0"/>
                <w:bCs w:val="0"/>
                <w:color w:val="auto"/>
                <w:kern w:val="0"/>
                <w:sz w:val="24"/>
                <w:szCs w:val="24"/>
                <w:highlight w:val="none"/>
                <w:u w:val="none"/>
                <w:lang w:eastAsia="zh-CN"/>
              </w:rPr>
              <w:t>进入</w:t>
            </w:r>
            <w:r>
              <w:rPr>
                <w:rFonts w:hint="default" w:ascii="Times New Roman" w:hAnsi="Times New Roman" w:eastAsia="宋体" w:cs="Times New Roman"/>
                <w:b w:val="0"/>
                <w:bCs w:val="0"/>
                <w:color w:val="auto"/>
                <w:kern w:val="0"/>
                <w:sz w:val="24"/>
                <w:szCs w:val="24"/>
                <w:highlight w:val="none"/>
                <w:u w:val="none"/>
                <w:lang w:val="en-US" w:eastAsia="zh-CN"/>
              </w:rPr>
              <w:t>淮阳区第</w:t>
            </w:r>
            <w:r>
              <w:rPr>
                <w:rFonts w:hint="eastAsia" w:cs="Times New Roman"/>
                <w:b w:val="0"/>
                <w:bCs w:val="0"/>
                <w:color w:val="auto"/>
                <w:kern w:val="0"/>
                <w:sz w:val="24"/>
                <w:szCs w:val="24"/>
                <w:highlight w:val="none"/>
                <w:u w:val="none"/>
                <w:lang w:val="en-US" w:eastAsia="zh-CN"/>
              </w:rPr>
              <w:t>二</w:t>
            </w:r>
            <w:r>
              <w:rPr>
                <w:rFonts w:hint="default" w:ascii="Times New Roman" w:hAnsi="Times New Roman" w:eastAsia="宋体" w:cs="Times New Roman"/>
                <w:b w:val="0"/>
                <w:bCs w:val="0"/>
                <w:color w:val="auto"/>
                <w:kern w:val="0"/>
                <w:sz w:val="24"/>
                <w:szCs w:val="24"/>
                <w:highlight w:val="none"/>
                <w:u w:val="none"/>
                <w:lang w:val="en-US" w:eastAsia="zh-CN"/>
              </w:rPr>
              <w:t>污水处理厂</w:t>
            </w:r>
            <w:r>
              <w:rPr>
                <w:rFonts w:hint="default" w:ascii="Times New Roman" w:hAnsi="Times New Roman" w:eastAsia="宋体" w:cs="Times New Roman"/>
                <w:b w:val="0"/>
                <w:bCs w:val="0"/>
                <w:color w:val="auto"/>
                <w:kern w:val="0"/>
                <w:sz w:val="24"/>
                <w:szCs w:val="24"/>
                <w:highlight w:val="none"/>
                <w:u w:val="none"/>
              </w:rPr>
              <w:t>进行再处理</w:t>
            </w:r>
            <w:r>
              <w:rPr>
                <w:rFonts w:hint="default" w:ascii="Times New Roman" w:hAnsi="Times New Roman" w:eastAsia="宋体" w:cs="Times New Roman"/>
                <w:b w:val="0"/>
                <w:bCs w:val="0"/>
                <w:color w:val="auto"/>
                <w:kern w:val="0"/>
                <w:sz w:val="24"/>
                <w:szCs w:val="24"/>
                <w:highlight w:val="none"/>
                <w:u w:val="none"/>
                <w:lang w:eastAsia="zh-CN"/>
              </w:rPr>
              <w:t>。</w:t>
            </w:r>
          </w:p>
          <w:p w14:paraId="1634FC05">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b w:val="0"/>
                <w:bCs w:val="0"/>
                <w:color w:val="000000"/>
              </w:rPr>
            </w:pPr>
            <w:r>
              <w:rPr>
                <w:rFonts w:hint="default" w:ascii="Times New Roman" w:hAnsi="Times New Roman" w:eastAsia="宋体" w:cs="Times New Roman"/>
                <w:b w:val="0"/>
                <w:bCs w:val="0"/>
                <w:color w:val="auto"/>
                <w:kern w:val="0"/>
                <w:sz w:val="24"/>
                <w:szCs w:val="24"/>
                <w:highlight w:val="none"/>
                <w:u w:val="none"/>
                <w:lang w:val="en-US" w:eastAsia="zh-CN"/>
              </w:rPr>
              <w:t>综上所述，本项目建设符合</w:t>
            </w:r>
            <w:r>
              <w:rPr>
                <w:rFonts w:hint="default" w:ascii="Times New Roman" w:hAnsi="Times New Roman" w:eastAsia="宋体" w:cs="Times New Roman"/>
                <w:b w:val="0"/>
                <w:bCs w:val="0"/>
                <w:color w:val="auto"/>
                <w:kern w:val="0"/>
                <w:sz w:val="24"/>
                <w:szCs w:val="24"/>
                <w:highlight w:val="none"/>
                <w:u w:val="none"/>
                <w:lang w:eastAsia="zh-CN"/>
              </w:rPr>
              <w:t>淮阳县产业</w:t>
            </w:r>
            <w:r>
              <w:rPr>
                <w:rFonts w:hint="eastAsia" w:cs="Times New Roman"/>
                <w:b w:val="0"/>
                <w:bCs w:val="0"/>
                <w:color w:val="auto"/>
                <w:kern w:val="0"/>
                <w:sz w:val="24"/>
                <w:szCs w:val="24"/>
                <w:highlight w:val="none"/>
                <w:u w:val="none"/>
                <w:lang w:eastAsia="zh-CN"/>
              </w:rPr>
              <w:t>集聚</w:t>
            </w:r>
            <w:r>
              <w:rPr>
                <w:rFonts w:hint="default" w:ascii="Times New Roman" w:hAnsi="Times New Roman" w:eastAsia="宋体" w:cs="Times New Roman"/>
                <w:b w:val="0"/>
                <w:bCs w:val="0"/>
                <w:color w:val="auto"/>
                <w:kern w:val="0"/>
                <w:sz w:val="24"/>
                <w:szCs w:val="24"/>
                <w:highlight w:val="none"/>
                <w:u w:val="none"/>
                <w:lang w:eastAsia="zh-CN"/>
              </w:rPr>
              <w:t>区</w:t>
            </w:r>
            <w:r>
              <w:rPr>
                <w:rFonts w:hint="default" w:ascii="Times New Roman" w:hAnsi="Times New Roman" w:eastAsia="宋体" w:cs="Times New Roman"/>
                <w:b w:val="0"/>
                <w:bCs w:val="0"/>
                <w:color w:val="auto"/>
                <w:kern w:val="0"/>
                <w:sz w:val="24"/>
                <w:szCs w:val="24"/>
                <w:highlight w:val="none"/>
                <w:u w:val="none"/>
              </w:rPr>
              <w:t>的</w:t>
            </w:r>
            <w:r>
              <w:rPr>
                <w:rFonts w:hint="default" w:ascii="Times New Roman" w:hAnsi="Times New Roman" w:eastAsia="宋体" w:cs="Times New Roman"/>
                <w:b w:val="0"/>
                <w:bCs w:val="0"/>
                <w:color w:val="auto"/>
                <w:kern w:val="0"/>
                <w:sz w:val="24"/>
                <w:szCs w:val="24"/>
                <w:highlight w:val="none"/>
                <w:u w:val="none"/>
                <w:lang w:val="en-US" w:eastAsia="zh-CN"/>
              </w:rPr>
              <w:t>发展规划</w:t>
            </w:r>
            <w:r>
              <w:rPr>
                <w:rFonts w:hint="default" w:ascii="Times New Roman" w:hAnsi="Times New Roman" w:eastAsia="宋体" w:cs="Times New Roman"/>
                <w:b w:val="0"/>
                <w:bCs w:val="0"/>
                <w:color w:val="auto"/>
                <w:kern w:val="0"/>
                <w:sz w:val="24"/>
                <w:szCs w:val="24"/>
                <w:highlight w:val="none"/>
                <w:u w:val="none"/>
              </w:rPr>
              <w:t>。</w:t>
            </w:r>
          </w:p>
          <w:p w14:paraId="1EA22B10">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default" w:ascii="Times New Roman" w:hAnsi="Times New Roman" w:eastAsia="宋体" w:cs="Times New Roman"/>
                <w:b/>
                <w:bCs/>
                <w:color w:val="000000"/>
              </w:rPr>
            </w:pPr>
            <w:bookmarkStart w:id="4" w:name="_Toc2949"/>
            <w:bookmarkStart w:id="5" w:name="_Toc11868"/>
            <w:r>
              <w:rPr>
                <w:rFonts w:hint="eastAsia" w:ascii="Times New Roman" w:hAnsi="Times New Roman" w:eastAsia="宋体" w:cs="Times New Roman"/>
                <w:b/>
                <w:bCs/>
                <w:color w:val="000000"/>
              </w:rPr>
              <w:t>2、</w:t>
            </w:r>
            <w:r>
              <w:rPr>
                <w:rFonts w:hint="default" w:ascii="Times New Roman" w:hAnsi="Times New Roman" w:eastAsia="宋体" w:cs="Times New Roman"/>
                <w:b/>
                <w:bCs/>
                <w:color w:val="000000"/>
              </w:rPr>
              <w:t>与《淮阳县产业集聚区发展规划（2009-2020）环境影响报告书》符合性分析</w:t>
            </w:r>
            <w:bookmarkEnd w:id="4"/>
            <w:bookmarkEnd w:id="5"/>
          </w:p>
          <w:p w14:paraId="5ABEBCDE">
            <w:pPr>
              <w:pStyle w:val="96"/>
              <w:ind w:firstLine="480"/>
              <w:rPr>
                <w:b w:val="0"/>
                <w:bCs w:val="0"/>
                <w:color w:val="000000"/>
              </w:rPr>
            </w:pPr>
            <w:r>
              <w:rPr>
                <w:b w:val="0"/>
                <w:bCs w:val="0"/>
                <w:color w:val="000000"/>
              </w:rPr>
              <w:t>根据《淮阳县产业集聚区发展规划（2009-2020）环境影响报告书》，本项目与集聚区项目准入条件的相符性详见</w:t>
            </w:r>
            <w:r>
              <w:rPr>
                <w:rFonts w:hint="eastAsia"/>
                <w:b w:val="0"/>
                <w:bCs w:val="0"/>
                <w:color w:val="000000"/>
                <w:lang w:val="en-US" w:eastAsia="zh-CN"/>
              </w:rPr>
              <w:t>下表</w:t>
            </w:r>
            <w:r>
              <w:rPr>
                <w:b w:val="0"/>
                <w:bCs w:val="0"/>
                <w:color w:val="000000"/>
              </w:rPr>
              <w:t>。</w:t>
            </w:r>
          </w:p>
          <w:p w14:paraId="12D430C9">
            <w:pPr>
              <w:pStyle w:val="85"/>
              <w:spacing w:before="120" w:after="24"/>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表1</w:t>
            </w:r>
            <w:r>
              <w:rPr>
                <w:rFonts w:hint="default" w:ascii="Times New Roman" w:hAnsi="Times New Roman" w:eastAsia="宋体" w:cs="Times New Roman"/>
                <w:b/>
                <w:bCs/>
                <w:color w:val="000000"/>
                <w:sz w:val="24"/>
                <w:szCs w:val="24"/>
                <w:lang w:val="en-US" w:eastAsia="zh-CN"/>
              </w:rPr>
              <w:t xml:space="preserve">-1   </w:t>
            </w:r>
            <w:r>
              <w:rPr>
                <w:rFonts w:hint="default" w:ascii="Times New Roman" w:hAnsi="Times New Roman" w:eastAsia="宋体" w:cs="Times New Roman"/>
                <w:b/>
                <w:bCs/>
                <w:color w:val="000000"/>
                <w:sz w:val="24"/>
                <w:szCs w:val="24"/>
              </w:rPr>
              <w:t>本项目与集聚区项目准入条件相符性分析一览表</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735"/>
              <w:gridCol w:w="3411"/>
              <w:gridCol w:w="2025"/>
              <w:gridCol w:w="753"/>
            </w:tblGrid>
            <w:tr w14:paraId="3EEC6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531" w:type="pct"/>
                  <w:noWrap w:val="0"/>
                  <w:vAlign w:val="center"/>
                </w:tcPr>
                <w:p w14:paraId="16256767">
                  <w:pPr>
                    <w:pStyle w:val="115"/>
                    <w:rPr>
                      <w:b w:val="0"/>
                      <w:bCs w:val="0"/>
                      <w:color w:val="000000"/>
                    </w:rPr>
                  </w:pPr>
                  <w:r>
                    <w:rPr>
                      <w:b w:val="0"/>
                      <w:bCs w:val="0"/>
                      <w:color w:val="000000"/>
                    </w:rPr>
                    <w:t>项目类别</w:t>
                  </w:r>
                </w:p>
              </w:tc>
              <w:tc>
                <w:tcPr>
                  <w:tcW w:w="2463" w:type="pct"/>
                  <w:noWrap w:val="0"/>
                  <w:vAlign w:val="center"/>
                </w:tcPr>
                <w:p w14:paraId="23996E66">
                  <w:pPr>
                    <w:pStyle w:val="115"/>
                    <w:rPr>
                      <w:b w:val="0"/>
                      <w:bCs w:val="0"/>
                      <w:color w:val="000000"/>
                    </w:rPr>
                  </w:pPr>
                  <w:r>
                    <w:rPr>
                      <w:b w:val="0"/>
                      <w:bCs w:val="0"/>
                      <w:color w:val="000000"/>
                    </w:rPr>
                    <w:t>环境准入条件</w:t>
                  </w:r>
                </w:p>
              </w:tc>
              <w:tc>
                <w:tcPr>
                  <w:tcW w:w="1462" w:type="pct"/>
                  <w:noWrap w:val="0"/>
                  <w:vAlign w:val="center"/>
                </w:tcPr>
                <w:p w14:paraId="4E4759B3">
                  <w:pPr>
                    <w:pStyle w:val="115"/>
                    <w:rPr>
                      <w:b w:val="0"/>
                      <w:bCs w:val="0"/>
                      <w:color w:val="000000"/>
                    </w:rPr>
                  </w:pPr>
                  <w:r>
                    <w:rPr>
                      <w:b w:val="0"/>
                      <w:bCs w:val="0"/>
                      <w:color w:val="000000"/>
                    </w:rPr>
                    <w:t>本项目情况</w:t>
                  </w:r>
                </w:p>
              </w:tc>
              <w:tc>
                <w:tcPr>
                  <w:tcW w:w="543" w:type="pct"/>
                  <w:noWrap w:val="0"/>
                  <w:vAlign w:val="center"/>
                </w:tcPr>
                <w:p w14:paraId="1525EB13">
                  <w:pPr>
                    <w:pStyle w:val="115"/>
                    <w:rPr>
                      <w:b w:val="0"/>
                      <w:bCs w:val="0"/>
                      <w:color w:val="000000"/>
                    </w:rPr>
                  </w:pPr>
                  <w:r>
                    <w:rPr>
                      <w:b w:val="0"/>
                      <w:bCs w:val="0"/>
                      <w:color w:val="000000"/>
                    </w:rPr>
                    <w:t>符合性</w:t>
                  </w:r>
                </w:p>
              </w:tc>
            </w:tr>
            <w:tr w14:paraId="4F10A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531" w:type="pct"/>
                  <w:noWrap w:val="0"/>
                  <w:vAlign w:val="center"/>
                </w:tcPr>
                <w:p w14:paraId="002607B4">
                  <w:pPr>
                    <w:pStyle w:val="115"/>
                    <w:rPr>
                      <w:b w:val="0"/>
                      <w:bCs w:val="0"/>
                      <w:color w:val="000000"/>
                    </w:rPr>
                  </w:pPr>
                  <w:r>
                    <w:rPr>
                      <w:b w:val="0"/>
                      <w:bCs w:val="0"/>
                      <w:color w:val="000000"/>
                    </w:rPr>
                    <w:t>产业</w:t>
                  </w:r>
                </w:p>
              </w:tc>
              <w:tc>
                <w:tcPr>
                  <w:tcW w:w="2463" w:type="pct"/>
                  <w:noWrap w:val="0"/>
                  <w:vAlign w:val="center"/>
                </w:tcPr>
                <w:p w14:paraId="250E14EC">
                  <w:pPr>
                    <w:pStyle w:val="115"/>
                    <w:jc w:val="both"/>
                    <w:rPr>
                      <w:b w:val="0"/>
                      <w:bCs w:val="0"/>
                      <w:color w:val="000000"/>
                    </w:rPr>
                  </w:pPr>
                  <w:r>
                    <w:rPr>
                      <w:rFonts w:hint="eastAsia"/>
                      <w:b w:val="0"/>
                      <w:bCs w:val="0"/>
                      <w:color w:val="000000"/>
                    </w:rPr>
                    <w:t>1、</w:t>
                  </w:r>
                  <w:r>
                    <w:rPr>
                      <w:b w:val="0"/>
                      <w:bCs w:val="0"/>
                      <w:color w:val="000000"/>
                    </w:rPr>
                    <w:t>集聚区规划产业的产业链相关项目优先入区。</w:t>
                  </w:r>
                </w:p>
                <w:p w14:paraId="137530FA">
                  <w:pPr>
                    <w:pStyle w:val="115"/>
                    <w:jc w:val="both"/>
                    <w:rPr>
                      <w:b w:val="0"/>
                      <w:bCs w:val="0"/>
                      <w:color w:val="000000"/>
                    </w:rPr>
                  </w:pPr>
                  <w:r>
                    <w:rPr>
                      <w:rFonts w:hint="eastAsia"/>
                      <w:b w:val="0"/>
                      <w:bCs w:val="0"/>
                      <w:color w:val="000000"/>
                    </w:rPr>
                    <w:t>2、</w:t>
                  </w:r>
                  <w:r>
                    <w:rPr>
                      <w:b w:val="0"/>
                      <w:bCs w:val="0"/>
                      <w:color w:val="000000"/>
                    </w:rPr>
                    <w:t>按照国家相关产业政策，严禁高毒、高污染的淘汰和限制类工业企业入园。</w:t>
                  </w:r>
                </w:p>
                <w:p w14:paraId="56335489">
                  <w:pPr>
                    <w:pStyle w:val="115"/>
                    <w:jc w:val="both"/>
                    <w:rPr>
                      <w:b w:val="0"/>
                      <w:bCs w:val="0"/>
                      <w:color w:val="000000"/>
                    </w:rPr>
                  </w:pPr>
                  <w:r>
                    <w:rPr>
                      <w:rFonts w:hint="eastAsia"/>
                      <w:b w:val="0"/>
                      <w:bCs w:val="0"/>
                      <w:color w:val="000000"/>
                    </w:rPr>
                    <w:t>3、</w:t>
                  </w:r>
                  <w:r>
                    <w:rPr>
                      <w:b w:val="0"/>
                      <w:bCs w:val="0"/>
                      <w:color w:val="000000"/>
                    </w:rPr>
                    <w:t>对淮阳县域范围内布局不合理的、符合集聚区主导产业的项目，按环保要求可以搬迁入集聚区。</w:t>
                  </w:r>
                </w:p>
                <w:p w14:paraId="7BBAF226">
                  <w:pPr>
                    <w:pStyle w:val="115"/>
                    <w:jc w:val="both"/>
                    <w:rPr>
                      <w:b w:val="0"/>
                      <w:bCs w:val="0"/>
                      <w:color w:val="000000"/>
                    </w:rPr>
                  </w:pPr>
                  <w:r>
                    <w:rPr>
                      <w:rFonts w:hint="eastAsia"/>
                      <w:b w:val="0"/>
                      <w:bCs w:val="0"/>
                      <w:color w:val="000000"/>
                    </w:rPr>
                    <w:t>4、</w:t>
                  </w:r>
                  <w:r>
                    <w:rPr>
                      <w:b w:val="0"/>
                      <w:bCs w:val="0"/>
                      <w:color w:val="000000"/>
                    </w:rPr>
                    <w:t>限制引进耗水量特别大、排水量大的行业。</w:t>
                  </w:r>
                </w:p>
                <w:p w14:paraId="008DBBF2">
                  <w:pPr>
                    <w:pStyle w:val="115"/>
                    <w:jc w:val="both"/>
                    <w:rPr>
                      <w:b w:val="0"/>
                      <w:bCs w:val="0"/>
                      <w:color w:val="000000"/>
                    </w:rPr>
                  </w:pPr>
                  <w:r>
                    <w:rPr>
                      <w:rFonts w:hint="eastAsia"/>
                      <w:b w:val="0"/>
                      <w:bCs w:val="0"/>
                      <w:color w:val="000000"/>
                    </w:rPr>
                    <w:t>5、</w:t>
                  </w:r>
                  <w:r>
                    <w:rPr>
                      <w:b w:val="0"/>
                      <w:bCs w:val="0"/>
                      <w:color w:val="000000"/>
                    </w:rPr>
                    <w:t>限制引进重污染的三类工业企业。</w:t>
                  </w:r>
                </w:p>
              </w:tc>
              <w:tc>
                <w:tcPr>
                  <w:tcW w:w="1462" w:type="pct"/>
                  <w:noWrap w:val="0"/>
                  <w:vAlign w:val="center"/>
                </w:tcPr>
                <w:p w14:paraId="62F88E9C">
                  <w:pPr>
                    <w:pStyle w:val="115"/>
                    <w:jc w:val="both"/>
                    <w:rPr>
                      <w:b w:val="0"/>
                      <w:bCs w:val="0"/>
                      <w:color w:val="000000"/>
                    </w:rPr>
                  </w:pPr>
                  <w:r>
                    <w:rPr>
                      <w:rFonts w:hint="eastAsia"/>
                      <w:b w:val="0"/>
                      <w:bCs w:val="0"/>
                      <w:color w:val="000000"/>
                    </w:rPr>
                    <w:t>1、本项目不属于高毒、高污染的限制类和淘汰类企业；</w:t>
                  </w:r>
                </w:p>
                <w:p w14:paraId="05ADD0B0">
                  <w:pPr>
                    <w:pStyle w:val="115"/>
                    <w:jc w:val="both"/>
                    <w:rPr>
                      <w:b w:val="0"/>
                      <w:bCs w:val="0"/>
                      <w:color w:val="000000"/>
                    </w:rPr>
                  </w:pPr>
                  <w:r>
                    <w:rPr>
                      <w:rFonts w:hint="eastAsia"/>
                      <w:b w:val="0"/>
                      <w:bCs w:val="0"/>
                      <w:color w:val="000000"/>
                    </w:rPr>
                    <w:t>2、</w:t>
                  </w:r>
                  <w:r>
                    <w:rPr>
                      <w:rFonts w:hint="default" w:ascii="Times New Roman" w:hAnsi="Times New Roman" w:eastAsia="宋体" w:cs="Times New Roman"/>
                      <w:b w:val="0"/>
                      <w:bCs w:val="0"/>
                      <w:color w:val="auto"/>
                      <w:sz w:val="21"/>
                      <w:szCs w:val="21"/>
                      <w:u w:val="none"/>
                      <w:lang w:val="en-US" w:eastAsia="zh-CN"/>
                    </w:rPr>
                    <w:t>本项目属于非金属矿物制品</w:t>
                  </w:r>
                  <w:r>
                    <w:rPr>
                      <w:rFonts w:hint="eastAsia" w:cs="Times New Roman"/>
                      <w:b w:val="0"/>
                      <w:bCs w:val="0"/>
                      <w:color w:val="auto"/>
                      <w:sz w:val="21"/>
                      <w:szCs w:val="21"/>
                      <w:u w:val="none"/>
                      <w:lang w:val="en-US" w:eastAsia="zh-CN"/>
                    </w:rPr>
                    <w:t>业中的特种玻璃制造和玻璃制品制造</w:t>
                  </w:r>
                  <w:r>
                    <w:rPr>
                      <w:rFonts w:hint="eastAsia"/>
                      <w:b w:val="0"/>
                      <w:bCs w:val="0"/>
                      <w:color w:val="000000"/>
                    </w:rPr>
                    <w:t>，不属于耗水量特别大、排水量大的行业；</w:t>
                  </w:r>
                </w:p>
                <w:p w14:paraId="5AB43D09">
                  <w:pPr>
                    <w:pStyle w:val="115"/>
                    <w:jc w:val="both"/>
                    <w:rPr>
                      <w:b w:val="0"/>
                      <w:bCs w:val="0"/>
                      <w:color w:val="000000"/>
                    </w:rPr>
                  </w:pPr>
                  <w:r>
                    <w:rPr>
                      <w:rFonts w:hint="eastAsia"/>
                      <w:b w:val="0"/>
                      <w:bCs w:val="0"/>
                      <w:color w:val="000000"/>
                    </w:rPr>
                    <w:t>3、本项目不属于重污染三类</w:t>
                  </w:r>
                  <w:r>
                    <w:rPr>
                      <w:rFonts w:hint="eastAsia"/>
                      <w:b w:val="0"/>
                      <w:bCs w:val="0"/>
                      <w:color w:val="000000"/>
                      <w:lang w:val="en-US" w:eastAsia="zh-CN"/>
                    </w:rPr>
                    <w:t>工业企业</w:t>
                  </w:r>
                </w:p>
              </w:tc>
              <w:tc>
                <w:tcPr>
                  <w:tcW w:w="543" w:type="pct"/>
                  <w:noWrap w:val="0"/>
                  <w:vAlign w:val="center"/>
                </w:tcPr>
                <w:p w14:paraId="43FB8978">
                  <w:pPr>
                    <w:pStyle w:val="115"/>
                    <w:rPr>
                      <w:b w:val="0"/>
                      <w:bCs w:val="0"/>
                      <w:color w:val="000000"/>
                    </w:rPr>
                  </w:pPr>
                  <w:r>
                    <w:rPr>
                      <w:rFonts w:hint="eastAsia"/>
                      <w:b w:val="0"/>
                      <w:bCs w:val="0"/>
                      <w:color w:val="000000"/>
                    </w:rPr>
                    <w:t>相符</w:t>
                  </w:r>
                </w:p>
              </w:tc>
            </w:tr>
            <w:tr w14:paraId="66DF3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531" w:type="pct"/>
                  <w:noWrap w:val="0"/>
                  <w:vAlign w:val="center"/>
                </w:tcPr>
                <w:p w14:paraId="39682F81">
                  <w:pPr>
                    <w:pStyle w:val="115"/>
                    <w:rPr>
                      <w:b w:val="0"/>
                      <w:bCs w:val="0"/>
                      <w:color w:val="000000"/>
                    </w:rPr>
                  </w:pPr>
                  <w:r>
                    <w:rPr>
                      <w:b w:val="0"/>
                      <w:bCs w:val="0"/>
                      <w:color w:val="000000"/>
                    </w:rPr>
                    <w:t>生产规模和工艺装备水平</w:t>
                  </w:r>
                </w:p>
              </w:tc>
              <w:tc>
                <w:tcPr>
                  <w:tcW w:w="2463" w:type="pct"/>
                  <w:noWrap w:val="0"/>
                  <w:vAlign w:val="center"/>
                </w:tcPr>
                <w:p w14:paraId="6A0FF223">
                  <w:pPr>
                    <w:pStyle w:val="115"/>
                    <w:jc w:val="both"/>
                    <w:rPr>
                      <w:b w:val="0"/>
                      <w:bCs w:val="0"/>
                      <w:color w:val="000000"/>
                    </w:rPr>
                  </w:pPr>
                  <w:r>
                    <w:rPr>
                      <w:rFonts w:hint="eastAsia"/>
                      <w:b w:val="0"/>
                      <w:bCs w:val="0"/>
                      <w:color w:val="000000"/>
                    </w:rPr>
                    <w:t>1、</w:t>
                  </w:r>
                  <w:r>
                    <w:rPr>
                      <w:b w:val="0"/>
                      <w:bCs w:val="0"/>
                      <w:color w:val="000000"/>
                    </w:rPr>
                    <w:t>入集聚区企业建设规模应符合国家产业政策的最小经济规模要求</w:t>
                  </w:r>
                  <w:r>
                    <w:rPr>
                      <w:rFonts w:hint="eastAsia"/>
                      <w:b w:val="0"/>
                      <w:bCs w:val="0"/>
                      <w:color w:val="000000"/>
                    </w:rPr>
                    <w:t>；2、</w:t>
                  </w:r>
                  <w:r>
                    <w:rPr>
                      <w:b w:val="0"/>
                      <w:bCs w:val="0"/>
                      <w:color w:val="000000"/>
                    </w:rPr>
                    <w:t>环保搬迁入集聚区的企业应进行产品和生产工艺技术的升级改造，达到国家相关规定的要求。</w:t>
                  </w:r>
                  <w:r>
                    <w:rPr>
                      <w:rFonts w:hint="eastAsia"/>
                      <w:b w:val="0"/>
                      <w:bCs w:val="0"/>
                      <w:color w:val="000000"/>
                    </w:rPr>
                    <w:t>3、</w:t>
                  </w:r>
                  <w:r>
                    <w:rPr>
                      <w:b w:val="0"/>
                      <w:bCs w:val="0"/>
                      <w:color w:val="000000"/>
                    </w:rPr>
                    <w:t>在生产工艺技术水平和设备上要求入区项目达到国内行业清洁生产水平。</w:t>
                  </w:r>
                </w:p>
              </w:tc>
              <w:tc>
                <w:tcPr>
                  <w:tcW w:w="1462" w:type="pct"/>
                  <w:noWrap w:val="0"/>
                  <w:vAlign w:val="center"/>
                </w:tcPr>
                <w:p w14:paraId="6326CF05">
                  <w:pPr>
                    <w:pStyle w:val="115"/>
                    <w:jc w:val="both"/>
                    <w:rPr>
                      <w:b w:val="0"/>
                      <w:bCs w:val="0"/>
                      <w:color w:val="000000"/>
                    </w:rPr>
                  </w:pPr>
                  <w:r>
                    <w:rPr>
                      <w:rFonts w:hint="eastAsia"/>
                      <w:b w:val="0"/>
                      <w:bCs w:val="0"/>
                      <w:color w:val="000000"/>
                    </w:rPr>
                    <w:t>本项目建设规模、工艺技术及清洁生产水平符合相关要求</w:t>
                  </w:r>
                </w:p>
              </w:tc>
              <w:tc>
                <w:tcPr>
                  <w:tcW w:w="543" w:type="pct"/>
                  <w:noWrap w:val="0"/>
                  <w:vAlign w:val="center"/>
                </w:tcPr>
                <w:p w14:paraId="61729382">
                  <w:pPr>
                    <w:pStyle w:val="115"/>
                    <w:rPr>
                      <w:b w:val="0"/>
                      <w:bCs w:val="0"/>
                      <w:color w:val="000000"/>
                    </w:rPr>
                  </w:pPr>
                  <w:r>
                    <w:rPr>
                      <w:rFonts w:hint="eastAsia"/>
                      <w:b w:val="0"/>
                      <w:bCs w:val="0"/>
                      <w:color w:val="000000"/>
                    </w:rPr>
                    <w:t>相符</w:t>
                  </w:r>
                </w:p>
              </w:tc>
            </w:tr>
            <w:tr w14:paraId="7484A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531" w:type="pct"/>
                  <w:noWrap w:val="0"/>
                  <w:vAlign w:val="center"/>
                </w:tcPr>
                <w:p w14:paraId="74486A03">
                  <w:pPr>
                    <w:pStyle w:val="115"/>
                    <w:rPr>
                      <w:b w:val="0"/>
                      <w:bCs w:val="0"/>
                      <w:color w:val="000000"/>
                    </w:rPr>
                  </w:pPr>
                  <w:r>
                    <w:rPr>
                      <w:b w:val="0"/>
                      <w:bCs w:val="0"/>
                      <w:color w:val="000000"/>
                    </w:rPr>
                    <w:t>清洁生产水平</w:t>
                  </w:r>
                </w:p>
              </w:tc>
              <w:tc>
                <w:tcPr>
                  <w:tcW w:w="2463" w:type="pct"/>
                  <w:noWrap w:val="0"/>
                  <w:vAlign w:val="center"/>
                </w:tcPr>
                <w:p w14:paraId="61EC509B">
                  <w:pPr>
                    <w:pStyle w:val="115"/>
                    <w:jc w:val="both"/>
                    <w:rPr>
                      <w:b w:val="0"/>
                      <w:bCs w:val="0"/>
                      <w:color w:val="000000"/>
                    </w:rPr>
                  </w:pPr>
                  <w:r>
                    <w:rPr>
                      <w:rFonts w:hint="eastAsia"/>
                      <w:b w:val="0"/>
                      <w:bCs w:val="0"/>
                      <w:color w:val="000000"/>
                    </w:rPr>
                    <w:t>1、</w:t>
                  </w:r>
                  <w:r>
                    <w:rPr>
                      <w:b w:val="0"/>
                      <w:bCs w:val="0"/>
                      <w:color w:val="000000"/>
                    </w:rPr>
                    <w:t>应选择使用原料和产品为环境友好型的项目，避免集聚区大规模建设造成的不良辐射效应</w:t>
                  </w:r>
                  <w:r>
                    <w:rPr>
                      <w:rFonts w:hint="eastAsia"/>
                      <w:b w:val="0"/>
                      <w:bCs w:val="0"/>
                      <w:color w:val="000000"/>
                    </w:rPr>
                    <w:t>；</w:t>
                  </w:r>
                </w:p>
                <w:p w14:paraId="5D387270">
                  <w:pPr>
                    <w:pStyle w:val="115"/>
                    <w:jc w:val="both"/>
                    <w:rPr>
                      <w:b w:val="0"/>
                      <w:bCs w:val="0"/>
                      <w:color w:val="000000"/>
                    </w:rPr>
                  </w:pPr>
                  <w:r>
                    <w:rPr>
                      <w:rFonts w:hint="eastAsia"/>
                      <w:b w:val="0"/>
                      <w:bCs w:val="0"/>
                      <w:color w:val="000000"/>
                    </w:rPr>
                    <w:t>2、</w:t>
                  </w:r>
                  <w:r>
                    <w:rPr>
                      <w:b w:val="0"/>
                      <w:bCs w:val="0"/>
                      <w:color w:val="000000"/>
                    </w:rPr>
                    <w:t>入区项目在单位产品水耗、能耗、污染物排放量等清洁生产指标应达到国内同类行业先进水平</w:t>
                  </w:r>
                  <w:r>
                    <w:rPr>
                      <w:rFonts w:hint="eastAsia"/>
                      <w:b w:val="0"/>
                      <w:bCs w:val="0"/>
                      <w:color w:val="000000"/>
                    </w:rPr>
                    <w:t>；</w:t>
                  </w:r>
                </w:p>
                <w:p w14:paraId="08082070">
                  <w:pPr>
                    <w:pStyle w:val="115"/>
                    <w:jc w:val="both"/>
                    <w:rPr>
                      <w:b w:val="0"/>
                      <w:bCs w:val="0"/>
                      <w:color w:val="000000"/>
                    </w:rPr>
                  </w:pPr>
                  <w:r>
                    <w:rPr>
                      <w:rFonts w:hint="eastAsia"/>
                      <w:b w:val="0"/>
                      <w:bCs w:val="0"/>
                      <w:color w:val="000000"/>
                    </w:rPr>
                    <w:t>3、</w:t>
                  </w:r>
                  <w:r>
                    <w:rPr>
                      <w:b w:val="0"/>
                      <w:bCs w:val="0"/>
                      <w:color w:val="000000"/>
                    </w:rPr>
                    <w:t>应限制高耗水的工业企业入驻集聚区，单位面积耗水量建议指标≤0.95万m</w:t>
                  </w:r>
                  <w:r>
                    <w:rPr>
                      <w:b w:val="0"/>
                      <w:bCs w:val="0"/>
                      <w:color w:val="000000"/>
                      <w:vertAlign w:val="superscript"/>
                    </w:rPr>
                    <w:t>3</w:t>
                  </w:r>
                  <w:r>
                    <w:rPr>
                      <w:b w:val="0"/>
                      <w:bCs w:val="0"/>
                      <w:color w:val="000000"/>
                    </w:rPr>
                    <w:t>/km</w:t>
                  </w:r>
                  <w:r>
                    <w:rPr>
                      <w:b w:val="0"/>
                      <w:bCs w:val="0"/>
                      <w:color w:val="000000"/>
                      <w:vertAlign w:val="superscript"/>
                    </w:rPr>
                    <w:t>2</w:t>
                  </w:r>
                  <w:r>
                    <w:rPr>
                      <w:b w:val="0"/>
                      <w:bCs w:val="0"/>
                      <w:color w:val="000000"/>
                    </w:rPr>
                    <w:t>·d</w:t>
                  </w:r>
                  <w:r>
                    <w:rPr>
                      <w:rFonts w:hint="eastAsia"/>
                      <w:b w:val="0"/>
                      <w:bCs w:val="0"/>
                      <w:color w:val="000000"/>
                    </w:rPr>
                    <w:t>；</w:t>
                  </w:r>
                </w:p>
                <w:p w14:paraId="5D9DC6A6">
                  <w:pPr>
                    <w:pStyle w:val="115"/>
                    <w:jc w:val="both"/>
                    <w:rPr>
                      <w:b w:val="0"/>
                      <w:bCs w:val="0"/>
                      <w:color w:val="000000"/>
                    </w:rPr>
                  </w:pPr>
                  <w:r>
                    <w:rPr>
                      <w:rFonts w:hint="eastAsia"/>
                      <w:b w:val="0"/>
                      <w:bCs w:val="0"/>
                      <w:color w:val="000000"/>
                    </w:rPr>
                    <w:t>4、</w:t>
                  </w:r>
                  <w:r>
                    <w:rPr>
                      <w:b w:val="0"/>
                      <w:bCs w:val="0"/>
                      <w:color w:val="000000"/>
                    </w:rPr>
                    <w:t xml:space="preserve">单位工业增加值COD排放量（kg/万元）≤1；单位工业增加值SO2排放量（kg/万元）≤1 </w:t>
                  </w:r>
                  <w:r>
                    <w:rPr>
                      <w:rFonts w:hint="eastAsia"/>
                      <w:b w:val="0"/>
                      <w:bCs w:val="0"/>
                      <w:color w:val="000000"/>
                    </w:rPr>
                    <w:t>。</w:t>
                  </w:r>
                </w:p>
              </w:tc>
              <w:tc>
                <w:tcPr>
                  <w:tcW w:w="1462" w:type="pct"/>
                  <w:noWrap w:val="0"/>
                  <w:vAlign w:val="center"/>
                </w:tcPr>
                <w:p w14:paraId="30254BFB">
                  <w:pPr>
                    <w:pStyle w:val="115"/>
                    <w:jc w:val="both"/>
                    <w:rPr>
                      <w:b w:val="0"/>
                      <w:bCs w:val="0"/>
                      <w:color w:val="000000"/>
                    </w:rPr>
                  </w:pPr>
                  <w:r>
                    <w:rPr>
                      <w:b w:val="0"/>
                      <w:bCs w:val="0"/>
                      <w:color w:val="000000"/>
                    </w:rPr>
                    <w:t>本项目不会产生辐射效应；运营期用水量较少，污染物排放量较少。本项目不属于高耗水</w:t>
                  </w:r>
                  <w:r>
                    <w:rPr>
                      <w:rFonts w:hint="eastAsia"/>
                      <w:b w:val="0"/>
                      <w:bCs w:val="0"/>
                      <w:color w:val="000000"/>
                      <w:lang w:val="en-US" w:eastAsia="zh-CN"/>
                    </w:rPr>
                    <w:t>量</w:t>
                  </w:r>
                  <w:r>
                    <w:rPr>
                      <w:b w:val="0"/>
                      <w:bCs w:val="0"/>
                      <w:color w:val="000000"/>
                    </w:rPr>
                    <w:t>行业，单位面积耗水量指标满足</w:t>
                  </w:r>
                  <w:r>
                    <w:rPr>
                      <w:rFonts w:hint="eastAsia"/>
                      <w:b w:val="0"/>
                      <w:bCs w:val="0"/>
                      <w:color w:val="000000"/>
                      <w:lang w:val="en-US" w:eastAsia="zh-CN"/>
                    </w:rPr>
                    <w:t>入驻企业限制</w:t>
                  </w:r>
                  <w:r>
                    <w:rPr>
                      <w:b w:val="0"/>
                      <w:bCs w:val="0"/>
                      <w:color w:val="000000"/>
                    </w:rPr>
                    <w:t>要求。项目单位工业增加值COD排放量</w:t>
                  </w:r>
                  <w:r>
                    <w:rPr>
                      <w:rFonts w:hint="eastAsia"/>
                      <w:b w:val="0"/>
                      <w:bCs w:val="0"/>
                      <w:color w:val="000000"/>
                      <w:lang w:val="en-US" w:eastAsia="zh-CN"/>
                    </w:rPr>
                    <w:t>也</w:t>
                  </w:r>
                  <w:r>
                    <w:rPr>
                      <w:b w:val="0"/>
                      <w:bCs w:val="0"/>
                      <w:color w:val="000000"/>
                    </w:rPr>
                    <w:t>满足</w:t>
                  </w:r>
                  <w:r>
                    <w:rPr>
                      <w:rFonts w:hint="eastAsia"/>
                      <w:b w:val="0"/>
                      <w:bCs w:val="0"/>
                      <w:color w:val="000000"/>
                      <w:lang w:val="en-US" w:eastAsia="zh-CN"/>
                    </w:rPr>
                    <w:t>排放量</w:t>
                  </w:r>
                  <w:r>
                    <w:rPr>
                      <w:b w:val="0"/>
                      <w:bCs w:val="0"/>
                      <w:color w:val="000000"/>
                    </w:rPr>
                    <w:t>要求</w:t>
                  </w:r>
                </w:p>
              </w:tc>
              <w:tc>
                <w:tcPr>
                  <w:tcW w:w="543" w:type="pct"/>
                  <w:noWrap w:val="0"/>
                  <w:vAlign w:val="center"/>
                </w:tcPr>
                <w:p w14:paraId="73D906AC">
                  <w:pPr>
                    <w:pStyle w:val="115"/>
                    <w:rPr>
                      <w:b w:val="0"/>
                      <w:bCs w:val="0"/>
                      <w:color w:val="000000"/>
                    </w:rPr>
                  </w:pPr>
                  <w:r>
                    <w:rPr>
                      <w:rFonts w:hint="eastAsia"/>
                      <w:b w:val="0"/>
                      <w:bCs w:val="0"/>
                      <w:color w:val="000000"/>
                    </w:rPr>
                    <w:t>相符</w:t>
                  </w:r>
                </w:p>
              </w:tc>
            </w:tr>
            <w:tr w14:paraId="081F7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jc w:val="center"/>
              </w:trPr>
              <w:tc>
                <w:tcPr>
                  <w:tcW w:w="531" w:type="pct"/>
                  <w:noWrap w:val="0"/>
                  <w:vAlign w:val="center"/>
                </w:tcPr>
                <w:p w14:paraId="6EFEE766">
                  <w:pPr>
                    <w:pStyle w:val="115"/>
                    <w:rPr>
                      <w:b w:val="0"/>
                      <w:bCs w:val="0"/>
                      <w:color w:val="000000"/>
                    </w:rPr>
                  </w:pPr>
                  <w:r>
                    <w:rPr>
                      <w:b w:val="0"/>
                      <w:bCs w:val="0"/>
                      <w:color w:val="000000"/>
                    </w:rPr>
                    <w:t>其它</w:t>
                  </w:r>
                </w:p>
              </w:tc>
              <w:tc>
                <w:tcPr>
                  <w:tcW w:w="2463" w:type="pct"/>
                  <w:noWrap w:val="0"/>
                  <w:vAlign w:val="center"/>
                </w:tcPr>
                <w:p w14:paraId="6CD22FF0">
                  <w:pPr>
                    <w:pStyle w:val="115"/>
                    <w:jc w:val="both"/>
                    <w:rPr>
                      <w:b w:val="0"/>
                      <w:bCs w:val="0"/>
                      <w:color w:val="000000"/>
                    </w:rPr>
                  </w:pPr>
                  <w:r>
                    <w:rPr>
                      <w:b w:val="0"/>
                      <w:bCs w:val="0"/>
                      <w:color w:val="000000"/>
                    </w:rPr>
                    <w:t>（1）入园项目用地必须符合园区土地利用规划要求，禁止在一类工业用地之上建设三类项目</w:t>
                  </w:r>
                </w:p>
                <w:p w14:paraId="7DCA78C5">
                  <w:pPr>
                    <w:pStyle w:val="115"/>
                    <w:jc w:val="both"/>
                    <w:rPr>
                      <w:b w:val="0"/>
                      <w:bCs w:val="0"/>
                      <w:color w:val="000000"/>
                    </w:rPr>
                  </w:pPr>
                  <w:r>
                    <w:rPr>
                      <w:b w:val="0"/>
                      <w:bCs w:val="0"/>
                      <w:color w:val="000000"/>
                    </w:rPr>
                    <w:t>（2）按照循环经济发展之路，评价建议与园区已有产业或项目能够形成良好循环经济链条的项目可优先入园</w:t>
                  </w:r>
                </w:p>
              </w:tc>
              <w:tc>
                <w:tcPr>
                  <w:tcW w:w="1462" w:type="pct"/>
                  <w:noWrap w:val="0"/>
                  <w:vAlign w:val="center"/>
                </w:tcPr>
                <w:p w14:paraId="3BA31DEC">
                  <w:pPr>
                    <w:pStyle w:val="115"/>
                    <w:rPr>
                      <w:b w:val="0"/>
                      <w:bCs w:val="0"/>
                      <w:color w:val="000000"/>
                    </w:rPr>
                  </w:pPr>
                  <w:r>
                    <w:rPr>
                      <w:rFonts w:hint="eastAsia"/>
                      <w:b w:val="0"/>
                      <w:bCs w:val="0"/>
                      <w:color w:val="000000"/>
                    </w:rPr>
                    <w:t>本项目用地为二类工业用地，项目不属于三类工业项目，周口先进制造业开发区管理委员会已同意本项目入驻</w:t>
                  </w:r>
                </w:p>
              </w:tc>
              <w:tc>
                <w:tcPr>
                  <w:tcW w:w="543" w:type="pct"/>
                  <w:noWrap w:val="0"/>
                  <w:vAlign w:val="center"/>
                </w:tcPr>
                <w:p w14:paraId="4F7BB6CC">
                  <w:pPr>
                    <w:pStyle w:val="115"/>
                    <w:rPr>
                      <w:b w:val="0"/>
                      <w:bCs w:val="0"/>
                      <w:color w:val="000000"/>
                    </w:rPr>
                  </w:pPr>
                  <w:r>
                    <w:rPr>
                      <w:rFonts w:hint="eastAsia"/>
                      <w:b w:val="0"/>
                      <w:bCs w:val="0"/>
                      <w:color w:val="000000"/>
                    </w:rPr>
                    <w:t>相符</w:t>
                  </w:r>
                </w:p>
              </w:tc>
            </w:tr>
          </w:tbl>
          <w:p w14:paraId="712F24BA">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eastAsia" w:ascii="Times New Roman" w:hAnsi="Times New Roman" w:eastAsia="宋体" w:cs="Times New Roman"/>
                <w:b/>
                <w:bCs/>
                <w:color w:val="000000"/>
              </w:rPr>
            </w:pPr>
            <w:bookmarkStart w:id="6" w:name="_Toc11976"/>
            <w:bookmarkStart w:id="7" w:name="_Toc10654"/>
            <w:r>
              <w:rPr>
                <w:rFonts w:hint="eastAsia" w:ascii="Times New Roman" w:hAnsi="Times New Roman" w:eastAsia="宋体" w:cs="Times New Roman"/>
                <w:b/>
                <w:bCs/>
                <w:color w:val="000000"/>
              </w:rPr>
              <w:t>3、与《关于淮阳县产业集聚区发展规划环境影响报告书的审查意见》（豫环函[2011]338号）相符性分析</w:t>
            </w:r>
            <w:bookmarkEnd w:id="6"/>
            <w:bookmarkEnd w:id="7"/>
          </w:p>
          <w:p w14:paraId="45BE30A2">
            <w:pPr>
              <w:pStyle w:val="96"/>
              <w:ind w:firstLine="480"/>
              <w:rPr>
                <w:b w:val="0"/>
                <w:bCs w:val="0"/>
                <w:color w:val="000000"/>
              </w:rPr>
            </w:pPr>
            <w:r>
              <w:rPr>
                <w:b w:val="0"/>
                <w:bCs w:val="0"/>
                <w:color w:val="000000"/>
              </w:rPr>
              <w:t>本项目与《关于淮阳县产业集聚区发展规划环境影响报告书的审查意见》（豫环函[2011]338号）相符性分析见</w:t>
            </w:r>
            <w:r>
              <w:rPr>
                <w:rFonts w:hint="eastAsia"/>
                <w:b w:val="0"/>
                <w:bCs w:val="0"/>
                <w:color w:val="000000"/>
                <w:lang w:val="en-US" w:eastAsia="zh-CN"/>
              </w:rPr>
              <w:t>下表</w:t>
            </w:r>
            <w:r>
              <w:rPr>
                <w:b w:val="0"/>
                <w:bCs w:val="0"/>
                <w:color w:val="000000"/>
              </w:rPr>
              <w:t>。</w:t>
            </w:r>
          </w:p>
          <w:p w14:paraId="24D10053">
            <w:pPr>
              <w:pStyle w:val="96"/>
              <w:ind w:firstLine="480"/>
              <w:rPr>
                <w:b w:val="0"/>
                <w:bCs w:val="0"/>
                <w:color w:val="000000"/>
              </w:rPr>
            </w:pPr>
          </w:p>
          <w:p w14:paraId="1205EC98">
            <w:pPr>
              <w:pStyle w:val="96"/>
              <w:ind w:firstLine="480"/>
              <w:rPr>
                <w:b w:val="0"/>
                <w:bCs w:val="0"/>
                <w:color w:val="000000"/>
              </w:rPr>
            </w:pPr>
          </w:p>
          <w:p w14:paraId="2039FF3C">
            <w:pPr>
              <w:pStyle w:val="96"/>
              <w:ind w:firstLine="480"/>
              <w:rPr>
                <w:b w:val="0"/>
                <w:bCs w:val="0"/>
                <w:color w:val="000000"/>
              </w:rPr>
            </w:pPr>
          </w:p>
          <w:p w14:paraId="111B11DB">
            <w:pPr>
              <w:pStyle w:val="96"/>
              <w:ind w:firstLine="480"/>
              <w:rPr>
                <w:b w:val="0"/>
                <w:bCs w:val="0"/>
                <w:color w:val="000000"/>
              </w:rPr>
            </w:pPr>
          </w:p>
          <w:p w14:paraId="3B7E707E">
            <w:pPr>
              <w:pStyle w:val="96"/>
              <w:ind w:firstLine="480"/>
              <w:rPr>
                <w:b w:val="0"/>
                <w:bCs w:val="0"/>
                <w:color w:val="000000"/>
              </w:rPr>
            </w:pPr>
          </w:p>
          <w:p w14:paraId="7E25361D">
            <w:pPr>
              <w:pStyle w:val="96"/>
              <w:ind w:firstLine="480"/>
              <w:rPr>
                <w:b w:val="0"/>
                <w:bCs w:val="0"/>
                <w:color w:val="000000"/>
              </w:rPr>
            </w:pPr>
          </w:p>
          <w:p w14:paraId="46D97846">
            <w:pPr>
              <w:pStyle w:val="85"/>
              <w:spacing w:before="120" w:after="24"/>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bCs/>
                <w:color w:val="000000"/>
                <w:sz w:val="24"/>
                <w:szCs w:val="24"/>
              </w:rPr>
              <w:t>表</w:t>
            </w:r>
            <w:r>
              <w:rPr>
                <w:rFonts w:hint="eastAsia" w:ascii="Times New Roman" w:hAnsi="Times New Roman" w:eastAsia="宋体" w:cs="Times New Roman"/>
                <w:b/>
                <w:bCs/>
                <w:color w:val="000000"/>
                <w:sz w:val="24"/>
                <w:szCs w:val="24"/>
                <w:lang w:val="en-US" w:eastAsia="zh-CN"/>
              </w:rPr>
              <w:t>1-</w:t>
            </w:r>
            <w:r>
              <w:rPr>
                <w:rFonts w:hint="default" w:ascii="Times New Roman" w:hAnsi="Times New Roman" w:eastAsia="宋体" w:cs="Times New Roman"/>
                <w:b/>
                <w:bCs/>
                <w:color w:val="000000"/>
                <w:sz w:val="24"/>
                <w:szCs w:val="24"/>
              </w:rPr>
              <w:t>2</w:t>
            </w:r>
            <w:r>
              <w:rPr>
                <w:rFonts w:hint="eastAsia" w:ascii="Times New Roman" w:hAnsi="Times New Roman" w:eastAsia="宋体" w:cs="Times New Roman"/>
                <w:b/>
                <w:bCs/>
                <w:color w:val="000000"/>
                <w:sz w:val="24"/>
                <w:szCs w:val="24"/>
                <w:lang w:val="en-US" w:eastAsia="zh-CN"/>
              </w:rPr>
              <w:t xml:space="preserve">    </w:t>
            </w:r>
            <w:r>
              <w:rPr>
                <w:rFonts w:hint="default" w:ascii="Times New Roman" w:hAnsi="Times New Roman" w:eastAsia="宋体" w:cs="Times New Roman"/>
                <w:b/>
                <w:bCs/>
                <w:color w:val="000000"/>
                <w:sz w:val="24"/>
                <w:szCs w:val="24"/>
              </w:rPr>
              <w:t>与产业集聚区规划环评报告书审查意见相符性分析</w:t>
            </w: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820"/>
              <w:gridCol w:w="3317"/>
              <w:gridCol w:w="1984"/>
              <w:gridCol w:w="783"/>
            </w:tblGrid>
            <w:tr w14:paraId="7CAF2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4137" w:type="dxa"/>
                  <w:gridSpan w:val="2"/>
                  <w:noWrap w:val="0"/>
                  <w:vAlign w:val="center"/>
                </w:tcPr>
                <w:p w14:paraId="63CA2E70">
                  <w:pPr>
                    <w:pStyle w:val="115"/>
                    <w:rPr>
                      <w:b w:val="0"/>
                      <w:bCs w:val="0"/>
                      <w:color w:val="000000"/>
                      <w:szCs w:val="21"/>
                    </w:rPr>
                  </w:pPr>
                  <w:r>
                    <w:rPr>
                      <w:b w:val="0"/>
                      <w:bCs w:val="0"/>
                      <w:color w:val="000000"/>
                      <w:szCs w:val="21"/>
                    </w:rPr>
                    <w:t>规划环评审查意见内容</w:t>
                  </w:r>
                </w:p>
              </w:tc>
              <w:tc>
                <w:tcPr>
                  <w:tcW w:w="1984" w:type="dxa"/>
                  <w:noWrap w:val="0"/>
                  <w:vAlign w:val="center"/>
                </w:tcPr>
                <w:p w14:paraId="2D845EBB">
                  <w:pPr>
                    <w:pStyle w:val="115"/>
                    <w:rPr>
                      <w:b w:val="0"/>
                      <w:bCs w:val="0"/>
                      <w:color w:val="000000"/>
                      <w:szCs w:val="21"/>
                    </w:rPr>
                  </w:pPr>
                  <w:r>
                    <w:rPr>
                      <w:b w:val="0"/>
                      <w:bCs w:val="0"/>
                      <w:color w:val="000000"/>
                      <w:szCs w:val="21"/>
                    </w:rPr>
                    <w:t>本项目情况</w:t>
                  </w:r>
                </w:p>
              </w:tc>
              <w:tc>
                <w:tcPr>
                  <w:tcW w:w="783" w:type="dxa"/>
                  <w:noWrap w:val="0"/>
                  <w:vAlign w:val="center"/>
                </w:tcPr>
                <w:p w14:paraId="75665707">
                  <w:pPr>
                    <w:pStyle w:val="115"/>
                    <w:rPr>
                      <w:b w:val="0"/>
                      <w:bCs w:val="0"/>
                      <w:color w:val="000000"/>
                      <w:szCs w:val="21"/>
                    </w:rPr>
                  </w:pPr>
                  <w:r>
                    <w:rPr>
                      <w:rFonts w:hint="eastAsia"/>
                      <w:b w:val="0"/>
                      <w:bCs w:val="0"/>
                      <w:color w:val="000000"/>
                      <w:szCs w:val="21"/>
                    </w:rPr>
                    <w:t>符合性</w:t>
                  </w:r>
                </w:p>
              </w:tc>
            </w:tr>
            <w:tr w14:paraId="51E23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248" w:hRule="atLeast"/>
                <w:jc w:val="center"/>
              </w:trPr>
              <w:tc>
                <w:tcPr>
                  <w:tcW w:w="820" w:type="dxa"/>
                  <w:noWrap w:val="0"/>
                  <w:vAlign w:val="center"/>
                </w:tcPr>
                <w:p w14:paraId="3C58E1ED">
                  <w:pPr>
                    <w:pStyle w:val="115"/>
                    <w:rPr>
                      <w:b w:val="0"/>
                      <w:bCs w:val="0"/>
                      <w:color w:val="000000"/>
                      <w:szCs w:val="21"/>
                    </w:rPr>
                  </w:pPr>
                  <w:r>
                    <w:rPr>
                      <w:b w:val="0"/>
                      <w:bCs w:val="0"/>
                      <w:color w:val="000000"/>
                      <w:szCs w:val="21"/>
                    </w:rPr>
                    <w:t>优化用地</w:t>
                  </w:r>
                </w:p>
              </w:tc>
              <w:tc>
                <w:tcPr>
                  <w:tcW w:w="3317" w:type="dxa"/>
                  <w:noWrap w:val="0"/>
                  <w:vAlign w:val="center"/>
                </w:tcPr>
                <w:p w14:paraId="5CF51D9A">
                  <w:pPr>
                    <w:pStyle w:val="115"/>
                    <w:jc w:val="both"/>
                    <w:rPr>
                      <w:b w:val="0"/>
                      <w:bCs w:val="0"/>
                      <w:color w:val="000000"/>
                      <w:szCs w:val="21"/>
                    </w:rPr>
                  </w:pPr>
                  <w:r>
                    <w:rPr>
                      <w:b w:val="0"/>
                      <w:bCs w:val="0"/>
                      <w:color w:val="000000"/>
                      <w:szCs w:val="21"/>
                    </w:rPr>
                    <w:t>优化用地布局，在开发过程中不应随意改变布局用地功能的使用功</w:t>
                  </w:r>
                  <w:r>
                    <w:rPr>
                      <w:rFonts w:hint="eastAsia"/>
                      <w:b w:val="0"/>
                      <w:bCs w:val="0"/>
                      <w:color w:val="000000"/>
                      <w:szCs w:val="21"/>
                      <w:lang w:val="en-US" w:eastAsia="zh-CN"/>
                    </w:rPr>
                    <w:t>能</w:t>
                  </w:r>
                  <w:r>
                    <w:rPr>
                      <w:b w:val="0"/>
                      <w:bCs w:val="0"/>
                      <w:color w:val="000000"/>
                      <w:szCs w:val="21"/>
                    </w:rPr>
                    <w:t>并注重节约集约用地。</w:t>
                  </w:r>
                </w:p>
                <w:p w14:paraId="278635A2">
                  <w:pPr>
                    <w:pStyle w:val="115"/>
                    <w:jc w:val="both"/>
                    <w:rPr>
                      <w:b w:val="0"/>
                      <w:bCs w:val="0"/>
                      <w:color w:val="000000"/>
                      <w:szCs w:val="21"/>
                    </w:rPr>
                  </w:pPr>
                  <w:r>
                    <w:rPr>
                      <w:b w:val="0"/>
                      <w:bCs w:val="0"/>
                      <w:color w:val="000000"/>
                      <w:szCs w:val="21"/>
                    </w:rPr>
                    <w:t>应充分考虑各功能区相互干扰、影响问题，工业区与生活居住区之间应设置绿化隔离带，将紧邻居住区的二类工业用地调整为一类工业用地，以减小各功能区之间的不利影响集聚区东侧紧邻风景名胜区和城区，应严格控制废气污染物排放量大的企业入驻。</w:t>
                  </w:r>
                </w:p>
              </w:tc>
              <w:tc>
                <w:tcPr>
                  <w:tcW w:w="1984" w:type="dxa"/>
                  <w:noWrap w:val="0"/>
                  <w:vAlign w:val="center"/>
                </w:tcPr>
                <w:p w14:paraId="2F796806">
                  <w:pPr>
                    <w:pStyle w:val="115"/>
                    <w:rPr>
                      <w:b w:val="0"/>
                      <w:bCs w:val="0"/>
                      <w:color w:val="000000"/>
                      <w:szCs w:val="21"/>
                    </w:rPr>
                  </w:pPr>
                  <w:r>
                    <w:rPr>
                      <w:b w:val="0"/>
                      <w:bCs w:val="0"/>
                      <w:color w:val="000000"/>
                      <w:szCs w:val="21"/>
                    </w:rPr>
                    <w:t>项目位于</w:t>
                  </w:r>
                  <w:r>
                    <w:rPr>
                      <w:rFonts w:hint="eastAsia"/>
                      <w:b w:val="0"/>
                      <w:bCs w:val="0"/>
                      <w:color w:val="000000"/>
                      <w:szCs w:val="21"/>
                      <w:lang w:val="en-US" w:eastAsia="zh-CN"/>
                    </w:rPr>
                    <w:t>周口市</w:t>
                  </w:r>
                  <w:r>
                    <w:rPr>
                      <w:rFonts w:hint="eastAsia"/>
                      <w:b w:val="0"/>
                      <w:bCs w:val="0"/>
                      <w:color w:val="000000"/>
                      <w:szCs w:val="21"/>
                    </w:rPr>
                    <w:t>周口先进制造业开发区</w:t>
                  </w:r>
                  <w:r>
                    <w:rPr>
                      <w:rFonts w:hint="eastAsia"/>
                      <w:b w:val="0"/>
                      <w:bCs w:val="0"/>
                      <w:color w:val="000000"/>
                      <w:szCs w:val="21"/>
                      <w:lang w:val="en-US" w:eastAsia="zh-CN"/>
                    </w:rPr>
                    <w:t>（周口市淮阳区城关镇南三环南侧，规划工业二路西侧）</w:t>
                  </w:r>
                  <w:r>
                    <w:rPr>
                      <w:b w:val="0"/>
                      <w:bCs w:val="0"/>
                      <w:color w:val="000000"/>
                      <w:szCs w:val="21"/>
                    </w:rPr>
                    <w:t>，位于</w:t>
                  </w:r>
                  <w:r>
                    <w:rPr>
                      <w:rFonts w:hint="eastAsia"/>
                      <w:b w:val="0"/>
                      <w:bCs w:val="0"/>
                      <w:color w:val="000000"/>
                      <w:szCs w:val="21"/>
                      <w:lang w:val="en-US" w:eastAsia="zh-CN"/>
                    </w:rPr>
                    <w:t>纺织</w:t>
                  </w:r>
                  <w:r>
                    <w:rPr>
                      <w:rFonts w:hint="eastAsia"/>
                      <w:b w:val="0"/>
                      <w:bCs w:val="0"/>
                      <w:color w:val="000000"/>
                      <w:szCs w:val="21"/>
                      <w:lang w:eastAsia="zh-CN"/>
                    </w:rPr>
                    <w:t>产业片区</w:t>
                  </w:r>
                  <w:r>
                    <w:rPr>
                      <w:rFonts w:hint="eastAsia"/>
                      <w:b w:val="0"/>
                      <w:bCs w:val="0"/>
                      <w:color w:val="000000"/>
                      <w:szCs w:val="21"/>
                    </w:rPr>
                    <w:t>。项目不属于废气污染物排放量大的企业</w:t>
                  </w:r>
                  <w:r>
                    <w:rPr>
                      <w:b w:val="0"/>
                      <w:bCs w:val="0"/>
                      <w:color w:val="000000"/>
                      <w:szCs w:val="21"/>
                    </w:rPr>
                    <w:t xml:space="preserve"> </w:t>
                  </w:r>
                </w:p>
              </w:tc>
              <w:tc>
                <w:tcPr>
                  <w:tcW w:w="783" w:type="dxa"/>
                  <w:noWrap w:val="0"/>
                  <w:vAlign w:val="center"/>
                </w:tcPr>
                <w:p w14:paraId="74E38EF7">
                  <w:pPr>
                    <w:pStyle w:val="115"/>
                    <w:rPr>
                      <w:b w:val="0"/>
                      <w:bCs w:val="0"/>
                      <w:color w:val="000000"/>
                      <w:szCs w:val="21"/>
                    </w:rPr>
                  </w:pPr>
                  <w:r>
                    <w:rPr>
                      <w:rFonts w:hint="eastAsia"/>
                      <w:b w:val="0"/>
                      <w:bCs w:val="0"/>
                      <w:color w:val="000000"/>
                      <w:szCs w:val="21"/>
                    </w:rPr>
                    <w:t>相符</w:t>
                  </w:r>
                </w:p>
              </w:tc>
            </w:tr>
            <w:tr w14:paraId="4EAC3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820" w:type="dxa"/>
                  <w:noWrap w:val="0"/>
                  <w:vAlign w:val="center"/>
                </w:tcPr>
                <w:p w14:paraId="1811B8BD">
                  <w:pPr>
                    <w:pStyle w:val="115"/>
                    <w:rPr>
                      <w:b w:val="0"/>
                      <w:bCs w:val="0"/>
                      <w:color w:val="000000"/>
                      <w:szCs w:val="21"/>
                    </w:rPr>
                  </w:pPr>
                  <w:r>
                    <w:rPr>
                      <w:b w:val="0"/>
                      <w:bCs w:val="0"/>
                      <w:color w:val="000000"/>
                      <w:szCs w:val="21"/>
                    </w:rPr>
                    <w:t>优化产业结构</w:t>
                  </w:r>
                </w:p>
              </w:tc>
              <w:tc>
                <w:tcPr>
                  <w:tcW w:w="3317" w:type="dxa"/>
                  <w:noWrap w:val="0"/>
                  <w:vAlign w:val="center"/>
                </w:tcPr>
                <w:p w14:paraId="52CCF459">
                  <w:pPr>
                    <w:pStyle w:val="115"/>
                    <w:jc w:val="both"/>
                    <w:rPr>
                      <w:b w:val="0"/>
                      <w:bCs w:val="0"/>
                      <w:color w:val="000000"/>
                      <w:szCs w:val="21"/>
                    </w:rPr>
                  </w:pPr>
                  <w:r>
                    <w:rPr>
                      <w:b w:val="0"/>
                      <w:bCs w:val="0"/>
                      <w:color w:val="000000"/>
                      <w:szCs w:val="21"/>
                    </w:rPr>
                    <w:t>入驻项目应遵循循环经济理念，实施清洁生产，逐步优化产业结构，构筑循环经济产业链。鼓励围绕主导产业，引进能够延长集聚区产业链条，符合投资导向的项目入驻；限制引进耗水量大、排水量大的项目以及重污染的三类工业企业；严禁高毒、高污染的淘汰类和限制类工业企业入驻</w:t>
                  </w:r>
                </w:p>
              </w:tc>
              <w:tc>
                <w:tcPr>
                  <w:tcW w:w="1984" w:type="dxa"/>
                  <w:noWrap w:val="0"/>
                  <w:vAlign w:val="center"/>
                </w:tcPr>
                <w:p w14:paraId="567FCDF9">
                  <w:pPr>
                    <w:pStyle w:val="115"/>
                    <w:rPr>
                      <w:b w:val="0"/>
                      <w:bCs w:val="0"/>
                      <w:color w:val="000000"/>
                      <w:szCs w:val="21"/>
                    </w:rPr>
                  </w:pPr>
                  <w:r>
                    <w:rPr>
                      <w:rFonts w:hint="default" w:ascii="Times New Roman" w:hAnsi="Times New Roman" w:eastAsia="宋体" w:cs="Times New Roman"/>
                      <w:b w:val="0"/>
                      <w:bCs w:val="0"/>
                      <w:color w:val="auto"/>
                      <w:sz w:val="21"/>
                      <w:szCs w:val="21"/>
                      <w:u w:val="none"/>
                      <w:lang w:val="en-US" w:eastAsia="zh-CN"/>
                    </w:rPr>
                    <w:t>本项目属于非金属矿物制品</w:t>
                  </w:r>
                  <w:r>
                    <w:rPr>
                      <w:rFonts w:hint="eastAsia" w:cs="Times New Roman"/>
                      <w:b w:val="0"/>
                      <w:bCs w:val="0"/>
                      <w:color w:val="auto"/>
                      <w:sz w:val="21"/>
                      <w:szCs w:val="21"/>
                      <w:u w:val="none"/>
                      <w:lang w:val="en-US" w:eastAsia="zh-CN"/>
                    </w:rPr>
                    <w:t>业中的特种玻璃制造和玻璃制品制造</w:t>
                  </w:r>
                  <w:r>
                    <w:rPr>
                      <w:rFonts w:hint="eastAsia"/>
                      <w:b w:val="0"/>
                      <w:bCs w:val="0"/>
                      <w:color w:val="000000"/>
                      <w:szCs w:val="21"/>
                    </w:rPr>
                    <w:t>，不属于耗水量大、排水量大的企业，不属于高毒、高污染的淘汰类和限制类企业</w:t>
                  </w:r>
                </w:p>
              </w:tc>
              <w:tc>
                <w:tcPr>
                  <w:tcW w:w="783" w:type="dxa"/>
                  <w:noWrap w:val="0"/>
                  <w:vAlign w:val="center"/>
                </w:tcPr>
                <w:p w14:paraId="2463D66F">
                  <w:pPr>
                    <w:pStyle w:val="115"/>
                    <w:rPr>
                      <w:b w:val="0"/>
                      <w:bCs w:val="0"/>
                      <w:color w:val="000000"/>
                      <w:szCs w:val="21"/>
                    </w:rPr>
                  </w:pPr>
                  <w:r>
                    <w:rPr>
                      <w:rFonts w:hint="eastAsia"/>
                      <w:b w:val="0"/>
                      <w:bCs w:val="0"/>
                      <w:color w:val="000000"/>
                      <w:szCs w:val="21"/>
                    </w:rPr>
                    <w:t>相符</w:t>
                  </w:r>
                </w:p>
              </w:tc>
            </w:tr>
            <w:tr w14:paraId="1ED00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803" w:hRule="atLeast"/>
                <w:jc w:val="center"/>
              </w:trPr>
              <w:tc>
                <w:tcPr>
                  <w:tcW w:w="820" w:type="dxa"/>
                  <w:vMerge w:val="restart"/>
                  <w:noWrap w:val="0"/>
                  <w:vAlign w:val="center"/>
                </w:tcPr>
                <w:p w14:paraId="3F45F7B4">
                  <w:pPr>
                    <w:pStyle w:val="115"/>
                    <w:rPr>
                      <w:b w:val="0"/>
                      <w:bCs w:val="0"/>
                      <w:color w:val="000000"/>
                      <w:szCs w:val="21"/>
                    </w:rPr>
                  </w:pPr>
                  <w:r>
                    <w:rPr>
                      <w:b w:val="0"/>
                      <w:bCs w:val="0"/>
                      <w:color w:val="000000"/>
                      <w:szCs w:val="21"/>
                    </w:rPr>
                    <w:t>进一步完善环保基础设施</w:t>
                  </w:r>
                </w:p>
              </w:tc>
              <w:tc>
                <w:tcPr>
                  <w:tcW w:w="3317" w:type="dxa"/>
                  <w:vMerge w:val="restart"/>
                  <w:noWrap w:val="0"/>
                  <w:vAlign w:val="center"/>
                </w:tcPr>
                <w:p w14:paraId="5A39B7C0">
                  <w:pPr>
                    <w:pStyle w:val="115"/>
                    <w:numPr>
                      <w:ilvl w:val="0"/>
                      <w:numId w:val="2"/>
                    </w:numPr>
                    <w:ind w:left="0" w:firstLine="0"/>
                    <w:jc w:val="both"/>
                    <w:rPr>
                      <w:b w:val="0"/>
                      <w:bCs w:val="0"/>
                      <w:color w:val="000000"/>
                      <w:szCs w:val="21"/>
                    </w:rPr>
                  </w:pPr>
                  <w:r>
                    <w:rPr>
                      <w:b w:val="0"/>
                      <w:bCs w:val="0"/>
                      <w:color w:val="000000"/>
                      <w:szCs w:val="21"/>
                    </w:rPr>
                    <w:t>按“清污分流、雨污分流”的要求规划建设集聚区排水系统，加快配套污水管网，确保入区企业外排废水</w:t>
                  </w:r>
                  <w:r>
                    <w:rPr>
                      <w:rFonts w:hint="eastAsia"/>
                      <w:b w:val="0"/>
                      <w:bCs w:val="0"/>
                      <w:color w:val="000000"/>
                      <w:szCs w:val="21"/>
                    </w:rPr>
                    <w:t>全部经管网收集后进入污水处理厂处理，入区企业均不得单独设置废水排放口。</w:t>
                  </w:r>
                  <w:r>
                    <w:rPr>
                      <w:b w:val="0"/>
                      <w:bCs w:val="0"/>
                      <w:color w:val="000000"/>
                      <w:szCs w:val="21"/>
                    </w:rPr>
                    <w:t>同时，应规划建设集聚区中水回用系统，减少外排废水对纳污水体的影响</w:t>
                  </w:r>
                  <w:r>
                    <w:rPr>
                      <w:rFonts w:hint="eastAsia"/>
                      <w:b w:val="0"/>
                      <w:bCs w:val="0"/>
                      <w:color w:val="000000"/>
                      <w:szCs w:val="21"/>
                    </w:rPr>
                    <w:t>。</w:t>
                  </w:r>
                </w:p>
                <w:p w14:paraId="75E20B2A">
                  <w:pPr>
                    <w:pStyle w:val="115"/>
                    <w:jc w:val="both"/>
                    <w:rPr>
                      <w:b w:val="0"/>
                      <w:bCs w:val="0"/>
                      <w:color w:val="000000"/>
                      <w:szCs w:val="21"/>
                    </w:rPr>
                  </w:pPr>
                  <w:r>
                    <w:rPr>
                      <w:rFonts w:hint="eastAsia"/>
                      <w:b w:val="0"/>
                      <w:bCs w:val="0"/>
                      <w:color w:val="000000"/>
                      <w:szCs w:val="21"/>
                    </w:rPr>
                    <w:t>2、</w:t>
                  </w:r>
                  <w:r>
                    <w:rPr>
                      <w:b w:val="0"/>
                      <w:bCs w:val="0"/>
                      <w:color w:val="000000"/>
                      <w:szCs w:val="21"/>
                    </w:rPr>
                    <w:t>集聚区应实施集中供热，提高资源利用率，关停区内小锅炉</w:t>
                  </w:r>
                  <w:r>
                    <w:rPr>
                      <w:rFonts w:hint="eastAsia"/>
                      <w:b w:val="0"/>
                      <w:bCs w:val="0"/>
                      <w:color w:val="000000"/>
                      <w:szCs w:val="21"/>
                    </w:rPr>
                    <w:t>。</w:t>
                  </w:r>
                </w:p>
                <w:p w14:paraId="53573879">
                  <w:pPr>
                    <w:pStyle w:val="115"/>
                    <w:jc w:val="both"/>
                    <w:rPr>
                      <w:b w:val="0"/>
                      <w:bCs w:val="0"/>
                      <w:color w:val="000000"/>
                      <w:szCs w:val="21"/>
                    </w:rPr>
                  </w:pPr>
                  <w:r>
                    <w:rPr>
                      <w:rFonts w:hint="eastAsia"/>
                      <w:b w:val="0"/>
                      <w:bCs w:val="0"/>
                      <w:color w:val="000000"/>
                      <w:szCs w:val="21"/>
                    </w:rPr>
                    <w:t>3、按照循环经济的要求，提高固体废物的综合利用率，一般工业固废回收或综合利用，外排固废应统一运至专用处置场安全处置，严禁企业随意弃置；设置生活垃圾中转站及收集系统，生活垃圾应统一运至生活垃圾填埋场处置；集聚区应高度重视危险固废安全处置罐装，区内企业产生的危险固废的收集、贮存应满足《危险废物贮存污染控制标准》（GB18597-2001）的要求，并送有资质的危险废物处置单位处置，危险废物的转运应执行《危险废物转移联单管理办法》的有关规定。</w:t>
                  </w:r>
                </w:p>
              </w:tc>
              <w:tc>
                <w:tcPr>
                  <w:tcW w:w="1984" w:type="dxa"/>
                  <w:vMerge w:val="restart"/>
                  <w:noWrap w:val="0"/>
                  <w:vAlign w:val="center"/>
                </w:tcPr>
                <w:p w14:paraId="51F42F53">
                  <w:pPr>
                    <w:pStyle w:val="115"/>
                    <w:jc w:val="both"/>
                    <w:rPr>
                      <w:b w:val="0"/>
                      <w:bCs w:val="0"/>
                      <w:color w:val="000000"/>
                      <w:szCs w:val="21"/>
                      <w:highlight w:val="yellow"/>
                    </w:rPr>
                  </w:pPr>
                  <w:r>
                    <w:rPr>
                      <w:rFonts w:hint="eastAsia"/>
                      <w:b w:val="0"/>
                      <w:bCs w:val="0"/>
                      <w:color w:val="000000"/>
                      <w:szCs w:val="21"/>
                      <w:highlight w:val="none"/>
                    </w:rPr>
                    <w:t>1、</w:t>
                  </w:r>
                  <w:r>
                    <w:rPr>
                      <w:rFonts w:hint="default" w:ascii="Times New Roman" w:hAnsi="Times New Roman" w:eastAsia="宋体" w:cs="Times New Roman"/>
                      <w:b w:val="0"/>
                      <w:bCs w:val="0"/>
                      <w:color w:val="auto"/>
                      <w:sz w:val="21"/>
                      <w:szCs w:val="21"/>
                      <w:highlight w:val="none"/>
                    </w:rPr>
                    <w:t>生活污水</w:t>
                  </w:r>
                  <w:r>
                    <w:rPr>
                      <w:rFonts w:hint="eastAsia" w:cs="Times New Roman"/>
                      <w:b w:val="0"/>
                      <w:bCs w:val="0"/>
                      <w:color w:val="auto"/>
                      <w:sz w:val="21"/>
                      <w:szCs w:val="21"/>
                      <w:highlight w:val="none"/>
                      <w:lang w:val="en-US" w:eastAsia="zh-CN"/>
                    </w:rPr>
                    <w:t>经化粪池</w:t>
                  </w:r>
                  <w:r>
                    <w:rPr>
                      <w:rFonts w:hint="default" w:ascii="Times New Roman" w:hAnsi="Times New Roman" w:eastAsia="宋体" w:cs="Times New Roman"/>
                      <w:b w:val="0"/>
                      <w:bCs w:val="0"/>
                      <w:color w:val="auto"/>
                      <w:sz w:val="21"/>
                      <w:szCs w:val="21"/>
                      <w:highlight w:val="none"/>
                    </w:rPr>
                    <w:t>处理</w:t>
                  </w:r>
                  <w:r>
                    <w:rPr>
                      <w:rFonts w:hint="default" w:ascii="Times New Roman" w:hAnsi="Times New Roman" w:eastAsia="宋体" w:cs="Times New Roman"/>
                      <w:b w:val="0"/>
                      <w:bCs w:val="0"/>
                      <w:color w:val="auto"/>
                      <w:sz w:val="21"/>
                      <w:szCs w:val="21"/>
                      <w:highlight w:val="none"/>
                      <w:lang w:val="en-US" w:eastAsia="zh-CN"/>
                    </w:rPr>
                    <w:t>后</w:t>
                  </w:r>
                  <w:r>
                    <w:rPr>
                      <w:rFonts w:hint="default" w:ascii="Times New Roman" w:hAnsi="Times New Roman" w:eastAsia="宋体" w:cs="Times New Roman"/>
                      <w:b w:val="0"/>
                      <w:bCs w:val="0"/>
                      <w:color w:val="auto"/>
                      <w:sz w:val="21"/>
                      <w:szCs w:val="21"/>
                      <w:highlight w:val="none"/>
                    </w:rPr>
                    <w:t>通过厂区总排口</w:t>
                  </w:r>
                  <w:r>
                    <w:rPr>
                      <w:rFonts w:hint="default" w:ascii="Times New Roman" w:hAnsi="Times New Roman" w:eastAsia="宋体" w:cs="Times New Roman"/>
                      <w:b w:val="0"/>
                      <w:bCs w:val="0"/>
                      <w:color w:val="auto"/>
                      <w:sz w:val="21"/>
                      <w:szCs w:val="21"/>
                      <w:highlight w:val="none"/>
                      <w:u w:val="none" w:color="auto"/>
                      <w:lang w:val="en-US" w:eastAsia="zh-CN"/>
                    </w:rPr>
                    <w:t>排入市政管网</w:t>
                  </w:r>
                  <w:r>
                    <w:rPr>
                      <w:rFonts w:hint="default" w:ascii="Times New Roman" w:hAnsi="Times New Roman" w:eastAsia="宋体" w:cs="Times New Roman"/>
                      <w:b w:val="0"/>
                      <w:bCs w:val="0"/>
                      <w:color w:val="auto"/>
                      <w:sz w:val="21"/>
                      <w:szCs w:val="21"/>
                      <w:highlight w:val="none"/>
                    </w:rPr>
                    <w:t>进入淮阳区第</w:t>
                  </w:r>
                  <w:r>
                    <w:rPr>
                      <w:rFonts w:hint="eastAsia" w:cs="Times New Roman"/>
                      <w:b w:val="0"/>
                      <w:bCs w:val="0"/>
                      <w:color w:val="auto"/>
                      <w:sz w:val="21"/>
                      <w:szCs w:val="21"/>
                      <w:highlight w:val="none"/>
                      <w:lang w:val="en-US" w:eastAsia="zh-CN"/>
                    </w:rPr>
                    <w:t>二</w:t>
                  </w:r>
                  <w:r>
                    <w:rPr>
                      <w:rFonts w:hint="default" w:ascii="Times New Roman" w:hAnsi="Times New Roman" w:eastAsia="宋体" w:cs="Times New Roman"/>
                      <w:b w:val="0"/>
                      <w:bCs w:val="0"/>
                      <w:color w:val="auto"/>
                      <w:sz w:val="21"/>
                      <w:szCs w:val="21"/>
                      <w:highlight w:val="none"/>
                    </w:rPr>
                    <w:t>污水处理厂进一步处理</w:t>
                  </w:r>
                  <w:r>
                    <w:rPr>
                      <w:rFonts w:hint="default" w:ascii="Times New Roman" w:hAnsi="Times New Roman" w:eastAsia="宋体" w:cs="Times New Roman"/>
                      <w:b w:val="0"/>
                      <w:bCs w:val="0"/>
                      <w:color w:val="auto"/>
                      <w:sz w:val="21"/>
                      <w:szCs w:val="21"/>
                      <w:highlight w:val="none"/>
                      <w:lang w:val="en-US" w:eastAsia="zh-CN"/>
                    </w:rPr>
                    <w:t>后排放；</w:t>
                  </w:r>
                  <w:r>
                    <w:rPr>
                      <w:rFonts w:hint="default" w:ascii="Times New Roman" w:hAnsi="Times New Roman" w:eastAsia="宋体" w:cs="Times New Roman"/>
                      <w:color w:val="000000"/>
                      <w:kern w:val="0"/>
                      <w:sz w:val="21"/>
                      <w:szCs w:val="21"/>
                      <w:highlight w:val="none"/>
                      <w:lang w:val="en-US" w:eastAsia="zh-CN" w:bidi="ar"/>
                    </w:rPr>
                    <w:t>玻璃原片清洗废水</w:t>
                  </w:r>
                  <w:r>
                    <w:rPr>
                      <w:rFonts w:hint="default" w:ascii="Times New Roman" w:hAnsi="Times New Roman" w:eastAsia="宋体" w:cs="Times New Roman"/>
                      <w:b w:val="0"/>
                      <w:bCs w:val="0"/>
                      <w:color w:val="auto"/>
                      <w:sz w:val="21"/>
                      <w:szCs w:val="21"/>
                      <w:highlight w:val="none"/>
                      <w:lang w:val="en-US" w:eastAsia="zh-CN"/>
                    </w:rPr>
                    <w:t>经循环水箱沉淀后回用于清洗玻璃原片；</w:t>
                  </w:r>
                  <w:r>
                    <w:rPr>
                      <w:rFonts w:hint="default" w:ascii="Times New Roman" w:hAnsi="Times New Roman" w:eastAsia="宋体" w:cs="Times New Roman"/>
                      <w:b w:val="0"/>
                      <w:bCs w:val="0"/>
                      <w:color w:val="auto"/>
                      <w:sz w:val="21"/>
                      <w:szCs w:val="21"/>
                      <w:highlight w:val="none"/>
                      <w:u w:val="none" w:color="auto"/>
                      <w:lang w:val="en-US" w:eastAsia="zh-CN"/>
                    </w:rPr>
                    <w:t>镀膜及夹胶、中空工序对应</w:t>
                  </w:r>
                  <w:r>
                    <w:rPr>
                      <w:rFonts w:hint="default" w:ascii="Times New Roman" w:hAnsi="Times New Roman" w:eastAsia="宋体" w:cs="Times New Roman"/>
                      <w:color w:val="000000"/>
                      <w:kern w:val="0"/>
                      <w:sz w:val="21"/>
                      <w:szCs w:val="21"/>
                      <w:highlight w:val="none"/>
                      <w:lang w:val="en-US" w:eastAsia="zh-CN" w:bidi="ar"/>
                    </w:rPr>
                    <w:t>玻璃清洗废水经收集后回用于玻璃原片清洗用水；磨边废水经沉淀及过滤处理后回用于磨边；纯水制备系统排水收集后用于厂区洒水</w:t>
                  </w:r>
                  <w:r>
                    <w:rPr>
                      <w:rFonts w:hint="eastAsia" w:cs="Times New Roman"/>
                      <w:color w:val="000000"/>
                      <w:kern w:val="0"/>
                      <w:sz w:val="21"/>
                      <w:szCs w:val="21"/>
                      <w:highlight w:val="none"/>
                      <w:lang w:val="en-US" w:eastAsia="zh-CN" w:bidi="ar"/>
                    </w:rPr>
                    <w:t>。</w:t>
                  </w:r>
                </w:p>
                <w:p w14:paraId="7E05B635">
                  <w:pPr>
                    <w:pStyle w:val="115"/>
                    <w:numPr>
                      <w:ilvl w:val="0"/>
                      <w:numId w:val="2"/>
                    </w:numPr>
                    <w:ind w:left="0" w:firstLine="0"/>
                    <w:jc w:val="both"/>
                    <w:rPr>
                      <w:b w:val="0"/>
                      <w:bCs w:val="0"/>
                      <w:color w:val="000000"/>
                      <w:szCs w:val="21"/>
                      <w:highlight w:val="none"/>
                    </w:rPr>
                  </w:pPr>
                  <w:r>
                    <w:rPr>
                      <w:rFonts w:hint="eastAsia"/>
                      <w:b w:val="0"/>
                      <w:bCs w:val="0"/>
                      <w:color w:val="000000"/>
                      <w:szCs w:val="21"/>
                      <w:highlight w:val="none"/>
                    </w:rPr>
                    <w:t>本项目不涉及</w:t>
                  </w:r>
                  <w:r>
                    <w:rPr>
                      <w:rFonts w:hint="eastAsia"/>
                      <w:b w:val="0"/>
                      <w:bCs w:val="0"/>
                      <w:color w:val="000000"/>
                      <w:szCs w:val="21"/>
                      <w:highlight w:val="none"/>
                      <w:lang w:val="en-US" w:eastAsia="zh-CN"/>
                    </w:rPr>
                    <w:t>锅炉</w:t>
                  </w:r>
                  <w:r>
                    <w:rPr>
                      <w:rFonts w:hint="eastAsia"/>
                      <w:b w:val="0"/>
                      <w:bCs w:val="0"/>
                      <w:color w:val="000000"/>
                      <w:szCs w:val="21"/>
                      <w:highlight w:val="none"/>
                    </w:rPr>
                    <w:t>。</w:t>
                  </w:r>
                </w:p>
                <w:p w14:paraId="7D54F406">
                  <w:pPr>
                    <w:pStyle w:val="115"/>
                    <w:numPr>
                      <w:ilvl w:val="0"/>
                      <w:numId w:val="2"/>
                    </w:numPr>
                    <w:ind w:left="0" w:firstLine="0"/>
                    <w:jc w:val="both"/>
                    <w:rPr>
                      <w:b w:val="0"/>
                      <w:bCs w:val="0"/>
                      <w:color w:val="000000"/>
                      <w:szCs w:val="21"/>
                    </w:rPr>
                  </w:pPr>
                  <w:r>
                    <w:rPr>
                      <w:rFonts w:hint="eastAsia"/>
                      <w:b w:val="0"/>
                      <w:bCs w:val="0"/>
                      <w:color w:val="000000"/>
                      <w:szCs w:val="21"/>
                      <w:highlight w:val="none"/>
                    </w:rPr>
                    <w:t>本项目生活垃圾交环卫部门清运。一般固体废物经暂存后综合利用；危</w:t>
                  </w:r>
                  <w:r>
                    <w:rPr>
                      <w:rFonts w:hint="eastAsia"/>
                      <w:b w:val="0"/>
                      <w:bCs w:val="0"/>
                      <w:color w:val="000000"/>
                      <w:szCs w:val="21"/>
                      <w:highlight w:val="none"/>
                      <w:lang w:val="en-US" w:eastAsia="zh-CN"/>
                    </w:rPr>
                    <w:t>险</w:t>
                  </w:r>
                  <w:r>
                    <w:rPr>
                      <w:rFonts w:hint="eastAsia"/>
                      <w:b w:val="0"/>
                      <w:bCs w:val="0"/>
                      <w:color w:val="000000"/>
                      <w:szCs w:val="21"/>
                      <w:highlight w:val="none"/>
                    </w:rPr>
                    <w:t>废物交有资质单位处置，危废暂存间按照《危险废物贮存污染控制标准》（GB18597-2023）相关要求建设及管理</w:t>
                  </w:r>
                </w:p>
              </w:tc>
              <w:tc>
                <w:tcPr>
                  <w:tcW w:w="783" w:type="dxa"/>
                  <w:noWrap w:val="0"/>
                  <w:vAlign w:val="center"/>
                </w:tcPr>
                <w:p w14:paraId="77E2323E">
                  <w:pPr>
                    <w:pStyle w:val="115"/>
                    <w:rPr>
                      <w:b w:val="0"/>
                      <w:bCs w:val="0"/>
                      <w:color w:val="000000"/>
                      <w:szCs w:val="21"/>
                    </w:rPr>
                  </w:pPr>
                  <w:r>
                    <w:rPr>
                      <w:rFonts w:hint="eastAsia"/>
                      <w:b w:val="0"/>
                      <w:bCs w:val="0"/>
                      <w:color w:val="000000"/>
                      <w:szCs w:val="21"/>
                    </w:rPr>
                    <w:t>相符</w:t>
                  </w:r>
                </w:p>
              </w:tc>
            </w:tr>
            <w:tr w14:paraId="00667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171" w:hRule="atLeast"/>
                <w:jc w:val="center"/>
              </w:trPr>
              <w:tc>
                <w:tcPr>
                  <w:tcW w:w="820" w:type="dxa"/>
                  <w:vMerge w:val="continue"/>
                  <w:noWrap w:val="0"/>
                  <w:vAlign w:val="center"/>
                </w:tcPr>
                <w:p w14:paraId="21E465DE">
                  <w:pPr>
                    <w:pStyle w:val="115"/>
                    <w:rPr>
                      <w:b w:val="0"/>
                      <w:bCs w:val="0"/>
                      <w:color w:val="000000"/>
                      <w:szCs w:val="21"/>
                    </w:rPr>
                  </w:pPr>
                </w:p>
              </w:tc>
              <w:tc>
                <w:tcPr>
                  <w:tcW w:w="3317" w:type="dxa"/>
                  <w:vMerge w:val="continue"/>
                  <w:noWrap w:val="0"/>
                  <w:vAlign w:val="center"/>
                </w:tcPr>
                <w:p w14:paraId="1517546A">
                  <w:pPr>
                    <w:pStyle w:val="115"/>
                    <w:jc w:val="both"/>
                    <w:rPr>
                      <w:b w:val="0"/>
                      <w:bCs w:val="0"/>
                      <w:color w:val="000000"/>
                      <w:szCs w:val="21"/>
                    </w:rPr>
                  </w:pPr>
                </w:p>
              </w:tc>
              <w:tc>
                <w:tcPr>
                  <w:tcW w:w="1984" w:type="dxa"/>
                  <w:vMerge w:val="continue"/>
                  <w:noWrap w:val="0"/>
                  <w:vAlign w:val="center"/>
                </w:tcPr>
                <w:p w14:paraId="3D773FC2">
                  <w:pPr>
                    <w:pStyle w:val="115"/>
                    <w:numPr>
                      <w:ilvl w:val="0"/>
                      <w:numId w:val="2"/>
                    </w:numPr>
                    <w:ind w:left="0" w:firstLine="0"/>
                    <w:jc w:val="both"/>
                    <w:rPr>
                      <w:b w:val="0"/>
                      <w:bCs w:val="0"/>
                      <w:color w:val="000000"/>
                      <w:szCs w:val="21"/>
                    </w:rPr>
                  </w:pPr>
                </w:p>
              </w:tc>
              <w:tc>
                <w:tcPr>
                  <w:tcW w:w="783" w:type="dxa"/>
                  <w:noWrap w:val="0"/>
                  <w:vAlign w:val="center"/>
                </w:tcPr>
                <w:p w14:paraId="2BEB5CE0">
                  <w:pPr>
                    <w:pStyle w:val="115"/>
                    <w:rPr>
                      <w:b w:val="0"/>
                      <w:bCs w:val="0"/>
                      <w:color w:val="000000"/>
                      <w:szCs w:val="21"/>
                    </w:rPr>
                  </w:pPr>
                  <w:r>
                    <w:rPr>
                      <w:rFonts w:hint="eastAsia"/>
                      <w:b w:val="0"/>
                      <w:bCs w:val="0"/>
                      <w:color w:val="000000"/>
                      <w:szCs w:val="21"/>
                    </w:rPr>
                    <w:t>相符</w:t>
                  </w:r>
                </w:p>
              </w:tc>
            </w:tr>
            <w:tr w14:paraId="5B65D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820" w:type="dxa"/>
                  <w:noWrap w:val="0"/>
                  <w:vAlign w:val="center"/>
                </w:tcPr>
                <w:p w14:paraId="1D7A2E7A">
                  <w:pPr>
                    <w:pStyle w:val="115"/>
                    <w:jc w:val="both"/>
                    <w:rPr>
                      <w:b w:val="0"/>
                      <w:bCs w:val="0"/>
                      <w:color w:val="000000"/>
                      <w:szCs w:val="21"/>
                    </w:rPr>
                  </w:pPr>
                  <w:r>
                    <w:rPr>
                      <w:rFonts w:hint="eastAsia"/>
                      <w:b w:val="0"/>
                      <w:bCs w:val="0"/>
                      <w:color w:val="000000"/>
                      <w:szCs w:val="21"/>
                    </w:rPr>
                    <w:t>严格控制污染物排放</w:t>
                  </w:r>
                </w:p>
              </w:tc>
              <w:tc>
                <w:tcPr>
                  <w:tcW w:w="3317" w:type="dxa"/>
                  <w:noWrap w:val="0"/>
                  <w:vAlign w:val="center"/>
                </w:tcPr>
                <w:p w14:paraId="6EB8729E">
                  <w:pPr>
                    <w:pStyle w:val="115"/>
                    <w:jc w:val="both"/>
                    <w:rPr>
                      <w:b w:val="0"/>
                      <w:bCs w:val="0"/>
                      <w:color w:val="000000"/>
                      <w:szCs w:val="21"/>
                    </w:rPr>
                  </w:pPr>
                  <w:r>
                    <w:rPr>
                      <w:rFonts w:hint="eastAsia"/>
                      <w:b w:val="0"/>
                      <w:bCs w:val="0"/>
                      <w:color w:val="000000"/>
                      <w:szCs w:val="21"/>
                    </w:rPr>
                    <w:t>应严格执行污染物排放总量控制，集聚区内现有企业改扩建工程应做到“增产不增污”，新建项目应实现区域“增产减污”。严格控制高涉水的建设项目入驻。保证污水处理厂正常运行，污水处理厂排水应满足《城镇污水处理厂污染物排放标准》（GB18918-2002）一级A标准。</w:t>
                  </w:r>
                </w:p>
                <w:p w14:paraId="73119BCA">
                  <w:pPr>
                    <w:pStyle w:val="115"/>
                    <w:jc w:val="both"/>
                    <w:rPr>
                      <w:b w:val="0"/>
                      <w:bCs w:val="0"/>
                      <w:color w:val="000000"/>
                      <w:szCs w:val="21"/>
                    </w:rPr>
                  </w:pPr>
                  <w:r>
                    <w:rPr>
                      <w:rFonts w:hint="eastAsia"/>
                      <w:b w:val="0"/>
                      <w:bCs w:val="0"/>
                      <w:color w:val="000000"/>
                      <w:szCs w:val="21"/>
                    </w:rPr>
                    <w:t>实施集中供水，并有计划逐步关停企业自备井。定期对地下水进行监测，发现问题，及时采取有效防治措施，避免对地下水造成污染。</w:t>
                  </w:r>
                </w:p>
              </w:tc>
              <w:tc>
                <w:tcPr>
                  <w:tcW w:w="1984" w:type="dxa"/>
                  <w:noWrap w:val="0"/>
                  <w:vAlign w:val="center"/>
                </w:tcPr>
                <w:p w14:paraId="6D996719">
                  <w:pPr>
                    <w:pStyle w:val="115"/>
                    <w:rPr>
                      <w:rFonts w:hint="default" w:eastAsia="宋体"/>
                      <w:b w:val="0"/>
                      <w:bCs w:val="0"/>
                      <w:color w:val="000000"/>
                      <w:szCs w:val="21"/>
                      <w:lang w:val="en-US" w:eastAsia="zh-CN"/>
                    </w:rPr>
                  </w:pPr>
                  <w:r>
                    <w:rPr>
                      <w:rFonts w:hint="eastAsia"/>
                      <w:b w:val="0"/>
                      <w:bCs w:val="0"/>
                      <w:color w:val="000000"/>
                      <w:szCs w:val="21"/>
                      <w:highlight w:val="none"/>
                    </w:rPr>
                    <w:t>本项目严格执行污染物排放总量控制</w:t>
                  </w:r>
                  <w:r>
                    <w:rPr>
                      <w:rFonts w:hint="eastAsia"/>
                      <w:b w:val="0"/>
                      <w:bCs w:val="0"/>
                      <w:color w:val="000000"/>
                      <w:szCs w:val="21"/>
                      <w:highlight w:val="none"/>
                      <w:lang w:val="en-US" w:eastAsia="zh-CN"/>
                    </w:rPr>
                    <w:t>要求</w:t>
                  </w:r>
                  <w:r>
                    <w:rPr>
                      <w:rFonts w:hint="eastAsia"/>
                      <w:b w:val="0"/>
                      <w:bCs w:val="0"/>
                      <w:color w:val="000000"/>
                      <w:szCs w:val="21"/>
                      <w:highlight w:val="none"/>
                    </w:rPr>
                    <w:t>，废水排放满足相应标准及淮阳区第</w:t>
                  </w:r>
                  <w:r>
                    <w:rPr>
                      <w:rFonts w:hint="eastAsia"/>
                      <w:b w:val="0"/>
                      <w:bCs w:val="0"/>
                      <w:color w:val="000000"/>
                      <w:szCs w:val="21"/>
                      <w:highlight w:val="none"/>
                      <w:lang w:val="en-US" w:eastAsia="zh-CN"/>
                    </w:rPr>
                    <w:t>二</w:t>
                  </w:r>
                  <w:r>
                    <w:rPr>
                      <w:rFonts w:hint="eastAsia"/>
                      <w:b w:val="0"/>
                      <w:bCs w:val="0"/>
                      <w:color w:val="000000"/>
                      <w:szCs w:val="21"/>
                      <w:highlight w:val="none"/>
                    </w:rPr>
                    <w:t>污水处理厂进水要求。</w:t>
                  </w:r>
                  <w:r>
                    <w:rPr>
                      <w:rFonts w:hint="eastAsia"/>
                      <w:b w:val="0"/>
                      <w:bCs w:val="0"/>
                      <w:color w:val="000000"/>
                      <w:szCs w:val="21"/>
                      <w:highlight w:val="none"/>
                      <w:lang w:val="en-US" w:eastAsia="zh-CN"/>
                    </w:rPr>
                    <w:t>本项目供水由市政管网集中供水</w:t>
                  </w:r>
                </w:p>
              </w:tc>
              <w:tc>
                <w:tcPr>
                  <w:tcW w:w="783" w:type="dxa"/>
                  <w:noWrap w:val="0"/>
                  <w:vAlign w:val="center"/>
                </w:tcPr>
                <w:p w14:paraId="3ED449BA">
                  <w:pPr>
                    <w:pStyle w:val="115"/>
                    <w:rPr>
                      <w:b w:val="0"/>
                      <w:bCs w:val="0"/>
                      <w:color w:val="000000"/>
                      <w:szCs w:val="21"/>
                    </w:rPr>
                  </w:pPr>
                  <w:r>
                    <w:rPr>
                      <w:rFonts w:hint="eastAsia"/>
                      <w:b w:val="0"/>
                      <w:bCs w:val="0"/>
                      <w:color w:val="000000"/>
                      <w:szCs w:val="21"/>
                    </w:rPr>
                    <w:t>相符</w:t>
                  </w:r>
                </w:p>
              </w:tc>
            </w:tr>
            <w:tr w14:paraId="285C4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820" w:type="dxa"/>
                  <w:noWrap w:val="0"/>
                  <w:vAlign w:val="center"/>
                </w:tcPr>
                <w:p w14:paraId="0A9FB8A8">
                  <w:pPr>
                    <w:pStyle w:val="115"/>
                    <w:rPr>
                      <w:b w:val="0"/>
                      <w:bCs w:val="0"/>
                      <w:color w:val="000000"/>
                      <w:szCs w:val="21"/>
                    </w:rPr>
                  </w:pPr>
                  <w:r>
                    <w:rPr>
                      <w:rFonts w:hint="eastAsia"/>
                      <w:b w:val="0"/>
                      <w:bCs w:val="0"/>
                      <w:color w:val="000000"/>
                      <w:szCs w:val="21"/>
                    </w:rPr>
                    <w:t>建立事故风险防范和应急处</w:t>
                  </w:r>
                </w:p>
                <w:p w14:paraId="2BD02804">
                  <w:pPr>
                    <w:pStyle w:val="115"/>
                    <w:rPr>
                      <w:b w:val="0"/>
                      <w:bCs w:val="0"/>
                      <w:color w:val="000000"/>
                      <w:szCs w:val="21"/>
                    </w:rPr>
                  </w:pPr>
                  <w:r>
                    <w:rPr>
                      <w:rFonts w:hint="eastAsia"/>
                      <w:b w:val="0"/>
                      <w:bCs w:val="0"/>
                      <w:color w:val="000000"/>
                      <w:szCs w:val="21"/>
                    </w:rPr>
                    <w:t>置体系</w:t>
                  </w:r>
                </w:p>
              </w:tc>
              <w:tc>
                <w:tcPr>
                  <w:tcW w:w="3317" w:type="dxa"/>
                  <w:noWrap w:val="0"/>
                  <w:vAlign w:val="center"/>
                </w:tcPr>
                <w:p w14:paraId="7323D8DD">
                  <w:pPr>
                    <w:pStyle w:val="115"/>
                    <w:jc w:val="both"/>
                    <w:rPr>
                      <w:b w:val="0"/>
                      <w:bCs w:val="0"/>
                      <w:color w:val="000000"/>
                      <w:szCs w:val="21"/>
                    </w:rPr>
                  </w:pPr>
                  <w:r>
                    <w:rPr>
                      <w:rFonts w:hint="eastAsia"/>
                      <w:b w:val="0"/>
                      <w:bCs w:val="0"/>
                      <w:color w:val="000000"/>
                      <w:szCs w:val="21"/>
                    </w:rPr>
                    <w:t>集聚区管理部门应制定完善的事故风险应急预案，建立风险防范体系，具备事故应急能力。企业内部应建立相应的事故风险防范体系，制定应急预案，认真落实环境风险防范措施，杜绝发生污染事故。</w:t>
                  </w:r>
                </w:p>
              </w:tc>
              <w:tc>
                <w:tcPr>
                  <w:tcW w:w="1984" w:type="dxa"/>
                  <w:noWrap w:val="0"/>
                  <w:vAlign w:val="center"/>
                </w:tcPr>
                <w:p w14:paraId="341D2A95">
                  <w:pPr>
                    <w:pStyle w:val="115"/>
                    <w:rPr>
                      <w:b w:val="0"/>
                      <w:bCs w:val="0"/>
                      <w:color w:val="000000"/>
                      <w:szCs w:val="21"/>
                    </w:rPr>
                  </w:pPr>
                  <w:r>
                    <w:rPr>
                      <w:rFonts w:hint="eastAsia"/>
                      <w:b w:val="0"/>
                      <w:bCs w:val="0"/>
                      <w:color w:val="000000"/>
                      <w:szCs w:val="21"/>
                    </w:rPr>
                    <w:t>评价要求建设单位制</w:t>
                  </w:r>
                  <w:r>
                    <w:rPr>
                      <w:rFonts w:hint="eastAsia"/>
                      <w:b w:val="0"/>
                      <w:bCs w:val="0"/>
                      <w:color w:val="000000"/>
                      <w:szCs w:val="21"/>
                      <w:lang w:val="en-US" w:eastAsia="zh-CN"/>
                    </w:rPr>
                    <w:t>订</w:t>
                  </w:r>
                  <w:r>
                    <w:rPr>
                      <w:rFonts w:hint="eastAsia"/>
                      <w:b w:val="0"/>
                      <w:bCs w:val="0"/>
                      <w:color w:val="000000"/>
                      <w:szCs w:val="21"/>
                    </w:rPr>
                    <w:t>突发环境事件应急预案并与园区风险应急预案衔接</w:t>
                  </w:r>
                </w:p>
              </w:tc>
              <w:tc>
                <w:tcPr>
                  <w:tcW w:w="783" w:type="dxa"/>
                  <w:noWrap w:val="0"/>
                  <w:vAlign w:val="center"/>
                </w:tcPr>
                <w:p w14:paraId="082072DC">
                  <w:pPr>
                    <w:pStyle w:val="115"/>
                    <w:rPr>
                      <w:b w:val="0"/>
                      <w:bCs w:val="0"/>
                      <w:color w:val="000000"/>
                      <w:szCs w:val="21"/>
                    </w:rPr>
                  </w:pPr>
                  <w:r>
                    <w:rPr>
                      <w:rFonts w:hint="eastAsia"/>
                      <w:b w:val="0"/>
                      <w:bCs w:val="0"/>
                      <w:color w:val="000000"/>
                      <w:szCs w:val="21"/>
                    </w:rPr>
                    <w:t>相符</w:t>
                  </w:r>
                </w:p>
              </w:tc>
            </w:tr>
            <w:tr w14:paraId="3B778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820" w:type="dxa"/>
                  <w:noWrap w:val="0"/>
                  <w:vAlign w:val="center"/>
                </w:tcPr>
                <w:p w14:paraId="3A01917A">
                  <w:pPr>
                    <w:pStyle w:val="115"/>
                    <w:rPr>
                      <w:b w:val="0"/>
                      <w:bCs w:val="0"/>
                      <w:color w:val="000000"/>
                      <w:szCs w:val="21"/>
                    </w:rPr>
                  </w:pPr>
                  <w:r>
                    <w:rPr>
                      <w:rFonts w:hint="eastAsia"/>
                      <w:b w:val="0"/>
                      <w:bCs w:val="0"/>
                      <w:color w:val="000000"/>
                      <w:szCs w:val="21"/>
                    </w:rPr>
                    <w:t>妥善安置搬迁居民</w:t>
                  </w:r>
                </w:p>
              </w:tc>
              <w:tc>
                <w:tcPr>
                  <w:tcW w:w="3317" w:type="dxa"/>
                  <w:noWrap w:val="0"/>
                  <w:vAlign w:val="center"/>
                </w:tcPr>
                <w:p w14:paraId="1CC9E453">
                  <w:pPr>
                    <w:pStyle w:val="115"/>
                    <w:jc w:val="both"/>
                    <w:rPr>
                      <w:b w:val="0"/>
                      <w:bCs w:val="0"/>
                      <w:color w:val="000000"/>
                      <w:szCs w:val="21"/>
                    </w:rPr>
                  </w:pPr>
                  <w:r>
                    <w:rPr>
                      <w:rFonts w:hint="eastAsia"/>
                      <w:b w:val="0"/>
                      <w:bCs w:val="0"/>
                      <w:color w:val="000000"/>
                      <w:szCs w:val="21"/>
                    </w:rPr>
                    <w:t>集聚区规划实施中应高度重视拆迁居民的安置问题，按照开发计划和进度及时拆迁，妥善安置。优先安排集聚区范围内距离火灾、爆炸危险源较近的村庄搬迁，禁止在企业卫生防护距离内布设新的居民点、学校、医院等环境敏感点。安置居民点的生活污水、垃圾处理等环境问题应纳入集聚区一并解决。积极加强对拆迁居民的培训。拓宽就业渠道，保证其生活基本稳定，构建和谐社会。</w:t>
                  </w:r>
                </w:p>
              </w:tc>
              <w:tc>
                <w:tcPr>
                  <w:tcW w:w="1984" w:type="dxa"/>
                  <w:noWrap w:val="0"/>
                  <w:vAlign w:val="center"/>
                </w:tcPr>
                <w:p w14:paraId="3DDFD3E9">
                  <w:pPr>
                    <w:pStyle w:val="115"/>
                    <w:rPr>
                      <w:b w:val="0"/>
                      <w:bCs w:val="0"/>
                      <w:color w:val="000000"/>
                      <w:szCs w:val="21"/>
                    </w:rPr>
                  </w:pPr>
                  <w:r>
                    <w:rPr>
                      <w:rFonts w:hint="eastAsia"/>
                      <w:b w:val="0"/>
                      <w:bCs w:val="0"/>
                      <w:color w:val="000000"/>
                      <w:szCs w:val="21"/>
                    </w:rPr>
                    <w:t>本项目不涉及</w:t>
                  </w:r>
                </w:p>
              </w:tc>
              <w:tc>
                <w:tcPr>
                  <w:tcW w:w="783" w:type="dxa"/>
                  <w:noWrap w:val="0"/>
                  <w:vAlign w:val="center"/>
                </w:tcPr>
                <w:p w14:paraId="287377AA">
                  <w:pPr>
                    <w:pStyle w:val="115"/>
                    <w:rPr>
                      <w:b w:val="0"/>
                      <w:bCs w:val="0"/>
                      <w:color w:val="000000"/>
                      <w:szCs w:val="21"/>
                    </w:rPr>
                  </w:pPr>
                  <w:r>
                    <w:rPr>
                      <w:rFonts w:hint="eastAsia"/>
                      <w:b w:val="0"/>
                      <w:bCs w:val="0"/>
                      <w:color w:val="000000"/>
                      <w:szCs w:val="21"/>
                    </w:rPr>
                    <w:t>相符</w:t>
                  </w:r>
                </w:p>
              </w:tc>
            </w:tr>
          </w:tbl>
          <w:p w14:paraId="1F7F3147">
            <w:pPr>
              <w:pStyle w:val="96"/>
              <w:keepNext w:val="0"/>
              <w:keepLines w:val="0"/>
              <w:pageBreakBefore w:val="0"/>
              <w:widowControl w:val="0"/>
              <w:kinsoku/>
              <w:wordWrap/>
              <w:overflowPunct/>
              <w:topLinePunct w:val="0"/>
              <w:autoSpaceDE/>
              <w:autoSpaceDN/>
              <w:bidi w:val="0"/>
              <w:adjustRightInd w:val="0"/>
              <w:snapToGrid w:val="0"/>
              <w:spacing w:before="157" w:beforeLines="50"/>
              <w:ind w:firstLine="480"/>
              <w:textAlignment w:val="baseline"/>
              <w:rPr>
                <w:rFonts w:hint="eastAsia"/>
                <w:b w:val="0"/>
                <w:bCs w:val="0"/>
                <w:color w:val="000000"/>
              </w:rPr>
            </w:pPr>
            <w:r>
              <w:rPr>
                <w:rFonts w:hint="eastAsia"/>
                <w:b w:val="0"/>
                <w:bCs w:val="0"/>
                <w:color w:val="000000"/>
              </w:rPr>
              <w:t>由上表可知，项目建设符合</w:t>
            </w:r>
            <w:r>
              <w:rPr>
                <w:b w:val="0"/>
                <w:bCs w:val="0"/>
                <w:color w:val="000000"/>
              </w:rPr>
              <w:t>《关于淮阳县产业集聚区发展规划环境影响报告书的审查意见》（豫环函[2011]338号）</w:t>
            </w:r>
            <w:r>
              <w:rPr>
                <w:rFonts w:hint="eastAsia"/>
                <w:b w:val="0"/>
                <w:bCs w:val="0"/>
                <w:color w:val="000000"/>
              </w:rPr>
              <w:t>相关要求。</w:t>
            </w:r>
          </w:p>
          <w:p w14:paraId="0E6D0B23">
            <w:pPr>
              <w:pStyle w:val="96"/>
              <w:keepNext w:val="0"/>
              <w:keepLines w:val="0"/>
              <w:pageBreakBefore w:val="0"/>
              <w:widowControl w:val="0"/>
              <w:kinsoku/>
              <w:wordWrap/>
              <w:overflowPunct/>
              <w:topLinePunct w:val="0"/>
              <w:autoSpaceDE/>
              <w:autoSpaceDN/>
              <w:bidi w:val="0"/>
              <w:adjustRightInd w:val="0"/>
              <w:snapToGrid w:val="0"/>
              <w:spacing w:before="157" w:beforeLines="50"/>
              <w:ind w:firstLine="480"/>
              <w:textAlignment w:val="baseline"/>
              <w:rPr>
                <w:rFonts w:hint="eastAsia"/>
                <w:b w:val="0"/>
                <w:bCs w:val="0"/>
                <w:color w:val="000000"/>
              </w:rPr>
            </w:pPr>
          </w:p>
          <w:p w14:paraId="13014574">
            <w:pPr>
              <w:pStyle w:val="96"/>
              <w:keepNext w:val="0"/>
              <w:keepLines w:val="0"/>
              <w:pageBreakBefore w:val="0"/>
              <w:widowControl w:val="0"/>
              <w:kinsoku/>
              <w:wordWrap/>
              <w:overflowPunct/>
              <w:topLinePunct w:val="0"/>
              <w:autoSpaceDE/>
              <w:autoSpaceDN/>
              <w:bidi w:val="0"/>
              <w:adjustRightInd w:val="0"/>
              <w:snapToGrid w:val="0"/>
              <w:spacing w:before="157" w:beforeLines="50"/>
              <w:ind w:firstLine="480"/>
              <w:textAlignment w:val="baseline"/>
              <w:rPr>
                <w:rFonts w:hint="eastAsia"/>
                <w:b w:val="0"/>
                <w:bCs w:val="0"/>
                <w:color w:val="000000"/>
              </w:rPr>
            </w:pPr>
          </w:p>
          <w:p w14:paraId="6E79FC02">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eastAsia" w:ascii="Times New Roman" w:hAnsi="Times New Roman" w:eastAsia="宋体" w:cs="Times New Roman"/>
                <w:b/>
                <w:bCs/>
                <w:color w:val="000000"/>
              </w:rPr>
            </w:pPr>
            <w:bookmarkStart w:id="8" w:name="_Toc6232"/>
            <w:bookmarkStart w:id="9" w:name="_Toc18054"/>
            <w:r>
              <w:rPr>
                <w:rFonts w:hint="eastAsia" w:ascii="Times New Roman" w:hAnsi="Times New Roman" w:eastAsia="宋体" w:cs="Times New Roman"/>
                <w:b/>
                <w:bCs/>
                <w:color w:val="000000"/>
              </w:rPr>
              <w:t>4、与《淮阳县产业集聚区发展规划环境影响跟踪评价报告书》及审查意见符合性分析</w:t>
            </w:r>
            <w:bookmarkEnd w:id="8"/>
            <w:bookmarkEnd w:id="9"/>
          </w:p>
          <w:p w14:paraId="078AA2F2">
            <w:pPr>
              <w:pStyle w:val="96"/>
              <w:keepNext w:val="0"/>
              <w:keepLines w:val="0"/>
              <w:pageBreakBefore w:val="0"/>
              <w:widowControl w:val="0"/>
              <w:kinsoku/>
              <w:wordWrap/>
              <w:overflowPunct/>
              <w:topLinePunct w:val="0"/>
              <w:autoSpaceDE/>
              <w:autoSpaceDN/>
              <w:bidi w:val="0"/>
              <w:adjustRightInd w:val="0"/>
              <w:snapToGrid w:val="0"/>
              <w:spacing w:line="360" w:lineRule="auto"/>
              <w:ind w:firstLine="480"/>
              <w:textAlignment w:val="baseline"/>
              <w:rPr>
                <w:b w:val="0"/>
                <w:bCs w:val="0"/>
                <w:color w:val="000000"/>
              </w:rPr>
            </w:pPr>
            <w:r>
              <w:rPr>
                <w:rFonts w:hint="eastAsia"/>
                <w:b w:val="0"/>
                <w:bCs w:val="0"/>
                <w:color w:val="000000"/>
              </w:rPr>
              <w:t>本项目与</w:t>
            </w:r>
            <w:r>
              <w:rPr>
                <w:b w:val="0"/>
                <w:bCs w:val="0"/>
                <w:color w:val="000000"/>
              </w:rPr>
              <w:t>《淮阳县产业集聚区发展规划环境影响跟踪评价报告书》及审查意见相符性详见</w:t>
            </w:r>
            <w:r>
              <w:rPr>
                <w:rFonts w:hint="eastAsia"/>
                <w:b w:val="0"/>
                <w:bCs w:val="0"/>
                <w:color w:val="000000"/>
                <w:lang w:val="en-US" w:eastAsia="zh-CN"/>
              </w:rPr>
              <w:t>下表</w:t>
            </w:r>
            <w:r>
              <w:rPr>
                <w:b w:val="0"/>
                <w:bCs w:val="0"/>
                <w:color w:val="000000"/>
              </w:rPr>
              <w:t>。</w:t>
            </w:r>
          </w:p>
          <w:p w14:paraId="1D861918">
            <w:pPr>
              <w:pStyle w:val="85"/>
              <w:keepNext w:val="0"/>
              <w:keepLines w:val="0"/>
              <w:pageBreakBefore w:val="0"/>
              <w:widowControl w:val="0"/>
              <w:kinsoku/>
              <w:wordWrap/>
              <w:overflowPunct/>
              <w:topLinePunct w:val="0"/>
              <w:autoSpaceDE/>
              <w:autoSpaceDN/>
              <w:bidi w:val="0"/>
              <w:adjustRightInd w:val="0"/>
              <w:snapToGrid w:val="0"/>
              <w:spacing w:before="120" w:after="24" w:line="360" w:lineRule="auto"/>
              <w:textAlignment w:val="baseline"/>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表</w:t>
            </w:r>
            <w:r>
              <w:rPr>
                <w:rFonts w:hint="eastAsia" w:ascii="Times New Roman" w:hAnsi="Times New Roman" w:eastAsia="宋体" w:cs="Times New Roman"/>
                <w:b/>
                <w:bCs/>
                <w:color w:val="000000"/>
                <w:sz w:val="24"/>
                <w:szCs w:val="24"/>
                <w:lang w:val="en-US" w:eastAsia="zh-CN"/>
              </w:rPr>
              <w:t>1-</w:t>
            </w:r>
            <w:r>
              <w:rPr>
                <w:rFonts w:hint="eastAsia" w:ascii="Times New Roman" w:hAnsi="Times New Roman" w:eastAsia="宋体" w:cs="Times New Roman"/>
                <w:b/>
                <w:bCs/>
                <w:color w:val="000000"/>
                <w:sz w:val="24"/>
                <w:szCs w:val="24"/>
              </w:rPr>
              <w:t>3</w:t>
            </w:r>
            <w:r>
              <w:rPr>
                <w:rFonts w:hint="eastAsia" w:ascii="Times New Roman" w:hAnsi="Times New Roman" w:eastAsia="宋体" w:cs="Times New Roman"/>
                <w:b/>
                <w:bCs/>
                <w:color w:val="000000"/>
                <w:sz w:val="24"/>
                <w:szCs w:val="24"/>
                <w:lang w:val="en-US" w:eastAsia="zh-CN"/>
              </w:rPr>
              <w:t xml:space="preserve">  </w:t>
            </w:r>
            <w:r>
              <w:rPr>
                <w:rFonts w:hint="default" w:ascii="Times New Roman" w:hAnsi="Times New Roman" w:eastAsia="宋体" w:cs="Times New Roman"/>
                <w:b/>
                <w:bCs/>
                <w:color w:val="000000"/>
                <w:sz w:val="24"/>
                <w:szCs w:val="24"/>
              </w:rPr>
              <w:t>与规划环境影响跟踪评价提出环境准入条件相符性分析</w:t>
            </w:r>
          </w:p>
          <w:tbl>
            <w:tblPr>
              <w:tblStyle w:val="3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808"/>
              <w:gridCol w:w="3417"/>
              <w:gridCol w:w="1830"/>
              <w:gridCol w:w="866"/>
            </w:tblGrid>
            <w:tr w14:paraId="37786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84" w:type="pct"/>
                  <w:noWrap w:val="0"/>
                  <w:vAlign w:val="center"/>
                </w:tcPr>
                <w:p w14:paraId="638B78B8">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类别</w:t>
                  </w:r>
                </w:p>
              </w:tc>
              <w:tc>
                <w:tcPr>
                  <w:tcW w:w="2467" w:type="pct"/>
                  <w:noWrap w:val="0"/>
                  <w:vAlign w:val="center"/>
                </w:tcPr>
                <w:p w14:paraId="6B928BA6">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项目环境准入条件</w:t>
                  </w:r>
                </w:p>
              </w:tc>
              <w:tc>
                <w:tcPr>
                  <w:tcW w:w="1321" w:type="pct"/>
                  <w:noWrap w:val="0"/>
                  <w:vAlign w:val="center"/>
                </w:tcPr>
                <w:p w14:paraId="4D74E30E">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w:t>
                  </w:r>
                </w:p>
              </w:tc>
              <w:tc>
                <w:tcPr>
                  <w:tcW w:w="625" w:type="pct"/>
                  <w:noWrap w:val="0"/>
                  <w:vAlign w:val="center"/>
                </w:tcPr>
                <w:p w14:paraId="0CC351AF">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相符性</w:t>
                  </w:r>
                </w:p>
              </w:tc>
            </w:tr>
            <w:tr w14:paraId="512BE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84" w:type="pct"/>
                  <w:noWrap w:val="0"/>
                  <w:vAlign w:val="center"/>
                </w:tcPr>
                <w:p w14:paraId="6B1462B2">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鼓励引进的项目和优先发展行业</w:t>
                  </w:r>
                </w:p>
              </w:tc>
              <w:tc>
                <w:tcPr>
                  <w:tcW w:w="2467" w:type="pct"/>
                  <w:noWrap w:val="0"/>
                  <w:vAlign w:val="center"/>
                </w:tcPr>
                <w:p w14:paraId="7CD78B57">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集聚区鼓励引进和优先发展的行业应该是规划产业定位所包括的行业，主要塑料制品业、纺织业。具体引进的企业除在上述行业中外，还需要遵循以下原则：</w:t>
                  </w:r>
                </w:p>
                <w:p w14:paraId="5777AC1A">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（1）进去项目应是高科技含量高的、产品附加值高的项目，其在生产工艺、设备和环保设施应达同类国际先进产品，至少是国内先进水平；</w:t>
                  </w:r>
                </w:p>
                <w:p w14:paraId="283652CF">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（2）企业废水经预处理可达到集聚区污水处理厂的接管标准，并确保不影响污水处理厂的处理效果，“三废”排放能实现稳定达标排放；</w:t>
                  </w:r>
                </w:p>
                <w:p w14:paraId="0645ED65">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（3）采用有效的回收、回用技术，包括余热利用、物料回收套用、各类废水回用等；</w:t>
                  </w:r>
                </w:p>
                <w:p w14:paraId="5C9E5751">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（4）生产和使用有毒有害物品的企业，应具有完善的事故风险防范和应急措施，包括有毒有害物品的使用、运输、储存全过程。</w:t>
                  </w:r>
                </w:p>
              </w:tc>
              <w:tc>
                <w:tcPr>
                  <w:tcW w:w="1321" w:type="pct"/>
                  <w:noWrap w:val="0"/>
                  <w:vAlign w:val="center"/>
                </w:tcPr>
                <w:p w14:paraId="09515E18">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符合国家产业政策，基本符合产业集聚区总体规划；项目生产工艺、设备符合产业政策，生产工艺、设备、环保设施达国内同类企业先进水平；项目废水处理后满足《污水综合排放标准》表4三级标准要求和淮阳区</w:t>
                  </w:r>
                  <w:r>
                    <w:rPr>
                      <w:rFonts w:hint="default" w:ascii="Times New Roman" w:hAnsi="Times New Roman" w:eastAsia="宋体" w:cs="Times New Roman"/>
                      <w:b w:val="0"/>
                      <w:bCs w:val="0"/>
                      <w:color w:val="000000"/>
                      <w:sz w:val="21"/>
                      <w:szCs w:val="21"/>
                      <w:lang w:val="en-US" w:eastAsia="zh-CN"/>
                    </w:rPr>
                    <w:t>第</w:t>
                  </w:r>
                  <w:r>
                    <w:rPr>
                      <w:rFonts w:hint="eastAsia" w:cs="Times New Roman"/>
                      <w:b w:val="0"/>
                      <w:bCs w:val="0"/>
                      <w:color w:val="000000"/>
                      <w:sz w:val="21"/>
                      <w:szCs w:val="21"/>
                      <w:lang w:val="en-US" w:eastAsia="zh-CN"/>
                    </w:rPr>
                    <w:t>二</w:t>
                  </w:r>
                  <w:r>
                    <w:rPr>
                      <w:rFonts w:hint="default" w:ascii="Times New Roman" w:hAnsi="Times New Roman" w:eastAsia="宋体" w:cs="Times New Roman"/>
                      <w:b w:val="0"/>
                      <w:bCs w:val="0"/>
                      <w:color w:val="000000"/>
                      <w:sz w:val="21"/>
                      <w:szCs w:val="21"/>
                    </w:rPr>
                    <w:t>污水处理厂进水水质要求；项目三废经有效措施处理后达标排放；企业应按照要求采取相应的事故风险防范和应急措施</w:t>
                  </w:r>
                </w:p>
                <w:p w14:paraId="6752AFFF">
                  <w:pPr>
                    <w:adjustRightInd w:val="0"/>
                    <w:snapToGrid w:val="0"/>
                    <w:rPr>
                      <w:rFonts w:hint="default" w:ascii="Times New Roman" w:hAnsi="Times New Roman" w:eastAsia="宋体" w:cs="Times New Roman"/>
                      <w:b w:val="0"/>
                      <w:bCs w:val="0"/>
                      <w:color w:val="000000"/>
                      <w:sz w:val="21"/>
                      <w:szCs w:val="21"/>
                    </w:rPr>
                  </w:pPr>
                </w:p>
              </w:tc>
              <w:tc>
                <w:tcPr>
                  <w:tcW w:w="625" w:type="pct"/>
                  <w:noWrap w:val="0"/>
                  <w:vAlign w:val="center"/>
                </w:tcPr>
                <w:p w14:paraId="3D9BD9A5">
                  <w:pPr>
                    <w:widowControl/>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p w14:paraId="7E13AE80">
                  <w:pPr>
                    <w:adjustRightInd w:val="0"/>
                    <w:snapToGrid w:val="0"/>
                    <w:jc w:val="center"/>
                    <w:rPr>
                      <w:rFonts w:hint="default" w:ascii="Times New Roman" w:hAnsi="Times New Roman" w:eastAsia="宋体" w:cs="Times New Roman"/>
                      <w:b w:val="0"/>
                      <w:bCs w:val="0"/>
                      <w:color w:val="000000"/>
                      <w:sz w:val="21"/>
                      <w:szCs w:val="21"/>
                    </w:rPr>
                  </w:pPr>
                </w:p>
              </w:tc>
            </w:tr>
            <w:tr w14:paraId="3F67E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84" w:type="pct"/>
                  <w:noWrap w:val="0"/>
                  <w:vAlign w:val="center"/>
                </w:tcPr>
                <w:p w14:paraId="525FC83C">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限制引进的项目和行业</w:t>
                  </w:r>
                </w:p>
              </w:tc>
              <w:tc>
                <w:tcPr>
                  <w:tcW w:w="2467" w:type="pct"/>
                  <w:noWrap w:val="0"/>
                  <w:vAlign w:val="center"/>
                </w:tcPr>
                <w:p w14:paraId="599AADFE">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（1）不符合集聚区产业定位、污染排放较大的行业；</w:t>
                  </w:r>
                </w:p>
                <w:p w14:paraId="51B719C5">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（2）高水耗、高物耗、高能耗的项目；</w:t>
                  </w:r>
                </w:p>
                <w:p w14:paraId="2CCB7B51">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（3）废水含难降解的有机污染物、“三致“污染物及盐分含量较高的项目；废水经过预处理达不到污水处理厂接管标准的项目；</w:t>
                  </w:r>
                </w:p>
                <w:p w14:paraId="622B9E21">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（4）工业废气中含有难处理的、有毒有害物质的项目；</w:t>
                  </w:r>
                </w:p>
                <w:p w14:paraId="3B8917E6">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（5）采用落后的生产工艺或生产设备，不符合国家相关产业政策、达不到规模经济的项目；</w:t>
                  </w:r>
                </w:p>
                <w:p w14:paraId="3C490435">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（6）经济效益差，不具备与同类企业进行竞争的项目；</w:t>
                  </w:r>
                </w:p>
                <w:p w14:paraId="5D6E74A1">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（7）限制以煤为原料的制氢以及后续加工产业项目。</w:t>
                  </w:r>
                </w:p>
              </w:tc>
              <w:tc>
                <w:tcPr>
                  <w:tcW w:w="1321" w:type="pct"/>
                  <w:noWrap w:val="0"/>
                  <w:vAlign w:val="center"/>
                </w:tcPr>
                <w:p w14:paraId="4179C87E">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本项目不属于高水耗、高物耗、高能耗的项目；废水经污水处理站处理后满足《污水综合排放标准》表4三级标准要求和淮阳区</w:t>
                  </w:r>
                  <w:r>
                    <w:rPr>
                      <w:rFonts w:hint="default" w:ascii="Times New Roman" w:hAnsi="Times New Roman" w:eastAsia="宋体" w:cs="Times New Roman"/>
                      <w:b w:val="0"/>
                      <w:bCs w:val="0"/>
                      <w:color w:val="000000"/>
                      <w:sz w:val="21"/>
                      <w:szCs w:val="21"/>
                      <w:lang w:val="en-US" w:eastAsia="zh-CN"/>
                    </w:rPr>
                    <w:t>第</w:t>
                  </w:r>
                  <w:r>
                    <w:rPr>
                      <w:rFonts w:hint="eastAsia" w:cs="Times New Roman"/>
                      <w:b w:val="0"/>
                      <w:bCs w:val="0"/>
                      <w:color w:val="000000"/>
                      <w:sz w:val="21"/>
                      <w:szCs w:val="21"/>
                      <w:lang w:val="en-US" w:eastAsia="zh-CN"/>
                    </w:rPr>
                    <w:t>二</w:t>
                  </w:r>
                  <w:r>
                    <w:rPr>
                      <w:rFonts w:hint="default" w:ascii="Times New Roman" w:hAnsi="Times New Roman" w:eastAsia="宋体" w:cs="Times New Roman"/>
                      <w:b w:val="0"/>
                      <w:bCs w:val="0"/>
                      <w:color w:val="000000"/>
                      <w:sz w:val="21"/>
                      <w:szCs w:val="21"/>
                    </w:rPr>
                    <w:t>污水处理厂进水水质要求，废水中不含难降解的有机污染物、“三致“污染物；项目经济效益较好</w:t>
                  </w:r>
                </w:p>
              </w:tc>
              <w:tc>
                <w:tcPr>
                  <w:tcW w:w="625" w:type="pct"/>
                  <w:noWrap w:val="0"/>
                  <w:vAlign w:val="center"/>
                </w:tcPr>
                <w:p w14:paraId="4A813030">
                  <w:pPr>
                    <w:widowControl/>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r w14:paraId="11BE2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84" w:type="pct"/>
                  <w:noWrap w:val="0"/>
                  <w:vAlign w:val="center"/>
                </w:tcPr>
                <w:p w14:paraId="23EA39B7">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禁止引进的项目和行业</w:t>
                  </w:r>
                </w:p>
              </w:tc>
              <w:tc>
                <w:tcPr>
                  <w:tcW w:w="2467" w:type="pct"/>
                  <w:noWrap w:val="0"/>
                  <w:vAlign w:val="center"/>
                </w:tcPr>
                <w:p w14:paraId="741C019C">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（1）国际上和国家各部门禁止或准备禁止生产的项目、明令淘汰项目；</w:t>
                  </w:r>
                </w:p>
                <w:p w14:paraId="7CE64E17">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（2）生产方式落后、高能耗、严重浪费资源和污染资源的项目；</w:t>
                  </w:r>
                </w:p>
                <w:p w14:paraId="1A07ABDE">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（3）污染严重，破坏自然生态和损害人体健康又难以治理的项目；</w:t>
                  </w:r>
                </w:p>
                <w:p w14:paraId="2266FCE1">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（4）严禁引进不符合经济规模要求，经济效益差，污染严重的“十五小”“新五小”企业。</w:t>
                  </w:r>
                </w:p>
                <w:p w14:paraId="4EB2DFF5">
                  <w:pPr>
                    <w:adjustRightInd w:val="0"/>
                    <w:snapToGrid w:val="0"/>
                    <w:rPr>
                      <w:rFonts w:hint="default" w:ascii="Times New Roman" w:hAnsi="Times New Roman" w:eastAsia="宋体" w:cs="Times New Roman"/>
                      <w:b w:val="0"/>
                      <w:bCs w:val="0"/>
                      <w:color w:val="000000"/>
                      <w:sz w:val="21"/>
                      <w:szCs w:val="21"/>
                    </w:rPr>
                  </w:pPr>
                </w:p>
              </w:tc>
              <w:tc>
                <w:tcPr>
                  <w:tcW w:w="1321" w:type="pct"/>
                  <w:noWrap w:val="0"/>
                  <w:vAlign w:val="center"/>
                </w:tcPr>
                <w:p w14:paraId="58645F96">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本项目工艺技术成熟，满足国家相关规定的要求，生产废水和工艺废气经相应处理设施处理后均达到相应环境保护标准，不属于“十五小”“新五小”企业</w:t>
                  </w:r>
                </w:p>
              </w:tc>
              <w:tc>
                <w:tcPr>
                  <w:tcW w:w="625" w:type="pct"/>
                  <w:noWrap w:val="0"/>
                  <w:vAlign w:val="center"/>
                </w:tcPr>
                <w:p w14:paraId="737B3AEC">
                  <w:pPr>
                    <w:widowControl/>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bl>
          <w:p w14:paraId="6E47B276">
            <w:pPr>
              <w:pStyle w:val="85"/>
              <w:spacing w:before="120" w:after="24"/>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表</w:t>
            </w:r>
            <w:r>
              <w:rPr>
                <w:rFonts w:hint="eastAsia" w:ascii="Times New Roman" w:hAnsi="Times New Roman" w:eastAsia="宋体" w:cs="Times New Roman"/>
                <w:b/>
                <w:bCs/>
                <w:color w:val="000000"/>
                <w:sz w:val="24"/>
                <w:szCs w:val="24"/>
                <w:lang w:val="en-US" w:eastAsia="zh-CN"/>
              </w:rPr>
              <w:t>1-</w:t>
            </w:r>
            <w:r>
              <w:rPr>
                <w:rFonts w:hint="eastAsia" w:ascii="Times New Roman" w:hAnsi="Times New Roman" w:eastAsia="宋体" w:cs="Times New Roman"/>
                <w:b/>
                <w:bCs/>
                <w:color w:val="000000"/>
                <w:sz w:val="24"/>
                <w:szCs w:val="24"/>
              </w:rPr>
              <w:t>4</w:t>
            </w:r>
            <w:r>
              <w:rPr>
                <w:rFonts w:hint="eastAsia" w:ascii="Times New Roman" w:hAnsi="Times New Roman" w:eastAsia="宋体" w:cs="Times New Roman"/>
                <w:b/>
                <w:bCs/>
                <w:color w:val="000000"/>
                <w:sz w:val="24"/>
                <w:szCs w:val="24"/>
                <w:lang w:val="en-US" w:eastAsia="zh-CN"/>
              </w:rPr>
              <w:t xml:space="preserve">   </w:t>
            </w:r>
            <w:r>
              <w:rPr>
                <w:rFonts w:hint="default" w:ascii="Times New Roman" w:hAnsi="Times New Roman" w:eastAsia="宋体" w:cs="Times New Roman"/>
                <w:b/>
                <w:bCs/>
                <w:color w:val="000000"/>
                <w:sz w:val="24"/>
                <w:szCs w:val="24"/>
              </w:rPr>
              <w:t>与规划环境影响跟踪评价审核意见相符性分析一览表</w:t>
            </w:r>
          </w:p>
          <w:tbl>
            <w:tblPr>
              <w:tblStyle w:val="3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3832"/>
              <w:gridCol w:w="2150"/>
              <w:gridCol w:w="942"/>
            </w:tblGrid>
            <w:tr w14:paraId="7501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tblHeader/>
                <w:jc w:val="center"/>
              </w:trPr>
              <w:tc>
                <w:tcPr>
                  <w:tcW w:w="2767" w:type="pct"/>
                  <w:noWrap w:val="0"/>
                  <w:tcMar>
                    <w:left w:w="0" w:type="dxa"/>
                    <w:right w:w="0" w:type="dxa"/>
                  </w:tcMar>
                  <w:vAlign w:val="center"/>
                </w:tcPr>
                <w:p w14:paraId="3506B509">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审核意见</w:t>
                  </w:r>
                </w:p>
              </w:tc>
              <w:tc>
                <w:tcPr>
                  <w:tcW w:w="1552" w:type="pct"/>
                  <w:noWrap w:val="0"/>
                  <w:tcMar>
                    <w:left w:w="0" w:type="dxa"/>
                    <w:right w:w="0" w:type="dxa"/>
                  </w:tcMar>
                  <w:vAlign w:val="center"/>
                </w:tcPr>
                <w:p w14:paraId="12CDBDCB">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w:t>
                  </w:r>
                </w:p>
              </w:tc>
              <w:tc>
                <w:tcPr>
                  <w:tcW w:w="680" w:type="pct"/>
                  <w:noWrap w:val="0"/>
                  <w:tcMar>
                    <w:left w:w="0" w:type="dxa"/>
                    <w:right w:w="0" w:type="dxa"/>
                  </w:tcMar>
                  <w:vAlign w:val="center"/>
                </w:tcPr>
                <w:p w14:paraId="7D50C6C8">
                  <w:pPr>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相符性</w:t>
                  </w:r>
                </w:p>
              </w:tc>
            </w:tr>
            <w:tr w14:paraId="70534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2767" w:type="pct"/>
                  <w:noWrap w:val="0"/>
                  <w:tcMar>
                    <w:left w:w="0" w:type="dxa"/>
                    <w:right w:w="0" w:type="dxa"/>
                  </w:tcMar>
                  <w:vAlign w:val="center"/>
                </w:tcPr>
                <w:p w14:paraId="37BF997A">
                  <w:pPr>
                    <w:autoSpaceDE w:val="0"/>
                    <w:autoSpaceDN w:val="0"/>
                    <w:adjustRightInd w:val="0"/>
                    <w:snapToGrid w:val="0"/>
                    <w:jc w:val="center"/>
                    <w:rPr>
                      <w:rFonts w:hint="default" w:ascii="Times New Roman" w:hAnsi="Times New Roman" w:eastAsia="宋体" w:cs="Times New Roman"/>
                      <w:b w:val="0"/>
                      <w:bCs w:val="0"/>
                      <w:color w:val="000000"/>
                      <w:sz w:val="21"/>
                      <w:szCs w:val="21"/>
                      <w:lang w:val="zh-CN"/>
                    </w:rPr>
                  </w:pPr>
                  <w:r>
                    <w:rPr>
                      <w:rFonts w:hint="default" w:ascii="Times New Roman" w:hAnsi="Times New Roman" w:eastAsia="宋体" w:cs="Times New Roman"/>
                      <w:b w:val="0"/>
                      <w:bCs w:val="0"/>
                      <w:color w:val="000000"/>
                      <w:sz w:val="21"/>
                      <w:szCs w:val="21"/>
                      <w:lang w:val="zh-CN"/>
                    </w:rPr>
                    <w:t>（</w:t>
                  </w:r>
                  <w:r>
                    <w:rPr>
                      <w:rFonts w:hint="default" w:ascii="Times New Roman" w:hAnsi="Times New Roman" w:eastAsia="宋体" w:cs="Times New Roman"/>
                      <w:b w:val="0"/>
                      <w:bCs w:val="0"/>
                      <w:color w:val="000000"/>
                      <w:sz w:val="21"/>
                      <w:szCs w:val="21"/>
                    </w:rPr>
                    <w:t>一</w:t>
                  </w:r>
                  <w:r>
                    <w:rPr>
                      <w:rFonts w:hint="default" w:ascii="Times New Roman" w:hAnsi="Times New Roman" w:eastAsia="宋体" w:cs="Times New Roman"/>
                      <w:b w:val="0"/>
                      <w:bCs w:val="0"/>
                      <w:color w:val="000000"/>
                      <w:sz w:val="21"/>
                      <w:szCs w:val="21"/>
                      <w:lang w:val="zh-CN"/>
                    </w:rPr>
                    <w:t>）</w:t>
                  </w:r>
                  <w:r>
                    <w:rPr>
                      <w:rFonts w:hint="default" w:ascii="Times New Roman" w:hAnsi="Times New Roman" w:eastAsia="宋体" w:cs="Times New Roman"/>
                      <w:b w:val="0"/>
                      <w:bCs w:val="0"/>
                      <w:color w:val="000000"/>
                      <w:sz w:val="21"/>
                      <w:szCs w:val="21"/>
                    </w:rPr>
                    <w:t>合理用地布局。</w:t>
                  </w:r>
                  <w:r>
                    <w:rPr>
                      <w:rFonts w:hint="default" w:ascii="Times New Roman" w:hAnsi="Times New Roman" w:eastAsia="宋体" w:cs="Times New Roman"/>
                      <w:b w:val="0"/>
                      <w:bCs w:val="0"/>
                      <w:color w:val="000000"/>
                      <w:sz w:val="21"/>
                      <w:szCs w:val="21"/>
                      <w:lang w:val="zh-CN"/>
                    </w:rPr>
                    <w:t>进一步加强与城市总体规划的衔接，优化调整用地布局，在开发过程中不应随意改变各用地功能区的使用功能；加强对居民集中区等环境敏感目标的保护，工业区与生活居住区之间设置绿化隔离带；在区内建设项目大气环境防护距离内，不得规划新建居住区、学校、医院等环境敏感目标。</w:t>
                  </w:r>
                </w:p>
              </w:tc>
              <w:tc>
                <w:tcPr>
                  <w:tcW w:w="1552" w:type="pct"/>
                  <w:noWrap w:val="0"/>
                  <w:tcMar>
                    <w:left w:w="0" w:type="dxa"/>
                    <w:right w:w="0" w:type="dxa"/>
                  </w:tcMar>
                  <w:vAlign w:val="center"/>
                </w:tcPr>
                <w:p w14:paraId="450861B8">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本项目用地为工业用地，符合集聚区用地布局要求</w:t>
                  </w:r>
                </w:p>
              </w:tc>
              <w:tc>
                <w:tcPr>
                  <w:tcW w:w="680" w:type="pct"/>
                  <w:noWrap w:val="0"/>
                  <w:tcMar>
                    <w:left w:w="0" w:type="dxa"/>
                    <w:right w:w="0" w:type="dxa"/>
                  </w:tcMar>
                  <w:vAlign w:val="center"/>
                </w:tcPr>
                <w:p w14:paraId="1D01EA5B">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r w14:paraId="38F09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2767" w:type="pct"/>
                  <w:noWrap w:val="0"/>
                  <w:tcMar>
                    <w:left w:w="0" w:type="dxa"/>
                    <w:right w:w="0" w:type="dxa"/>
                  </w:tcMar>
                  <w:vAlign w:val="center"/>
                </w:tcPr>
                <w:p w14:paraId="5BE865BE">
                  <w:pPr>
                    <w:autoSpaceDE w:val="0"/>
                    <w:autoSpaceDN w:val="0"/>
                    <w:adjustRightInd w:val="0"/>
                    <w:snapToGrid w:val="0"/>
                    <w:jc w:val="center"/>
                    <w:rPr>
                      <w:rFonts w:hint="default" w:ascii="Times New Roman" w:hAnsi="Times New Roman" w:eastAsia="宋体" w:cs="Times New Roman"/>
                      <w:b w:val="0"/>
                      <w:bCs w:val="0"/>
                      <w:color w:val="000000"/>
                      <w:sz w:val="21"/>
                      <w:szCs w:val="21"/>
                      <w:lang w:val="zh-CN"/>
                    </w:rPr>
                  </w:pPr>
                  <w:r>
                    <w:rPr>
                      <w:rFonts w:hint="default" w:ascii="Times New Roman" w:hAnsi="Times New Roman" w:eastAsia="宋体" w:cs="Times New Roman"/>
                      <w:b w:val="0"/>
                      <w:bCs w:val="0"/>
                      <w:color w:val="000000"/>
                      <w:sz w:val="21"/>
                      <w:szCs w:val="21"/>
                      <w:lang w:val="zh-CN"/>
                    </w:rPr>
                    <w:t>（二）进一步优化产业定位和结构。积极推进产业转型升级，大力发展主导产业，着力发展绿色、循环和低碳经济；禁止重污染、废水排放量大、废气污染物排放量大、具有较高环境风险的钢铁、有色金属冶炼、印染、造纸、煤化工、石油化工、多晶硅等项目入驻。</w:t>
                  </w:r>
                </w:p>
              </w:tc>
              <w:tc>
                <w:tcPr>
                  <w:tcW w:w="1552" w:type="pct"/>
                  <w:noWrap w:val="0"/>
                  <w:tcMar>
                    <w:left w:w="0" w:type="dxa"/>
                    <w:right w:w="0" w:type="dxa"/>
                  </w:tcMar>
                  <w:vAlign w:val="center"/>
                </w:tcPr>
                <w:p w14:paraId="3DFD85A4">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项目属于非金属矿物制品业，符合国家产业政策</w:t>
                  </w:r>
                </w:p>
              </w:tc>
              <w:tc>
                <w:tcPr>
                  <w:tcW w:w="680" w:type="pct"/>
                  <w:noWrap w:val="0"/>
                  <w:tcMar>
                    <w:left w:w="0" w:type="dxa"/>
                    <w:right w:w="0" w:type="dxa"/>
                  </w:tcMar>
                  <w:vAlign w:val="center"/>
                </w:tcPr>
                <w:p w14:paraId="2A7D69F4">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r w14:paraId="70C39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2767" w:type="pct"/>
                  <w:noWrap w:val="0"/>
                  <w:tcMar>
                    <w:left w:w="0" w:type="dxa"/>
                    <w:right w:w="0" w:type="dxa"/>
                  </w:tcMar>
                  <w:vAlign w:val="center"/>
                </w:tcPr>
                <w:p w14:paraId="7DF70294">
                  <w:pPr>
                    <w:autoSpaceDE w:val="0"/>
                    <w:autoSpaceDN w:val="0"/>
                    <w:adjustRightInd w:val="0"/>
                    <w:snapToGrid w:val="0"/>
                    <w:rPr>
                      <w:rFonts w:hint="default" w:ascii="Times New Roman" w:hAnsi="Times New Roman" w:eastAsia="宋体" w:cs="Times New Roman"/>
                      <w:b w:val="0"/>
                      <w:bCs w:val="0"/>
                      <w:color w:val="000000"/>
                      <w:sz w:val="21"/>
                      <w:szCs w:val="21"/>
                      <w:lang w:val="zh-CN"/>
                    </w:rPr>
                  </w:pPr>
                  <w:r>
                    <w:rPr>
                      <w:rFonts w:hint="default" w:ascii="Times New Roman" w:hAnsi="Times New Roman" w:eastAsia="宋体" w:cs="Times New Roman"/>
                      <w:b w:val="0"/>
                      <w:bCs w:val="0"/>
                      <w:color w:val="000000"/>
                      <w:sz w:val="21"/>
                      <w:szCs w:val="21"/>
                      <w:lang w:val="zh-CN"/>
                    </w:rPr>
                    <w:t>（三）进一步完善环保基础设施。按照“清污分流、雨污分流、中水回用”的要求，加快污水处理厂扩建及配套中水回用工程建设进度，进一步完善污水管网，确保入区企业外排废水全部经管网收集后进入污水处理厂处理，减少对纳污水体的影响。进一步优化能源结构，集聚区应实施集中供热、供气。</w:t>
                  </w:r>
                </w:p>
              </w:tc>
              <w:tc>
                <w:tcPr>
                  <w:tcW w:w="1552" w:type="pct"/>
                  <w:noWrap w:val="0"/>
                  <w:tcMar>
                    <w:left w:w="0" w:type="dxa"/>
                    <w:right w:w="0" w:type="dxa"/>
                  </w:tcMar>
                  <w:vAlign w:val="center"/>
                </w:tcPr>
                <w:p w14:paraId="4B4841E3">
                  <w:pPr>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本项目实行雨污分流，雨水经收集后排入市政雨水管网；废水处理达标后经市政污水管网进入淮阳区第</w:t>
                  </w:r>
                  <w:r>
                    <w:rPr>
                      <w:rFonts w:hint="eastAsia" w:cs="Times New Roman"/>
                      <w:b w:val="0"/>
                      <w:bCs w:val="0"/>
                      <w:color w:val="000000"/>
                      <w:sz w:val="21"/>
                      <w:szCs w:val="21"/>
                      <w:lang w:val="en-US" w:eastAsia="zh-CN"/>
                    </w:rPr>
                    <w:t>二</w:t>
                  </w:r>
                  <w:r>
                    <w:rPr>
                      <w:rFonts w:hint="default" w:ascii="Times New Roman" w:hAnsi="Times New Roman" w:eastAsia="宋体" w:cs="Times New Roman"/>
                      <w:b w:val="0"/>
                      <w:bCs w:val="0"/>
                      <w:color w:val="000000"/>
                      <w:sz w:val="21"/>
                      <w:szCs w:val="21"/>
                    </w:rPr>
                    <w:t>污水处理厂；本项目由产业集聚区供电管网供电</w:t>
                  </w:r>
                </w:p>
              </w:tc>
              <w:tc>
                <w:tcPr>
                  <w:tcW w:w="680" w:type="pct"/>
                  <w:noWrap w:val="0"/>
                  <w:tcMar>
                    <w:left w:w="0" w:type="dxa"/>
                    <w:right w:w="0" w:type="dxa"/>
                  </w:tcMar>
                  <w:vAlign w:val="center"/>
                </w:tcPr>
                <w:p w14:paraId="54A6047E">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r w14:paraId="74A7A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2767" w:type="pct"/>
                  <w:noWrap w:val="0"/>
                  <w:tcMar>
                    <w:left w:w="0" w:type="dxa"/>
                    <w:right w:w="0" w:type="dxa"/>
                  </w:tcMar>
                  <w:vAlign w:val="center"/>
                </w:tcPr>
                <w:p w14:paraId="5F1DAD52">
                  <w:pPr>
                    <w:autoSpaceDE w:val="0"/>
                    <w:autoSpaceDN w:val="0"/>
                    <w:adjustRightInd w:val="0"/>
                    <w:snapToGrid w:val="0"/>
                    <w:rPr>
                      <w:rFonts w:hint="default" w:ascii="Times New Roman" w:hAnsi="Times New Roman" w:eastAsia="宋体" w:cs="Times New Roman"/>
                      <w:b w:val="0"/>
                      <w:bCs w:val="0"/>
                      <w:color w:val="000000"/>
                      <w:sz w:val="21"/>
                      <w:szCs w:val="21"/>
                      <w:lang w:val="zh-CN"/>
                    </w:rPr>
                  </w:pPr>
                  <w:r>
                    <w:rPr>
                      <w:rFonts w:hint="default" w:ascii="Times New Roman" w:hAnsi="Times New Roman" w:eastAsia="宋体" w:cs="Times New Roman"/>
                      <w:b w:val="0"/>
                      <w:bCs w:val="0"/>
                      <w:color w:val="000000"/>
                      <w:sz w:val="21"/>
                      <w:szCs w:val="21"/>
                      <w:lang w:val="zh-CN"/>
                    </w:rPr>
                    <w:t>（四）严格控制污染物排放。严格执行污染物排放总量控制制度，采取调整能源结构、加强污染治理、区域综合整治等措施，严格控制烟粉尘、二氧化硫、氮氧化物、VOCs等大气污染物的排放。加快涂装、家具、印刷等行业有机废气治理措施提升改造。进一步提高中水回用率，减少废水排放量，保证污水处理设施的正常运行，确保污水处理厂出水执行《城镇污水处理厂污染物排放标准》（GB18918-2002）一级标准的A标准，减轻对纳污水体的影响。</w:t>
                  </w:r>
                </w:p>
              </w:tc>
              <w:tc>
                <w:tcPr>
                  <w:tcW w:w="1552" w:type="pct"/>
                  <w:noWrap w:val="0"/>
                  <w:tcMar>
                    <w:left w:w="0" w:type="dxa"/>
                    <w:right w:w="0" w:type="dxa"/>
                  </w:tcMar>
                  <w:vAlign w:val="center"/>
                </w:tcPr>
                <w:p w14:paraId="2B70992A">
                  <w:pPr>
                    <w:autoSpaceDE w:val="0"/>
                    <w:autoSpaceDN w:val="0"/>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生产废水循环利用效率较高，废水经处理后满足《污水综合排放标准》（GB8978-1996）表4三级标准和淮阳区污水处理厂进水水质要求后排入淮阳区第</w:t>
                  </w:r>
                  <w:r>
                    <w:rPr>
                      <w:rFonts w:hint="eastAsia" w:cs="Times New Roman"/>
                      <w:b w:val="0"/>
                      <w:bCs w:val="0"/>
                      <w:color w:val="000000"/>
                      <w:sz w:val="21"/>
                      <w:szCs w:val="21"/>
                      <w:lang w:val="en-US" w:eastAsia="zh-CN"/>
                    </w:rPr>
                    <w:t>二</w:t>
                  </w:r>
                  <w:r>
                    <w:rPr>
                      <w:rFonts w:hint="default" w:ascii="Times New Roman" w:hAnsi="Times New Roman" w:eastAsia="宋体" w:cs="Times New Roman"/>
                      <w:b w:val="0"/>
                      <w:bCs w:val="0"/>
                      <w:color w:val="000000"/>
                      <w:sz w:val="21"/>
                      <w:szCs w:val="21"/>
                    </w:rPr>
                    <w:t>污水处理厂进一步处理</w:t>
                  </w:r>
                </w:p>
              </w:tc>
              <w:tc>
                <w:tcPr>
                  <w:tcW w:w="680" w:type="pct"/>
                  <w:noWrap w:val="0"/>
                  <w:tcMar>
                    <w:left w:w="0" w:type="dxa"/>
                    <w:right w:w="0" w:type="dxa"/>
                  </w:tcMar>
                  <w:vAlign w:val="center"/>
                </w:tcPr>
                <w:p w14:paraId="39B665E3">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r w14:paraId="448F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97" w:hRule="atLeast"/>
                <w:jc w:val="center"/>
              </w:trPr>
              <w:tc>
                <w:tcPr>
                  <w:tcW w:w="2767" w:type="pct"/>
                  <w:noWrap w:val="0"/>
                  <w:tcMar>
                    <w:left w:w="0" w:type="dxa"/>
                    <w:right w:w="0" w:type="dxa"/>
                  </w:tcMar>
                  <w:vAlign w:val="center"/>
                </w:tcPr>
                <w:p w14:paraId="45CEBC96">
                  <w:pPr>
                    <w:autoSpaceDE w:val="0"/>
                    <w:autoSpaceDN w:val="0"/>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lang w:val="zh-CN"/>
                    </w:rPr>
                    <w:t>（五）建立健全园区环境风险管理体系。加快环境风险预警体系建设，健全环境风险单位信息库，严格危险化学品管理；建立完善有效的环境风险防控设施和有效的拦截、降污、导流等措施，防止对地表水环境造成危害；完善园区级综合环境应急预案，有计划地组织应急培训和演练，全面提升园区风险防控和事故应急处置能力。</w:t>
                  </w:r>
                </w:p>
              </w:tc>
              <w:tc>
                <w:tcPr>
                  <w:tcW w:w="1552" w:type="pct"/>
                  <w:noWrap w:val="0"/>
                  <w:tcMar>
                    <w:left w:w="0" w:type="dxa"/>
                    <w:right w:w="0" w:type="dxa"/>
                  </w:tcMar>
                  <w:vAlign w:val="center"/>
                </w:tcPr>
                <w:p w14:paraId="238B2296">
                  <w:pPr>
                    <w:autoSpaceDE w:val="0"/>
                    <w:autoSpaceDN w:val="0"/>
                    <w:adjustRightInd w:val="0"/>
                    <w:snapToGrid w:val="0"/>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企业应按照要求采取相应的事故风险防范和应急措施</w:t>
                  </w:r>
                </w:p>
              </w:tc>
              <w:tc>
                <w:tcPr>
                  <w:tcW w:w="680" w:type="pct"/>
                  <w:noWrap w:val="0"/>
                  <w:tcMar>
                    <w:left w:w="0" w:type="dxa"/>
                    <w:right w:w="0" w:type="dxa"/>
                  </w:tcMar>
                  <w:vAlign w:val="center"/>
                </w:tcPr>
                <w:p w14:paraId="2D31EBF8">
                  <w:pPr>
                    <w:autoSpaceDE w:val="0"/>
                    <w:autoSpaceDN w:val="0"/>
                    <w:adjustRightInd w:val="0"/>
                    <w:snapToGrid w:val="0"/>
                    <w:jc w:val="center"/>
                    <w:rPr>
                      <w:rFonts w:hint="default" w:ascii="Times New Roman" w:hAnsi="Times New Roman" w:eastAsia="宋体" w:cs="Times New Roman"/>
                      <w:b w:val="0"/>
                      <w:bCs w:val="0"/>
                      <w:color w:val="000000"/>
                      <w:sz w:val="21"/>
                      <w:szCs w:val="21"/>
                    </w:rPr>
                  </w:pPr>
                  <w:r>
                    <w:rPr>
                      <w:rFonts w:hint="default" w:ascii="Times New Roman" w:hAnsi="Times New Roman" w:eastAsia="宋体" w:cs="Times New Roman"/>
                      <w:b w:val="0"/>
                      <w:bCs w:val="0"/>
                      <w:color w:val="000000"/>
                      <w:sz w:val="21"/>
                      <w:szCs w:val="21"/>
                    </w:rPr>
                    <w:t>相符</w:t>
                  </w:r>
                </w:p>
              </w:tc>
            </w:tr>
          </w:tbl>
          <w:p w14:paraId="52F94C4B">
            <w:pPr>
              <w:spacing w:line="360" w:lineRule="auto"/>
              <w:ind w:firstLine="480" w:firstLineChars="200"/>
              <w:jc w:val="left"/>
              <w:rPr>
                <w:b w:val="0"/>
                <w:bCs w:val="0"/>
                <w:color w:val="000000"/>
                <w:sz w:val="24"/>
              </w:rPr>
            </w:pPr>
            <w:r>
              <w:rPr>
                <w:b w:val="0"/>
                <w:bCs w:val="0"/>
                <w:color w:val="000000"/>
                <w:sz w:val="24"/>
              </w:rPr>
              <w:t>由</w:t>
            </w:r>
            <w:r>
              <w:rPr>
                <w:rFonts w:hint="eastAsia"/>
                <w:b w:val="0"/>
                <w:bCs w:val="0"/>
                <w:color w:val="000000"/>
                <w:sz w:val="24"/>
              </w:rPr>
              <w:t>上表可知， 项目建设符合</w:t>
            </w:r>
            <w:r>
              <w:rPr>
                <w:b w:val="0"/>
                <w:bCs w:val="0"/>
                <w:color w:val="000000"/>
                <w:sz w:val="24"/>
              </w:rPr>
              <w:t>《淮阳县产业集聚区发展规划环境影响跟踪评价报告书》</w:t>
            </w:r>
            <w:r>
              <w:rPr>
                <w:rFonts w:hint="eastAsia"/>
                <w:b w:val="0"/>
                <w:bCs w:val="0"/>
                <w:color w:val="000000"/>
                <w:sz w:val="24"/>
              </w:rPr>
              <w:t>及</w:t>
            </w:r>
            <w:r>
              <w:rPr>
                <w:b w:val="0"/>
                <w:bCs w:val="0"/>
                <w:color w:val="000000"/>
                <w:sz w:val="24"/>
              </w:rPr>
              <w:t>审核意见中相关</w:t>
            </w:r>
            <w:r>
              <w:rPr>
                <w:rFonts w:hint="eastAsia"/>
                <w:b w:val="0"/>
                <w:bCs w:val="0"/>
                <w:color w:val="000000"/>
                <w:sz w:val="24"/>
              </w:rPr>
              <w:t>要求</w:t>
            </w:r>
            <w:r>
              <w:rPr>
                <w:b w:val="0"/>
                <w:bCs w:val="0"/>
                <w:color w:val="000000"/>
                <w:sz w:val="24"/>
              </w:rPr>
              <w:t>。</w:t>
            </w:r>
          </w:p>
          <w:p w14:paraId="778CDEAA">
            <w:pPr>
              <w:keepNext w:val="0"/>
              <w:keepLines w:val="0"/>
              <w:widowControl/>
              <w:suppressLineNumbers w:val="0"/>
              <w:spacing w:line="360" w:lineRule="auto"/>
              <w:jc w:val="left"/>
            </w:pPr>
            <w:r>
              <w:rPr>
                <w:rFonts w:hint="eastAsia"/>
                <w:b w:val="0"/>
                <w:bCs w:val="0"/>
                <w:color w:val="000000"/>
                <w:sz w:val="24"/>
                <w:lang w:val="en-US" w:eastAsia="zh-CN"/>
              </w:rPr>
              <w:t>5、</w:t>
            </w:r>
            <w:r>
              <w:rPr>
                <w:rFonts w:hint="eastAsia" w:ascii="宋体" w:hAnsi="宋体" w:eastAsia="宋体" w:cs="宋体"/>
                <w:b/>
                <w:bCs/>
                <w:color w:val="000000"/>
                <w:kern w:val="0"/>
                <w:sz w:val="24"/>
                <w:szCs w:val="24"/>
                <w:lang w:val="en-US" w:eastAsia="zh-CN" w:bidi="ar"/>
              </w:rPr>
              <w:t>与《淮阳县城乡总体规划》（</w:t>
            </w:r>
            <w:r>
              <w:rPr>
                <w:rFonts w:hint="default" w:ascii="Times New Roman" w:hAnsi="Times New Roman" w:eastAsia="宋体" w:cs="Times New Roman"/>
                <w:b/>
                <w:bCs/>
                <w:color w:val="000000"/>
                <w:kern w:val="0"/>
                <w:sz w:val="24"/>
                <w:szCs w:val="24"/>
                <w:lang w:val="en-US" w:eastAsia="zh-CN" w:bidi="ar"/>
              </w:rPr>
              <w:t>2016-2035</w:t>
            </w:r>
            <w:r>
              <w:rPr>
                <w:rFonts w:hint="eastAsia" w:ascii="宋体" w:hAnsi="宋体" w:eastAsia="宋体" w:cs="宋体"/>
                <w:b/>
                <w:bCs/>
                <w:color w:val="000000"/>
                <w:kern w:val="0"/>
                <w:sz w:val="24"/>
                <w:szCs w:val="24"/>
                <w:lang w:val="en-US" w:eastAsia="zh-CN" w:bidi="ar"/>
              </w:rPr>
              <w:t xml:space="preserve">）的相符性分析 </w:t>
            </w:r>
          </w:p>
          <w:p w14:paraId="47D028F3">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w:t>
            </w:r>
            <w:r>
              <w:rPr>
                <w:rFonts w:hint="default" w:ascii="Times New Roman" w:hAnsi="Times New Roman" w:eastAsia="宋体" w:cs="Times New Roman"/>
                <w:b/>
                <w:bCs/>
                <w:color w:val="000000"/>
                <w:kern w:val="0"/>
                <w:sz w:val="24"/>
                <w:szCs w:val="24"/>
                <w:u w:val="single"/>
                <w:lang w:val="en-US" w:eastAsia="zh-CN" w:bidi="ar"/>
              </w:rPr>
              <w:t>1</w:t>
            </w:r>
            <w:r>
              <w:rPr>
                <w:rFonts w:hint="eastAsia" w:ascii="宋体" w:hAnsi="宋体" w:eastAsia="宋体" w:cs="宋体"/>
                <w:b/>
                <w:bCs/>
                <w:color w:val="000000"/>
                <w:kern w:val="0"/>
                <w:sz w:val="24"/>
                <w:szCs w:val="24"/>
                <w:u w:val="single"/>
                <w:lang w:val="en-US" w:eastAsia="zh-CN" w:bidi="ar"/>
              </w:rPr>
              <w:t xml:space="preserve">）规划期限与范围 </w:t>
            </w:r>
          </w:p>
          <w:p w14:paraId="373EB09D">
            <w:pPr>
              <w:keepNext w:val="0"/>
              <w:keepLines w:val="0"/>
              <w:widowControl/>
              <w:suppressLineNumbers w:val="0"/>
              <w:spacing w:line="360" w:lineRule="auto"/>
              <w:ind w:firstLine="482" w:firstLineChars="200"/>
              <w:jc w:val="left"/>
              <w:rPr>
                <w:rFonts w:hint="eastAsia" w:ascii="宋体" w:hAnsi="宋体" w:eastAsia="宋体" w:cs="宋体"/>
                <w:b/>
                <w:bCs/>
                <w:color w:val="000000"/>
                <w:kern w:val="0"/>
                <w:sz w:val="24"/>
                <w:szCs w:val="24"/>
                <w:u w:val="single"/>
                <w:lang w:val="en-US" w:eastAsia="zh-CN" w:bidi="ar"/>
              </w:rPr>
            </w:pPr>
            <w:r>
              <w:rPr>
                <w:rFonts w:hint="eastAsia" w:ascii="宋体" w:hAnsi="宋体" w:eastAsia="宋体" w:cs="宋体"/>
                <w:b/>
                <w:bCs/>
                <w:color w:val="000000"/>
                <w:kern w:val="0"/>
                <w:sz w:val="24"/>
                <w:szCs w:val="24"/>
                <w:u w:val="single"/>
                <w:lang w:val="en-US" w:eastAsia="zh-CN" w:bidi="ar"/>
              </w:rPr>
              <w:t xml:space="preserve">编制期限为 </w:t>
            </w:r>
            <w:r>
              <w:rPr>
                <w:rFonts w:hint="default" w:ascii="Times New Roman" w:hAnsi="Times New Roman" w:eastAsia="宋体" w:cs="Times New Roman"/>
                <w:b/>
                <w:bCs/>
                <w:color w:val="000000"/>
                <w:kern w:val="0"/>
                <w:sz w:val="24"/>
                <w:szCs w:val="24"/>
                <w:u w:val="single"/>
                <w:lang w:val="en-US" w:eastAsia="zh-CN" w:bidi="ar"/>
              </w:rPr>
              <w:t xml:space="preserve">2016-2035 </w:t>
            </w:r>
            <w:r>
              <w:rPr>
                <w:rFonts w:hint="eastAsia" w:ascii="宋体" w:hAnsi="宋体" w:eastAsia="宋体" w:cs="宋体"/>
                <w:b/>
                <w:bCs/>
                <w:color w:val="000000"/>
                <w:kern w:val="0"/>
                <w:sz w:val="24"/>
                <w:szCs w:val="24"/>
                <w:u w:val="single"/>
                <w:lang w:val="en-US" w:eastAsia="zh-CN" w:bidi="ar"/>
              </w:rPr>
              <w:t>年，其中近期：</w:t>
            </w:r>
            <w:r>
              <w:rPr>
                <w:rFonts w:hint="default" w:ascii="Times New Roman" w:hAnsi="Times New Roman" w:eastAsia="宋体" w:cs="Times New Roman"/>
                <w:b/>
                <w:bCs/>
                <w:color w:val="000000"/>
                <w:kern w:val="0"/>
                <w:sz w:val="24"/>
                <w:szCs w:val="24"/>
                <w:u w:val="single"/>
                <w:lang w:val="en-US" w:eastAsia="zh-CN" w:bidi="ar"/>
              </w:rPr>
              <w:t xml:space="preserve">2016-2020 </w:t>
            </w:r>
            <w:r>
              <w:rPr>
                <w:rFonts w:hint="eastAsia" w:ascii="宋体" w:hAnsi="宋体" w:eastAsia="宋体" w:cs="宋体"/>
                <w:b/>
                <w:bCs/>
                <w:color w:val="000000"/>
                <w:kern w:val="0"/>
                <w:sz w:val="24"/>
                <w:szCs w:val="24"/>
                <w:u w:val="single"/>
                <w:lang w:val="en-US" w:eastAsia="zh-CN" w:bidi="ar"/>
              </w:rPr>
              <w:t>年，远期：</w:t>
            </w:r>
            <w:r>
              <w:rPr>
                <w:rFonts w:hint="default" w:ascii="Times New Roman" w:hAnsi="Times New Roman" w:eastAsia="宋体" w:cs="Times New Roman"/>
                <w:b/>
                <w:bCs/>
                <w:color w:val="000000"/>
                <w:kern w:val="0"/>
                <w:sz w:val="24"/>
                <w:szCs w:val="24"/>
                <w:u w:val="single"/>
                <w:lang w:val="en-US" w:eastAsia="zh-CN" w:bidi="ar"/>
              </w:rPr>
              <w:t xml:space="preserve">2022-2035 </w:t>
            </w:r>
            <w:r>
              <w:rPr>
                <w:rFonts w:hint="eastAsia" w:ascii="宋体" w:hAnsi="宋体" w:eastAsia="宋体" w:cs="宋体"/>
                <w:b/>
                <w:bCs/>
                <w:color w:val="000000"/>
                <w:kern w:val="0"/>
                <w:sz w:val="24"/>
                <w:szCs w:val="24"/>
                <w:u w:val="single"/>
                <w:lang w:val="en-US" w:eastAsia="zh-CN" w:bidi="ar"/>
              </w:rPr>
              <w:t>年。</w:t>
            </w:r>
          </w:p>
          <w:p w14:paraId="2A05988C">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本规划分为淮阳县域、城市规划区、中心城区三个层次范围，其中：</w:t>
            </w:r>
            <w:r>
              <w:rPr>
                <w:rFonts w:hint="default" w:ascii="Times New Roman" w:hAnsi="Times New Roman" w:eastAsia="宋体" w:cs="Times New Roman"/>
                <w:b/>
                <w:bCs/>
                <w:color w:val="000000"/>
                <w:kern w:val="0"/>
                <w:sz w:val="24"/>
                <w:szCs w:val="24"/>
                <w:u w:val="single"/>
                <w:lang w:val="en-US" w:eastAsia="zh-CN" w:bidi="ar"/>
              </w:rPr>
              <w:t>1</w:t>
            </w:r>
            <w:r>
              <w:rPr>
                <w:rFonts w:hint="eastAsia" w:ascii="宋体" w:hAnsi="宋体" w:eastAsia="宋体" w:cs="宋体"/>
                <w:b/>
                <w:bCs/>
                <w:color w:val="000000"/>
                <w:kern w:val="0"/>
                <w:sz w:val="24"/>
                <w:szCs w:val="24"/>
                <w:u w:val="single"/>
                <w:lang w:val="en-US" w:eastAsia="zh-CN" w:bidi="ar"/>
              </w:rPr>
              <w:t xml:space="preserve">）县 域层次：淮阳县所辖行政范围，总面积 </w:t>
            </w:r>
            <w:r>
              <w:rPr>
                <w:rFonts w:hint="default" w:ascii="Times New Roman" w:hAnsi="Times New Roman" w:eastAsia="宋体" w:cs="Times New Roman"/>
                <w:b/>
                <w:bCs/>
                <w:color w:val="000000"/>
                <w:kern w:val="0"/>
                <w:sz w:val="24"/>
                <w:szCs w:val="24"/>
                <w:u w:val="single"/>
                <w:lang w:val="en-US" w:eastAsia="zh-CN" w:bidi="ar"/>
              </w:rPr>
              <w:t xml:space="preserve">1334.55 </w:t>
            </w:r>
            <w:r>
              <w:rPr>
                <w:rFonts w:hint="eastAsia" w:ascii="宋体" w:hAnsi="宋体" w:eastAsia="宋体" w:cs="宋体"/>
                <w:b/>
                <w:bCs/>
                <w:color w:val="000000"/>
                <w:kern w:val="0"/>
                <w:sz w:val="24"/>
                <w:szCs w:val="24"/>
                <w:u w:val="single"/>
                <w:lang w:val="en-US" w:eastAsia="zh-CN" w:bidi="ar"/>
              </w:rPr>
              <w:t>平方公里。</w:t>
            </w:r>
            <w:r>
              <w:rPr>
                <w:rFonts w:hint="default" w:ascii="Times New Roman" w:hAnsi="Times New Roman" w:eastAsia="宋体" w:cs="Times New Roman"/>
                <w:b/>
                <w:bCs/>
                <w:color w:val="000000"/>
                <w:kern w:val="0"/>
                <w:sz w:val="24"/>
                <w:szCs w:val="24"/>
                <w:u w:val="single"/>
                <w:lang w:val="en-US" w:eastAsia="zh-CN" w:bidi="ar"/>
              </w:rPr>
              <w:t>2</w:t>
            </w:r>
            <w:r>
              <w:rPr>
                <w:rFonts w:hint="eastAsia" w:ascii="宋体" w:hAnsi="宋体" w:eastAsia="宋体" w:cs="宋体"/>
                <w:b/>
                <w:bCs/>
                <w:color w:val="000000"/>
                <w:kern w:val="0"/>
                <w:sz w:val="24"/>
                <w:szCs w:val="24"/>
                <w:u w:val="single"/>
                <w:lang w:val="en-US" w:eastAsia="zh-CN" w:bidi="ar"/>
              </w:rPr>
              <w:t>）城市规划区层次：淮阳中心城区及因城市发展需要而控制的区域。西至淮阳县界；北至郑集乡、白楼镇行政边界；东至新蔡河，南至王店乡行政边界，面积总计</w:t>
            </w:r>
            <w:r>
              <w:rPr>
                <w:rFonts w:hint="default" w:ascii="Times New Roman" w:hAnsi="Times New Roman" w:eastAsia="宋体" w:cs="Times New Roman"/>
                <w:b/>
                <w:bCs/>
                <w:color w:val="000000"/>
                <w:kern w:val="0"/>
                <w:sz w:val="24"/>
                <w:szCs w:val="24"/>
                <w:u w:val="single"/>
                <w:lang w:val="en-US" w:eastAsia="zh-CN" w:bidi="ar"/>
              </w:rPr>
              <w:t xml:space="preserve">280.6 </w:t>
            </w:r>
            <w:r>
              <w:rPr>
                <w:rFonts w:hint="eastAsia" w:ascii="宋体" w:hAnsi="宋体" w:eastAsia="宋体" w:cs="宋体"/>
                <w:b/>
                <w:bCs/>
                <w:color w:val="000000"/>
                <w:kern w:val="0"/>
                <w:sz w:val="24"/>
                <w:szCs w:val="24"/>
                <w:u w:val="single"/>
                <w:lang w:val="en-US" w:eastAsia="zh-CN" w:bidi="ar"/>
              </w:rPr>
              <w:t>平方公里。</w:t>
            </w:r>
            <w:r>
              <w:rPr>
                <w:rFonts w:hint="default" w:ascii="Times New Roman" w:hAnsi="Times New Roman" w:eastAsia="宋体" w:cs="Times New Roman"/>
                <w:b/>
                <w:bCs/>
                <w:color w:val="000000"/>
                <w:kern w:val="0"/>
                <w:sz w:val="24"/>
                <w:szCs w:val="24"/>
                <w:u w:val="single"/>
                <w:lang w:val="en-US" w:eastAsia="zh-CN" w:bidi="ar"/>
              </w:rPr>
              <w:t>3</w:t>
            </w:r>
            <w:r>
              <w:rPr>
                <w:rFonts w:hint="eastAsia" w:ascii="宋体" w:hAnsi="宋体" w:eastAsia="宋体" w:cs="宋体"/>
                <w:b/>
                <w:bCs/>
                <w:color w:val="000000"/>
                <w:kern w:val="0"/>
                <w:sz w:val="24"/>
                <w:szCs w:val="24"/>
                <w:u w:val="single"/>
                <w:lang w:val="en-US" w:eastAsia="zh-CN" w:bidi="ar"/>
              </w:rPr>
              <w:t xml:space="preserve">）中心城区层次：指城市规划区内连片的城市建设用地，总面积为 </w:t>
            </w:r>
            <w:r>
              <w:rPr>
                <w:rFonts w:hint="default" w:ascii="Times New Roman" w:hAnsi="Times New Roman" w:eastAsia="宋体" w:cs="Times New Roman"/>
                <w:b/>
                <w:bCs/>
                <w:color w:val="000000"/>
                <w:kern w:val="0"/>
                <w:sz w:val="24"/>
                <w:szCs w:val="24"/>
                <w:u w:val="single"/>
                <w:lang w:val="en-US" w:eastAsia="zh-CN" w:bidi="ar"/>
              </w:rPr>
              <w:t xml:space="preserve">52 </w:t>
            </w:r>
            <w:r>
              <w:rPr>
                <w:rFonts w:hint="eastAsia" w:ascii="宋体" w:hAnsi="宋体" w:eastAsia="宋体" w:cs="宋体"/>
                <w:b/>
                <w:bCs/>
                <w:color w:val="000000"/>
                <w:kern w:val="0"/>
                <w:sz w:val="24"/>
                <w:szCs w:val="24"/>
                <w:u w:val="single"/>
                <w:lang w:val="en-US" w:eastAsia="zh-CN" w:bidi="ar"/>
              </w:rPr>
              <w:t xml:space="preserve">平方公里。 </w:t>
            </w:r>
          </w:p>
          <w:p w14:paraId="5C10A65D">
            <w:pPr>
              <w:keepNext w:val="0"/>
              <w:keepLines w:val="0"/>
              <w:widowControl/>
              <w:suppressLineNumbers w:val="0"/>
              <w:spacing w:line="360" w:lineRule="auto"/>
              <w:jc w:val="left"/>
              <w:rPr>
                <w:b/>
                <w:bCs/>
                <w:u w:val="single"/>
              </w:rPr>
            </w:pPr>
            <w:r>
              <w:rPr>
                <w:rFonts w:hint="eastAsia" w:ascii="宋体" w:hAnsi="宋体" w:eastAsia="宋体" w:cs="宋体"/>
                <w:b/>
                <w:bCs/>
                <w:color w:val="000000"/>
                <w:kern w:val="0"/>
                <w:sz w:val="24"/>
                <w:szCs w:val="24"/>
                <w:u w:val="single"/>
                <w:lang w:val="en-US" w:eastAsia="zh-CN" w:bidi="ar"/>
              </w:rPr>
              <w:t>（</w:t>
            </w:r>
            <w:r>
              <w:rPr>
                <w:rFonts w:hint="eastAsia" w:ascii="Times New Roman" w:hAnsi="Times New Roman" w:eastAsia="宋体" w:cs="Times New Roman"/>
                <w:b/>
                <w:bCs/>
                <w:color w:val="000000"/>
                <w:kern w:val="0"/>
                <w:sz w:val="24"/>
                <w:szCs w:val="24"/>
                <w:u w:val="single"/>
                <w:lang w:val="en-US" w:eastAsia="zh-CN" w:bidi="ar"/>
              </w:rPr>
              <w:t>2</w:t>
            </w:r>
            <w:r>
              <w:rPr>
                <w:rFonts w:hint="eastAsia" w:ascii="宋体" w:hAnsi="宋体" w:eastAsia="宋体" w:cs="宋体"/>
                <w:b/>
                <w:bCs/>
                <w:color w:val="000000"/>
                <w:kern w:val="0"/>
                <w:sz w:val="24"/>
                <w:szCs w:val="24"/>
                <w:u w:val="single"/>
                <w:lang w:val="en-US" w:eastAsia="zh-CN" w:bidi="ar"/>
              </w:rPr>
              <w:t xml:space="preserve">）中心城区空间布局规划 </w:t>
            </w:r>
          </w:p>
          <w:p w14:paraId="2C88F55B">
            <w:pPr>
              <w:keepNext w:val="0"/>
              <w:keepLines w:val="0"/>
              <w:widowControl/>
              <w:suppressLineNumbers w:val="0"/>
              <w:spacing w:line="360" w:lineRule="auto"/>
              <w:ind w:firstLine="482" w:firstLineChars="200"/>
              <w:jc w:val="left"/>
              <w:rPr>
                <w:b/>
                <w:bCs/>
                <w:u w:val="single"/>
              </w:rPr>
            </w:pPr>
            <w:r>
              <w:rPr>
                <w:rFonts w:hint="default" w:ascii="Times New Roman" w:hAnsi="Times New Roman" w:eastAsia="宋体" w:cs="Times New Roman"/>
                <w:b/>
                <w:bCs/>
                <w:color w:val="000000"/>
                <w:kern w:val="0"/>
                <w:sz w:val="24"/>
                <w:szCs w:val="24"/>
                <w:u w:val="single"/>
                <w:lang w:val="en-US" w:eastAsia="zh-CN" w:bidi="ar"/>
              </w:rPr>
              <w:t>1</w:t>
            </w:r>
            <w:r>
              <w:rPr>
                <w:rFonts w:hint="eastAsia" w:ascii="宋体" w:hAnsi="宋体" w:eastAsia="宋体" w:cs="宋体"/>
                <w:b/>
                <w:bCs/>
                <w:color w:val="000000"/>
                <w:kern w:val="0"/>
                <w:sz w:val="24"/>
                <w:szCs w:val="24"/>
                <w:u w:val="single"/>
                <w:lang w:val="en-US" w:eastAsia="zh-CN" w:bidi="ar"/>
              </w:rPr>
              <w:t xml:space="preserve">）发展方向 </w:t>
            </w:r>
          </w:p>
          <w:p w14:paraId="411559A0">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中心城区用地发展方向为：向西为主，南北拓展。 </w:t>
            </w:r>
          </w:p>
          <w:p w14:paraId="01C9BC06">
            <w:pPr>
              <w:keepNext w:val="0"/>
              <w:keepLines w:val="0"/>
              <w:widowControl/>
              <w:suppressLineNumbers w:val="0"/>
              <w:spacing w:line="360" w:lineRule="auto"/>
              <w:ind w:firstLine="482" w:firstLineChars="200"/>
              <w:jc w:val="left"/>
              <w:rPr>
                <w:b/>
                <w:bCs/>
                <w:u w:val="single"/>
              </w:rPr>
            </w:pPr>
            <w:r>
              <w:rPr>
                <w:rFonts w:hint="default" w:ascii="Times New Roman" w:hAnsi="Times New Roman" w:eastAsia="宋体" w:cs="Times New Roman"/>
                <w:b/>
                <w:bCs/>
                <w:color w:val="000000"/>
                <w:kern w:val="0"/>
                <w:sz w:val="24"/>
                <w:szCs w:val="24"/>
                <w:u w:val="single"/>
                <w:lang w:val="en-US" w:eastAsia="zh-CN" w:bidi="ar"/>
              </w:rPr>
              <w:t>2</w:t>
            </w:r>
            <w:r>
              <w:rPr>
                <w:rFonts w:hint="eastAsia" w:ascii="宋体" w:hAnsi="宋体" w:eastAsia="宋体" w:cs="宋体"/>
                <w:b/>
                <w:bCs/>
                <w:color w:val="000000"/>
                <w:kern w:val="0"/>
                <w:sz w:val="24"/>
                <w:szCs w:val="24"/>
                <w:u w:val="single"/>
                <w:lang w:val="en-US" w:eastAsia="zh-CN" w:bidi="ar"/>
              </w:rPr>
              <w:t xml:space="preserve">）中心城区的规划城市建设用地范围和规模 </w:t>
            </w:r>
          </w:p>
          <w:p w14:paraId="4698065B">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到</w:t>
            </w:r>
            <w:r>
              <w:rPr>
                <w:rFonts w:hint="default" w:ascii="Times New Roman" w:hAnsi="Times New Roman" w:eastAsia="宋体" w:cs="Times New Roman"/>
                <w:b/>
                <w:bCs/>
                <w:color w:val="000000"/>
                <w:kern w:val="0"/>
                <w:sz w:val="24"/>
                <w:szCs w:val="24"/>
                <w:u w:val="single"/>
                <w:lang w:val="en-US" w:eastAsia="zh-CN" w:bidi="ar"/>
              </w:rPr>
              <w:t xml:space="preserve">2035 </w:t>
            </w:r>
            <w:r>
              <w:rPr>
                <w:rFonts w:hint="eastAsia" w:ascii="宋体" w:hAnsi="宋体" w:eastAsia="宋体" w:cs="宋体"/>
                <w:b/>
                <w:bCs/>
                <w:color w:val="000000"/>
                <w:kern w:val="0"/>
                <w:sz w:val="24"/>
                <w:szCs w:val="24"/>
                <w:u w:val="single"/>
                <w:lang w:val="en-US" w:eastAsia="zh-CN" w:bidi="ar"/>
              </w:rPr>
              <w:t xml:space="preserve">年，中心城区城市建设用地面积控制在 </w:t>
            </w:r>
            <w:r>
              <w:rPr>
                <w:rFonts w:hint="default" w:ascii="Times New Roman" w:hAnsi="Times New Roman" w:eastAsia="宋体" w:cs="Times New Roman"/>
                <w:b/>
                <w:bCs/>
                <w:color w:val="000000"/>
                <w:kern w:val="0"/>
                <w:sz w:val="24"/>
                <w:szCs w:val="24"/>
                <w:u w:val="single"/>
                <w:lang w:val="en-US" w:eastAsia="zh-CN" w:bidi="ar"/>
              </w:rPr>
              <w:t xml:space="preserve">52 </w:t>
            </w:r>
            <w:r>
              <w:rPr>
                <w:rFonts w:hint="eastAsia" w:ascii="宋体" w:hAnsi="宋体" w:eastAsia="宋体" w:cs="宋体"/>
                <w:b/>
                <w:bCs/>
                <w:color w:val="000000"/>
                <w:kern w:val="0"/>
                <w:sz w:val="24"/>
                <w:szCs w:val="24"/>
                <w:u w:val="single"/>
                <w:lang w:val="en-US" w:eastAsia="zh-CN" w:bidi="ar"/>
              </w:rPr>
              <w:t xml:space="preserve">平方公里以内，人均建设 用地面积控制在 </w:t>
            </w:r>
            <w:r>
              <w:rPr>
                <w:rFonts w:hint="default" w:ascii="Times New Roman" w:hAnsi="Times New Roman" w:eastAsia="宋体" w:cs="Times New Roman"/>
                <w:b/>
                <w:bCs/>
                <w:color w:val="000000"/>
                <w:kern w:val="0"/>
                <w:sz w:val="24"/>
                <w:szCs w:val="24"/>
                <w:u w:val="single"/>
                <w:lang w:val="en-US" w:eastAsia="zh-CN" w:bidi="ar"/>
              </w:rPr>
              <w:t xml:space="preserve">115 </w:t>
            </w:r>
            <w:r>
              <w:rPr>
                <w:rFonts w:hint="eastAsia" w:ascii="宋体" w:hAnsi="宋体" w:eastAsia="宋体" w:cs="宋体"/>
                <w:b/>
                <w:bCs/>
                <w:color w:val="000000"/>
                <w:kern w:val="0"/>
                <w:sz w:val="24"/>
                <w:szCs w:val="24"/>
                <w:u w:val="single"/>
                <w:lang w:val="en-US" w:eastAsia="zh-CN" w:bidi="ar"/>
              </w:rPr>
              <w:t xml:space="preserve">平方米以内；到 </w:t>
            </w:r>
            <w:r>
              <w:rPr>
                <w:rFonts w:hint="default" w:ascii="Times New Roman" w:hAnsi="Times New Roman" w:eastAsia="宋体" w:cs="Times New Roman"/>
                <w:b/>
                <w:bCs/>
                <w:color w:val="000000"/>
                <w:kern w:val="0"/>
                <w:sz w:val="24"/>
                <w:szCs w:val="24"/>
                <w:u w:val="single"/>
                <w:lang w:val="en-US" w:eastAsia="zh-CN" w:bidi="ar"/>
              </w:rPr>
              <w:t xml:space="preserve">2020 </w:t>
            </w:r>
            <w:r>
              <w:rPr>
                <w:rFonts w:hint="eastAsia" w:ascii="宋体" w:hAnsi="宋体" w:eastAsia="宋体" w:cs="宋体"/>
                <w:b/>
                <w:bCs/>
                <w:color w:val="000000"/>
                <w:kern w:val="0"/>
                <w:sz w:val="24"/>
                <w:szCs w:val="24"/>
                <w:u w:val="single"/>
                <w:lang w:val="en-US" w:eastAsia="zh-CN" w:bidi="ar"/>
              </w:rPr>
              <w:t>年，中心城区城市建设用地面积控制在</w:t>
            </w:r>
            <w:r>
              <w:rPr>
                <w:rFonts w:hint="default" w:ascii="Times New Roman" w:hAnsi="Times New Roman" w:eastAsia="宋体" w:cs="Times New Roman"/>
                <w:b/>
                <w:bCs/>
                <w:color w:val="000000"/>
                <w:kern w:val="0"/>
                <w:sz w:val="24"/>
                <w:szCs w:val="24"/>
                <w:u w:val="single"/>
                <w:lang w:val="en-US" w:eastAsia="zh-CN" w:bidi="ar"/>
              </w:rPr>
              <w:t xml:space="preserve">35 </w:t>
            </w:r>
            <w:r>
              <w:rPr>
                <w:rFonts w:hint="eastAsia" w:ascii="宋体" w:hAnsi="宋体" w:eastAsia="宋体" w:cs="宋体"/>
                <w:b/>
                <w:bCs/>
                <w:color w:val="000000"/>
                <w:kern w:val="0"/>
                <w:sz w:val="24"/>
                <w:szCs w:val="24"/>
                <w:u w:val="single"/>
                <w:lang w:val="en-US" w:eastAsia="zh-CN" w:bidi="ar"/>
              </w:rPr>
              <w:t>平方公里以内，人均建设用地面积控制在</w:t>
            </w:r>
            <w:r>
              <w:rPr>
                <w:rFonts w:hint="default" w:ascii="Times New Roman" w:hAnsi="Times New Roman" w:eastAsia="宋体" w:cs="Times New Roman"/>
                <w:b/>
                <w:bCs/>
                <w:color w:val="000000"/>
                <w:kern w:val="0"/>
                <w:sz w:val="24"/>
                <w:szCs w:val="24"/>
                <w:u w:val="single"/>
                <w:lang w:val="en-US" w:eastAsia="zh-CN" w:bidi="ar"/>
              </w:rPr>
              <w:t xml:space="preserve">115 </w:t>
            </w:r>
            <w:r>
              <w:rPr>
                <w:rFonts w:hint="eastAsia" w:ascii="宋体" w:hAnsi="宋体" w:eastAsia="宋体" w:cs="宋体"/>
                <w:b/>
                <w:bCs/>
                <w:color w:val="000000"/>
                <w:kern w:val="0"/>
                <w:sz w:val="24"/>
                <w:szCs w:val="24"/>
                <w:u w:val="single"/>
                <w:lang w:val="en-US" w:eastAsia="zh-CN" w:bidi="ar"/>
              </w:rPr>
              <w:t xml:space="preserve">平方米以内。 </w:t>
            </w:r>
          </w:p>
          <w:p w14:paraId="297EF54D">
            <w:pPr>
              <w:keepNext w:val="0"/>
              <w:keepLines w:val="0"/>
              <w:widowControl/>
              <w:suppressLineNumbers w:val="0"/>
              <w:spacing w:line="360" w:lineRule="auto"/>
              <w:ind w:firstLine="482" w:firstLineChars="200"/>
              <w:jc w:val="left"/>
              <w:rPr>
                <w:b/>
                <w:bCs/>
                <w:u w:val="single"/>
              </w:rPr>
            </w:pPr>
            <w:r>
              <w:rPr>
                <w:rFonts w:hint="default" w:ascii="Times New Roman" w:hAnsi="Times New Roman" w:eastAsia="宋体" w:cs="Times New Roman"/>
                <w:b/>
                <w:bCs/>
                <w:color w:val="000000"/>
                <w:kern w:val="0"/>
                <w:sz w:val="24"/>
                <w:szCs w:val="24"/>
                <w:u w:val="single"/>
                <w:lang w:val="en-US" w:eastAsia="zh-CN" w:bidi="ar"/>
              </w:rPr>
              <w:t>3</w:t>
            </w:r>
            <w:r>
              <w:rPr>
                <w:rFonts w:hint="eastAsia" w:ascii="宋体" w:hAnsi="宋体" w:eastAsia="宋体" w:cs="宋体"/>
                <w:b/>
                <w:bCs/>
                <w:color w:val="000000"/>
                <w:kern w:val="0"/>
                <w:sz w:val="24"/>
                <w:szCs w:val="24"/>
                <w:u w:val="single"/>
                <w:lang w:val="en-US" w:eastAsia="zh-CN" w:bidi="ar"/>
              </w:rPr>
              <w:t xml:space="preserve">）空间结构 </w:t>
            </w:r>
          </w:p>
          <w:p w14:paraId="674D1A1B">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中心城区形成“一城两区、两心三轴四组团”的空间结构。 </w:t>
            </w:r>
          </w:p>
          <w:p w14:paraId="34E2A885">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一城两区：两区分别指西部城区与东部景区。强化东景西城的空间格局，城区景区相向发展，为未来城市与景区空间拓展预留空间。 </w:t>
            </w:r>
          </w:p>
          <w:p w14:paraId="39E55690">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两心：指在古城形成区域旅游服务中心，在羲皇大道与陈州路东段形成的行政及现代服务中心。 </w:t>
            </w:r>
          </w:p>
          <w:p w14:paraId="54BFD619">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三轴：沿新华大街、陈州路等沿线形成东西向的城市历史发展轴、沿羲皇大道形成的南北向城市功能拓展轴，以及在风景名胜区内部，沿南北大街形成的旅游服务发展轴线，串联起城市各个功能分区。四组团：指以老城与龙湖为中心，沿古蔡河、老庄沟等自然生态水系，形成以湖与老城为中心向外辐射的生态景观 </w:t>
            </w:r>
          </w:p>
          <w:p w14:paraId="4D2A6B3C">
            <w:pPr>
              <w:keepNext w:val="0"/>
              <w:keepLines w:val="0"/>
              <w:widowControl/>
              <w:suppressLineNumbers w:val="0"/>
              <w:spacing w:line="360" w:lineRule="auto"/>
              <w:jc w:val="left"/>
              <w:rPr>
                <w:b/>
                <w:bCs/>
                <w:u w:val="single"/>
              </w:rPr>
            </w:pPr>
            <w:r>
              <w:rPr>
                <w:rFonts w:hint="eastAsia" w:ascii="宋体" w:hAnsi="宋体" w:eastAsia="宋体" w:cs="宋体"/>
                <w:b/>
                <w:bCs/>
                <w:color w:val="000000"/>
                <w:kern w:val="0"/>
                <w:sz w:val="24"/>
                <w:szCs w:val="24"/>
                <w:u w:val="single"/>
                <w:lang w:val="en-US" w:eastAsia="zh-CN" w:bidi="ar"/>
              </w:rPr>
              <w:t xml:space="preserve">走廊，将中心城区分割为四个组团：产业集聚区组团、西关新区组团、北关组团、老城组团。 </w:t>
            </w:r>
          </w:p>
          <w:p w14:paraId="6090B434">
            <w:pPr>
              <w:keepNext w:val="0"/>
              <w:keepLines w:val="0"/>
              <w:widowControl/>
              <w:suppressLineNumbers w:val="0"/>
              <w:spacing w:line="360" w:lineRule="auto"/>
              <w:ind w:firstLine="482" w:firstLineChars="200"/>
              <w:jc w:val="left"/>
              <w:rPr>
                <w:rFonts w:hint="default" w:eastAsia="宋体"/>
                <w:lang w:val="en-US" w:eastAsia="zh-CN"/>
              </w:rPr>
            </w:pPr>
            <w:r>
              <w:rPr>
                <w:rFonts w:hint="eastAsia" w:ascii="宋体" w:hAnsi="宋体" w:eastAsia="宋体" w:cs="宋体"/>
                <w:b/>
                <w:bCs/>
                <w:color w:val="000000"/>
                <w:kern w:val="0"/>
                <w:sz w:val="24"/>
                <w:szCs w:val="24"/>
                <w:u w:val="single"/>
                <w:lang w:val="en-US" w:eastAsia="zh-CN" w:bidi="ar"/>
              </w:rPr>
              <w:t>相符性分析：本项目位于周口淮阳高新技术产业开发区（初稿）的战略新兴产业园区，属于淮阳县中心城区，符合淮阳区城乡产业发展规划，与《淮阳县城乡总体规划》（</w:t>
            </w:r>
            <w:r>
              <w:rPr>
                <w:rFonts w:hint="default" w:ascii="Times New Roman" w:hAnsi="Times New Roman" w:eastAsia="宋体" w:cs="Times New Roman"/>
                <w:b/>
                <w:bCs/>
                <w:color w:val="000000"/>
                <w:kern w:val="0"/>
                <w:sz w:val="24"/>
                <w:szCs w:val="24"/>
                <w:u w:val="single"/>
                <w:lang w:val="en-US" w:eastAsia="zh-CN" w:bidi="ar"/>
              </w:rPr>
              <w:t>2016-2035</w:t>
            </w:r>
            <w:r>
              <w:rPr>
                <w:rFonts w:hint="eastAsia" w:ascii="宋体" w:hAnsi="宋体" w:eastAsia="宋体" w:cs="宋体"/>
                <w:b/>
                <w:bCs/>
                <w:color w:val="000000"/>
                <w:kern w:val="0"/>
                <w:sz w:val="24"/>
                <w:szCs w:val="24"/>
                <w:u w:val="single"/>
                <w:lang w:val="en-US" w:eastAsia="zh-CN" w:bidi="ar"/>
              </w:rPr>
              <w:t>）的规划不相冲突。本项目在《淮阳县城乡总体规划》（</w:t>
            </w:r>
            <w:r>
              <w:rPr>
                <w:rFonts w:hint="default" w:ascii="Times New Roman" w:hAnsi="Times New Roman" w:eastAsia="宋体" w:cs="Times New Roman"/>
                <w:b/>
                <w:bCs/>
                <w:color w:val="000000"/>
                <w:kern w:val="0"/>
                <w:sz w:val="24"/>
                <w:szCs w:val="24"/>
                <w:u w:val="single"/>
                <w:lang w:val="en-US" w:eastAsia="zh-CN" w:bidi="ar"/>
              </w:rPr>
              <w:t>2016-2035</w:t>
            </w:r>
            <w:r>
              <w:rPr>
                <w:rFonts w:hint="eastAsia" w:ascii="宋体" w:hAnsi="宋体" w:eastAsia="宋体" w:cs="宋体"/>
                <w:b/>
                <w:bCs/>
                <w:color w:val="000000"/>
                <w:kern w:val="0"/>
                <w:sz w:val="24"/>
                <w:szCs w:val="24"/>
                <w:u w:val="single"/>
                <w:lang w:val="en-US" w:eastAsia="zh-CN" w:bidi="ar"/>
              </w:rPr>
              <w:t>）</w:t>
            </w:r>
            <w:r>
              <w:rPr>
                <w:rFonts w:hint="eastAsia" w:ascii="宋体" w:hAnsi="宋体" w:cs="宋体"/>
                <w:b/>
                <w:bCs/>
                <w:color w:val="000000"/>
                <w:kern w:val="0"/>
                <w:sz w:val="24"/>
                <w:szCs w:val="24"/>
                <w:u w:val="single"/>
                <w:lang w:val="en-US" w:eastAsia="zh-CN" w:bidi="ar"/>
              </w:rPr>
              <w:t>的中心城区用地规划图的位置关系见附图。</w:t>
            </w:r>
          </w:p>
        </w:tc>
      </w:tr>
      <w:tr w14:paraId="5A86D8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20" w:type="dxa"/>
            <w:noWrap w:val="0"/>
            <w:vAlign w:val="center"/>
          </w:tcPr>
          <w:p w14:paraId="1D682489">
            <w:pPr>
              <w:autoSpaceDE w:val="0"/>
              <w:autoSpaceDN w:val="0"/>
              <w:adjustRightInd w:val="0"/>
              <w:snapToGrid w:val="0"/>
              <w:jc w:val="center"/>
              <w:rPr>
                <w:b w:val="0"/>
                <w:bCs w:val="0"/>
                <w:color w:val="FF0000"/>
                <w:sz w:val="24"/>
              </w:rPr>
            </w:pPr>
            <w:r>
              <w:rPr>
                <w:b w:val="0"/>
                <w:bCs w:val="0"/>
                <w:color w:val="000000"/>
                <w:sz w:val="24"/>
              </w:rPr>
              <w:t>其他符合性分析</w:t>
            </w:r>
          </w:p>
        </w:tc>
        <w:tc>
          <w:tcPr>
            <w:tcW w:w="7150" w:type="dxa"/>
            <w:gridSpan w:val="3"/>
            <w:noWrap w:val="0"/>
            <w:vAlign w:val="center"/>
          </w:tcPr>
          <w:p w14:paraId="0E226734">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eastAsia" w:ascii="Times New Roman" w:hAnsi="Times New Roman" w:eastAsia="宋体" w:cs="Times New Roman"/>
                <w:b/>
                <w:bCs/>
                <w:color w:val="000000"/>
              </w:rPr>
            </w:pPr>
            <w:bookmarkStart w:id="10" w:name="_Toc25653"/>
            <w:bookmarkStart w:id="11" w:name="_Toc9483"/>
            <w:r>
              <w:rPr>
                <w:rFonts w:hint="eastAsia" w:ascii="Times New Roman" w:hAnsi="Times New Roman" w:eastAsia="宋体" w:cs="Times New Roman"/>
                <w:b/>
                <w:bCs/>
                <w:color w:val="000000"/>
              </w:rPr>
              <w:t>1、产业政策相符性</w:t>
            </w:r>
            <w:bookmarkEnd w:id="10"/>
            <w:bookmarkEnd w:id="11"/>
          </w:p>
          <w:p w14:paraId="4EDFA437">
            <w:pPr>
              <w:pStyle w:val="96"/>
              <w:ind w:firstLine="480"/>
              <w:rPr>
                <w:b w:val="0"/>
                <w:bCs w:val="0"/>
                <w:color w:val="000000"/>
              </w:rPr>
            </w:pPr>
            <w:r>
              <w:rPr>
                <w:rFonts w:hint="eastAsia"/>
                <w:b w:val="0"/>
                <w:bCs w:val="0"/>
                <w:color w:val="000000"/>
                <w:lang w:val="en-US" w:eastAsia="zh-CN"/>
              </w:rPr>
              <w:t>根据备案证明中的企业声明，项目属于</w:t>
            </w:r>
            <w:r>
              <w:rPr>
                <w:rFonts w:hint="eastAsia"/>
                <w:b w:val="0"/>
                <w:bCs w:val="0"/>
                <w:color w:val="000000"/>
              </w:rPr>
              <w:t>《产业结构指导目录（2024年版）》</w:t>
            </w:r>
            <w:r>
              <w:rPr>
                <w:rFonts w:hint="eastAsia"/>
                <w:b w:val="0"/>
                <w:bCs w:val="0"/>
                <w:color w:val="000000"/>
                <w:lang w:val="en-US" w:eastAsia="zh-CN"/>
              </w:rPr>
              <w:t>中</w:t>
            </w:r>
            <w:r>
              <w:rPr>
                <w:rFonts w:hint="eastAsia"/>
                <w:b w:val="0"/>
                <w:bCs w:val="0"/>
                <w:color w:val="000000"/>
              </w:rPr>
              <w:t>鼓励类</w:t>
            </w:r>
            <w:r>
              <w:rPr>
                <w:rFonts w:hint="eastAsia"/>
                <w:b w:val="0"/>
                <w:bCs w:val="0"/>
                <w:color w:val="000000"/>
                <w:lang w:eastAsia="zh-CN"/>
              </w:rPr>
              <w:t>“</w:t>
            </w:r>
            <w:r>
              <w:rPr>
                <w:rFonts w:hint="eastAsia"/>
                <w:b w:val="0"/>
                <w:bCs w:val="0"/>
                <w:color w:val="000000"/>
              </w:rPr>
              <w:t>第</w:t>
            </w:r>
            <w:r>
              <w:rPr>
                <w:rFonts w:hint="eastAsia"/>
                <w:b w:val="0"/>
                <w:bCs w:val="0"/>
                <w:color w:val="000000"/>
                <w:lang w:val="en-US" w:eastAsia="zh-CN"/>
              </w:rPr>
              <w:t>十二</w:t>
            </w:r>
            <w:r>
              <w:rPr>
                <w:rFonts w:hint="eastAsia"/>
                <w:b w:val="0"/>
                <w:bCs w:val="0"/>
                <w:color w:val="000000"/>
              </w:rPr>
              <w:t>条</w:t>
            </w:r>
            <w:r>
              <w:rPr>
                <w:rFonts w:hint="eastAsia"/>
                <w:b w:val="0"/>
                <w:bCs w:val="0"/>
                <w:color w:val="000000"/>
                <w:lang w:eastAsia="zh-CN"/>
              </w:rPr>
              <w:t>、</w:t>
            </w:r>
            <w:r>
              <w:rPr>
                <w:rFonts w:hint="eastAsia"/>
                <w:b w:val="0"/>
                <w:bCs w:val="0"/>
                <w:color w:val="000000"/>
                <w:lang w:val="en-US" w:eastAsia="zh-CN"/>
              </w:rPr>
              <w:t>建材”中</w:t>
            </w:r>
            <w:r>
              <w:rPr>
                <w:rFonts w:hint="eastAsia"/>
                <w:b w:val="0"/>
                <w:bCs w:val="0"/>
                <w:color w:val="000000"/>
                <w:lang w:eastAsia="zh-CN"/>
              </w:rPr>
              <w:t>“</w:t>
            </w:r>
            <w:r>
              <w:rPr>
                <w:rFonts w:hint="eastAsia"/>
                <w:b w:val="0"/>
                <w:bCs w:val="0"/>
                <w:color w:val="000000"/>
              </w:rPr>
              <w:t>第</w:t>
            </w:r>
            <w:r>
              <w:rPr>
                <w:rFonts w:hint="eastAsia"/>
                <w:b w:val="0"/>
                <w:bCs w:val="0"/>
                <w:color w:val="000000"/>
                <w:lang w:val="en-US" w:eastAsia="zh-CN"/>
              </w:rPr>
              <w:t>2</w:t>
            </w:r>
            <w:r>
              <w:rPr>
                <w:rFonts w:hint="eastAsia"/>
                <w:b w:val="0"/>
                <w:bCs w:val="0"/>
                <w:color w:val="000000"/>
              </w:rPr>
              <w:t>款</w:t>
            </w:r>
            <w:r>
              <w:rPr>
                <w:rFonts w:hint="eastAsia"/>
                <w:b w:val="0"/>
                <w:bCs w:val="0"/>
                <w:color w:val="000000"/>
                <w:lang w:eastAsia="zh-CN"/>
              </w:rPr>
              <w:t>”</w:t>
            </w:r>
            <w:r>
              <w:rPr>
                <w:rFonts w:hint="eastAsia"/>
                <w:b w:val="0"/>
                <w:bCs w:val="0"/>
                <w:color w:val="000000"/>
                <w:lang w:val="en-US" w:eastAsia="zh-CN"/>
              </w:rPr>
              <w:t>中的“节能、 安全、显示、智能调控等功能玻璃产品及技术装备”</w:t>
            </w:r>
            <w:r>
              <w:rPr>
                <w:rFonts w:hint="eastAsia"/>
                <w:b w:val="0"/>
                <w:bCs w:val="0"/>
                <w:color w:val="000000"/>
                <w:lang w:eastAsia="zh-CN"/>
              </w:rPr>
              <w:t>，</w:t>
            </w:r>
            <w:r>
              <w:rPr>
                <w:rFonts w:hint="eastAsia"/>
                <w:b w:val="0"/>
                <w:bCs w:val="0"/>
                <w:color w:val="000000"/>
              </w:rPr>
              <w:t>项目建设符合国家产业政策。</w:t>
            </w:r>
          </w:p>
          <w:p w14:paraId="0C5187AC">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eastAsia" w:ascii="Times New Roman" w:hAnsi="Times New Roman" w:eastAsia="宋体" w:cs="Times New Roman"/>
                <w:b/>
                <w:bCs/>
                <w:color w:val="000000"/>
              </w:rPr>
            </w:pPr>
            <w:bookmarkStart w:id="12" w:name="_Toc3232"/>
            <w:bookmarkStart w:id="13" w:name="_Toc6270"/>
            <w:r>
              <w:rPr>
                <w:rFonts w:hint="eastAsia" w:ascii="Times New Roman" w:hAnsi="Times New Roman" w:eastAsia="宋体" w:cs="Times New Roman"/>
                <w:b/>
                <w:bCs/>
                <w:color w:val="000000"/>
              </w:rPr>
              <w:t>2、</w:t>
            </w:r>
            <w:r>
              <w:rPr>
                <w:rFonts w:hint="eastAsia" w:eastAsia="宋体" w:cs="Times New Roman"/>
                <w:b/>
                <w:bCs/>
                <w:color w:val="000000"/>
                <w:lang w:val="en-US" w:eastAsia="zh-CN"/>
              </w:rPr>
              <w:t>与</w:t>
            </w:r>
            <w:r>
              <w:rPr>
                <w:rFonts w:hint="eastAsia" w:ascii="Times New Roman" w:hAnsi="Times New Roman" w:eastAsia="宋体" w:cs="Times New Roman"/>
                <w:b/>
                <w:bCs/>
                <w:color w:val="000000"/>
              </w:rPr>
              <w:t>“</w:t>
            </w:r>
            <w:r>
              <w:rPr>
                <w:rFonts w:hint="eastAsia" w:ascii="Times New Roman" w:hAnsi="Times New Roman" w:eastAsia="宋体" w:cs="Times New Roman"/>
                <w:b/>
                <w:bCs/>
                <w:color w:val="000000"/>
                <w:lang w:val="en-US" w:eastAsia="zh-CN"/>
              </w:rPr>
              <w:t>河南省生态环境分区管控</w:t>
            </w:r>
            <w:r>
              <w:rPr>
                <w:rFonts w:hint="eastAsia" w:ascii="Times New Roman" w:hAnsi="Times New Roman" w:eastAsia="宋体" w:cs="Times New Roman"/>
                <w:b/>
                <w:bCs/>
                <w:color w:val="000000"/>
              </w:rPr>
              <w:t>”</w:t>
            </w:r>
            <w:r>
              <w:rPr>
                <w:rFonts w:hint="eastAsia" w:eastAsia="宋体" w:cs="Times New Roman"/>
                <w:b/>
                <w:bCs/>
                <w:color w:val="000000"/>
                <w:lang w:val="en-US" w:eastAsia="zh-CN"/>
              </w:rPr>
              <w:t>及“周口市生态环境分区管控方案（2025年版）”</w:t>
            </w:r>
            <w:r>
              <w:rPr>
                <w:rFonts w:hint="eastAsia" w:ascii="Times New Roman" w:hAnsi="Times New Roman" w:eastAsia="宋体" w:cs="Times New Roman"/>
                <w:b/>
                <w:bCs/>
                <w:color w:val="000000"/>
              </w:rPr>
              <w:t>符合性分析</w:t>
            </w:r>
            <w:bookmarkEnd w:id="12"/>
            <w:bookmarkEnd w:id="13"/>
          </w:p>
          <w:p w14:paraId="6680CC29">
            <w:pPr>
              <w:pStyle w:val="96"/>
              <w:ind w:firstLine="480"/>
              <w:rPr>
                <w:rFonts w:hint="eastAsia" w:eastAsia="宋体"/>
                <w:b/>
                <w:bCs/>
                <w:color w:val="000000"/>
                <w:u w:val="single"/>
                <w:lang w:eastAsia="zh-CN"/>
              </w:rPr>
            </w:pPr>
            <w:r>
              <w:rPr>
                <w:b/>
                <w:bCs/>
                <w:color w:val="000000"/>
                <w:u w:val="single"/>
              </w:rPr>
              <w:t>本项目位于</w:t>
            </w:r>
            <w:r>
              <w:rPr>
                <w:rFonts w:hint="eastAsia"/>
                <w:b/>
                <w:bCs/>
                <w:color w:val="auto"/>
                <w:sz w:val="24"/>
                <w:u w:val="single"/>
                <w:lang w:val="en-US" w:eastAsia="zh-CN"/>
              </w:rPr>
              <w:t>周口市</w:t>
            </w:r>
            <w:r>
              <w:rPr>
                <w:rFonts w:hint="eastAsia"/>
                <w:b/>
                <w:bCs/>
                <w:color w:val="auto"/>
                <w:sz w:val="24"/>
                <w:u w:val="single"/>
              </w:rPr>
              <w:t>周口先进制造业开发区</w:t>
            </w:r>
            <w:r>
              <w:rPr>
                <w:rFonts w:hint="eastAsia"/>
                <w:b/>
                <w:bCs/>
                <w:color w:val="auto"/>
                <w:sz w:val="24"/>
                <w:u w:val="single"/>
                <w:lang w:val="en-US" w:eastAsia="zh-CN"/>
              </w:rPr>
              <w:t>（周口市淮阳区城关镇南三环南侧，规划工业二路西侧）</w:t>
            </w:r>
            <w:r>
              <w:rPr>
                <w:b/>
                <w:bCs/>
                <w:color w:val="000000"/>
                <w:u w:val="single"/>
              </w:rPr>
              <w:t>，根据《关于公布河南省“三线一单”生态环境分区管控更新成果（2023年版）的通知》（河南省生态环境厅公告2024年2号），并查询</w:t>
            </w:r>
            <w:r>
              <w:rPr>
                <w:rFonts w:hint="eastAsia"/>
                <w:b/>
                <w:bCs/>
                <w:color w:val="000000"/>
                <w:u w:val="single"/>
                <w:lang w:val="en-US" w:eastAsia="zh-CN"/>
              </w:rPr>
              <w:t>河南省生态环境分区管控</w:t>
            </w:r>
            <w:r>
              <w:rPr>
                <w:b/>
                <w:bCs/>
                <w:color w:val="000000"/>
                <w:u w:val="single"/>
              </w:rPr>
              <w:t>应用平台（http://222.143.64.178:5001/publicService）</w:t>
            </w:r>
            <w:r>
              <w:rPr>
                <w:rFonts w:hint="eastAsia"/>
                <w:b/>
                <w:bCs/>
                <w:color w:val="000000"/>
                <w:u w:val="single"/>
                <w:lang w:val="en-US" w:eastAsia="zh-CN"/>
              </w:rPr>
              <w:t>及“周口市生态环境分区管控方案（2025年版）”</w:t>
            </w:r>
            <w:r>
              <w:rPr>
                <w:b/>
                <w:bCs/>
                <w:color w:val="000000"/>
                <w:u w:val="single"/>
              </w:rPr>
              <w:t>可知，本项目所在位置属于ZH41160320001周口先进制造业开发区</w:t>
            </w:r>
            <w:r>
              <w:rPr>
                <w:rFonts w:hint="eastAsia"/>
                <w:b/>
                <w:bCs/>
                <w:color w:val="000000"/>
                <w:u w:val="single"/>
                <w:lang w:eastAsia="zh-CN"/>
              </w:rPr>
              <w:t>（</w:t>
            </w:r>
            <w:r>
              <w:rPr>
                <w:rFonts w:hint="eastAsia"/>
                <w:b/>
                <w:bCs/>
                <w:color w:val="000000"/>
                <w:u w:val="single"/>
                <w:lang w:val="en-US" w:eastAsia="zh-CN"/>
              </w:rPr>
              <w:t>周口淮阳高新技术产业开发区</w:t>
            </w:r>
            <w:r>
              <w:rPr>
                <w:rFonts w:hint="eastAsia"/>
                <w:b/>
                <w:bCs/>
                <w:color w:val="000000"/>
                <w:u w:val="single"/>
                <w:lang w:eastAsia="zh-CN"/>
              </w:rPr>
              <w:t>）</w:t>
            </w:r>
            <w:r>
              <w:rPr>
                <w:b/>
                <w:bCs/>
                <w:color w:val="000000"/>
                <w:u w:val="single"/>
              </w:rPr>
              <w:t>重点管控单元，本项目与</w:t>
            </w:r>
            <w:r>
              <w:rPr>
                <w:rFonts w:hint="eastAsia"/>
                <w:b/>
                <w:bCs/>
                <w:color w:val="000000"/>
                <w:u w:val="single"/>
                <w:lang w:val="en-US" w:eastAsia="zh-CN"/>
              </w:rPr>
              <w:t>周口市生态环境分区管控方案（2025年版）</w:t>
            </w:r>
            <w:r>
              <w:rPr>
                <w:b/>
                <w:bCs/>
                <w:color w:val="000000"/>
                <w:u w:val="single"/>
              </w:rPr>
              <w:t>的符合性分析见表</w:t>
            </w:r>
            <w:r>
              <w:rPr>
                <w:rFonts w:hint="eastAsia"/>
                <w:b/>
                <w:bCs/>
                <w:color w:val="000000"/>
                <w:u w:val="single"/>
                <w:lang w:val="en-US" w:eastAsia="zh-CN"/>
              </w:rPr>
              <w:t>1-</w:t>
            </w:r>
            <w:r>
              <w:rPr>
                <w:rFonts w:hint="eastAsia"/>
                <w:b/>
                <w:bCs/>
                <w:color w:val="000000"/>
                <w:u w:val="single"/>
              </w:rPr>
              <w:t>5</w:t>
            </w:r>
            <w:r>
              <w:rPr>
                <w:rFonts w:hint="eastAsia"/>
                <w:b/>
                <w:bCs/>
                <w:color w:val="000000"/>
                <w:u w:val="single"/>
                <w:lang w:eastAsia="zh-CN"/>
              </w:rPr>
              <w:t>。</w:t>
            </w:r>
          </w:p>
          <w:p w14:paraId="2ADD3F31">
            <w:pPr>
              <w:pStyle w:val="85"/>
              <w:spacing w:before="120" w:after="24"/>
              <w:rPr>
                <w:rFonts w:hint="eastAsia" w:ascii="Times New Roman" w:hAnsi="Times New Roman" w:eastAsia="宋体" w:cs="Times New Roman"/>
                <w:b/>
                <w:bCs/>
                <w:color w:val="000000"/>
                <w:sz w:val="24"/>
                <w:szCs w:val="24"/>
                <w:u w:val="single"/>
                <w:lang w:val="en-US" w:eastAsia="zh-CN"/>
              </w:rPr>
            </w:pPr>
            <w:r>
              <w:rPr>
                <w:rFonts w:hint="eastAsia" w:ascii="Times New Roman" w:hAnsi="Times New Roman" w:eastAsia="宋体" w:cs="Times New Roman"/>
                <w:b/>
                <w:bCs/>
                <w:color w:val="000000"/>
                <w:sz w:val="24"/>
                <w:szCs w:val="24"/>
                <w:u w:val="single"/>
                <w:lang w:val="en-US" w:eastAsia="zh-CN"/>
              </w:rPr>
              <w:t>表1-5  与周口市生态环境分区管控方案（2025年版）的符合性分析表</w:t>
            </w:r>
          </w:p>
          <w:tbl>
            <w:tblPr>
              <w:tblStyle w:val="40"/>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721"/>
              <w:gridCol w:w="397"/>
              <w:gridCol w:w="3325"/>
              <w:gridCol w:w="2118"/>
              <w:gridCol w:w="359"/>
            </w:tblGrid>
            <w:tr w14:paraId="38BAF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16" w:hRule="atLeast"/>
              </w:trPr>
              <w:tc>
                <w:tcPr>
                  <w:tcW w:w="507" w:type="pct"/>
                  <w:noWrap w:val="0"/>
                  <w:vAlign w:val="center"/>
                </w:tcPr>
                <w:p w14:paraId="00087359">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lang w:val="en-US" w:eastAsia="zh-CN"/>
                    </w:rPr>
                  </w:pPr>
                  <w:r>
                    <w:rPr>
                      <w:rFonts w:hint="eastAsia" w:cs="Times New Roman"/>
                      <w:b/>
                      <w:bCs/>
                      <w:color w:val="000000"/>
                      <w:sz w:val="21"/>
                      <w:szCs w:val="21"/>
                      <w:u w:val="none"/>
                      <w:lang w:val="en-US" w:eastAsia="zh-CN"/>
                    </w:rPr>
                    <w:t>环境管控单元</w:t>
                  </w:r>
                </w:p>
              </w:tc>
              <w:tc>
                <w:tcPr>
                  <w:tcW w:w="2695" w:type="pct"/>
                  <w:gridSpan w:val="2"/>
                  <w:noWrap w:val="0"/>
                  <w:vAlign w:val="center"/>
                </w:tcPr>
                <w:p w14:paraId="5F40A722">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管控要求</w:t>
                  </w:r>
                </w:p>
              </w:tc>
              <w:tc>
                <w:tcPr>
                  <w:tcW w:w="1533" w:type="pct"/>
                  <w:noWrap w:val="0"/>
                  <w:vAlign w:val="center"/>
                </w:tcPr>
                <w:p w14:paraId="2F0E2923">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本项目</w:t>
                  </w:r>
                </w:p>
              </w:tc>
              <w:tc>
                <w:tcPr>
                  <w:tcW w:w="263" w:type="pct"/>
                  <w:noWrap w:val="0"/>
                  <w:vAlign w:val="center"/>
                </w:tcPr>
                <w:p w14:paraId="00AD3308">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符合性</w:t>
                  </w:r>
                </w:p>
              </w:tc>
            </w:tr>
            <w:tr w14:paraId="2C667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07" w:type="pct"/>
                  <w:noWrap w:val="0"/>
                  <w:vAlign w:val="top"/>
                </w:tcPr>
                <w:p w14:paraId="70E2DD55">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ZH411 </w:t>
                  </w:r>
                </w:p>
                <w:p w14:paraId="38D8A7F2">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60320 </w:t>
                  </w:r>
                </w:p>
                <w:p w14:paraId="1C25813F">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001</w:t>
                  </w:r>
                </w:p>
                <w:p w14:paraId="353BCB87">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p>
              </w:tc>
              <w:tc>
                <w:tcPr>
                  <w:tcW w:w="290" w:type="pct"/>
                  <w:noWrap w:val="0"/>
                  <w:vAlign w:val="top"/>
                </w:tcPr>
                <w:p w14:paraId="1A49C738">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空间布局约束</w:t>
                  </w:r>
                </w:p>
              </w:tc>
              <w:tc>
                <w:tcPr>
                  <w:tcW w:w="2405" w:type="pct"/>
                  <w:noWrap w:val="0"/>
                  <w:vAlign w:val="top"/>
                </w:tcPr>
                <w:p w14:paraId="763A3C65">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1.严格落实国家和河南省“两高”项目相关要求，严格执行有关行业产能置换政 策，被置换产能及其配套设施关停后，新建项目方可投产。 </w:t>
                  </w:r>
                </w:p>
                <w:p w14:paraId="7605000D">
                  <w:pPr>
                    <w:keepNext w:val="0"/>
                    <w:keepLines w:val="0"/>
                    <w:widowControl/>
                    <w:suppressLineNumbers w:val="0"/>
                    <w:jc w:val="left"/>
                    <w:rPr>
                      <w:b/>
                      <w:bCs/>
                    </w:rPr>
                  </w:pPr>
                  <w:r>
                    <w:rPr>
                      <w:rFonts w:hint="default" w:ascii="Times New Roman" w:hAnsi="Times New Roman" w:eastAsia="宋体" w:cs="Times New Roman"/>
                      <w:b/>
                      <w:bCs/>
                      <w:color w:val="000000"/>
                      <w:sz w:val="21"/>
                      <w:szCs w:val="21"/>
                      <w:u w:val="none"/>
                      <w:lang w:val="en-US" w:eastAsia="zh-CN"/>
                    </w:rPr>
                    <w:t>2.入驻项目应符合开发区规划或规划环评的要求。严格落实规划环评及批复文件要求，规划调整修编时应同步开展规划环评，调整结果以经过审批的规划及规</w:t>
                  </w:r>
                  <w:r>
                    <w:rPr>
                      <w:rFonts w:hint="default" w:ascii="Times New Roman" w:hAnsi="Times New Roman" w:eastAsia="宋体" w:cs="Times New Roman"/>
                      <w:b/>
                      <w:bCs/>
                      <w:color w:val="000000"/>
                      <w:sz w:val="21"/>
                      <w:szCs w:val="21"/>
                      <w:u w:val="none"/>
                    </w:rPr>
                    <w:t>划</w:t>
                  </w:r>
                  <w:r>
                    <w:rPr>
                      <w:rFonts w:hint="eastAsia" w:ascii="宋体" w:hAnsi="宋体" w:eastAsia="宋体" w:cs="宋体"/>
                      <w:b/>
                      <w:bCs/>
                      <w:color w:val="000000"/>
                      <w:kern w:val="0"/>
                      <w:sz w:val="20"/>
                      <w:szCs w:val="20"/>
                      <w:lang w:val="en-US" w:eastAsia="zh-CN" w:bidi="ar"/>
                    </w:rPr>
                    <w:t xml:space="preserve">环评要求为准。 </w:t>
                  </w:r>
                </w:p>
                <w:p w14:paraId="135AF040">
                  <w:pPr>
                    <w:keepNext w:val="0"/>
                    <w:keepLines w:val="0"/>
                    <w:widowControl/>
                    <w:suppressLineNumbers w:val="0"/>
                    <w:jc w:val="left"/>
                    <w:rPr>
                      <w:b/>
                      <w:bCs/>
                    </w:rPr>
                  </w:pPr>
                  <w:r>
                    <w:rPr>
                      <w:rFonts w:hint="default" w:ascii="Times New Roman" w:hAnsi="Times New Roman" w:eastAsia="宋体" w:cs="Times New Roman"/>
                      <w:b/>
                      <w:bCs/>
                      <w:color w:val="000000"/>
                      <w:kern w:val="0"/>
                      <w:sz w:val="20"/>
                      <w:szCs w:val="20"/>
                      <w:lang w:val="en-US" w:eastAsia="zh-CN" w:bidi="ar"/>
                    </w:rPr>
                    <w:t>3.</w:t>
                  </w:r>
                  <w:r>
                    <w:rPr>
                      <w:rFonts w:hint="eastAsia" w:ascii="宋体" w:hAnsi="宋体" w:eastAsia="宋体" w:cs="宋体"/>
                      <w:b/>
                      <w:bCs/>
                      <w:color w:val="000000"/>
                      <w:kern w:val="0"/>
                      <w:sz w:val="20"/>
                      <w:szCs w:val="20"/>
                      <w:lang w:val="en-US" w:eastAsia="zh-CN" w:bidi="ar"/>
                    </w:rPr>
                    <w:t xml:space="preserve">居住用地与工业用地之间应设置合理的防护距离，居住用地周边限制布局潜在污染扰民和环境风险突出的建设项目。 </w:t>
                  </w:r>
                </w:p>
                <w:p w14:paraId="21A75436">
                  <w:pPr>
                    <w:keepNext w:val="0"/>
                    <w:keepLines w:val="0"/>
                    <w:widowControl/>
                    <w:suppressLineNumbers w:val="0"/>
                    <w:jc w:val="left"/>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kern w:val="0"/>
                      <w:sz w:val="20"/>
                      <w:szCs w:val="20"/>
                      <w:lang w:val="en-US" w:eastAsia="zh-CN" w:bidi="ar"/>
                    </w:rPr>
                    <w:t>4.</w:t>
                  </w:r>
                  <w:r>
                    <w:rPr>
                      <w:rFonts w:hint="eastAsia" w:ascii="宋体" w:hAnsi="宋体" w:eastAsia="宋体" w:cs="宋体"/>
                      <w:b/>
                      <w:bCs/>
                      <w:color w:val="000000"/>
                      <w:kern w:val="0"/>
                      <w:sz w:val="20"/>
                      <w:szCs w:val="20"/>
                      <w:lang w:val="en-US" w:eastAsia="zh-CN" w:bidi="ar"/>
                    </w:rPr>
                    <w:t>新建、改建、扩建“两高”项目须符合生态环境保护法律法规和相关法定规划， 满足重点污染物排放总量控制、碳排放达峰目标、生态环境准入清单、相关规划环评和相应行业建设项目环境准入条件、环评文件审批原则要求。</w:t>
                  </w:r>
                </w:p>
              </w:tc>
              <w:tc>
                <w:tcPr>
                  <w:tcW w:w="1533" w:type="pct"/>
                  <w:noWrap w:val="0"/>
                  <w:vAlign w:val="top"/>
                </w:tcPr>
                <w:p w14:paraId="5CC73267">
                  <w:pPr>
                    <w:pStyle w:val="4"/>
                    <w:snapToGrid w:val="0"/>
                    <w:spacing w:before="0" w:after="0" w:line="240" w:lineRule="auto"/>
                    <w:contextualSpacing/>
                    <w:rPr>
                      <w:rFonts w:hint="eastAsia" w:ascii="Times New Roman" w:hAnsi="Times New Roman" w:eastAsia="宋体" w:cs="Times New Roman"/>
                      <w:b/>
                      <w:bCs/>
                      <w:color w:val="000000"/>
                      <w:sz w:val="21"/>
                      <w:szCs w:val="21"/>
                      <w:highlight w:val="none"/>
                      <w:u w:val="none"/>
                      <w:lang w:eastAsia="zh-CN"/>
                    </w:rPr>
                  </w:pPr>
                  <w:r>
                    <w:rPr>
                      <w:rFonts w:hint="default" w:ascii="Times New Roman" w:hAnsi="Times New Roman" w:eastAsia="宋体" w:cs="Times New Roman"/>
                      <w:b/>
                      <w:bCs/>
                      <w:color w:val="000000"/>
                      <w:sz w:val="21"/>
                      <w:szCs w:val="21"/>
                      <w:highlight w:val="none"/>
                      <w:u w:val="none"/>
                    </w:rPr>
                    <w:t>1.</w:t>
                  </w:r>
                  <w:r>
                    <w:rPr>
                      <w:rFonts w:hint="default" w:ascii="Times New Roman" w:hAnsi="Times New Roman" w:eastAsia="宋体" w:cs="Times New Roman"/>
                      <w:b/>
                      <w:bCs/>
                      <w:color w:val="auto"/>
                      <w:sz w:val="21"/>
                      <w:szCs w:val="21"/>
                      <w:u w:val="none"/>
                      <w:lang w:val="en-US" w:eastAsia="zh-CN"/>
                    </w:rPr>
                    <w:t>本项目属于非金属矿物制品</w:t>
                  </w:r>
                  <w:r>
                    <w:rPr>
                      <w:rFonts w:hint="eastAsia" w:cs="Times New Roman"/>
                      <w:b/>
                      <w:bCs/>
                      <w:color w:val="auto"/>
                      <w:sz w:val="21"/>
                      <w:szCs w:val="21"/>
                      <w:u w:val="none"/>
                      <w:lang w:val="en-US" w:eastAsia="zh-CN"/>
                    </w:rPr>
                    <w:t>业中的特种玻璃制造和玻璃制品制造</w:t>
                  </w:r>
                  <w:r>
                    <w:rPr>
                      <w:rFonts w:hint="eastAsia" w:cs="Times New Roman"/>
                      <w:b/>
                      <w:bCs/>
                      <w:color w:val="000000"/>
                      <w:sz w:val="21"/>
                      <w:szCs w:val="21"/>
                      <w:highlight w:val="none"/>
                      <w:u w:val="none"/>
                      <w:lang w:val="en-US" w:eastAsia="zh-CN"/>
                    </w:rPr>
                    <w:t>，</w:t>
                  </w:r>
                  <w:r>
                    <w:rPr>
                      <w:rFonts w:hint="default" w:ascii="Times New Roman" w:hAnsi="Times New Roman" w:eastAsia="宋体" w:cs="Times New Roman"/>
                      <w:b/>
                      <w:bCs/>
                      <w:color w:val="000000"/>
                      <w:sz w:val="21"/>
                      <w:szCs w:val="21"/>
                      <w:highlight w:val="none"/>
                      <w:u w:val="none"/>
                    </w:rPr>
                    <w:t>不属于</w:t>
                  </w:r>
                  <w:r>
                    <w:rPr>
                      <w:rFonts w:hint="eastAsia" w:cs="Times New Roman"/>
                      <w:b/>
                      <w:bCs/>
                      <w:color w:val="000000"/>
                      <w:sz w:val="21"/>
                      <w:szCs w:val="21"/>
                      <w:highlight w:val="none"/>
                      <w:u w:val="none"/>
                      <w:lang w:eastAsia="zh-CN"/>
                    </w:rPr>
                    <w:t>“</w:t>
                  </w:r>
                  <w:r>
                    <w:rPr>
                      <w:rFonts w:hint="eastAsia" w:cs="Times New Roman"/>
                      <w:b/>
                      <w:bCs/>
                      <w:color w:val="000000"/>
                      <w:sz w:val="21"/>
                      <w:szCs w:val="21"/>
                      <w:highlight w:val="none"/>
                      <w:u w:val="none"/>
                      <w:lang w:val="en-US" w:eastAsia="zh-CN"/>
                    </w:rPr>
                    <w:t>两高</w:t>
                  </w:r>
                  <w:r>
                    <w:rPr>
                      <w:rFonts w:hint="eastAsia" w:cs="Times New Roman"/>
                      <w:b/>
                      <w:bCs/>
                      <w:color w:val="000000"/>
                      <w:sz w:val="21"/>
                      <w:szCs w:val="21"/>
                      <w:highlight w:val="none"/>
                      <w:u w:val="none"/>
                      <w:lang w:eastAsia="zh-CN"/>
                    </w:rPr>
                    <w:t>”</w:t>
                  </w:r>
                  <w:r>
                    <w:rPr>
                      <w:rFonts w:hint="eastAsia" w:cs="Times New Roman"/>
                      <w:b/>
                      <w:bCs/>
                      <w:color w:val="000000"/>
                      <w:sz w:val="21"/>
                      <w:szCs w:val="21"/>
                      <w:highlight w:val="none"/>
                      <w:u w:val="none"/>
                      <w:lang w:val="en-US" w:eastAsia="zh-CN"/>
                    </w:rPr>
                    <w:t>类</w:t>
                  </w:r>
                  <w:r>
                    <w:rPr>
                      <w:rFonts w:hint="default" w:ascii="Times New Roman" w:hAnsi="Times New Roman" w:eastAsia="宋体" w:cs="Times New Roman"/>
                      <w:b/>
                      <w:bCs/>
                      <w:color w:val="000000"/>
                      <w:sz w:val="21"/>
                      <w:szCs w:val="21"/>
                      <w:highlight w:val="none"/>
                      <w:u w:val="none"/>
                    </w:rPr>
                    <w:t>项目</w:t>
                  </w:r>
                  <w:r>
                    <w:rPr>
                      <w:rFonts w:hint="eastAsia" w:cs="Times New Roman"/>
                      <w:b/>
                      <w:bCs/>
                      <w:color w:val="000000"/>
                      <w:sz w:val="21"/>
                      <w:szCs w:val="21"/>
                      <w:highlight w:val="none"/>
                      <w:u w:val="none"/>
                      <w:lang w:eastAsia="zh-CN"/>
                    </w:rPr>
                    <w:t>；</w:t>
                  </w:r>
                </w:p>
                <w:p w14:paraId="2BFA4550">
                  <w:pPr>
                    <w:pStyle w:val="4"/>
                    <w:snapToGrid w:val="0"/>
                    <w:spacing w:before="0" w:after="0" w:line="240" w:lineRule="auto"/>
                    <w:contextualSpacing/>
                    <w:rPr>
                      <w:rFonts w:hint="eastAsia" w:ascii="Times New Roman" w:hAnsi="Times New Roman" w:eastAsia="宋体" w:cs="Times New Roman"/>
                      <w:b/>
                      <w:bCs/>
                      <w:color w:val="000000"/>
                      <w:sz w:val="21"/>
                      <w:szCs w:val="21"/>
                      <w:highlight w:val="none"/>
                      <w:u w:val="none"/>
                      <w:lang w:eastAsia="zh-CN"/>
                    </w:rPr>
                  </w:pPr>
                  <w:r>
                    <w:rPr>
                      <w:rFonts w:hint="default" w:ascii="Times New Roman" w:hAnsi="Times New Roman" w:eastAsia="宋体" w:cs="Times New Roman"/>
                      <w:b/>
                      <w:bCs/>
                      <w:color w:val="000000"/>
                      <w:sz w:val="21"/>
                      <w:szCs w:val="21"/>
                      <w:highlight w:val="none"/>
                      <w:u w:val="none"/>
                    </w:rPr>
                    <w:t>2.本项目符合</w:t>
                  </w:r>
                  <w:r>
                    <w:rPr>
                      <w:rFonts w:hint="eastAsia" w:cs="Times New Roman"/>
                      <w:b/>
                      <w:bCs/>
                      <w:color w:val="000000"/>
                      <w:sz w:val="21"/>
                      <w:szCs w:val="21"/>
                      <w:highlight w:val="none"/>
                      <w:u w:val="none"/>
                      <w:lang w:val="en-US" w:eastAsia="zh-CN"/>
                    </w:rPr>
                    <w:t>开发区规划及</w:t>
                  </w:r>
                  <w:r>
                    <w:rPr>
                      <w:rFonts w:hint="default" w:ascii="Times New Roman" w:hAnsi="Times New Roman" w:eastAsia="宋体" w:cs="Times New Roman"/>
                      <w:b/>
                      <w:bCs/>
                      <w:color w:val="000000"/>
                      <w:sz w:val="21"/>
                      <w:szCs w:val="21"/>
                      <w:highlight w:val="none"/>
                      <w:u w:val="none"/>
                    </w:rPr>
                    <w:t>规划环评要求的建设项目</w:t>
                  </w:r>
                  <w:r>
                    <w:rPr>
                      <w:rFonts w:hint="eastAsia" w:cs="Times New Roman"/>
                      <w:b/>
                      <w:bCs/>
                      <w:color w:val="000000"/>
                      <w:sz w:val="21"/>
                      <w:szCs w:val="21"/>
                      <w:highlight w:val="none"/>
                      <w:u w:val="none"/>
                      <w:lang w:eastAsia="zh-CN"/>
                    </w:rPr>
                    <w:t>；</w:t>
                  </w:r>
                </w:p>
                <w:p w14:paraId="6837D6DF">
                  <w:pPr>
                    <w:pStyle w:val="4"/>
                    <w:snapToGrid w:val="0"/>
                    <w:spacing w:before="0" w:after="0" w:line="240" w:lineRule="auto"/>
                    <w:contextualSpacing/>
                    <w:rPr>
                      <w:rFonts w:hint="eastAsia" w:ascii="Times New Roman" w:hAnsi="Times New Roman" w:eastAsia="宋体" w:cs="Times New Roman"/>
                      <w:b/>
                      <w:bCs/>
                      <w:color w:val="000000"/>
                      <w:sz w:val="21"/>
                      <w:szCs w:val="21"/>
                      <w:highlight w:val="none"/>
                      <w:u w:val="none"/>
                      <w:lang w:eastAsia="zh-CN"/>
                    </w:rPr>
                  </w:pPr>
                  <w:r>
                    <w:rPr>
                      <w:rFonts w:hint="default" w:ascii="Times New Roman" w:hAnsi="Times New Roman" w:eastAsia="宋体" w:cs="Times New Roman"/>
                      <w:b/>
                      <w:bCs/>
                      <w:color w:val="000000"/>
                      <w:sz w:val="21"/>
                      <w:szCs w:val="21"/>
                      <w:highlight w:val="none"/>
                      <w:u w:val="none"/>
                    </w:rPr>
                    <w:t>3.本项目为工业用地，项目周边均为规划工业用地</w:t>
                  </w:r>
                  <w:r>
                    <w:rPr>
                      <w:rFonts w:hint="eastAsia" w:cs="Times New Roman"/>
                      <w:b/>
                      <w:bCs/>
                      <w:color w:val="000000"/>
                      <w:sz w:val="21"/>
                      <w:szCs w:val="21"/>
                      <w:highlight w:val="none"/>
                      <w:u w:val="none"/>
                      <w:lang w:eastAsia="zh-CN"/>
                    </w:rPr>
                    <w:t>；</w:t>
                  </w:r>
                </w:p>
                <w:p w14:paraId="6EFBD893">
                  <w:pPr>
                    <w:pStyle w:val="4"/>
                    <w:snapToGrid w:val="0"/>
                    <w:spacing w:before="0" w:after="0" w:line="240" w:lineRule="auto"/>
                    <w:contextualSpacing/>
                    <w:rPr>
                      <w:rFonts w:hint="default" w:ascii="Times New Roman" w:hAnsi="Times New Roman" w:eastAsia="宋体" w:cs="Times New Roman"/>
                      <w:b/>
                      <w:bCs/>
                      <w:color w:val="000000"/>
                      <w:sz w:val="21"/>
                      <w:szCs w:val="21"/>
                      <w:highlight w:val="yellow"/>
                      <w:u w:val="none"/>
                    </w:rPr>
                  </w:pPr>
                  <w:r>
                    <w:rPr>
                      <w:rFonts w:hint="default" w:ascii="Times New Roman" w:hAnsi="Times New Roman" w:eastAsia="宋体" w:cs="Times New Roman"/>
                      <w:b/>
                      <w:bCs/>
                      <w:color w:val="000000"/>
                      <w:sz w:val="21"/>
                      <w:szCs w:val="21"/>
                      <w:highlight w:val="none"/>
                      <w:u w:val="none"/>
                    </w:rPr>
                    <w:t>4.本项目不属于两高项目</w:t>
                  </w:r>
                </w:p>
              </w:tc>
              <w:tc>
                <w:tcPr>
                  <w:tcW w:w="263" w:type="pct"/>
                  <w:noWrap w:val="0"/>
                  <w:vAlign w:val="center"/>
                </w:tcPr>
                <w:p w14:paraId="287E67E0">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相符</w:t>
                  </w:r>
                </w:p>
              </w:tc>
            </w:tr>
            <w:tr w14:paraId="198CB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07" w:type="pct"/>
                  <w:noWrap w:val="0"/>
                  <w:vAlign w:val="top"/>
                </w:tcPr>
                <w:p w14:paraId="3DC70452">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p>
              </w:tc>
              <w:tc>
                <w:tcPr>
                  <w:tcW w:w="290" w:type="pct"/>
                  <w:noWrap w:val="0"/>
                  <w:vAlign w:val="top"/>
                </w:tcPr>
                <w:p w14:paraId="1E73D560">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污染物排放管控</w:t>
                  </w:r>
                </w:p>
              </w:tc>
              <w:tc>
                <w:tcPr>
                  <w:tcW w:w="2405" w:type="pct"/>
                  <w:noWrap w:val="0"/>
                  <w:vAlign w:val="top"/>
                </w:tcPr>
                <w:p w14:paraId="5076D628">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1.涉气企业加强废气收集、处理，外排废气要达到国家或地方排放标准，二氧化硫、氮氧化物、颗粒物、挥发性有机物（VOCs）全面执行大气污染物特别排放限值。涉水企业加强废水收集、处理外排废水要达到国家或地方排放标准。 </w:t>
                  </w:r>
                </w:p>
                <w:p w14:paraId="1CFB0D7D">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2.开发区内企业废水实现全收集、全处理。污水集中处理设施安装自动在线监控装置，污水处理厂尾水达到或优于《城镇污水处理厂污染物排放标准》 （GB18918-2002）一级 A 准。具备条件的污水处理厂需建设尾水人工湿地。 </w:t>
                  </w:r>
                </w:p>
                <w:p w14:paraId="318130FA">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3.新、改、扩建项目主要污染物排放应满足总量减排要求。新建耗煤项目还应严格按规定采取煤炭消费减量替代措施，不得使用高污染燃料作为煤炭减量替代措施。 </w:t>
                  </w:r>
                </w:p>
                <w:p w14:paraId="63F07FE6">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 xml:space="preserve">4.新建“两高”项目应按照《关于加强重点行业建设项目区域削减措施监督管理的通知》要求，依据区域环境质量改善目标，制定配套区域污染物削减方案，采取有效的污染物区域削减措施，腾出足够的环境容量。 </w:t>
                  </w:r>
                </w:p>
                <w:p w14:paraId="1F94E73D">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lang w:val="en-US" w:eastAsia="zh-CN"/>
                    </w:rPr>
                    <w:t>5.已出台超低排放要求的“两高”行业建设项目应满足超低排放要求</w:t>
                  </w:r>
                </w:p>
              </w:tc>
              <w:tc>
                <w:tcPr>
                  <w:tcW w:w="1533" w:type="pct"/>
                  <w:noWrap w:val="0"/>
                  <w:vAlign w:val="top"/>
                </w:tcPr>
                <w:p w14:paraId="47D2C24D">
                  <w:pPr>
                    <w:pStyle w:val="4"/>
                    <w:snapToGrid w:val="0"/>
                    <w:spacing w:before="0" w:after="0" w:line="240" w:lineRule="auto"/>
                    <w:contextualSpacing/>
                    <w:rPr>
                      <w:rFonts w:hint="default" w:ascii="Times New Roman" w:hAnsi="Times New Roman" w:eastAsia="宋体" w:cs="Times New Roman"/>
                      <w:b/>
                      <w:bCs/>
                      <w:color w:val="000000"/>
                      <w:sz w:val="21"/>
                      <w:szCs w:val="21"/>
                      <w:highlight w:val="none"/>
                      <w:u w:val="none"/>
                    </w:rPr>
                  </w:pPr>
                  <w:r>
                    <w:rPr>
                      <w:rFonts w:hint="default" w:ascii="Times New Roman" w:hAnsi="Times New Roman" w:eastAsia="宋体" w:cs="Times New Roman"/>
                      <w:b/>
                      <w:bCs/>
                      <w:color w:val="000000"/>
                      <w:sz w:val="21"/>
                      <w:szCs w:val="21"/>
                      <w:highlight w:val="none"/>
                      <w:u w:val="none"/>
                    </w:rPr>
                    <w:t>1.</w:t>
                  </w:r>
                  <w:r>
                    <w:rPr>
                      <w:rFonts w:hint="eastAsia" w:cs="Times New Roman"/>
                      <w:b/>
                      <w:bCs/>
                      <w:color w:val="000000"/>
                      <w:sz w:val="21"/>
                      <w:szCs w:val="21"/>
                      <w:highlight w:val="none"/>
                      <w:u w:val="none"/>
                      <w:lang w:val="en-US" w:eastAsia="zh-CN"/>
                    </w:rPr>
                    <w:t>本项目</w:t>
                  </w:r>
                  <w:r>
                    <w:rPr>
                      <w:rFonts w:hint="default" w:ascii="Times New Roman" w:hAnsi="Times New Roman" w:eastAsia="宋体" w:cs="Times New Roman"/>
                      <w:b/>
                      <w:bCs/>
                      <w:color w:val="000000"/>
                      <w:sz w:val="21"/>
                      <w:szCs w:val="21"/>
                      <w:highlight w:val="none"/>
                      <w:u w:val="none"/>
                    </w:rPr>
                    <w:t>废气</w:t>
                  </w:r>
                  <w:r>
                    <w:rPr>
                      <w:rFonts w:hint="default" w:ascii="Times New Roman" w:hAnsi="Times New Roman" w:eastAsia="宋体" w:cs="Times New Roman"/>
                      <w:b/>
                      <w:bCs/>
                      <w:color w:val="000000"/>
                      <w:sz w:val="21"/>
                      <w:szCs w:val="21"/>
                      <w:highlight w:val="none"/>
                      <w:u w:val="none"/>
                      <w:lang w:val="en-US" w:eastAsia="zh-CN"/>
                    </w:rPr>
                    <w:t>经</w:t>
                  </w:r>
                  <w:r>
                    <w:rPr>
                      <w:rFonts w:hint="default" w:ascii="Times New Roman" w:hAnsi="Times New Roman" w:eastAsia="宋体" w:cs="Times New Roman"/>
                      <w:b/>
                      <w:bCs/>
                      <w:color w:val="000000"/>
                      <w:sz w:val="21"/>
                      <w:szCs w:val="21"/>
                      <w:highlight w:val="none"/>
                      <w:u w:val="none"/>
                    </w:rPr>
                    <w:t>处理后满足相应标准要求；</w:t>
                  </w:r>
                </w:p>
                <w:p w14:paraId="3A8C7031">
                  <w:pPr>
                    <w:pStyle w:val="4"/>
                    <w:snapToGrid w:val="0"/>
                    <w:spacing w:before="0" w:after="0" w:line="240" w:lineRule="auto"/>
                    <w:contextualSpacing/>
                    <w:rPr>
                      <w:rFonts w:hint="default" w:ascii="Times New Roman" w:hAnsi="Times New Roman" w:eastAsia="宋体" w:cs="Times New Roman"/>
                      <w:b/>
                      <w:bCs/>
                      <w:color w:val="000000"/>
                      <w:sz w:val="21"/>
                      <w:szCs w:val="21"/>
                      <w:highlight w:val="none"/>
                      <w:u w:val="none"/>
                      <w:lang w:eastAsia="zh-CN"/>
                    </w:rPr>
                  </w:pPr>
                  <w:r>
                    <w:rPr>
                      <w:rFonts w:hint="default" w:ascii="Times New Roman" w:hAnsi="Times New Roman" w:eastAsia="宋体" w:cs="Times New Roman"/>
                      <w:b/>
                      <w:bCs/>
                      <w:color w:val="000000"/>
                      <w:sz w:val="21"/>
                      <w:szCs w:val="21"/>
                      <w:highlight w:val="none"/>
                      <w:u w:val="none"/>
                    </w:rPr>
                    <w:t>2、废水进入淮阳区第</w:t>
                  </w:r>
                  <w:r>
                    <w:rPr>
                      <w:rFonts w:hint="eastAsia" w:cs="Times New Roman"/>
                      <w:b/>
                      <w:bCs/>
                      <w:color w:val="000000"/>
                      <w:sz w:val="21"/>
                      <w:szCs w:val="21"/>
                      <w:highlight w:val="none"/>
                      <w:u w:val="none"/>
                      <w:lang w:val="en-US" w:eastAsia="zh-CN"/>
                    </w:rPr>
                    <w:t>二</w:t>
                  </w:r>
                  <w:r>
                    <w:rPr>
                      <w:rFonts w:hint="default" w:ascii="Times New Roman" w:hAnsi="Times New Roman" w:eastAsia="宋体" w:cs="Times New Roman"/>
                      <w:b/>
                      <w:bCs/>
                      <w:color w:val="000000"/>
                      <w:sz w:val="21"/>
                      <w:szCs w:val="21"/>
                      <w:highlight w:val="none"/>
                      <w:u w:val="none"/>
                    </w:rPr>
                    <w:t>污水处理厂处理</w:t>
                  </w:r>
                  <w:r>
                    <w:rPr>
                      <w:rFonts w:hint="default" w:ascii="Times New Roman" w:hAnsi="Times New Roman" w:eastAsia="宋体" w:cs="Times New Roman"/>
                      <w:b/>
                      <w:bCs/>
                      <w:color w:val="000000"/>
                      <w:sz w:val="21"/>
                      <w:szCs w:val="21"/>
                      <w:highlight w:val="none"/>
                      <w:u w:val="none"/>
                      <w:lang w:eastAsia="zh-CN"/>
                    </w:rPr>
                    <w:t>，</w:t>
                  </w:r>
                  <w:r>
                    <w:rPr>
                      <w:rFonts w:hint="default" w:ascii="Times New Roman" w:hAnsi="Times New Roman" w:eastAsia="宋体" w:cs="Times New Roman"/>
                      <w:b/>
                      <w:bCs/>
                      <w:color w:val="000000"/>
                      <w:sz w:val="21"/>
                      <w:szCs w:val="21"/>
                      <w:highlight w:val="none"/>
                      <w:u w:val="none"/>
                      <w:lang w:val="en-US" w:eastAsia="zh-CN"/>
                    </w:rPr>
                    <w:t>淮阳区第</w:t>
                  </w:r>
                  <w:r>
                    <w:rPr>
                      <w:rFonts w:hint="eastAsia" w:cs="Times New Roman"/>
                      <w:b/>
                      <w:bCs/>
                      <w:color w:val="000000"/>
                      <w:sz w:val="21"/>
                      <w:szCs w:val="21"/>
                      <w:highlight w:val="none"/>
                      <w:u w:val="none"/>
                      <w:lang w:val="en-US" w:eastAsia="zh-CN"/>
                    </w:rPr>
                    <w:t>二</w:t>
                  </w:r>
                  <w:r>
                    <w:rPr>
                      <w:rFonts w:hint="default" w:ascii="Times New Roman" w:hAnsi="Times New Roman" w:eastAsia="宋体" w:cs="Times New Roman"/>
                      <w:b/>
                      <w:bCs/>
                      <w:color w:val="000000"/>
                      <w:sz w:val="21"/>
                      <w:szCs w:val="21"/>
                      <w:highlight w:val="none"/>
                      <w:u w:val="none"/>
                      <w:lang w:val="en-US" w:eastAsia="zh-CN"/>
                    </w:rPr>
                    <w:t>污水处理厂</w:t>
                  </w:r>
                  <w:r>
                    <w:rPr>
                      <w:rFonts w:hint="default" w:ascii="Times New Roman" w:hAnsi="Times New Roman" w:eastAsia="宋体" w:cs="Times New Roman"/>
                      <w:b/>
                      <w:bCs/>
                      <w:color w:val="000000"/>
                      <w:sz w:val="21"/>
                      <w:szCs w:val="21"/>
                      <w:highlight w:val="none"/>
                      <w:u w:val="none"/>
                      <w:lang w:eastAsia="zh-CN"/>
                    </w:rPr>
                    <w:t>尾水达到《城镇污水处理厂污染物排放标准》（GB18918-2002</w:t>
                  </w:r>
                  <w:r>
                    <w:rPr>
                      <w:rFonts w:hint="eastAsia" w:cs="Times New Roman"/>
                      <w:b/>
                      <w:bCs/>
                      <w:color w:val="000000"/>
                      <w:sz w:val="21"/>
                      <w:szCs w:val="21"/>
                      <w:highlight w:val="none"/>
                      <w:u w:val="none"/>
                      <w:lang w:eastAsia="zh-CN"/>
                    </w:rPr>
                    <w:t>，</w:t>
                  </w:r>
                  <w:r>
                    <w:rPr>
                      <w:rFonts w:hint="eastAsia" w:cs="Times New Roman"/>
                      <w:b/>
                      <w:bCs/>
                      <w:color w:val="000000"/>
                      <w:sz w:val="21"/>
                      <w:szCs w:val="21"/>
                      <w:highlight w:val="none"/>
                      <w:u w:val="none"/>
                      <w:lang w:val="en-US" w:eastAsia="zh-CN"/>
                    </w:rPr>
                    <w:t>含2006年、2025年修改单）表1</w:t>
                  </w:r>
                  <w:r>
                    <w:rPr>
                      <w:rFonts w:hint="default" w:ascii="Times New Roman" w:hAnsi="Times New Roman" w:eastAsia="宋体" w:cs="Times New Roman"/>
                      <w:b/>
                      <w:bCs/>
                      <w:color w:val="000000"/>
                      <w:sz w:val="21"/>
                      <w:szCs w:val="21"/>
                      <w:highlight w:val="none"/>
                      <w:u w:val="none"/>
                      <w:lang w:eastAsia="zh-CN"/>
                    </w:rPr>
                    <w:t>一级A标准</w:t>
                  </w:r>
                  <w:r>
                    <w:rPr>
                      <w:rFonts w:hint="eastAsia" w:cs="Times New Roman"/>
                      <w:b/>
                      <w:bCs/>
                      <w:color w:val="000000"/>
                      <w:sz w:val="21"/>
                      <w:szCs w:val="21"/>
                      <w:highlight w:val="none"/>
                      <w:u w:val="none"/>
                      <w:lang w:eastAsia="zh-CN"/>
                    </w:rPr>
                    <w:t>；</w:t>
                  </w:r>
                </w:p>
                <w:p w14:paraId="47D9A7C4">
                  <w:pPr>
                    <w:rPr>
                      <w:rFonts w:hint="default" w:ascii="Times New Roman" w:hAnsi="Times New Roman" w:cs="Times New Roman"/>
                      <w:b/>
                      <w:bCs/>
                      <w:color w:val="000000"/>
                      <w:sz w:val="21"/>
                      <w:szCs w:val="21"/>
                      <w:u w:val="none"/>
                      <w:lang w:val="en-US" w:eastAsia="zh-CN"/>
                    </w:rPr>
                  </w:pPr>
                  <w:r>
                    <w:rPr>
                      <w:rFonts w:hint="eastAsia" w:cs="Times New Roman"/>
                      <w:b/>
                      <w:bCs/>
                      <w:color w:val="000000"/>
                      <w:sz w:val="21"/>
                      <w:szCs w:val="21"/>
                      <w:highlight w:val="none"/>
                      <w:u w:val="none"/>
                      <w:lang w:val="en-US" w:eastAsia="zh-CN"/>
                    </w:rPr>
                    <w:t>3、本项目主要污染物排放满足</w:t>
                  </w:r>
                  <w:r>
                    <w:rPr>
                      <w:rFonts w:hint="default" w:ascii="Times New Roman" w:hAnsi="Times New Roman" w:eastAsia="宋体" w:cs="Times New Roman"/>
                      <w:b/>
                      <w:bCs/>
                      <w:color w:val="000000"/>
                      <w:sz w:val="21"/>
                      <w:szCs w:val="21"/>
                      <w:u w:val="none"/>
                      <w:lang w:val="en-US" w:eastAsia="zh-CN"/>
                    </w:rPr>
                    <w:t>总量减排要求</w:t>
                  </w:r>
                  <w:r>
                    <w:rPr>
                      <w:rFonts w:hint="default" w:ascii="Times New Roman" w:hAnsi="Times New Roman" w:cs="Times New Roman"/>
                      <w:b/>
                      <w:bCs/>
                      <w:color w:val="000000"/>
                      <w:sz w:val="21"/>
                      <w:szCs w:val="21"/>
                      <w:u w:val="none"/>
                      <w:lang w:val="en-US" w:eastAsia="zh-CN"/>
                    </w:rPr>
                    <w:t>；</w:t>
                  </w:r>
                </w:p>
                <w:p w14:paraId="1315E9D4">
                  <w:pPr>
                    <w:pStyle w:val="48"/>
                    <w:spacing w:line="240" w:lineRule="auto"/>
                    <w:ind w:left="0" w:leftChars="0" w:firstLine="0" w:firstLineChars="0"/>
                    <w:rPr>
                      <w:rFonts w:hint="default" w:ascii="Times New Roman" w:hAnsi="Times New Roman" w:cs="Times New Roman"/>
                      <w:b/>
                      <w:bCs/>
                      <w:color w:val="000000"/>
                      <w:sz w:val="21"/>
                      <w:szCs w:val="21"/>
                      <w:u w:val="none"/>
                      <w:lang w:val="en-US" w:eastAsia="zh-CN"/>
                    </w:rPr>
                  </w:pPr>
                  <w:r>
                    <w:rPr>
                      <w:rFonts w:hint="default" w:ascii="Times New Roman" w:hAnsi="Times New Roman" w:cs="Times New Roman"/>
                      <w:b/>
                      <w:bCs/>
                      <w:color w:val="000000"/>
                      <w:sz w:val="21"/>
                      <w:szCs w:val="21"/>
                      <w:u w:val="none"/>
                      <w:lang w:val="en-US" w:eastAsia="zh-CN"/>
                    </w:rPr>
                    <w:t>4、本项目不属于“两高”项目；</w:t>
                  </w:r>
                </w:p>
                <w:p w14:paraId="4F6F24AA">
                  <w:pPr>
                    <w:pStyle w:val="48"/>
                    <w:spacing w:line="240" w:lineRule="auto"/>
                    <w:ind w:left="0" w:leftChars="0" w:firstLine="0" w:firstLineChars="0"/>
                    <w:rPr>
                      <w:rFonts w:hint="default" w:ascii="Times New Roman" w:hAnsi="Times New Roman" w:cs="Times New Roman"/>
                      <w:b/>
                      <w:bCs/>
                      <w:color w:val="000000"/>
                      <w:sz w:val="21"/>
                      <w:szCs w:val="21"/>
                      <w:u w:val="none"/>
                      <w:lang w:val="en-US" w:eastAsia="zh-CN"/>
                    </w:rPr>
                  </w:pPr>
                  <w:r>
                    <w:rPr>
                      <w:rFonts w:hint="default" w:ascii="Times New Roman" w:hAnsi="Times New Roman" w:cs="Times New Roman"/>
                      <w:b/>
                      <w:bCs/>
                      <w:color w:val="000000"/>
                      <w:sz w:val="21"/>
                      <w:szCs w:val="21"/>
                      <w:u w:val="none"/>
                      <w:lang w:val="en-US" w:eastAsia="zh-CN"/>
                    </w:rPr>
                    <w:t>5、本项目不属于“两高”项目</w:t>
                  </w:r>
                </w:p>
                <w:p w14:paraId="69DC99D4">
                  <w:pPr>
                    <w:pStyle w:val="48"/>
                    <w:rPr>
                      <w:rFonts w:hint="default"/>
                      <w:b/>
                      <w:bCs/>
                      <w:lang w:val="en-US" w:eastAsia="zh-CN"/>
                    </w:rPr>
                  </w:pPr>
                </w:p>
              </w:tc>
              <w:tc>
                <w:tcPr>
                  <w:tcW w:w="263" w:type="pct"/>
                  <w:noWrap w:val="0"/>
                  <w:vAlign w:val="center"/>
                </w:tcPr>
                <w:p w14:paraId="55C64218">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相符</w:t>
                  </w:r>
                </w:p>
              </w:tc>
            </w:tr>
            <w:tr w14:paraId="4971C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07" w:type="pct"/>
                  <w:noWrap w:val="0"/>
                  <w:vAlign w:val="top"/>
                </w:tcPr>
                <w:p w14:paraId="35CE7889">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p>
              </w:tc>
              <w:tc>
                <w:tcPr>
                  <w:tcW w:w="290" w:type="pct"/>
                  <w:noWrap w:val="0"/>
                  <w:vAlign w:val="top"/>
                </w:tcPr>
                <w:p w14:paraId="36DCF544">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环境风险防控</w:t>
                  </w:r>
                </w:p>
              </w:tc>
              <w:tc>
                <w:tcPr>
                  <w:tcW w:w="2405" w:type="pct"/>
                  <w:noWrap w:val="0"/>
                  <w:vAlign w:val="top"/>
                </w:tcPr>
                <w:p w14:paraId="0E1F3FAC">
                  <w:pPr>
                    <w:keepNext w:val="0"/>
                    <w:keepLines w:val="0"/>
                    <w:widowControl/>
                    <w:suppressLineNumbers w:val="0"/>
                    <w:jc w:val="left"/>
                    <w:rPr>
                      <w:b/>
                      <w:bCs/>
                    </w:rPr>
                  </w:pPr>
                  <w:r>
                    <w:rPr>
                      <w:rFonts w:hint="default" w:ascii="Times New Roman" w:hAnsi="Times New Roman" w:eastAsia="宋体" w:cs="Times New Roman"/>
                      <w:b/>
                      <w:bCs/>
                      <w:color w:val="000000"/>
                      <w:kern w:val="0"/>
                      <w:sz w:val="20"/>
                      <w:szCs w:val="20"/>
                      <w:lang w:val="en-US" w:eastAsia="zh-CN" w:bidi="ar"/>
                    </w:rPr>
                    <w:t>1.</w:t>
                  </w:r>
                  <w:r>
                    <w:rPr>
                      <w:rFonts w:hint="eastAsia" w:ascii="宋体" w:hAnsi="宋体" w:eastAsia="宋体" w:cs="宋体"/>
                      <w:b/>
                      <w:bCs/>
                      <w:color w:val="000000"/>
                      <w:kern w:val="0"/>
                      <w:sz w:val="20"/>
                      <w:szCs w:val="20"/>
                      <w:lang w:val="en-US" w:eastAsia="zh-CN" w:bidi="ar"/>
                    </w:rPr>
                    <w:t xml:space="preserve">开发区管理部门应制定完善的事故风险应急预案，建立风险防范体系，成立应急组织机构，具备事故应急能力，并定期进行演练。 </w:t>
                  </w:r>
                </w:p>
                <w:p w14:paraId="6A0CFC8D">
                  <w:pPr>
                    <w:keepNext w:val="0"/>
                    <w:keepLines w:val="0"/>
                    <w:widowControl/>
                    <w:suppressLineNumbers w:val="0"/>
                    <w:jc w:val="left"/>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kern w:val="0"/>
                      <w:sz w:val="20"/>
                      <w:szCs w:val="20"/>
                      <w:lang w:val="en-US" w:eastAsia="zh-CN" w:bidi="ar"/>
                    </w:rPr>
                    <w:t>2.</w:t>
                  </w:r>
                  <w:r>
                    <w:rPr>
                      <w:rFonts w:hint="eastAsia" w:ascii="宋体" w:hAnsi="宋体" w:eastAsia="宋体" w:cs="宋体"/>
                      <w:b/>
                      <w:bCs/>
                      <w:color w:val="000000"/>
                      <w:kern w:val="0"/>
                      <w:sz w:val="20"/>
                      <w:szCs w:val="20"/>
                      <w:lang w:val="en-US" w:eastAsia="zh-CN" w:bidi="ar"/>
                    </w:rPr>
                    <w:t>开发区内企事业单位按照《企业事业单位突发环境事件应急预案备案管理办法（试行）》的要求，制定完善的环境应急预案，报环境管理部门备案管理，并落实有关要求。</w:t>
                  </w:r>
                </w:p>
              </w:tc>
              <w:tc>
                <w:tcPr>
                  <w:tcW w:w="1533" w:type="pct"/>
                  <w:noWrap w:val="0"/>
                  <w:vAlign w:val="top"/>
                </w:tcPr>
                <w:p w14:paraId="255E1CCC">
                  <w:pPr>
                    <w:pStyle w:val="4"/>
                    <w:snapToGrid w:val="0"/>
                    <w:spacing w:before="0" w:after="0" w:line="240" w:lineRule="auto"/>
                    <w:contextualSpacing/>
                    <w:rPr>
                      <w:rFonts w:hint="default" w:ascii="Times New Roman" w:hAnsi="Times New Roman" w:eastAsia="宋体" w:cs="Times New Roman"/>
                      <w:b/>
                      <w:bCs/>
                      <w:color w:val="000000"/>
                      <w:sz w:val="21"/>
                      <w:szCs w:val="21"/>
                      <w:highlight w:val="none"/>
                      <w:u w:val="none"/>
                    </w:rPr>
                  </w:pPr>
                  <w:r>
                    <w:rPr>
                      <w:rFonts w:hint="default" w:ascii="Times New Roman" w:hAnsi="Times New Roman" w:eastAsia="宋体" w:cs="Times New Roman"/>
                      <w:b/>
                      <w:bCs/>
                      <w:color w:val="000000"/>
                      <w:sz w:val="21"/>
                      <w:szCs w:val="21"/>
                      <w:highlight w:val="none"/>
                      <w:u w:val="none"/>
                      <w:lang w:val="en-US" w:eastAsia="zh-CN"/>
                    </w:rPr>
                    <w:t>项目将按照《企业事业单位突发环境事件应急预案备案管理办法（试行）》的要求，制定完善的环境应急预案，并报环境管理部门备案管理，并落实有关要求</w:t>
                  </w:r>
                </w:p>
              </w:tc>
              <w:tc>
                <w:tcPr>
                  <w:tcW w:w="263" w:type="pct"/>
                  <w:noWrap w:val="0"/>
                  <w:vAlign w:val="center"/>
                </w:tcPr>
                <w:p w14:paraId="08B0B730">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相符</w:t>
                  </w:r>
                </w:p>
              </w:tc>
            </w:tr>
            <w:tr w14:paraId="6126C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507" w:type="pct"/>
                  <w:noWrap w:val="0"/>
                  <w:vAlign w:val="top"/>
                </w:tcPr>
                <w:p w14:paraId="09E04BE5">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p>
              </w:tc>
              <w:tc>
                <w:tcPr>
                  <w:tcW w:w="290" w:type="pct"/>
                  <w:noWrap w:val="0"/>
                  <w:vAlign w:val="top"/>
                </w:tcPr>
                <w:p w14:paraId="274B2808">
                  <w:pPr>
                    <w:pStyle w:val="4"/>
                    <w:snapToGrid w:val="0"/>
                    <w:spacing w:before="0" w:after="0" w:line="240" w:lineRule="auto"/>
                    <w:contextualSpacing/>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资源利用效率</w:t>
                  </w:r>
                </w:p>
              </w:tc>
              <w:tc>
                <w:tcPr>
                  <w:tcW w:w="2405" w:type="pct"/>
                  <w:noWrap w:val="0"/>
                  <w:vAlign w:val="top"/>
                </w:tcPr>
                <w:p w14:paraId="1928FADA">
                  <w:pPr>
                    <w:keepNext w:val="0"/>
                    <w:keepLines w:val="0"/>
                    <w:widowControl/>
                    <w:suppressLineNumbers w:val="0"/>
                    <w:jc w:val="left"/>
                    <w:rPr>
                      <w:b/>
                      <w:bCs/>
                    </w:rPr>
                  </w:pPr>
                  <w:r>
                    <w:rPr>
                      <w:rFonts w:hint="default" w:ascii="Times New Roman" w:hAnsi="Times New Roman" w:eastAsia="宋体" w:cs="Times New Roman"/>
                      <w:b/>
                      <w:bCs/>
                      <w:color w:val="000000"/>
                      <w:kern w:val="0"/>
                      <w:sz w:val="20"/>
                      <w:szCs w:val="20"/>
                      <w:lang w:val="en-US" w:eastAsia="zh-CN" w:bidi="ar"/>
                    </w:rPr>
                    <w:t>1.</w:t>
                  </w:r>
                  <w:r>
                    <w:rPr>
                      <w:rFonts w:hint="eastAsia" w:ascii="宋体" w:hAnsi="宋体" w:eastAsia="宋体" w:cs="宋体"/>
                      <w:b/>
                      <w:bCs/>
                      <w:color w:val="000000"/>
                      <w:kern w:val="0"/>
                      <w:sz w:val="20"/>
                      <w:szCs w:val="20"/>
                      <w:lang w:val="en-US" w:eastAsia="zh-CN" w:bidi="ar"/>
                    </w:rPr>
                    <w:t xml:space="preserve">污水处理厂建设再生水回用配套设施，提高再生水利用率。 </w:t>
                  </w:r>
                </w:p>
                <w:p w14:paraId="1322E3CD">
                  <w:pPr>
                    <w:keepNext w:val="0"/>
                    <w:keepLines w:val="0"/>
                    <w:widowControl/>
                    <w:suppressLineNumbers w:val="0"/>
                    <w:jc w:val="left"/>
                    <w:rPr>
                      <w:b/>
                      <w:bCs/>
                    </w:rPr>
                  </w:pPr>
                  <w:r>
                    <w:rPr>
                      <w:rFonts w:hint="default" w:ascii="Times New Roman" w:hAnsi="Times New Roman" w:eastAsia="宋体" w:cs="Times New Roman"/>
                      <w:b/>
                      <w:bCs/>
                      <w:color w:val="000000"/>
                      <w:kern w:val="0"/>
                      <w:sz w:val="20"/>
                      <w:szCs w:val="20"/>
                      <w:lang w:val="en-US" w:eastAsia="zh-CN" w:bidi="ar"/>
                    </w:rPr>
                    <w:t>2.</w:t>
                  </w:r>
                  <w:r>
                    <w:rPr>
                      <w:rFonts w:hint="eastAsia" w:ascii="宋体" w:hAnsi="宋体" w:eastAsia="宋体" w:cs="宋体"/>
                      <w:b/>
                      <w:bCs/>
                      <w:color w:val="000000"/>
                      <w:kern w:val="0"/>
                      <w:sz w:val="20"/>
                      <w:szCs w:val="20"/>
                      <w:lang w:val="en-US" w:eastAsia="zh-CN" w:bidi="ar"/>
                    </w:rPr>
                    <w:t xml:space="preserve">逐步关停企业自备水井。 </w:t>
                  </w:r>
                </w:p>
                <w:p w14:paraId="19B940E1">
                  <w:pPr>
                    <w:keepNext w:val="0"/>
                    <w:keepLines w:val="0"/>
                    <w:widowControl/>
                    <w:suppressLineNumbers w:val="0"/>
                    <w:jc w:val="left"/>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kern w:val="0"/>
                      <w:sz w:val="20"/>
                      <w:szCs w:val="20"/>
                      <w:lang w:val="en-US" w:eastAsia="zh-CN" w:bidi="ar"/>
                    </w:rPr>
                    <w:t>3.</w:t>
                  </w:r>
                  <w:r>
                    <w:rPr>
                      <w:rFonts w:hint="eastAsia" w:ascii="宋体" w:hAnsi="宋体" w:eastAsia="宋体" w:cs="宋体"/>
                      <w:b/>
                      <w:bCs/>
                      <w:color w:val="000000"/>
                      <w:kern w:val="0"/>
                      <w:sz w:val="20"/>
                      <w:szCs w:val="20"/>
                      <w:lang w:val="en-US" w:eastAsia="zh-CN" w:bidi="ar"/>
                    </w:rPr>
                    <w:t>在禁燃区内，禁止销售、燃用高污染燃料；禁止新建、扩建燃用高污染燃料的设施，已建成的，应当在省辖市、县（市）人民政府规定的期限内改用天然气、页岩气、液化石油气、电或者其他清洁能源。</w:t>
                  </w:r>
                </w:p>
              </w:tc>
              <w:tc>
                <w:tcPr>
                  <w:tcW w:w="1533" w:type="pct"/>
                  <w:noWrap w:val="0"/>
                  <w:vAlign w:val="top"/>
                </w:tcPr>
                <w:p w14:paraId="2E487AAB">
                  <w:pPr>
                    <w:pStyle w:val="4"/>
                    <w:snapToGrid w:val="0"/>
                    <w:spacing w:before="0" w:after="0" w:line="240" w:lineRule="auto"/>
                    <w:contextualSpacing/>
                    <w:rPr>
                      <w:rFonts w:hint="default" w:ascii="Times New Roman" w:hAnsi="Times New Roman" w:eastAsia="宋体" w:cs="Times New Roman"/>
                      <w:b/>
                      <w:bCs/>
                      <w:color w:val="000000"/>
                      <w:sz w:val="21"/>
                      <w:szCs w:val="21"/>
                      <w:highlight w:val="none"/>
                      <w:u w:val="none"/>
                    </w:rPr>
                  </w:pPr>
                  <w:r>
                    <w:rPr>
                      <w:rFonts w:hint="default" w:ascii="Times New Roman" w:hAnsi="Times New Roman" w:eastAsia="宋体" w:cs="Times New Roman"/>
                      <w:b/>
                      <w:bCs/>
                      <w:color w:val="000000"/>
                      <w:sz w:val="21"/>
                      <w:szCs w:val="21"/>
                      <w:highlight w:val="none"/>
                      <w:u w:val="none"/>
                    </w:rPr>
                    <w:t>本项目用水由市政供水管网供给；项目不燃用高污染燃料</w:t>
                  </w:r>
                </w:p>
              </w:tc>
              <w:tc>
                <w:tcPr>
                  <w:tcW w:w="263" w:type="pct"/>
                  <w:noWrap w:val="0"/>
                  <w:vAlign w:val="center"/>
                </w:tcPr>
                <w:p w14:paraId="1BAD78E0">
                  <w:pPr>
                    <w:pStyle w:val="4"/>
                    <w:snapToGrid w:val="0"/>
                    <w:spacing w:before="0" w:after="0" w:line="240" w:lineRule="auto"/>
                    <w:contextualSpacing/>
                    <w:jc w:val="center"/>
                    <w:rPr>
                      <w:rFonts w:hint="default" w:ascii="Times New Roman" w:hAnsi="Times New Roman" w:eastAsia="宋体" w:cs="Times New Roman"/>
                      <w:b/>
                      <w:bCs/>
                      <w:color w:val="000000"/>
                      <w:sz w:val="21"/>
                      <w:szCs w:val="21"/>
                      <w:u w:val="none"/>
                    </w:rPr>
                  </w:pPr>
                  <w:r>
                    <w:rPr>
                      <w:rFonts w:hint="default" w:ascii="Times New Roman" w:hAnsi="Times New Roman" w:eastAsia="宋体" w:cs="Times New Roman"/>
                      <w:b/>
                      <w:bCs/>
                      <w:color w:val="000000"/>
                      <w:sz w:val="21"/>
                      <w:szCs w:val="21"/>
                      <w:u w:val="none"/>
                    </w:rPr>
                    <w:t>相符</w:t>
                  </w:r>
                </w:p>
              </w:tc>
            </w:tr>
          </w:tbl>
          <w:p w14:paraId="205EEF2E">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jc w:val="left"/>
              <w:textAlignment w:val="auto"/>
              <w:rPr>
                <w:b/>
                <w:bCs/>
                <w:color w:val="000000"/>
                <w:sz w:val="24"/>
                <w:u w:val="single"/>
              </w:rPr>
            </w:pPr>
            <w:r>
              <w:rPr>
                <w:b/>
                <w:bCs/>
                <w:color w:val="000000"/>
                <w:sz w:val="24"/>
                <w:u w:val="single"/>
              </w:rPr>
              <w:t>综上，项目</w:t>
            </w:r>
            <w:r>
              <w:rPr>
                <w:rFonts w:hint="eastAsia"/>
                <w:b/>
                <w:bCs/>
                <w:color w:val="000000"/>
                <w:sz w:val="24"/>
                <w:u w:val="single"/>
              </w:rPr>
              <w:t>建设符合</w:t>
            </w:r>
            <w:r>
              <w:rPr>
                <w:rFonts w:hint="eastAsia"/>
                <w:b/>
                <w:bCs/>
                <w:color w:val="000000"/>
                <w:sz w:val="24"/>
                <w:u w:val="single"/>
                <w:lang w:val="en-US" w:eastAsia="zh-CN"/>
              </w:rPr>
              <w:t>河南省周口市生态环境分区</w:t>
            </w:r>
            <w:r>
              <w:rPr>
                <w:rFonts w:hint="eastAsia"/>
                <w:b/>
                <w:bCs/>
                <w:color w:val="000000"/>
                <w:sz w:val="24"/>
                <w:u w:val="single"/>
              </w:rPr>
              <w:t>管控要求</w:t>
            </w:r>
            <w:r>
              <w:rPr>
                <w:b/>
                <w:bCs/>
                <w:color w:val="000000"/>
                <w:sz w:val="24"/>
                <w:u w:val="single"/>
              </w:rPr>
              <w:t>。</w:t>
            </w:r>
          </w:p>
          <w:p w14:paraId="1688ABB0">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eastAsia" w:ascii="Times New Roman" w:hAnsi="Times New Roman" w:eastAsia="宋体" w:cs="Times New Roman"/>
                <w:b/>
                <w:bCs/>
                <w:color w:val="000000"/>
              </w:rPr>
            </w:pPr>
            <w:bookmarkStart w:id="14" w:name="_Toc13031"/>
            <w:bookmarkStart w:id="15" w:name="_Toc20595"/>
            <w:r>
              <w:rPr>
                <w:rFonts w:hint="eastAsia" w:ascii="Times New Roman" w:hAnsi="Times New Roman" w:eastAsia="宋体" w:cs="Times New Roman"/>
                <w:b/>
                <w:bCs/>
                <w:color w:val="000000"/>
              </w:rPr>
              <w:t>3、饮用水水源地保护区</w:t>
            </w:r>
            <w:bookmarkEnd w:id="14"/>
            <w:bookmarkEnd w:id="15"/>
            <w:r>
              <w:rPr>
                <w:rFonts w:hint="eastAsia" w:ascii="Times New Roman" w:hAnsi="Times New Roman" w:eastAsia="宋体" w:cs="Times New Roman"/>
                <w:b/>
                <w:bCs/>
                <w:color w:val="000000"/>
              </w:rPr>
              <w:t xml:space="preserve"> </w:t>
            </w:r>
          </w:p>
          <w:p w14:paraId="67EDA9ED">
            <w:pPr>
              <w:pStyle w:val="96"/>
              <w:ind w:firstLine="480"/>
              <w:rPr>
                <w:rFonts w:hint="eastAsia"/>
                <w:b w:val="0"/>
                <w:bCs w:val="0"/>
                <w:color w:val="000000"/>
                <w:lang w:eastAsia="zh-CN"/>
              </w:rPr>
            </w:pPr>
            <w:r>
              <w:rPr>
                <w:rFonts w:hint="eastAsia"/>
                <w:b w:val="0"/>
                <w:bCs w:val="0"/>
                <w:color w:val="000000"/>
              </w:rPr>
              <w:t>根据《周口市淮阳区自来水公司地下水井群饮用水水源保护区调整技术报告》（周口市淮阳区人民政府 2020.1）和《河南省县级集中式饮用水水源保护区划》，淮阳区自来水公司地下水井群饮用水水源地取水井保护区定界结果为：淮阳县自来水公司地下水井群（现更名为：淮阳区自来水公司地下水井群（共18眼井）</w:t>
            </w:r>
            <w:r>
              <w:rPr>
                <w:rFonts w:hint="eastAsia"/>
                <w:b w:val="0"/>
                <w:bCs w:val="0"/>
                <w:color w:val="000000"/>
                <w:lang w:eastAsia="zh-CN"/>
              </w:rPr>
              <w:t>。</w:t>
            </w:r>
          </w:p>
          <w:p w14:paraId="13348E2A">
            <w:pPr>
              <w:pStyle w:val="96"/>
              <w:ind w:firstLine="480"/>
              <w:rPr>
                <w:rFonts w:hint="eastAsia"/>
                <w:b w:val="0"/>
                <w:bCs w:val="0"/>
                <w:color w:val="000000"/>
              </w:rPr>
            </w:pPr>
            <w:r>
              <w:rPr>
                <w:rFonts w:hint="eastAsia"/>
                <w:b w:val="0"/>
                <w:bCs w:val="0"/>
                <w:color w:val="000000"/>
              </w:rPr>
              <w:t>一级保护区：1～2号取水井外围30米至水厂厂区；3～12号、14～18号取水井外围30米的区域；13号取水井外围30米东至宛丘路西侧红线、北至连心路南侧红线的四边形区域。</w:t>
            </w:r>
          </w:p>
          <w:p w14:paraId="0B7D84F6">
            <w:pPr>
              <w:pStyle w:val="96"/>
              <w:ind w:firstLine="480"/>
              <w:rPr>
                <w:rFonts w:hint="eastAsia"/>
                <w:b w:val="0"/>
                <w:bCs w:val="0"/>
                <w:color w:val="000000"/>
              </w:rPr>
            </w:pPr>
            <w:r>
              <w:rPr>
                <w:rFonts w:hint="eastAsia"/>
                <w:b w:val="0"/>
                <w:bCs w:val="0"/>
                <w:color w:val="000000"/>
                <w:lang w:eastAsia="zh-CN"/>
              </w:rPr>
              <w:t>本项目选址在</w:t>
            </w:r>
            <w:r>
              <w:rPr>
                <w:rFonts w:hint="eastAsia"/>
                <w:b w:val="0"/>
                <w:bCs w:val="0"/>
                <w:color w:val="000000"/>
                <w:lang w:val="en-US" w:eastAsia="zh-CN"/>
              </w:rPr>
              <w:t>淮阳县</w:t>
            </w:r>
            <w:r>
              <w:rPr>
                <w:rFonts w:hint="eastAsia"/>
                <w:b w:val="0"/>
                <w:bCs w:val="0"/>
                <w:color w:val="000000"/>
                <w:lang w:eastAsia="zh-CN"/>
              </w:rPr>
              <w:t>产业集聚区内，</w:t>
            </w:r>
            <w:r>
              <w:rPr>
                <w:rFonts w:hint="eastAsia"/>
                <w:b w:val="0"/>
                <w:bCs w:val="0"/>
                <w:color w:val="000000"/>
                <w:lang w:val="en-US" w:eastAsia="zh-CN"/>
              </w:rPr>
              <w:t>项目距离淮阳区自来水公司地下水井群最近的为2#水</w:t>
            </w:r>
            <w:r>
              <w:rPr>
                <w:rFonts w:hint="eastAsia"/>
                <w:b w:val="0"/>
                <w:bCs w:val="0"/>
                <w:color w:val="000000"/>
                <w:highlight w:val="none"/>
                <w:lang w:val="en-US" w:eastAsia="zh-CN"/>
              </w:rPr>
              <w:t>井，距离约2.5km，不</w:t>
            </w:r>
            <w:r>
              <w:rPr>
                <w:rFonts w:hint="eastAsia"/>
                <w:b w:val="0"/>
                <w:bCs w:val="0"/>
                <w:color w:val="000000"/>
                <w:lang w:val="en-US" w:eastAsia="zh-CN"/>
              </w:rPr>
              <w:t>在保护区范围内。因此，</w:t>
            </w:r>
            <w:r>
              <w:rPr>
                <w:rFonts w:hint="eastAsia"/>
                <w:b w:val="0"/>
                <w:bCs w:val="0"/>
                <w:color w:val="000000"/>
              </w:rPr>
              <w:t>项目不在淮阳</w:t>
            </w:r>
            <w:r>
              <w:rPr>
                <w:rFonts w:hint="eastAsia"/>
                <w:b w:val="0"/>
                <w:bCs w:val="0"/>
                <w:color w:val="000000"/>
                <w:lang w:val="en-US" w:eastAsia="zh-CN"/>
              </w:rPr>
              <w:t>区</w:t>
            </w:r>
            <w:r>
              <w:rPr>
                <w:rFonts w:hint="eastAsia"/>
                <w:b w:val="0"/>
                <w:bCs w:val="0"/>
                <w:color w:val="000000"/>
              </w:rPr>
              <w:t>集中式饮用水水源保护区划范围内。</w:t>
            </w:r>
            <w:bookmarkStart w:id="16" w:name="_Toc5335"/>
            <w:bookmarkStart w:id="17" w:name="_Toc13740"/>
          </w:p>
          <w:p w14:paraId="04E8BDC7">
            <w:pPr>
              <w:pStyle w:val="96"/>
              <w:ind w:firstLine="480"/>
              <w:rPr>
                <w:rFonts w:hint="eastAsia" w:ascii="Times New Roman" w:hAnsi="Times New Roman" w:eastAsia="宋体" w:cs="Times New Roman"/>
                <w:b/>
                <w:bCs/>
                <w:color w:val="000000"/>
                <w:lang w:val="en-US" w:eastAsia="zh-CN"/>
              </w:rPr>
            </w:pPr>
            <w:r>
              <w:rPr>
                <w:rFonts w:hint="eastAsia" w:ascii="Times New Roman" w:hAnsi="Times New Roman" w:eastAsia="宋体" w:cs="Times New Roman"/>
                <w:b/>
                <w:bCs/>
                <w:color w:val="000000"/>
                <w:lang w:val="en-US" w:eastAsia="zh-CN"/>
              </w:rPr>
              <w:t>4、与《河南省人民政府关于印发河南省空气质量持续改善行动计划的通知》（豫政[2024]12号）相符性分析</w:t>
            </w:r>
            <w:bookmarkEnd w:id="16"/>
            <w:bookmarkEnd w:id="17"/>
          </w:p>
          <w:p w14:paraId="68F3D2F7">
            <w:pPr>
              <w:pStyle w:val="38"/>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textAlignment w:val="auto"/>
              <w:rPr>
                <w:rFonts w:hint="default" w:ascii="Times New Roman" w:hAnsi="Times New Roman" w:cs="Times New Roman"/>
                <w:b w:val="0"/>
                <w:bCs w:val="0"/>
                <w:color w:val="auto"/>
                <w:sz w:val="21"/>
                <w:szCs w:val="21"/>
                <w:u w:val="none"/>
                <w:lang w:eastAsia="zh-CN"/>
              </w:rPr>
            </w:pPr>
            <w:r>
              <w:rPr>
                <w:rFonts w:hint="default" w:ascii="Times New Roman" w:hAnsi="Times New Roman" w:cs="Times New Roman"/>
                <w:b w:val="0"/>
                <w:bCs w:val="0"/>
                <w:color w:val="auto"/>
                <w:sz w:val="24"/>
                <w:szCs w:val="24"/>
                <w:u w:val="none"/>
                <w:lang w:eastAsia="zh-CN"/>
              </w:rPr>
              <w:t>本项目与</w:t>
            </w:r>
            <w:r>
              <w:rPr>
                <w:rFonts w:hint="default" w:ascii="Times New Roman" w:hAnsi="Times New Roman" w:cs="Times New Roman"/>
                <w:b w:val="0"/>
                <w:bCs w:val="0"/>
                <w:color w:val="auto"/>
                <w:sz w:val="24"/>
                <w:szCs w:val="24"/>
                <w:u w:val="none"/>
                <w:lang w:val="en-US" w:eastAsia="zh-CN"/>
              </w:rPr>
              <w:t>《河南省人民政府关于印发河南省空气质量持续改善行动计划的通知》（豫政[2024]12号）</w:t>
            </w:r>
            <w:r>
              <w:rPr>
                <w:rFonts w:hint="default" w:ascii="Times New Roman" w:hAnsi="Times New Roman" w:cs="Times New Roman"/>
                <w:b w:val="0"/>
                <w:bCs w:val="0"/>
                <w:color w:val="auto"/>
                <w:sz w:val="24"/>
                <w:szCs w:val="24"/>
                <w:u w:val="none"/>
                <w:lang w:eastAsia="zh-CN"/>
              </w:rPr>
              <w:t>的相符性分析见下表。</w:t>
            </w:r>
          </w:p>
          <w:p w14:paraId="486D9DE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4"/>
                <w:szCs w:val="24"/>
                <w:u w:val="none"/>
              </w:rPr>
            </w:pPr>
            <w:r>
              <w:rPr>
                <w:rFonts w:hint="default" w:ascii="Times New Roman" w:hAnsi="Times New Roman" w:eastAsia="宋体" w:cs="Times New Roman"/>
                <w:b/>
                <w:bCs/>
                <w:color w:val="auto"/>
                <w:sz w:val="24"/>
                <w:szCs w:val="24"/>
                <w:u w:val="none"/>
              </w:rPr>
              <w:t>表</w:t>
            </w:r>
            <w:r>
              <w:rPr>
                <w:rFonts w:hint="eastAsia" w:cs="Times New Roman"/>
                <w:b/>
                <w:bCs/>
                <w:color w:val="auto"/>
                <w:sz w:val="24"/>
                <w:szCs w:val="24"/>
                <w:u w:val="none"/>
                <w:lang w:val="en-US" w:eastAsia="zh-CN"/>
              </w:rPr>
              <w:t>1-6</w:t>
            </w:r>
            <w:r>
              <w:rPr>
                <w:rFonts w:hint="default" w:ascii="Times New Roman" w:hAnsi="Times New Roman" w:eastAsia="宋体" w:cs="Times New Roman"/>
                <w:b/>
                <w:bCs/>
                <w:color w:val="auto"/>
                <w:sz w:val="24"/>
                <w:szCs w:val="24"/>
                <w:u w:val="none"/>
                <w:lang w:val="en-US" w:eastAsia="zh-CN"/>
              </w:rPr>
              <w:t xml:space="preserve">  </w:t>
            </w:r>
            <w:r>
              <w:rPr>
                <w:rFonts w:hint="eastAsia" w:cs="Times New Roman"/>
                <w:b/>
                <w:bCs/>
                <w:color w:val="auto"/>
                <w:sz w:val="24"/>
                <w:szCs w:val="24"/>
                <w:u w:val="none"/>
                <w:lang w:val="en-US" w:eastAsia="zh-CN"/>
              </w:rPr>
              <w:t xml:space="preserve">  </w:t>
            </w:r>
            <w:r>
              <w:rPr>
                <w:rFonts w:hint="default" w:ascii="Times New Roman" w:hAnsi="Times New Roman" w:eastAsia="宋体" w:cs="Times New Roman"/>
                <w:b/>
                <w:bCs/>
                <w:color w:val="auto"/>
                <w:sz w:val="24"/>
                <w:szCs w:val="24"/>
                <w:u w:val="none"/>
                <w:lang w:val="en-US" w:eastAsia="zh-CN"/>
              </w:rPr>
              <w:t xml:space="preserve"> </w:t>
            </w:r>
            <w:r>
              <w:rPr>
                <w:rFonts w:hint="default" w:ascii="Times New Roman" w:hAnsi="Times New Roman" w:eastAsia="宋体" w:cs="Times New Roman"/>
                <w:b/>
                <w:bCs/>
                <w:color w:val="auto"/>
                <w:sz w:val="24"/>
                <w:szCs w:val="24"/>
                <w:u w:val="none"/>
              </w:rPr>
              <w:t>本项目与</w:t>
            </w:r>
            <w:r>
              <w:rPr>
                <w:rFonts w:hint="default" w:ascii="Times New Roman" w:hAnsi="Times New Roman" w:eastAsia="宋体" w:cs="Times New Roman"/>
                <w:b/>
                <w:bCs/>
                <w:color w:val="auto"/>
                <w:sz w:val="24"/>
                <w:szCs w:val="24"/>
                <w:u w:val="none"/>
                <w:lang w:val="en-US" w:eastAsia="zh-CN"/>
              </w:rPr>
              <w:t>（豫政[2024]12号）</w:t>
            </w:r>
            <w:r>
              <w:rPr>
                <w:rFonts w:hint="default" w:ascii="Times New Roman" w:hAnsi="Times New Roman" w:eastAsia="宋体" w:cs="Times New Roman"/>
                <w:b/>
                <w:bCs/>
                <w:color w:val="auto"/>
                <w:sz w:val="24"/>
                <w:szCs w:val="24"/>
                <w:u w:val="none"/>
              </w:rPr>
              <w:t>相符性分析一览表</w:t>
            </w:r>
          </w:p>
          <w:tbl>
            <w:tblPr>
              <w:tblStyle w:val="39"/>
              <w:tblW w:w="4999"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Layout w:type="autofit"/>
              <w:tblCellMar>
                <w:top w:w="0" w:type="dxa"/>
                <w:left w:w="57" w:type="dxa"/>
                <w:bottom w:w="0" w:type="dxa"/>
                <w:right w:w="57" w:type="dxa"/>
              </w:tblCellMar>
            </w:tblPr>
            <w:tblGrid>
              <w:gridCol w:w="446"/>
              <w:gridCol w:w="916"/>
              <w:gridCol w:w="3190"/>
              <w:gridCol w:w="1806"/>
              <w:gridCol w:w="565"/>
            </w:tblGrid>
            <w:tr w14:paraId="573963DA">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2" w:type="pct"/>
                  <w:tcBorders>
                    <w:tl2br w:val="nil"/>
                    <w:tr2bl w:val="nil"/>
                  </w:tcBorders>
                  <w:noWrap w:val="0"/>
                  <w:vAlign w:val="center"/>
                </w:tcPr>
                <w:p w14:paraId="3D2B2F7B">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序号</w:t>
                  </w:r>
                </w:p>
              </w:tc>
              <w:tc>
                <w:tcPr>
                  <w:tcW w:w="2964" w:type="pct"/>
                  <w:gridSpan w:val="2"/>
                  <w:tcBorders>
                    <w:tl2br w:val="nil"/>
                    <w:tr2bl w:val="nil"/>
                  </w:tcBorders>
                  <w:noWrap w:val="0"/>
                  <w:vAlign w:val="center"/>
                </w:tcPr>
                <w:p w14:paraId="463948A9">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eastAsia="zh-CN"/>
                    </w:rPr>
                    <w:t>相关要求</w:t>
                  </w:r>
                </w:p>
              </w:tc>
              <w:tc>
                <w:tcPr>
                  <w:tcW w:w="1304" w:type="pct"/>
                  <w:tcBorders>
                    <w:tl2br w:val="nil"/>
                    <w:tr2bl w:val="nil"/>
                  </w:tcBorders>
                  <w:noWrap w:val="0"/>
                  <w:vAlign w:val="center"/>
                </w:tcPr>
                <w:p w14:paraId="52845983">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本项目情况</w:t>
                  </w:r>
                </w:p>
              </w:tc>
              <w:tc>
                <w:tcPr>
                  <w:tcW w:w="408" w:type="pct"/>
                  <w:tcBorders>
                    <w:tl2br w:val="nil"/>
                    <w:tr2bl w:val="nil"/>
                  </w:tcBorders>
                  <w:noWrap w:val="0"/>
                  <w:vAlign w:val="center"/>
                </w:tcPr>
                <w:p w14:paraId="72ADB11F">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相符性</w:t>
                  </w:r>
                </w:p>
              </w:tc>
            </w:tr>
            <w:tr w14:paraId="537B2394">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2" w:type="pct"/>
                  <w:tcBorders>
                    <w:tl2br w:val="nil"/>
                    <w:tr2bl w:val="nil"/>
                  </w:tcBorders>
                  <w:noWrap w:val="0"/>
                  <w:vAlign w:val="center"/>
                </w:tcPr>
                <w:p w14:paraId="6392B582">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1</w:t>
                  </w:r>
                </w:p>
              </w:tc>
              <w:tc>
                <w:tcPr>
                  <w:tcW w:w="661" w:type="pct"/>
                  <w:tcBorders>
                    <w:tl2br w:val="nil"/>
                    <w:tr2bl w:val="nil"/>
                  </w:tcBorders>
                  <w:noWrap w:val="0"/>
                  <w:vAlign w:val="center"/>
                </w:tcPr>
                <w:p w14:paraId="12ABB376">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0"/>
                      <w:sz w:val="21"/>
                      <w:szCs w:val="21"/>
                      <w:u w:val="none"/>
                    </w:rPr>
                  </w:pPr>
                  <w:r>
                    <w:rPr>
                      <w:rFonts w:hint="default" w:ascii="Times New Roman" w:hAnsi="Times New Roman" w:eastAsia="宋体" w:cs="Times New Roman"/>
                      <w:b w:val="0"/>
                      <w:bCs w:val="0"/>
                      <w:i w:val="0"/>
                      <w:iCs w:val="0"/>
                      <w:color w:val="auto"/>
                      <w:kern w:val="0"/>
                      <w:sz w:val="21"/>
                      <w:szCs w:val="21"/>
                      <w:u w:val="none"/>
                    </w:rPr>
                    <w:t>优化产业结构，促进产业绿色发展</w:t>
                  </w:r>
                </w:p>
              </w:tc>
              <w:tc>
                <w:tcPr>
                  <w:tcW w:w="2303" w:type="pct"/>
                  <w:tcBorders>
                    <w:tl2br w:val="nil"/>
                    <w:tr2bl w:val="nil"/>
                  </w:tcBorders>
                  <w:noWrap w:val="0"/>
                  <w:vAlign w:val="center"/>
                </w:tcPr>
                <w:p w14:paraId="3A38D316">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i w:val="0"/>
                      <w:iCs w:val="0"/>
                      <w:color w:val="auto"/>
                      <w:kern w:val="0"/>
                      <w:sz w:val="21"/>
                      <w:szCs w:val="21"/>
                      <w:u w:val="none"/>
                    </w:rPr>
                  </w:pPr>
                  <w:r>
                    <w:rPr>
                      <w:rFonts w:hint="default" w:ascii="Times New Roman" w:hAnsi="Times New Roman" w:eastAsia="宋体" w:cs="Times New Roman"/>
                      <w:b w:val="0"/>
                      <w:bCs w:val="0"/>
                      <w:i w:val="0"/>
                      <w:iCs w:val="0"/>
                      <w:caps w:val="0"/>
                      <w:color w:val="auto"/>
                      <w:spacing w:val="0"/>
                      <w:sz w:val="21"/>
                      <w:szCs w:val="21"/>
                      <w:shd w:val="clear" w:color="auto" w:fill="FFFFFF"/>
                    </w:rPr>
                    <w:t>严把“两高”项目准入关口。严格落实国家和我省“两高”项目相关要求，严禁新增钢铁产能。严格执行有关行业产能置换政策，被置换产能及其配套设施关停后，新建项目方可投产。国家、省绩效分级重点行业以及涉及锅炉炉窑的其他行业，新（改、扩）建项目原则上达到环境绩效A级或国内清洁生产先进水平</w:t>
                  </w:r>
                </w:p>
              </w:tc>
              <w:tc>
                <w:tcPr>
                  <w:tcW w:w="1304" w:type="pct"/>
                  <w:tcBorders>
                    <w:tl2br w:val="nil"/>
                    <w:tr2bl w:val="nil"/>
                  </w:tcBorders>
                  <w:noWrap w:val="0"/>
                  <w:vAlign w:val="center"/>
                </w:tcPr>
                <w:p w14:paraId="586A468C">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本项目不属于</w:t>
                  </w:r>
                  <w:r>
                    <w:rPr>
                      <w:rFonts w:hint="default" w:ascii="Times New Roman" w:hAnsi="Times New Roman" w:eastAsia="宋体" w:cs="Times New Roman"/>
                      <w:b w:val="0"/>
                      <w:bCs w:val="0"/>
                      <w:color w:val="auto"/>
                      <w:sz w:val="21"/>
                      <w:szCs w:val="21"/>
                      <w:u w:val="none"/>
                    </w:rPr>
                    <w:t>“两高”项目</w:t>
                  </w:r>
                  <w:r>
                    <w:rPr>
                      <w:rFonts w:hint="default" w:ascii="Times New Roman" w:hAnsi="Times New Roman" w:eastAsia="宋体" w:cs="Times New Roman"/>
                      <w:b w:val="0"/>
                      <w:bCs w:val="0"/>
                      <w:color w:val="auto"/>
                      <w:sz w:val="21"/>
                      <w:szCs w:val="21"/>
                      <w:u w:val="none"/>
                      <w:lang w:eastAsia="zh-CN"/>
                    </w:rPr>
                    <w:t>。</w:t>
                  </w:r>
                  <w:r>
                    <w:rPr>
                      <w:rFonts w:hint="default" w:ascii="Times New Roman" w:hAnsi="Times New Roman" w:eastAsia="宋体" w:cs="Times New Roman"/>
                      <w:b w:val="0"/>
                      <w:bCs w:val="0"/>
                      <w:color w:val="auto"/>
                      <w:sz w:val="21"/>
                      <w:szCs w:val="21"/>
                      <w:u w:val="none"/>
                      <w:lang w:val="en-US" w:eastAsia="zh-CN"/>
                    </w:rPr>
                    <w:t>本项目属于非金属矿物制品</w:t>
                  </w:r>
                  <w:r>
                    <w:rPr>
                      <w:rFonts w:hint="eastAsia" w:cs="Times New Roman"/>
                      <w:b w:val="0"/>
                      <w:bCs w:val="0"/>
                      <w:color w:val="auto"/>
                      <w:sz w:val="21"/>
                      <w:szCs w:val="21"/>
                      <w:u w:val="none"/>
                      <w:lang w:val="en-US" w:eastAsia="zh-CN"/>
                    </w:rPr>
                    <w:t>业中的特种玻璃制造和玻璃制品制造</w:t>
                  </w:r>
                  <w:r>
                    <w:rPr>
                      <w:rFonts w:hint="default" w:ascii="Times New Roman" w:hAnsi="Times New Roman" w:eastAsia="宋体" w:cs="Times New Roman"/>
                      <w:b w:val="0"/>
                      <w:bCs w:val="0"/>
                      <w:color w:val="auto"/>
                      <w:sz w:val="21"/>
                      <w:szCs w:val="21"/>
                      <w:u w:val="none"/>
                      <w:lang w:val="en-US" w:eastAsia="zh-CN"/>
                    </w:rPr>
                    <w:t>，不属于重点行业，不涉及锅炉炉窑。本项目</w:t>
                  </w:r>
                  <w:r>
                    <w:rPr>
                      <w:rFonts w:hint="eastAsia" w:cs="Times New Roman"/>
                      <w:b w:val="0"/>
                      <w:bCs w:val="0"/>
                      <w:color w:val="auto"/>
                      <w:sz w:val="21"/>
                      <w:szCs w:val="21"/>
                      <w:u w:val="none"/>
                      <w:lang w:val="en-US" w:eastAsia="zh-CN"/>
                    </w:rPr>
                    <w:t>能</w:t>
                  </w:r>
                  <w:r>
                    <w:rPr>
                      <w:rFonts w:hint="default" w:ascii="Times New Roman" w:hAnsi="Times New Roman" w:eastAsia="宋体" w:cs="Times New Roman"/>
                      <w:b w:val="0"/>
                      <w:bCs w:val="0"/>
                      <w:i w:val="0"/>
                      <w:iCs w:val="0"/>
                      <w:caps w:val="0"/>
                      <w:color w:val="auto"/>
                      <w:spacing w:val="0"/>
                      <w:sz w:val="21"/>
                      <w:szCs w:val="21"/>
                      <w:shd w:val="clear" w:color="auto" w:fill="FFFFFF"/>
                    </w:rPr>
                    <w:t>达到</w:t>
                  </w:r>
                  <w:r>
                    <w:rPr>
                      <w:rFonts w:hint="eastAsia" w:cs="Times New Roman"/>
                      <w:b w:val="0"/>
                      <w:bCs w:val="0"/>
                      <w:i w:val="0"/>
                      <w:iCs w:val="0"/>
                      <w:caps w:val="0"/>
                      <w:color w:val="auto"/>
                      <w:spacing w:val="0"/>
                      <w:sz w:val="21"/>
                      <w:szCs w:val="21"/>
                      <w:shd w:val="clear" w:color="auto" w:fill="FFFFFF"/>
                      <w:lang w:val="en-US" w:eastAsia="zh-CN"/>
                    </w:rPr>
                    <w:t>对应</w:t>
                  </w:r>
                  <w:r>
                    <w:rPr>
                      <w:rFonts w:hint="default" w:ascii="Times New Roman" w:hAnsi="Times New Roman" w:eastAsia="宋体" w:cs="Times New Roman"/>
                      <w:b w:val="0"/>
                      <w:bCs w:val="0"/>
                      <w:i w:val="0"/>
                      <w:iCs w:val="0"/>
                      <w:caps w:val="0"/>
                      <w:color w:val="auto"/>
                      <w:spacing w:val="0"/>
                      <w:sz w:val="21"/>
                      <w:szCs w:val="21"/>
                      <w:shd w:val="clear" w:color="auto" w:fill="FFFFFF"/>
                    </w:rPr>
                    <w:t>环境绩效A级</w:t>
                  </w:r>
                  <w:r>
                    <w:rPr>
                      <w:rFonts w:hint="eastAsia" w:cs="Times New Roman"/>
                      <w:b w:val="0"/>
                      <w:bCs w:val="0"/>
                      <w:i w:val="0"/>
                      <w:iCs w:val="0"/>
                      <w:caps w:val="0"/>
                      <w:color w:val="auto"/>
                      <w:spacing w:val="0"/>
                      <w:sz w:val="21"/>
                      <w:szCs w:val="21"/>
                      <w:shd w:val="clear" w:color="auto" w:fill="FFFFFF"/>
                      <w:lang w:val="en-US" w:eastAsia="zh-CN"/>
                    </w:rPr>
                    <w:t>要求</w:t>
                  </w:r>
                </w:p>
              </w:tc>
              <w:tc>
                <w:tcPr>
                  <w:tcW w:w="408" w:type="pct"/>
                  <w:tcBorders>
                    <w:tl2br w:val="nil"/>
                    <w:tr2bl w:val="nil"/>
                  </w:tcBorders>
                  <w:noWrap w:val="0"/>
                  <w:vAlign w:val="center"/>
                </w:tcPr>
                <w:p w14:paraId="586EF04A">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r w14:paraId="65B59EE6">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2" w:type="pct"/>
                  <w:tcBorders>
                    <w:tl2br w:val="nil"/>
                    <w:tr2bl w:val="nil"/>
                  </w:tcBorders>
                  <w:noWrap w:val="0"/>
                  <w:vAlign w:val="center"/>
                </w:tcPr>
                <w:p w14:paraId="291EB278">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val="en-US" w:eastAsia="zh-CN"/>
                    </w:rPr>
                    <w:t>2</w:t>
                  </w:r>
                </w:p>
              </w:tc>
              <w:tc>
                <w:tcPr>
                  <w:tcW w:w="661" w:type="pct"/>
                  <w:tcBorders>
                    <w:tl2br w:val="nil"/>
                    <w:tr2bl w:val="nil"/>
                  </w:tcBorders>
                  <w:noWrap w:val="0"/>
                  <w:vAlign w:val="center"/>
                </w:tcPr>
                <w:p w14:paraId="7F17513E">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强化面源污染治理，提升精细化管理水平</w:t>
                  </w:r>
                </w:p>
              </w:tc>
              <w:tc>
                <w:tcPr>
                  <w:tcW w:w="2303" w:type="pct"/>
                  <w:tcBorders>
                    <w:tl2br w:val="nil"/>
                    <w:tr2bl w:val="nil"/>
                  </w:tcBorders>
                  <w:noWrap w:val="0"/>
                  <w:vAlign w:val="center"/>
                </w:tcPr>
                <w:p w14:paraId="0051D5B4">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i w:val="0"/>
                      <w:iCs w:val="0"/>
                      <w:caps w:val="0"/>
                      <w:color w:val="auto"/>
                      <w:spacing w:val="0"/>
                      <w:sz w:val="21"/>
                      <w:szCs w:val="21"/>
                      <w:shd w:val="clear" w:color="auto" w:fill="FFFFFF"/>
                    </w:rPr>
                    <w:t>深化扬尘污染综合治理。严格落实扬尘治理“两个标准”要求，加强施工围挡、车辆冲洗、湿法作业、密闭运输、地面硬化、物料覆盖等精细化管理，鼓励建筑项目积极采用装配式建造等绿色施工技术</w:t>
                  </w:r>
                </w:p>
              </w:tc>
              <w:tc>
                <w:tcPr>
                  <w:tcW w:w="1304" w:type="pct"/>
                  <w:tcBorders>
                    <w:tl2br w:val="nil"/>
                    <w:tr2bl w:val="nil"/>
                  </w:tcBorders>
                  <w:noWrap w:val="0"/>
                  <w:vAlign w:val="center"/>
                </w:tcPr>
                <w:p w14:paraId="6ECE6BEB">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color w:val="auto"/>
                      <w:sz w:val="21"/>
                      <w:szCs w:val="21"/>
                      <w:u w:val="none"/>
                      <w:lang w:val="en-US"/>
                    </w:rPr>
                  </w:pPr>
                  <w:r>
                    <w:rPr>
                      <w:rFonts w:hint="default" w:ascii="Times New Roman" w:hAnsi="Times New Roman" w:eastAsia="宋体" w:cs="Times New Roman"/>
                      <w:b w:val="0"/>
                      <w:bCs w:val="0"/>
                      <w:color w:val="auto"/>
                      <w:sz w:val="21"/>
                      <w:szCs w:val="21"/>
                      <w:u w:val="none"/>
                      <w:lang w:val="en-US" w:eastAsia="zh-CN"/>
                    </w:rPr>
                    <w:t>本项目施工期严格按照有关要求执行</w:t>
                  </w:r>
                  <w:r>
                    <w:rPr>
                      <w:rFonts w:hint="eastAsia" w:cs="Times New Roman"/>
                      <w:b w:val="0"/>
                      <w:bCs w:val="0"/>
                      <w:color w:val="auto"/>
                      <w:sz w:val="21"/>
                      <w:szCs w:val="21"/>
                      <w:u w:val="none"/>
                      <w:lang w:val="en-US" w:eastAsia="zh-CN"/>
                    </w:rPr>
                    <w:t>，</w:t>
                  </w:r>
                  <w:r>
                    <w:rPr>
                      <w:rFonts w:hint="default" w:ascii="Times New Roman" w:hAnsi="Times New Roman" w:eastAsia="宋体" w:cs="Times New Roman"/>
                      <w:b w:val="0"/>
                      <w:bCs w:val="0"/>
                      <w:color w:val="auto"/>
                      <w:sz w:val="21"/>
                      <w:szCs w:val="21"/>
                    </w:rPr>
                    <w:t>全面落实工程施工扬尘防治标准规定，落实防尘覆盖、施工围挡、车辆冲洗、湿法作业、裸地管控等措施</w:t>
                  </w:r>
                </w:p>
              </w:tc>
              <w:tc>
                <w:tcPr>
                  <w:tcW w:w="408" w:type="pct"/>
                  <w:tcBorders>
                    <w:tl2br w:val="nil"/>
                    <w:tr2bl w:val="nil"/>
                  </w:tcBorders>
                  <w:noWrap w:val="0"/>
                  <w:vAlign w:val="center"/>
                </w:tcPr>
                <w:p w14:paraId="68D9FF0C">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bl>
          <w:p w14:paraId="70653BEC">
            <w:pPr>
              <w:pStyle w:val="21"/>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0" w:firstLineChars="200"/>
              <w:textAlignment w:val="auto"/>
              <w:rPr>
                <w:rFonts w:hint="eastAsia" w:ascii="Times New Roman" w:hAnsi="Times New Roman" w:cs="Times New Roman"/>
                <w:b w:val="0"/>
                <w:bCs w:val="0"/>
                <w:color w:val="auto"/>
                <w:sz w:val="24"/>
                <w:szCs w:val="24"/>
                <w:u w:val="none"/>
                <w:lang w:eastAsia="zh-CN"/>
              </w:rPr>
            </w:pPr>
            <w:r>
              <w:rPr>
                <w:rFonts w:hint="default" w:ascii="Times New Roman" w:hAnsi="Times New Roman" w:cs="Times New Roman"/>
                <w:b w:val="0"/>
                <w:bCs w:val="0"/>
                <w:color w:val="auto"/>
                <w:sz w:val="24"/>
                <w:szCs w:val="24"/>
                <w:u w:val="none"/>
              </w:rPr>
              <w:t>由上表可知，项目与</w:t>
            </w:r>
            <w:r>
              <w:rPr>
                <w:rFonts w:hint="default" w:ascii="Times New Roman" w:hAnsi="Times New Roman" w:cs="Times New Roman"/>
                <w:b w:val="0"/>
                <w:bCs w:val="0"/>
                <w:color w:val="auto"/>
                <w:sz w:val="24"/>
                <w:szCs w:val="24"/>
                <w:u w:val="none"/>
                <w:lang w:val="en-US" w:eastAsia="zh-CN"/>
              </w:rPr>
              <w:t>《河南省人民政府关于印发河南省空气质量持续改善行动计划的通知》（豫政[2024]12号）</w:t>
            </w:r>
            <w:r>
              <w:rPr>
                <w:rFonts w:hint="eastAsia" w:ascii="Times New Roman" w:hAnsi="Times New Roman" w:cs="Times New Roman"/>
                <w:b w:val="0"/>
                <w:bCs w:val="0"/>
                <w:color w:val="auto"/>
                <w:sz w:val="24"/>
                <w:szCs w:val="24"/>
                <w:u w:val="none"/>
                <w:lang w:val="en-US" w:eastAsia="zh-CN"/>
              </w:rPr>
              <w:t>相关要求</w:t>
            </w:r>
            <w:r>
              <w:rPr>
                <w:rFonts w:hint="default" w:ascii="Times New Roman" w:hAnsi="Times New Roman" w:cs="Times New Roman"/>
                <w:b w:val="0"/>
                <w:bCs w:val="0"/>
                <w:color w:val="auto"/>
                <w:sz w:val="24"/>
                <w:szCs w:val="24"/>
                <w:u w:val="none"/>
              </w:rPr>
              <w:t>相符</w:t>
            </w:r>
            <w:r>
              <w:rPr>
                <w:rFonts w:hint="eastAsia" w:ascii="Times New Roman" w:hAnsi="Times New Roman" w:cs="Times New Roman"/>
                <w:b w:val="0"/>
                <w:bCs w:val="0"/>
                <w:color w:val="auto"/>
                <w:sz w:val="24"/>
                <w:szCs w:val="24"/>
                <w:u w:val="none"/>
                <w:lang w:eastAsia="zh-CN"/>
              </w:rPr>
              <w:t>。</w:t>
            </w:r>
          </w:p>
          <w:p w14:paraId="6D7DCC7B">
            <w:pPr>
              <w:pStyle w:val="21"/>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0" w:firstLineChars="200"/>
              <w:textAlignment w:val="auto"/>
              <w:rPr>
                <w:rFonts w:hint="eastAsia" w:ascii="Times New Roman" w:hAnsi="Times New Roman" w:cs="Times New Roman"/>
                <w:b w:val="0"/>
                <w:bCs w:val="0"/>
                <w:color w:val="auto"/>
                <w:sz w:val="24"/>
                <w:szCs w:val="24"/>
                <w:u w:val="none"/>
                <w:lang w:val="en-US" w:eastAsia="zh-CN"/>
              </w:rPr>
            </w:pPr>
          </w:p>
          <w:p w14:paraId="2EBEACA4">
            <w:pPr>
              <w:pStyle w:val="2"/>
              <w:rPr>
                <w:rFonts w:hint="eastAsia" w:ascii="Times New Roman" w:hAnsi="Times New Roman" w:eastAsia="宋体" w:cs="Times New Roman"/>
                <w:b/>
                <w:bCs/>
                <w:color w:val="000000"/>
                <w:lang w:val="en-US" w:eastAsia="zh-CN"/>
              </w:rPr>
            </w:pPr>
            <w:bookmarkStart w:id="18" w:name="_Toc4095"/>
            <w:bookmarkStart w:id="19" w:name="_Toc22867"/>
            <w:r>
              <w:rPr>
                <w:rFonts w:hint="eastAsia" w:ascii="Times New Roman" w:hAnsi="Times New Roman" w:eastAsia="宋体" w:cs="Times New Roman"/>
                <w:b/>
                <w:bCs/>
                <w:color w:val="000000"/>
                <w:lang w:val="en-US" w:eastAsia="zh-CN"/>
              </w:rPr>
              <w:t>5、与《河南省2026年蓝天保卫战实施方案》、《河南省2026年碧水保卫战实施方案》相符性分析</w:t>
            </w:r>
            <w:bookmarkEnd w:id="18"/>
            <w:bookmarkEnd w:id="19"/>
          </w:p>
          <w:p w14:paraId="46EA57AB">
            <w:pPr>
              <w:pStyle w:val="129"/>
              <w:ind w:firstLine="480"/>
              <w:rPr>
                <w:b w:val="0"/>
                <w:bCs w:val="0"/>
                <w:color w:val="auto"/>
                <w:highlight w:val="none"/>
                <w:lang w:val="en-US"/>
              </w:rPr>
            </w:pPr>
            <w:r>
              <w:rPr>
                <w:rFonts w:hint="eastAsia"/>
                <w:b w:val="0"/>
                <w:bCs w:val="0"/>
                <w:color w:val="auto"/>
                <w:highlight w:val="none"/>
                <w:lang w:val="en-US" w:eastAsia="zh-CN"/>
              </w:rPr>
              <w:t>本项目与河南省生态环境保护委员会办公室关于印发《河南省2026年蓝天保卫战实施方案》的通知（豫环委办[2026]1号）及河南省生态环境保护委员会办公室关于印发</w:t>
            </w:r>
            <w:r>
              <w:rPr>
                <w:rFonts w:hint="eastAsia" w:cs="Times New Roman"/>
                <w:b w:val="0"/>
                <w:bCs w:val="0"/>
                <w:color w:val="000000"/>
                <w:lang w:val="en-US" w:eastAsia="zh-CN"/>
              </w:rPr>
              <w:t>《河南省2026年碧水保卫战实施方案》的通知（</w:t>
            </w:r>
            <w:r>
              <w:rPr>
                <w:rFonts w:hint="eastAsia"/>
                <w:b w:val="0"/>
                <w:bCs w:val="0"/>
                <w:color w:val="auto"/>
                <w:highlight w:val="none"/>
                <w:lang w:val="en-US" w:eastAsia="zh-CN"/>
              </w:rPr>
              <w:t>豫环委办[2026]4号</w:t>
            </w:r>
            <w:r>
              <w:rPr>
                <w:rFonts w:hint="eastAsia" w:cs="Times New Roman"/>
                <w:b w:val="0"/>
                <w:bCs w:val="0"/>
                <w:color w:val="000000"/>
                <w:lang w:val="en-US" w:eastAsia="zh-CN"/>
              </w:rPr>
              <w:t>）</w:t>
            </w:r>
            <w:r>
              <w:rPr>
                <w:rFonts w:hint="eastAsia"/>
                <w:b w:val="0"/>
                <w:bCs w:val="0"/>
                <w:color w:val="auto"/>
                <w:highlight w:val="none"/>
                <w:lang w:val="en-US" w:eastAsia="zh-CN"/>
              </w:rPr>
              <w:t>》文件相符性分析见下表</w:t>
            </w:r>
            <w:r>
              <w:rPr>
                <w:b w:val="0"/>
                <w:bCs w:val="0"/>
                <w:color w:val="auto"/>
                <w:highlight w:val="none"/>
                <w:lang w:val="en-US"/>
              </w:rPr>
              <w:t>。</w:t>
            </w:r>
          </w:p>
          <w:p w14:paraId="54A15866">
            <w:pPr>
              <w:pStyle w:val="129"/>
              <w:ind w:left="0" w:leftChars="0" w:firstLine="0" w:firstLineChars="0"/>
              <w:jc w:val="center"/>
              <w:rPr>
                <w:rFonts w:hint="default" w:ascii="Times New Roman" w:hAnsi="Times New Roman" w:eastAsia="宋体" w:cs="Times New Roman"/>
                <w:b/>
                <w:bCs/>
                <w:color w:val="auto"/>
                <w:lang w:val="en-US" w:eastAsia="zh-CN"/>
              </w:rPr>
            </w:pPr>
            <w:r>
              <w:rPr>
                <w:rFonts w:hint="eastAsia" w:ascii="Times New Roman" w:hAnsi="Times New Roman" w:eastAsia="宋体" w:cs="Times New Roman"/>
                <w:b/>
                <w:bCs/>
                <w:color w:val="auto"/>
                <w:lang w:val="en-US" w:eastAsia="zh-CN"/>
              </w:rPr>
              <w:t>表</w:t>
            </w:r>
            <w:r>
              <w:rPr>
                <w:rFonts w:hint="eastAsia" w:cs="Times New Roman"/>
                <w:b/>
                <w:bCs/>
                <w:color w:val="auto"/>
                <w:lang w:val="en-US" w:eastAsia="zh-CN"/>
              </w:rPr>
              <w:t>1-7</w:t>
            </w:r>
            <w:r>
              <w:rPr>
                <w:rFonts w:hint="eastAsia" w:ascii="Times New Roman" w:hAnsi="Times New Roman" w:eastAsia="宋体" w:cs="Times New Roman"/>
                <w:b/>
                <w:bCs/>
                <w:color w:val="auto"/>
                <w:lang w:val="en-US" w:eastAsia="zh-CN"/>
              </w:rPr>
              <w:t xml:space="preserve">   本项目与（豫环委办[202</w:t>
            </w:r>
            <w:r>
              <w:rPr>
                <w:rFonts w:hint="eastAsia" w:cs="Times New Roman"/>
                <w:b/>
                <w:bCs/>
                <w:color w:val="auto"/>
                <w:lang w:val="en-US" w:eastAsia="zh-CN"/>
              </w:rPr>
              <w:t>6</w:t>
            </w:r>
            <w:r>
              <w:rPr>
                <w:rFonts w:hint="eastAsia" w:ascii="Times New Roman" w:hAnsi="Times New Roman" w:eastAsia="宋体" w:cs="Times New Roman"/>
                <w:b/>
                <w:bCs/>
                <w:color w:val="auto"/>
                <w:lang w:val="en-US" w:eastAsia="zh-CN"/>
              </w:rPr>
              <w:t>]</w:t>
            </w:r>
            <w:r>
              <w:rPr>
                <w:rFonts w:hint="eastAsia" w:cs="Times New Roman"/>
                <w:b/>
                <w:bCs/>
                <w:color w:val="auto"/>
                <w:lang w:val="en-US" w:eastAsia="zh-CN"/>
              </w:rPr>
              <w:t>1</w:t>
            </w:r>
            <w:r>
              <w:rPr>
                <w:rFonts w:hint="eastAsia" w:ascii="Times New Roman" w:hAnsi="Times New Roman" w:eastAsia="宋体" w:cs="Times New Roman"/>
                <w:b/>
                <w:bCs/>
                <w:color w:val="auto"/>
                <w:lang w:val="en-US" w:eastAsia="zh-CN"/>
              </w:rPr>
              <w:t>号）</w:t>
            </w:r>
            <w:r>
              <w:rPr>
                <w:rFonts w:hint="eastAsia" w:cs="Times New Roman"/>
                <w:b/>
                <w:bCs/>
                <w:color w:val="auto"/>
                <w:lang w:val="en-US" w:eastAsia="zh-CN"/>
              </w:rPr>
              <w:t>、</w:t>
            </w:r>
            <w:r>
              <w:rPr>
                <w:rFonts w:hint="eastAsia" w:cs="Times New Roman"/>
                <w:b/>
                <w:bCs/>
                <w:color w:val="000000"/>
                <w:lang w:val="en-US" w:eastAsia="zh-CN"/>
              </w:rPr>
              <w:t>（</w:t>
            </w:r>
            <w:r>
              <w:rPr>
                <w:rFonts w:hint="eastAsia"/>
                <w:b/>
                <w:bCs/>
                <w:color w:val="auto"/>
                <w:highlight w:val="none"/>
                <w:lang w:val="en-US" w:eastAsia="zh-CN"/>
              </w:rPr>
              <w:t>豫环委办[2026]4号</w:t>
            </w:r>
            <w:r>
              <w:rPr>
                <w:rFonts w:hint="eastAsia" w:cs="Times New Roman"/>
                <w:b/>
                <w:bCs/>
                <w:color w:val="000000"/>
                <w:lang w:val="en-US" w:eastAsia="zh-CN"/>
              </w:rPr>
              <w:t>）</w:t>
            </w:r>
            <w:r>
              <w:rPr>
                <w:rFonts w:hint="eastAsia" w:ascii="Times New Roman" w:hAnsi="Times New Roman" w:eastAsia="宋体" w:cs="Times New Roman"/>
                <w:b/>
                <w:bCs/>
                <w:color w:val="auto"/>
                <w:lang w:val="en-US" w:eastAsia="zh-CN"/>
              </w:rPr>
              <w:t>文件相符性分析一览表</w:t>
            </w:r>
          </w:p>
          <w:tbl>
            <w:tblPr>
              <w:tblStyle w:val="39"/>
              <w:tblW w:w="4984" w:type="pct"/>
              <w:tblInd w:w="-1"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57" w:type="dxa"/>
                <w:bottom w:w="0" w:type="dxa"/>
                <w:right w:w="57" w:type="dxa"/>
              </w:tblCellMar>
            </w:tblPr>
            <w:tblGrid>
              <w:gridCol w:w="851"/>
              <w:gridCol w:w="3536"/>
              <w:gridCol w:w="1770"/>
              <w:gridCol w:w="755"/>
            </w:tblGrid>
            <w:tr w14:paraId="6747C4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5" w:type="pct"/>
                  <w:tcBorders>
                    <w:top w:val="single" w:color="auto" w:sz="4" w:space="0"/>
                    <w:left w:val="single" w:color="auto" w:sz="0" w:space="0"/>
                  </w:tcBorders>
                  <w:noWrap w:val="0"/>
                  <w:vAlign w:val="center"/>
                </w:tcPr>
                <w:p w14:paraId="78C5068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文件</w:t>
                  </w:r>
                </w:p>
              </w:tc>
              <w:tc>
                <w:tcPr>
                  <w:tcW w:w="2557" w:type="pct"/>
                  <w:tcBorders>
                    <w:top w:val="single" w:color="auto" w:sz="4" w:space="0"/>
                  </w:tcBorders>
                  <w:noWrap w:val="0"/>
                  <w:vAlign w:val="center"/>
                </w:tcPr>
                <w:p w14:paraId="6C4E8C5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内容</w:t>
                  </w:r>
                </w:p>
              </w:tc>
              <w:tc>
                <w:tcPr>
                  <w:tcW w:w="1280" w:type="pct"/>
                  <w:tcBorders>
                    <w:top w:val="single" w:color="auto" w:sz="4" w:space="0"/>
                  </w:tcBorders>
                  <w:noWrap w:val="0"/>
                  <w:vAlign w:val="center"/>
                </w:tcPr>
                <w:p w14:paraId="64DC7EC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本项目情况</w:t>
                  </w:r>
                </w:p>
              </w:tc>
              <w:tc>
                <w:tcPr>
                  <w:tcW w:w="546" w:type="pct"/>
                  <w:tcBorders>
                    <w:top w:val="single" w:color="auto" w:sz="4" w:space="0"/>
                    <w:right w:val="single" w:color="auto" w:sz="4" w:space="0"/>
                  </w:tcBorders>
                  <w:noWrap w:val="0"/>
                  <w:vAlign w:val="center"/>
                </w:tcPr>
                <w:p w14:paraId="0FE1A4C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相符性</w:t>
                  </w:r>
                </w:p>
              </w:tc>
            </w:tr>
            <w:tr w14:paraId="7847C0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5" w:type="pct"/>
                  <w:tcBorders>
                    <w:left w:val="single" w:color="auto" w:sz="4" w:space="0"/>
                  </w:tcBorders>
                  <w:noWrap w:val="0"/>
                  <w:vAlign w:val="center"/>
                </w:tcPr>
                <w:p w14:paraId="0C8F73F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snapToGrid w:val="0"/>
                      <w:color w:val="auto"/>
                      <w:kern w:val="0"/>
                      <w:sz w:val="21"/>
                      <w:szCs w:val="21"/>
                      <w:highlight w:val="none"/>
                      <w:lang w:val="en-US" w:eastAsia="zh-CN"/>
                    </w:rPr>
                    <w:t>《河南省202</w:t>
                  </w:r>
                  <w:r>
                    <w:rPr>
                      <w:rFonts w:hint="eastAsia" w:cs="Times New Roman"/>
                      <w:b w:val="0"/>
                      <w:bCs w:val="0"/>
                      <w:snapToGrid w:val="0"/>
                      <w:color w:val="auto"/>
                      <w:kern w:val="0"/>
                      <w:sz w:val="21"/>
                      <w:szCs w:val="21"/>
                      <w:highlight w:val="none"/>
                      <w:lang w:val="en-US" w:eastAsia="zh-CN"/>
                    </w:rPr>
                    <w:t>6</w:t>
                  </w:r>
                  <w:r>
                    <w:rPr>
                      <w:rFonts w:hint="default" w:ascii="Times New Roman" w:hAnsi="Times New Roman" w:eastAsia="宋体" w:cs="Times New Roman"/>
                      <w:b w:val="0"/>
                      <w:bCs w:val="0"/>
                      <w:snapToGrid w:val="0"/>
                      <w:color w:val="auto"/>
                      <w:kern w:val="0"/>
                      <w:sz w:val="21"/>
                      <w:szCs w:val="21"/>
                      <w:highlight w:val="none"/>
                      <w:lang w:val="en-US" w:eastAsia="zh-CN"/>
                    </w:rPr>
                    <w:t>年蓝天保卫战实施方案》</w:t>
                  </w:r>
                </w:p>
              </w:tc>
              <w:tc>
                <w:tcPr>
                  <w:tcW w:w="2557" w:type="pct"/>
                  <w:noWrap w:val="0"/>
                  <w:vAlign w:val="center"/>
                </w:tcPr>
                <w:p w14:paraId="473444BF">
                  <w:pPr>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深化扬尘污染综合治理。全面落实工程施工扬尘防治标准规定，落实防尘覆盖、施工围挡、车辆冲洗、湿法作业、裸地管控等措施，持续提升扬尘治理精细化水平，省、市重点项目建</w:t>
                  </w:r>
                </w:p>
                <w:p w14:paraId="2B22D99E">
                  <w:pPr>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成扬尘治理差异化评价A 级工地200 个以上，城区施工工地推广基坑气膜、装配式建筑、全封闭钢板网等新技术。2026 年6月底前，建成全省扬尘污染防治智慧化监控平台，全省规模以上房屋市政建筑工地全部接入，实现线上监管全覆盖。开展城市清洁行动，实施道路积尘走航监测，城区主次干道及环路实现新能源清扫保洁全覆盖</w:t>
                  </w:r>
                </w:p>
              </w:tc>
              <w:tc>
                <w:tcPr>
                  <w:tcW w:w="1280" w:type="pct"/>
                  <w:noWrap w:val="0"/>
                  <w:vAlign w:val="center"/>
                </w:tcPr>
                <w:p w14:paraId="1CB6EB1B">
                  <w:pPr>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u w:val="none"/>
                      <w:lang w:val="en-US" w:eastAsia="zh-CN"/>
                    </w:rPr>
                    <w:t>本项目施工期严格按照有关要求执行</w:t>
                  </w:r>
                  <w:r>
                    <w:rPr>
                      <w:rFonts w:hint="eastAsia" w:cs="Times New Roman"/>
                      <w:b w:val="0"/>
                      <w:bCs w:val="0"/>
                      <w:color w:val="auto"/>
                      <w:sz w:val="21"/>
                      <w:szCs w:val="21"/>
                      <w:u w:val="none"/>
                      <w:lang w:val="en-US" w:eastAsia="zh-CN"/>
                    </w:rPr>
                    <w:t>，</w:t>
                  </w:r>
                  <w:r>
                    <w:rPr>
                      <w:rFonts w:hint="default" w:ascii="Times New Roman" w:hAnsi="Times New Roman" w:eastAsia="宋体" w:cs="Times New Roman"/>
                      <w:b w:val="0"/>
                      <w:bCs w:val="0"/>
                      <w:color w:val="auto"/>
                      <w:sz w:val="21"/>
                      <w:szCs w:val="21"/>
                    </w:rPr>
                    <w:t>全面落实工程施工扬尘防治标准规定，落实防尘覆盖、施工围挡、车辆冲洗、湿法作业、裸地管控等措施</w:t>
                  </w:r>
                </w:p>
              </w:tc>
              <w:tc>
                <w:tcPr>
                  <w:tcW w:w="546" w:type="pct"/>
                  <w:tcBorders>
                    <w:right w:val="single" w:color="auto" w:sz="4" w:space="0"/>
                  </w:tcBorders>
                  <w:noWrap w:val="0"/>
                  <w:vAlign w:val="center"/>
                </w:tcPr>
                <w:p w14:paraId="34CEE5B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相符</w:t>
                  </w:r>
                </w:p>
              </w:tc>
            </w:tr>
            <w:tr w14:paraId="0BAE59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5" w:type="pct"/>
                  <w:tcBorders>
                    <w:left w:val="single" w:color="auto" w:sz="4" w:space="0"/>
                  </w:tcBorders>
                  <w:noWrap w:val="0"/>
                  <w:vAlign w:val="center"/>
                </w:tcPr>
                <w:p w14:paraId="566DDAED">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snapToGrid w:val="0"/>
                      <w:color w:val="auto"/>
                      <w:kern w:val="0"/>
                      <w:sz w:val="21"/>
                      <w:szCs w:val="21"/>
                      <w:highlight w:val="none"/>
                      <w:lang w:val="en-US" w:eastAsia="zh-CN"/>
                    </w:rPr>
                    <w:t>《河南省2026年碧水保卫战实施方案》</w:t>
                  </w:r>
                </w:p>
              </w:tc>
              <w:tc>
                <w:tcPr>
                  <w:tcW w:w="2557" w:type="pct"/>
                  <w:noWrap w:val="0"/>
                  <w:vAlign w:val="center"/>
                </w:tcPr>
                <w:p w14:paraId="3F5C8909">
                  <w:pPr>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lang w:val="en-US" w:eastAsia="zh-CN"/>
                    </w:rPr>
                    <w:t xml:space="preserve">深入推进入河排污口排查整治。加快建立健全入河排污 口分级分类监测监管体系，结合排污口类型、规模、排污状况及所在水域环境功能等因素，科学划分监管等级。组织开展重点河 </w:t>
                  </w:r>
                </w:p>
                <w:p w14:paraId="2B840EB1">
                  <w:pPr>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lang w:val="en-US" w:eastAsia="zh-CN"/>
                    </w:rPr>
                    <w:t>湖入河排污口排查整治成效专项评估，对已完成整治的入河排污口进行全面复核。持续深化全省入河排污口溯源工作，分类推进排污口规范整治，到 2026 年年底，全省入河排污口总体整治率达到 85%以上</w:t>
                  </w:r>
                </w:p>
              </w:tc>
              <w:tc>
                <w:tcPr>
                  <w:tcW w:w="1280" w:type="pct"/>
                  <w:noWrap w:val="0"/>
                  <w:vAlign w:val="center"/>
                </w:tcPr>
                <w:p w14:paraId="7F0161A3">
                  <w:pPr>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eastAsia="宋体" w:cs="Times New Roman"/>
                      <w:b w:val="0"/>
                      <w:bCs w:val="0"/>
                      <w:color w:val="auto"/>
                      <w:sz w:val="21"/>
                      <w:szCs w:val="21"/>
                      <w:u w:val="none"/>
                      <w:lang w:val="en-US" w:eastAsia="zh-CN"/>
                    </w:rPr>
                  </w:pPr>
                  <w:r>
                    <w:rPr>
                      <w:rFonts w:hint="eastAsia" w:cs="Times New Roman"/>
                      <w:b w:val="0"/>
                      <w:bCs w:val="0"/>
                      <w:color w:val="auto"/>
                      <w:sz w:val="21"/>
                      <w:szCs w:val="21"/>
                      <w:u w:val="none"/>
                      <w:lang w:val="en-US" w:eastAsia="zh-CN"/>
                    </w:rPr>
                    <w:t>本项目生产废水不外排，生活污水经化粪池后进入市政污水管网后进入污水处理厂进行处理，不涉及入河排污口</w:t>
                  </w:r>
                </w:p>
              </w:tc>
              <w:tc>
                <w:tcPr>
                  <w:tcW w:w="546" w:type="pct"/>
                  <w:tcBorders>
                    <w:right w:val="single" w:color="auto" w:sz="4" w:space="0"/>
                  </w:tcBorders>
                  <w:noWrap w:val="0"/>
                  <w:vAlign w:val="center"/>
                </w:tcPr>
                <w:p w14:paraId="2CA81C3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相符</w:t>
                  </w:r>
                </w:p>
              </w:tc>
            </w:tr>
          </w:tbl>
          <w:p w14:paraId="116D7473">
            <w:pPr>
              <w:pStyle w:val="129"/>
              <w:ind w:firstLine="480"/>
              <w:rPr>
                <w:b w:val="0"/>
                <w:bCs w:val="0"/>
                <w:color w:val="auto"/>
              </w:rPr>
            </w:pPr>
            <w:r>
              <w:rPr>
                <w:rFonts w:hint="eastAsia" w:ascii="Times New Roman" w:hAnsi="Times New Roman" w:eastAsia="宋体" w:cs="Times New Roman"/>
                <w:b w:val="0"/>
                <w:bCs w:val="0"/>
                <w:color w:val="auto"/>
                <w:sz w:val="24"/>
                <w:szCs w:val="24"/>
                <w:lang w:val="en-US" w:eastAsia="zh-CN"/>
              </w:rPr>
              <w:t>由上表可知，本项目</w:t>
            </w:r>
            <w:r>
              <w:rPr>
                <w:rFonts w:hint="eastAsia" w:cs="Times New Roman"/>
                <w:b w:val="0"/>
                <w:bCs w:val="0"/>
                <w:color w:val="auto"/>
                <w:sz w:val="24"/>
                <w:szCs w:val="24"/>
                <w:lang w:val="en-US" w:eastAsia="zh-CN"/>
              </w:rPr>
              <w:t>符合</w:t>
            </w:r>
            <w:r>
              <w:rPr>
                <w:rFonts w:hint="eastAsia"/>
                <w:b w:val="0"/>
                <w:bCs w:val="0"/>
                <w:color w:val="auto"/>
                <w:highlight w:val="none"/>
                <w:lang w:val="en-US" w:eastAsia="zh-CN"/>
              </w:rPr>
              <w:t>河南省生态环境保护委员会办公室关于印发《河南省2026年蓝天保卫战实施方案》文件</w:t>
            </w:r>
            <w:r>
              <w:rPr>
                <w:rFonts w:hint="eastAsia" w:ascii="Times New Roman" w:hAnsi="Times New Roman" w:eastAsia="宋体" w:cs="Times New Roman"/>
                <w:b w:val="0"/>
                <w:bCs w:val="0"/>
                <w:color w:val="auto"/>
                <w:sz w:val="24"/>
                <w:szCs w:val="24"/>
                <w:lang w:val="en-US" w:eastAsia="zh-CN"/>
              </w:rPr>
              <w:t>相关要求</w:t>
            </w:r>
            <w:r>
              <w:rPr>
                <w:b w:val="0"/>
                <w:bCs w:val="0"/>
                <w:color w:val="auto"/>
                <w:lang w:val="en-US"/>
              </w:rPr>
              <w:t>。</w:t>
            </w:r>
          </w:p>
          <w:p w14:paraId="5AADE03E">
            <w:pPr>
              <w:pStyle w:val="2"/>
              <w:rPr>
                <w:rFonts w:hint="eastAsia" w:ascii="Times New Roman" w:hAnsi="Times New Roman" w:eastAsia="宋体" w:cs="Times New Roman"/>
                <w:b/>
                <w:bCs/>
                <w:color w:val="000000"/>
                <w:lang w:val="en-US" w:eastAsia="zh-CN"/>
              </w:rPr>
            </w:pPr>
            <w:bookmarkStart w:id="20" w:name="_Toc20178"/>
            <w:bookmarkStart w:id="21" w:name="_Toc5015"/>
            <w:r>
              <w:rPr>
                <w:rFonts w:hint="eastAsia" w:ascii="Times New Roman" w:hAnsi="Times New Roman" w:eastAsia="宋体" w:cs="Times New Roman"/>
                <w:b/>
                <w:bCs/>
                <w:color w:val="000000"/>
                <w:lang w:val="en-US" w:eastAsia="zh-CN"/>
              </w:rPr>
              <w:t>6、与周口市生态环境保护委员会办公室关于印发《周口市2025年蓝天保卫战实施方案》《周口市2025年碧水保卫战实施方案》《周口市2025年净土保卫战实施方案》《周口市2025年柴油货车污染治理攻坚战实施方案》的通知（周环委办[2025]14号）相符性分析</w:t>
            </w:r>
            <w:bookmarkEnd w:id="20"/>
            <w:bookmarkEnd w:id="21"/>
          </w:p>
          <w:p w14:paraId="1629B22D">
            <w:pPr>
              <w:pStyle w:val="129"/>
              <w:ind w:firstLine="480"/>
              <w:rPr>
                <w:rFonts w:hint="default" w:ascii="Times New Roman" w:hAnsi="Times New Roman" w:eastAsia="宋体" w:cs="Times New Roman"/>
                <w:b/>
                <w:bCs/>
                <w:color w:val="auto"/>
                <w:sz w:val="24"/>
                <w:szCs w:val="24"/>
                <w:lang w:val="en-US" w:eastAsia="zh-CN"/>
              </w:rPr>
            </w:pPr>
            <w:r>
              <w:rPr>
                <w:rFonts w:hint="eastAsia" w:ascii="Times New Roman" w:hAnsi="Times New Roman" w:eastAsia="宋体" w:cs="Times New Roman"/>
                <w:b w:val="0"/>
                <w:bCs w:val="0"/>
                <w:color w:val="auto"/>
                <w:sz w:val="24"/>
                <w:szCs w:val="24"/>
                <w:lang w:val="en-US" w:eastAsia="zh-CN"/>
              </w:rPr>
              <w:t>本项目与周环委办[202</w:t>
            </w:r>
            <w:r>
              <w:rPr>
                <w:rFonts w:hint="eastAsia" w:cs="Times New Roman"/>
                <w:b w:val="0"/>
                <w:bCs w:val="0"/>
                <w:color w:val="auto"/>
                <w:sz w:val="24"/>
                <w:szCs w:val="24"/>
                <w:lang w:val="en-US" w:eastAsia="zh-CN"/>
              </w:rPr>
              <w:t>5</w:t>
            </w:r>
            <w:r>
              <w:rPr>
                <w:rFonts w:hint="eastAsia" w:ascii="Times New Roman" w:hAnsi="Times New Roman" w:eastAsia="宋体" w:cs="Times New Roman"/>
                <w:b w:val="0"/>
                <w:bCs w:val="0"/>
                <w:color w:val="auto"/>
                <w:sz w:val="24"/>
                <w:szCs w:val="24"/>
                <w:lang w:val="en-US" w:eastAsia="zh-CN"/>
              </w:rPr>
              <w:t>]1</w:t>
            </w:r>
            <w:r>
              <w:rPr>
                <w:rFonts w:hint="eastAsia" w:cs="Times New Roman"/>
                <w:b w:val="0"/>
                <w:bCs w:val="0"/>
                <w:color w:val="auto"/>
                <w:sz w:val="24"/>
                <w:szCs w:val="24"/>
                <w:lang w:val="en-US" w:eastAsia="zh-CN"/>
              </w:rPr>
              <w:t>4</w:t>
            </w:r>
            <w:r>
              <w:rPr>
                <w:rFonts w:hint="eastAsia" w:ascii="Times New Roman" w:hAnsi="Times New Roman" w:eastAsia="宋体" w:cs="Times New Roman"/>
                <w:b w:val="0"/>
                <w:bCs w:val="0"/>
                <w:color w:val="auto"/>
                <w:sz w:val="24"/>
                <w:szCs w:val="24"/>
                <w:lang w:val="en-US" w:eastAsia="zh-CN"/>
              </w:rPr>
              <w:t>号</w:t>
            </w:r>
            <w:r>
              <w:rPr>
                <w:rFonts w:hint="eastAsia" w:cs="Times New Roman"/>
                <w:b w:val="0"/>
                <w:bCs w:val="0"/>
                <w:color w:val="auto"/>
                <w:sz w:val="24"/>
                <w:szCs w:val="24"/>
                <w:lang w:val="en-US" w:eastAsia="zh-CN"/>
              </w:rPr>
              <w:t>文件</w:t>
            </w:r>
            <w:r>
              <w:rPr>
                <w:rFonts w:hint="eastAsia" w:ascii="Times New Roman" w:hAnsi="Times New Roman" w:eastAsia="宋体" w:cs="Times New Roman"/>
                <w:b w:val="0"/>
                <w:bCs w:val="0"/>
                <w:color w:val="auto"/>
                <w:sz w:val="24"/>
                <w:szCs w:val="24"/>
                <w:lang w:val="en-US" w:eastAsia="zh-CN"/>
              </w:rPr>
              <w:t>相符性分析见下表。</w:t>
            </w:r>
          </w:p>
          <w:p w14:paraId="6A4B484A">
            <w:pPr>
              <w:adjustRightInd w:val="0"/>
              <w:snapToGrid w:val="0"/>
              <w:spacing w:line="240" w:lineRule="auto"/>
              <w:jc w:val="center"/>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bCs/>
                <w:color w:val="auto"/>
                <w:sz w:val="24"/>
                <w:szCs w:val="24"/>
                <w:lang w:val="en-US" w:eastAsia="zh-CN"/>
              </w:rPr>
              <w:t>表</w:t>
            </w:r>
            <w:r>
              <w:rPr>
                <w:rFonts w:hint="eastAsia" w:cs="Times New Roman"/>
                <w:b/>
                <w:bCs/>
                <w:color w:val="auto"/>
                <w:sz w:val="24"/>
                <w:szCs w:val="24"/>
                <w:lang w:val="en-US" w:eastAsia="zh-CN"/>
              </w:rPr>
              <w:t xml:space="preserve">1-8    </w:t>
            </w:r>
            <w:r>
              <w:rPr>
                <w:rFonts w:hint="default" w:ascii="Times New Roman" w:hAnsi="Times New Roman" w:eastAsia="宋体" w:cs="Times New Roman"/>
                <w:b/>
                <w:bCs/>
                <w:color w:val="auto"/>
                <w:sz w:val="24"/>
                <w:szCs w:val="24"/>
                <w:lang w:val="en-US" w:eastAsia="zh-CN"/>
              </w:rPr>
              <w:t>与周环委办[202</w:t>
            </w:r>
            <w:r>
              <w:rPr>
                <w:rFonts w:hint="eastAsia" w:cs="Times New Roman"/>
                <w:b/>
                <w:bCs/>
                <w:color w:val="auto"/>
                <w:sz w:val="24"/>
                <w:szCs w:val="24"/>
                <w:lang w:val="en-US" w:eastAsia="zh-CN"/>
              </w:rPr>
              <w:t>5</w:t>
            </w:r>
            <w:r>
              <w:rPr>
                <w:rFonts w:hint="default" w:ascii="Times New Roman" w:hAnsi="Times New Roman" w:eastAsia="宋体" w:cs="Times New Roman"/>
                <w:b/>
                <w:bCs/>
                <w:color w:val="auto"/>
                <w:sz w:val="24"/>
                <w:szCs w:val="24"/>
                <w:lang w:val="en-US" w:eastAsia="zh-CN"/>
              </w:rPr>
              <w:t>]1</w:t>
            </w:r>
            <w:r>
              <w:rPr>
                <w:rFonts w:hint="eastAsia" w:cs="Times New Roman"/>
                <w:b/>
                <w:bCs/>
                <w:color w:val="auto"/>
                <w:sz w:val="24"/>
                <w:szCs w:val="24"/>
                <w:lang w:val="en-US" w:eastAsia="zh-CN"/>
              </w:rPr>
              <w:t>4</w:t>
            </w:r>
            <w:r>
              <w:rPr>
                <w:rFonts w:hint="default" w:ascii="Times New Roman" w:hAnsi="Times New Roman" w:eastAsia="宋体" w:cs="Times New Roman"/>
                <w:b/>
                <w:bCs/>
                <w:color w:val="auto"/>
                <w:sz w:val="24"/>
                <w:szCs w:val="24"/>
                <w:lang w:val="en-US" w:eastAsia="zh-CN"/>
              </w:rPr>
              <w:t>号文件相符性分析一览表</w:t>
            </w:r>
          </w:p>
          <w:tbl>
            <w:tblPr>
              <w:tblStyle w:val="39"/>
              <w:tblW w:w="4994"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854"/>
              <w:gridCol w:w="4151"/>
              <w:gridCol w:w="1334"/>
              <w:gridCol w:w="577"/>
            </w:tblGrid>
            <w:tr w14:paraId="28AAD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7" w:type="pct"/>
                  <w:tcBorders>
                    <w:tl2br w:val="nil"/>
                    <w:tr2bl w:val="nil"/>
                  </w:tcBorders>
                  <w:noWrap w:val="0"/>
                  <w:vAlign w:val="center"/>
                </w:tcPr>
                <w:p w14:paraId="20091213">
                  <w:pPr>
                    <w:jc w:val="center"/>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eastAsia="zh-CN"/>
                    </w:rPr>
                    <w:t>文件</w:t>
                  </w:r>
                </w:p>
              </w:tc>
              <w:tc>
                <w:tcPr>
                  <w:tcW w:w="3000" w:type="pct"/>
                  <w:tcBorders>
                    <w:tl2br w:val="nil"/>
                    <w:tr2bl w:val="nil"/>
                  </w:tcBorders>
                  <w:noWrap w:val="0"/>
                  <w:vAlign w:val="center"/>
                </w:tcPr>
                <w:p w14:paraId="71613064">
                  <w:pPr>
                    <w:jc w:val="center"/>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内容</w:t>
                  </w:r>
                </w:p>
              </w:tc>
              <w:tc>
                <w:tcPr>
                  <w:tcW w:w="964" w:type="pct"/>
                  <w:tcBorders>
                    <w:tl2br w:val="nil"/>
                    <w:tr2bl w:val="nil"/>
                  </w:tcBorders>
                  <w:noWrap w:val="0"/>
                  <w:vAlign w:val="center"/>
                </w:tcPr>
                <w:p w14:paraId="73D42573">
                  <w:pPr>
                    <w:jc w:val="center"/>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本项目情况</w:t>
                  </w:r>
                </w:p>
              </w:tc>
              <w:tc>
                <w:tcPr>
                  <w:tcW w:w="417" w:type="pct"/>
                  <w:tcBorders>
                    <w:tl2br w:val="nil"/>
                    <w:tr2bl w:val="nil"/>
                  </w:tcBorders>
                  <w:noWrap w:val="0"/>
                  <w:vAlign w:val="center"/>
                </w:tcPr>
                <w:p w14:paraId="62AEE57D">
                  <w:pPr>
                    <w:jc w:val="center"/>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相符性</w:t>
                  </w:r>
                </w:p>
              </w:tc>
            </w:tr>
            <w:tr w14:paraId="6EEFF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7" w:type="pct"/>
                  <w:vMerge w:val="restart"/>
                  <w:tcBorders>
                    <w:tl2br w:val="nil"/>
                    <w:tr2bl w:val="nil"/>
                  </w:tcBorders>
                  <w:noWrap w:val="0"/>
                  <w:vAlign w:val="center"/>
                </w:tcPr>
                <w:p w14:paraId="76CB2384">
                  <w:pPr>
                    <w:jc w:val="center"/>
                    <w:rPr>
                      <w:rFonts w:hint="default" w:ascii="Times New Roman" w:hAnsi="Times New Roman" w:eastAsia="宋体" w:cs="Times New Roman"/>
                      <w:b w:val="0"/>
                      <w:bCs w:val="0"/>
                      <w:color w:val="auto"/>
                      <w:sz w:val="21"/>
                      <w:szCs w:val="21"/>
                      <w:u w:val="none"/>
                    </w:rPr>
                  </w:pPr>
                  <w:r>
                    <w:rPr>
                      <w:rFonts w:hint="eastAsia" w:ascii="Times New Roman" w:hAnsi="Times New Roman" w:cs="Times New Roman"/>
                      <w:b w:val="0"/>
                      <w:bCs w:val="0"/>
                      <w:color w:val="000000"/>
                      <w:lang w:val="en-US" w:eastAsia="zh-CN"/>
                    </w:rPr>
                    <w:t>周口市202</w:t>
                  </w:r>
                  <w:r>
                    <w:rPr>
                      <w:rFonts w:hint="eastAsia" w:cs="Times New Roman"/>
                      <w:b w:val="0"/>
                      <w:bCs w:val="0"/>
                      <w:color w:val="000000"/>
                      <w:lang w:val="en-US" w:eastAsia="zh-CN"/>
                    </w:rPr>
                    <w:t>5</w:t>
                  </w:r>
                  <w:r>
                    <w:rPr>
                      <w:rFonts w:hint="eastAsia" w:ascii="Times New Roman" w:hAnsi="Times New Roman" w:cs="Times New Roman"/>
                      <w:b w:val="0"/>
                      <w:bCs w:val="0"/>
                      <w:color w:val="000000"/>
                      <w:lang w:val="en-US" w:eastAsia="zh-CN"/>
                    </w:rPr>
                    <w:t>年蓝天保卫战实施方案</w:t>
                  </w:r>
                </w:p>
              </w:tc>
              <w:tc>
                <w:tcPr>
                  <w:tcW w:w="3000" w:type="pct"/>
                  <w:tcBorders>
                    <w:tl2br w:val="nil"/>
                    <w:tr2bl w:val="nil"/>
                  </w:tcBorders>
                  <w:noWrap w:val="0"/>
                  <w:vAlign w:val="center"/>
                </w:tcPr>
                <w:p w14:paraId="0D048566">
                  <w:pPr>
                    <w:keepNext w:val="0"/>
                    <w:keepLines w:val="0"/>
                    <w:pageBreakBefore w:val="0"/>
                    <w:kinsoku/>
                    <w:wordWrap/>
                    <w:overflowPunct/>
                    <w:topLinePunct w:val="0"/>
                    <w:autoSpaceDE/>
                    <w:autoSpaceDN/>
                    <w:bidi w:val="0"/>
                    <w:adjustRightInd w:val="0"/>
                    <w:snapToGrid w:val="0"/>
                    <w:spacing w:beforeAutospacing="0" w:afterAutospacing="0"/>
                    <w:jc w:val="left"/>
                    <w:textAlignment w:val="auto"/>
                    <w:rPr>
                      <w:rFonts w:hint="default" w:ascii="Times New Roman" w:hAnsi="Times New Roman" w:eastAsia="宋体" w:cs="Times New Roman"/>
                      <w:b w:val="0"/>
                      <w:bCs w:val="0"/>
                      <w:color w:val="auto"/>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lang w:val="en-US" w:eastAsia="zh-CN" w:bidi="ar-SA"/>
                    </w:rPr>
                    <w:t>依法依规淘汰落后产能。严格落实《产业结构调整指导目录（2024 年本）》《河南省淘汰落后产能综合标准体系（2023 本）》要求，加快落后生产工艺装备和过剩产能淘汰退出。全市加快退出6000 万标砖/年以下的烧结砖及烧结空心砌块生产线。2025 年4 月组织开展烧结砖瓦行业专项整治“回头看”，原则上对达不到B 级及以上绩效水平的烧结砖瓦企业实施停产整治。2025 年9 月底前，全市至少淘汰退出24 家烧结砖瓦企业，整合淘汰现有的10 台2 蒸吨及以下生物质锅炉。</w:t>
                  </w:r>
                </w:p>
              </w:tc>
              <w:tc>
                <w:tcPr>
                  <w:tcW w:w="964" w:type="pct"/>
                  <w:tcBorders>
                    <w:tl2br w:val="nil"/>
                    <w:tr2bl w:val="nil"/>
                  </w:tcBorders>
                  <w:noWrap w:val="0"/>
                  <w:vAlign w:val="center"/>
                </w:tcPr>
                <w:p w14:paraId="69AA86F9">
                  <w:pPr>
                    <w:jc w:val="both"/>
                    <w:rPr>
                      <w:rFonts w:hint="default" w:ascii="Times New Roman" w:hAnsi="Times New Roman" w:eastAsia="宋体" w:cs="Times New Roman"/>
                      <w:b w:val="0"/>
                      <w:bCs w:val="0"/>
                      <w:color w:val="auto"/>
                      <w:sz w:val="21"/>
                      <w:szCs w:val="21"/>
                      <w:u w:val="none"/>
                      <w:lang w:val="en-US" w:eastAsia="zh-CN"/>
                    </w:rPr>
                  </w:pPr>
                  <w:r>
                    <w:rPr>
                      <w:rFonts w:hint="eastAsia" w:cs="Times New Roman"/>
                      <w:b w:val="0"/>
                      <w:bCs w:val="0"/>
                      <w:color w:val="auto"/>
                      <w:sz w:val="21"/>
                      <w:szCs w:val="21"/>
                      <w:u w:val="none"/>
                      <w:lang w:val="en-US" w:eastAsia="zh-CN"/>
                    </w:rPr>
                    <w:t>本项目属于非金属矿物制品业中的特种玻璃制造和玻璃制品制造，不属于要淘汰的落后产能</w:t>
                  </w:r>
                </w:p>
              </w:tc>
              <w:tc>
                <w:tcPr>
                  <w:tcW w:w="417" w:type="pct"/>
                  <w:tcBorders>
                    <w:tl2br w:val="nil"/>
                    <w:tr2bl w:val="nil"/>
                  </w:tcBorders>
                  <w:noWrap w:val="0"/>
                  <w:vAlign w:val="center"/>
                </w:tcPr>
                <w:p w14:paraId="4129E568">
                  <w:pPr>
                    <w:jc w:val="center"/>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r w14:paraId="7B170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7" w:type="pct"/>
                  <w:vMerge w:val="continue"/>
                  <w:tcBorders>
                    <w:tl2br w:val="nil"/>
                    <w:tr2bl w:val="nil"/>
                  </w:tcBorders>
                  <w:noWrap w:val="0"/>
                  <w:vAlign w:val="center"/>
                </w:tcPr>
                <w:p w14:paraId="036EFEAA">
                  <w:pPr>
                    <w:jc w:val="center"/>
                    <w:rPr>
                      <w:rFonts w:hint="default" w:ascii="Times New Roman" w:hAnsi="Times New Roman" w:eastAsia="宋体" w:cs="Times New Roman"/>
                      <w:b w:val="0"/>
                      <w:bCs w:val="0"/>
                      <w:color w:val="auto"/>
                      <w:sz w:val="21"/>
                      <w:szCs w:val="21"/>
                      <w:u w:val="none"/>
                      <w:lang w:val="en-US" w:eastAsia="zh-CN"/>
                    </w:rPr>
                  </w:pPr>
                </w:p>
              </w:tc>
              <w:tc>
                <w:tcPr>
                  <w:tcW w:w="3000" w:type="pct"/>
                  <w:tcBorders>
                    <w:tl2br w:val="nil"/>
                    <w:tr2bl w:val="nil"/>
                  </w:tcBorders>
                  <w:noWrap w:val="0"/>
                  <w:vAlign w:val="center"/>
                </w:tcPr>
                <w:p w14:paraId="38E78795">
                  <w:pPr>
                    <w:keepNext w:val="0"/>
                    <w:keepLines w:val="0"/>
                    <w:pageBreakBefore w:val="0"/>
                    <w:kinsoku/>
                    <w:wordWrap/>
                    <w:overflowPunct/>
                    <w:topLinePunct w:val="0"/>
                    <w:autoSpaceDE/>
                    <w:autoSpaceDN/>
                    <w:bidi w:val="0"/>
                    <w:adjustRightInd w:val="0"/>
                    <w:snapToGrid w:val="0"/>
                    <w:spacing w:beforeAutospacing="0" w:afterAutospacing="0"/>
                    <w:jc w:val="left"/>
                    <w:textAlignment w:val="auto"/>
                    <w:rPr>
                      <w:rFonts w:hint="default" w:ascii="Times New Roman" w:hAnsi="Times New Roman" w:eastAsia="宋体" w:cs="Times New Roman"/>
                      <w:b w:val="0"/>
                      <w:bCs w:val="0"/>
                      <w:color w:val="auto"/>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lang w:val="en-US" w:eastAsia="zh-CN" w:bidi="ar-SA"/>
                    </w:rPr>
                    <w:t>实施挥发性有机物综合治理。组织涉VOCs 企业针对挥发性有机液体储罐、装卸、敞开液面、泄漏检测与修（LDAR）、废气收集、废气旁路、治理设施、非正常工况、产品VOCs 含量、污染防治设施运营管理情况等关键环节开展VOCs 治理突出问题排查整治，2025 年5 月底前，完成涉VOCs 企业综合治理任务。按照“可替尽替、应代尽代”的原则，工业涂装、包装印刷等重点行业加大涂料、油墨、胶黏剂、清洗剂等低VOCs 含量原辅材料替代力度，铸造等重点行业应合理安排设施维护计划，生产设施、管道构件防腐防水防锈喷涂及厂房车间建（构）筑物外表面维修刷漆避开夏季高温时期（6 月至8月）。</w:t>
                  </w:r>
                </w:p>
              </w:tc>
              <w:tc>
                <w:tcPr>
                  <w:tcW w:w="964" w:type="pct"/>
                  <w:tcBorders>
                    <w:tl2br w:val="nil"/>
                    <w:tr2bl w:val="nil"/>
                  </w:tcBorders>
                  <w:noWrap w:val="0"/>
                  <w:vAlign w:val="center"/>
                </w:tcPr>
                <w:p w14:paraId="670B35D3">
                  <w:pPr>
                    <w:jc w:val="both"/>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本项目</w:t>
                  </w:r>
                  <w:r>
                    <w:rPr>
                      <w:rFonts w:hint="eastAsia" w:cs="Times New Roman"/>
                      <w:b w:val="0"/>
                      <w:bCs w:val="0"/>
                      <w:color w:val="auto"/>
                      <w:sz w:val="21"/>
                      <w:szCs w:val="21"/>
                      <w:u w:val="none"/>
                      <w:lang w:val="en-US" w:eastAsia="zh-CN"/>
                    </w:rPr>
                    <w:t>生产过程产生的废气主要为有机废气，经收集后由对应的两级活性炭吸附装置进行处理后由15m高排气筒排放</w:t>
                  </w:r>
                  <w:r>
                    <w:rPr>
                      <w:rFonts w:hint="default" w:ascii="Times New Roman" w:hAnsi="Times New Roman" w:eastAsia="宋体" w:cs="Times New Roman"/>
                      <w:b w:val="0"/>
                      <w:bCs w:val="0"/>
                      <w:color w:val="auto"/>
                      <w:sz w:val="21"/>
                      <w:szCs w:val="21"/>
                      <w:u w:val="none"/>
                      <w:lang w:val="en-US" w:eastAsia="zh-CN"/>
                    </w:rPr>
                    <w:t>，各废气均能达到国家或地方相关标准要求</w:t>
                  </w:r>
                  <w:r>
                    <w:rPr>
                      <w:rFonts w:hint="eastAsia" w:cs="Times New Roman"/>
                      <w:b w:val="0"/>
                      <w:bCs w:val="0"/>
                      <w:color w:val="auto"/>
                      <w:sz w:val="21"/>
                      <w:szCs w:val="21"/>
                      <w:u w:val="none"/>
                      <w:lang w:val="en-US" w:eastAsia="zh-CN"/>
                    </w:rPr>
                    <w:t>。</w:t>
                  </w:r>
                </w:p>
              </w:tc>
              <w:tc>
                <w:tcPr>
                  <w:tcW w:w="417" w:type="pct"/>
                  <w:tcBorders>
                    <w:tl2br w:val="nil"/>
                    <w:tr2bl w:val="nil"/>
                  </w:tcBorders>
                  <w:noWrap w:val="0"/>
                  <w:vAlign w:val="center"/>
                </w:tcPr>
                <w:p w14:paraId="47096C13">
                  <w:pPr>
                    <w:jc w:val="center"/>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eastAsia="zh-CN"/>
                    </w:rPr>
                    <w:t>相符</w:t>
                  </w:r>
                </w:p>
              </w:tc>
            </w:tr>
            <w:tr w14:paraId="7E170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7" w:type="pct"/>
                  <w:vMerge w:val="continue"/>
                  <w:tcBorders>
                    <w:tl2br w:val="nil"/>
                    <w:tr2bl w:val="nil"/>
                  </w:tcBorders>
                  <w:noWrap w:val="0"/>
                  <w:vAlign w:val="center"/>
                </w:tcPr>
                <w:p w14:paraId="35828A30">
                  <w:pPr>
                    <w:jc w:val="center"/>
                    <w:rPr>
                      <w:rFonts w:hint="default" w:ascii="Times New Roman" w:hAnsi="Times New Roman" w:eastAsia="宋体" w:cs="Times New Roman"/>
                      <w:b w:val="0"/>
                      <w:bCs w:val="0"/>
                      <w:color w:val="auto"/>
                      <w:sz w:val="21"/>
                      <w:szCs w:val="21"/>
                      <w:u w:val="none"/>
                      <w:lang w:val="en-US" w:eastAsia="zh-CN"/>
                    </w:rPr>
                  </w:pPr>
                </w:p>
              </w:tc>
              <w:tc>
                <w:tcPr>
                  <w:tcW w:w="3000" w:type="pct"/>
                  <w:tcBorders>
                    <w:tl2br w:val="nil"/>
                    <w:tr2bl w:val="nil"/>
                  </w:tcBorders>
                  <w:noWrap w:val="0"/>
                  <w:vAlign w:val="center"/>
                </w:tcPr>
                <w:p w14:paraId="0035CC7C">
                  <w:pPr>
                    <w:keepNext w:val="0"/>
                    <w:keepLines w:val="0"/>
                    <w:pageBreakBefore w:val="0"/>
                    <w:kinsoku/>
                    <w:wordWrap/>
                    <w:overflowPunct/>
                    <w:topLinePunct w:val="0"/>
                    <w:autoSpaceDE/>
                    <w:autoSpaceDN/>
                    <w:bidi w:val="0"/>
                    <w:adjustRightInd w:val="0"/>
                    <w:snapToGrid w:val="0"/>
                    <w:spacing w:beforeAutospacing="0" w:afterAutospacing="0"/>
                    <w:jc w:val="left"/>
                    <w:textAlignment w:val="auto"/>
                    <w:rPr>
                      <w:rFonts w:hint="default" w:ascii="Times New Roman" w:hAnsi="Times New Roman" w:eastAsia="宋体" w:cs="Times New Roman"/>
                      <w:b w:val="0"/>
                      <w:bCs w:val="0"/>
                      <w:color w:val="auto"/>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lang w:val="en-US" w:eastAsia="zh-CN" w:bidi="ar-SA"/>
                    </w:rPr>
                    <w:t>深化扬尘污染精细化管控。聚焦建筑施工、拆迁工地、城市道路、车辆运输、停车场、线性工程和裸露地面等重点领域，细化完善全市重点扬尘污染源管控清单，建立施工防尘措施检查制度，按照“谁组织、谁监管”原则，明确监管责任，严格落实扬尘治理“两个标准”要求，加强施工围挡、车辆冲洗、湿法作业、密闭运输、地面硬化、场地绿化、物料覆盖等管理，提升扬尘污染精细化管理水平。市政道路、水务等长距离线性工程实行分段施工。工程项目将防治扬尘污染费用纳入工程造价，作为专项费用用于扬尘治理。强化道路扬尘综合治理，开展渣土、物料等运输车辆规范化整治，依法查处遗撒滴漏或扬散物料、不按照规定路线、时段行驶等违法行为</w:t>
                  </w:r>
                </w:p>
              </w:tc>
              <w:tc>
                <w:tcPr>
                  <w:tcW w:w="964" w:type="pct"/>
                  <w:tcBorders>
                    <w:tl2br w:val="nil"/>
                    <w:tr2bl w:val="nil"/>
                  </w:tcBorders>
                  <w:noWrap w:val="0"/>
                  <w:vAlign w:val="center"/>
                </w:tcPr>
                <w:p w14:paraId="0D0B7FBC">
                  <w:pPr>
                    <w:jc w:val="both"/>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本项目施工期严格按照有关要求执行</w:t>
                  </w:r>
                  <w:r>
                    <w:rPr>
                      <w:rFonts w:hint="eastAsia" w:cs="Times New Roman"/>
                      <w:b w:val="0"/>
                      <w:bCs w:val="0"/>
                      <w:color w:val="auto"/>
                      <w:sz w:val="21"/>
                      <w:szCs w:val="21"/>
                      <w:u w:val="none"/>
                      <w:lang w:val="en-US" w:eastAsia="zh-CN"/>
                    </w:rPr>
                    <w:t>，</w:t>
                  </w:r>
                  <w:r>
                    <w:rPr>
                      <w:rFonts w:hint="default" w:ascii="Times New Roman" w:hAnsi="Times New Roman" w:eastAsia="宋体" w:cs="Times New Roman"/>
                      <w:b w:val="0"/>
                      <w:bCs w:val="0"/>
                      <w:color w:val="auto"/>
                      <w:sz w:val="21"/>
                      <w:szCs w:val="21"/>
                    </w:rPr>
                    <w:t>全面落实工程施工扬尘防治标准规定，落实防尘覆盖、施工围挡、车辆冲洗、湿法作业、裸地管控等措施</w:t>
                  </w:r>
                </w:p>
              </w:tc>
              <w:tc>
                <w:tcPr>
                  <w:tcW w:w="417" w:type="pct"/>
                  <w:tcBorders>
                    <w:tl2br w:val="nil"/>
                    <w:tr2bl w:val="nil"/>
                  </w:tcBorders>
                  <w:noWrap w:val="0"/>
                  <w:vAlign w:val="center"/>
                </w:tcPr>
                <w:p w14:paraId="7E57C988">
                  <w:pPr>
                    <w:jc w:val="center"/>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rPr>
                    <w:t>相符</w:t>
                  </w:r>
                </w:p>
              </w:tc>
            </w:tr>
            <w:tr w14:paraId="77542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955" w:hRule="atLeast"/>
              </w:trPr>
              <w:tc>
                <w:tcPr>
                  <w:tcW w:w="617" w:type="pct"/>
                  <w:tcBorders>
                    <w:tl2br w:val="nil"/>
                    <w:tr2bl w:val="nil"/>
                  </w:tcBorders>
                  <w:noWrap w:val="0"/>
                  <w:vAlign w:val="center"/>
                </w:tcPr>
                <w:p w14:paraId="32D90770">
                  <w:pPr>
                    <w:jc w:val="center"/>
                    <w:rPr>
                      <w:rFonts w:hint="default" w:ascii="Times New Roman" w:hAnsi="Times New Roman" w:eastAsia="宋体" w:cs="Times New Roman"/>
                      <w:b w:val="0"/>
                      <w:bCs w:val="0"/>
                      <w:color w:val="auto"/>
                      <w:sz w:val="21"/>
                      <w:szCs w:val="21"/>
                      <w:u w:val="none"/>
                    </w:rPr>
                  </w:pPr>
                  <w:r>
                    <w:rPr>
                      <w:rFonts w:hint="eastAsia" w:ascii="Times New Roman" w:hAnsi="Times New Roman" w:cs="Times New Roman"/>
                      <w:b w:val="0"/>
                      <w:bCs w:val="0"/>
                      <w:color w:val="000000"/>
                      <w:lang w:val="en-US" w:eastAsia="zh-CN"/>
                    </w:rPr>
                    <w:t>周口市202</w:t>
                  </w:r>
                  <w:r>
                    <w:rPr>
                      <w:rFonts w:hint="eastAsia" w:cs="Times New Roman"/>
                      <w:b w:val="0"/>
                      <w:bCs w:val="0"/>
                      <w:color w:val="000000"/>
                      <w:lang w:val="en-US" w:eastAsia="zh-CN"/>
                    </w:rPr>
                    <w:t>5</w:t>
                  </w:r>
                  <w:r>
                    <w:rPr>
                      <w:rFonts w:hint="eastAsia" w:ascii="Times New Roman" w:hAnsi="Times New Roman" w:cs="Times New Roman"/>
                      <w:b w:val="0"/>
                      <w:bCs w:val="0"/>
                      <w:color w:val="000000"/>
                      <w:lang w:val="en-US" w:eastAsia="zh-CN"/>
                    </w:rPr>
                    <w:t>年碧水保卫战实施方案</w:t>
                  </w:r>
                </w:p>
              </w:tc>
              <w:tc>
                <w:tcPr>
                  <w:tcW w:w="3000" w:type="pct"/>
                  <w:tcBorders>
                    <w:tl2br w:val="nil"/>
                    <w:tr2bl w:val="nil"/>
                  </w:tcBorders>
                  <w:noWrap w:val="0"/>
                  <w:vAlign w:val="center"/>
                </w:tcPr>
                <w:p w14:paraId="65407EAF">
                  <w:pPr>
                    <w:keepNext w:val="0"/>
                    <w:keepLines w:val="0"/>
                    <w:pageBreakBefore w:val="0"/>
                    <w:kinsoku/>
                    <w:wordWrap/>
                    <w:overflowPunct/>
                    <w:topLinePunct w:val="0"/>
                    <w:autoSpaceDE/>
                    <w:autoSpaceDN/>
                    <w:bidi w:val="0"/>
                    <w:adjustRightInd w:val="0"/>
                    <w:snapToGrid w:val="0"/>
                    <w:spacing w:beforeAutospacing="0" w:afterAutospacing="0"/>
                    <w:jc w:val="left"/>
                    <w:textAlignment w:val="auto"/>
                    <w:rPr>
                      <w:rFonts w:hint="default" w:ascii="Times New Roman" w:hAnsi="Times New Roman" w:eastAsia="宋体" w:cs="Times New Roman"/>
                      <w:b w:val="0"/>
                      <w:bCs w:val="0"/>
                      <w:color w:val="auto"/>
                      <w:sz w:val="21"/>
                      <w:szCs w:val="21"/>
                      <w:u w:val="none"/>
                      <w:lang w:val="en-US" w:eastAsia="zh-CN"/>
                    </w:rPr>
                  </w:pPr>
                  <w:r>
                    <w:rPr>
                      <w:rFonts w:hint="eastAsia" w:ascii="Times New Roman" w:hAnsi="Times New Roman" w:eastAsia="宋体" w:cs="Times New Roman"/>
                      <w:b w:val="0"/>
                      <w:bCs w:val="0"/>
                      <w:color w:val="auto"/>
                      <w:kern w:val="2"/>
                      <w:sz w:val="21"/>
                      <w:szCs w:val="21"/>
                      <w:u w:val="none"/>
                      <w:lang w:val="en-US" w:eastAsia="zh-CN" w:bidi="ar-SA"/>
                    </w:rPr>
                    <w:t>持续推动企业绿色转型发展。严格项目准入，坚决遏制“两高一低”项目盲目发展；严格落实生态环境分区管控，加快推进工业企业绿色转型发展；深入推进重点水污染物排放行业清洁生产审核；培育壮大节能、节水、环保和资源综合利用产业，提高能源资源利用效率；对焦化、有色金属、化工、电镀、制革、石油开采、造纸、印染、农副食品加工等行业，全面推进清洁生产改造或清洁化改造。</w:t>
                  </w:r>
                </w:p>
              </w:tc>
              <w:tc>
                <w:tcPr>
                  <w:tcW w:w="964" w:type="pct"/>
                  <w:tcBorders>
                    <w:tl2br w:val="nil"/>
                    <w:tr2bl w:val="nil"/>
                  </w:tcBorders>
                  <w:noWrap w:val="0"/>
                  <w:vAlign w:val="center"/>
                </w:tcPr>
                <w:p w14:paraId="30A57987">
                  <w:pPr>
                    <w:jc w:val="both"/>
                    <w:rPr>
                      <w:rFonts w:hint="default" w:ascii="Times New Roman" w:hAnsi="Times New Roman" w:eastAsia="宋体" w:cs="Times New Roman"/>
                      <w:b w:val="0"/>
                      <w:bCs w:val="0"/>
                      <w:color w:val="auto"/>
                      <w:kern w:val="0"/>
                      <w:sz w:val="21"/>
                      <w:szCs w:val="21"/>
                      <w:u w:val="none"/>
                      <w:lang w:val="en-US" w:eastAsia="zh-CN"/>
                    </w:rPr>
                  </w:pPr>
                  <w:r>
                    <w:rPr>
                      <w:rFonts w:hint="eastAsia" w:cs="Times New Roman"/>
                      <w:b w:val="0"/>
                      <w:bCs w:val="0"/>
                      <w:color w:val="auto"/>
                      <w:kern w:val="0"/>
                      <w:sz w:val="21"/>
                      <w:szCs w:val="21"/>
                      <w:u w:val="none"/>
                      <w:lang w:val="en-US" w:eastAsia="zh-CN"/>
                    </w:rPr>
                    <w:t>本项目属于非金属矿物制品业中的特种玻璃制造和玻璃制品制造，不属于</w:t>
                  </w:r>
                  <w:r>
                    <w:rPr>
                      <w:rFonts w:hint="eastAsia" w:ascii="Times New Roman" w:hAnsi="Times New Roman" w:eastAsia="宋体" w:cs="Times New Roman"/>
                      <w:b w:val="0"/>
                      <w:bCs w:val="0"/>
                      <w:color w:val="auto"/>
                      <w:kern w:val="2"/>
                      <w:sz w:val="21"/>
                      <w:szCs w:val="21"/>
                      <w:u w:val="none"/>
                      <w:lang w:val="en-US" w:eastAsia="zh-CN" w:bidi="ar-SA"/>
                    </w:rPr>
                    <w:t>“两高一低”项目</w:t>
                  </w:r>
                  <w:r>
                    <w:rPr>
                      <w:rFonts w:hint="eastAsia" w:cs="Times New Roman"/>
                      <w:b w:val="0"/>
                      <w:bCs w:val="0"/>
                      <w:color w:val="auto"/>
                      <w:kern w:val="2"/>
                      <w:sz w:val="21"/>
                      <w:szCs w:val="21"/>
                      <w:u w:val="none"/>
                      <w:lang w:val="en-US" w:eastAsia="zh-CN" w:bidi="ar-SA"/>
                    </w:rPr>
                    <w:t>，且满足生态环境分区管控要求</w:t>
                  </w:r>
                </w:p>
              </w:tc>
              <w:tc>
                <w:tcPr>
                  <w:tcW w:w="417" w:type="pct"/>
                  <w:tcBorders>
                    <w:tl2br w:val="nil"/>
                    <w:tr2bl w:val="nil"/>
                  </w:tcBorders>
                  <w:noWrap w:val="0"/>
                  <w:vAlign w:val="center"/>
                </w:tcPr>
                <w:p w14:paraId="74A1EF4C">
                  <w:pPr>
                    <w:jc w:val="center"/>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eastAsia="zh-CN"/>
                    </w:rPr>
                    <w:t>相符</w:t>
                  </w:r>
                </w:p>
              </w:tc>
            </w:tr>
            <w:tr w14:paraId="060B9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7" w:type="pct"/>
                  <w:tcBorders>
                    <w:tl2br w:val="nil"/>
                    <w:tr2bl w:val="nil"/>
                  </w:tcBorders>
                  <w:noWrap w:val="0"/>
                  <w:vAlign w:val="center"/>
                </w:tcPr>
                <w:p w14:paraId="60E892CB">
                  <w:pPr>
                    <w:jc w:val="center"/>
                    <w:rPr>
                      <w:rFonts w:hint="default" w:ascii="Times New Roman" w:hAnsi="Times New Roman" w:eastAsia="宋体" w:cs="Times New Roman"/>
                      <w:b w:val="0"/>
                      <w:bCs w:val="0"/>
                      <w:color w:val="auto"/>
                      <w:sz w:val="21"/>
                      <w:szCs w:val="21"/>
                      <w:u w:val="none"/>
                    </w:rPr>
                  </w:pPr>
                  <w:r>
                    <w:rPr>
                      <w:rFonts w:hint="eastAsia" w:ascii="Times New Roman" w:hAnsi="Times New Roman" w:cs="Times New Roman"/>
                      <w:b w:val="0"/>
                      <w:bCs w:val="0"/>
                      <w:color w:val="000000"/>
                      <w:lang w:val="en-US" w:eastAsia="zh-CN"/>
                    </w:rPr>
                    <w:t>周口市202</w:t>
                  </w:r>
                  <w:r>
                    <w:rPr>
                      <w:rFonts w:hint="eastAsia" w:cs="Times New Roman"/>
                      <w:b w:val="0"/>
                      <w:bCs w:val="0"/>
                      <w:color w:val="000000"/>
                      <w:lang w:val="en-US" w:eastAsia="zh-CN"/>
                    </w:rPr>
                    <w:t>5</w:t>
                  </w:r>
                  <w:r>
                    <w:rPr>
                      <w:rFonts w:hint="eastAsia" w:ascii="Times New Roman" w:hAnsi="Times New Roman" w:cs="Times New Roman"/>
                      <w:b w:val="0"/>
                      <w:bCs w:val="0"/>
                      <w:color w:val="000000"/>
                      <w:lang w:val="en-US" w:eastAsia="zh-CN"/>
                    </w:rPr>
                    <w:t>年净土保卫战实施方案</w:t>
                  </w:r>
                </w:p>
              </w:tc>
              <w:tc>
                <w:tcPr>
                  <w:tcW w:w="3000" w:type="pct"/>
                  <w:tcBorders>
                    <w:tl2br w:val="nil"/>
                    <w:tr2bl w:val="nil"/>
                  </w:tcBorders>
                  <w:noWrap w:val="0"/>
                  <w:vAlign w:val="center"/>
                </w:tcPr>
                <w:p w14:paraId="5B022AF1">
                  <w:pPr>
                    <w:jc w:val="both"/>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lang w:val="en-US" w:eastAsia="zh-CN"/>
                    </w:rPr>
                    <w:t>深化危险废物监管和利用处置能力改革。持续创新危险废物环境监管方式，建立综合处置企业行业自律机制、特殊类别危险废物的信息通报机制。开展危险废物自行利用处置专项整治行动</w:t>
                  </w:r>
                </w:p>
              </w:tc>
              <w:tc>
                <w:tcPr>
                  <w:tcW w:w="964" w:type="pct"/>
                  <w:tcBorders>
                    <w:tl2br w:val="nil"/>
                    <w:tr2bl w:val="nil"/>
                  </w:tcBorders>
                  <w:noWrap w:val="0"/>
                  <w:vAlign w:val="center"/>
                </w:tcPr>
                <w:p w14:paraId="663F7221">
                  <w:pPr>
                    <w:jc w:val="both"/>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本项目产生的一般固废暂存于一般固废暂存间，定期</w:t>
                  </w:r>
                  <w:r>
                    <w:rPr>
                      <w:rFonts w:hint="eastAsia" w:cs="Times New Roman"/>
                      <w:b w:val="0"/>
                      <w:bCs w:val="0"/>
                      <w:color w:val="auto"/>
                      <w:sz w:val="21"/>
                      <w:szCs w:val="21"/>
                      <w:u w:val="none"/>
                      <w:lang w:val="en-US" w:eastAsia="zh-CN"/>
                    </w:rPr>
                    <w:t>外售</w:t>
                  </w:r>
                  <w:r>
                    <w:rPr>
                      <w:rFonts w:hint="default" w:ascii="Times New Roman" w:hAnsi="Times New Roman" w:eastAsia="宋体" w:cs="Times New Roman"/>
                      <w:b w:val="0"/>
                      <w:bCs w:val="0"/>
                      <w:color w:val="auto"/>
                      <w:sz w:val="21"/>
                      <w:szCs w:val="21"/>
                      <w:u w:val="none"/>
                      <w:lang w:val="en-US" w:eastAsia="zh-CN"/>
                    </w:rPr>
                    <w:t>，产生的危险废物暂存于危险废物暂存间，定期委托有资质单位进行处理。</w:t>
                  </w:r>
                </w:p>
              </w:tc>
              <w:tc>
                <w:tcPr>
                  <w:tcW w:w="417" w:type="pct"/>
                  <w:tcBorders>
                    <w:tl2br w:val="nil"/>
                    <w:tr2bl w:val="nil"/>
                  </w:tcBorders>
                  <w:noWrap w:val="0"/>
                  <w:vAlign w:val="center"/>
                </w:tcPr>
                <w:p w14:paraId="448DBE62">
                  <w:pPr>
                    <w:jc w:val="center"/>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r w14:paraId="41070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40" w:hRule="atLeast"/>
              </w:trPr>
              <w:tc>
                <w:tcPr>
                  <w:tcW w:w="617" w:type="pct"/>
                  <w:tcBorders>
                    <w:tl2br w:val="nil"/>
                    <w:tr2bl w:val="nil"/>
                  </w:tcBorders>
                  <w:noWrap w:val="0"/>
                  <w:vAlign w:val="center"/>
                </w:tcPr>
                <w:p w14:paraId="1D4B65D2">
                  <w:pPr>
                    <w:jc w:val="center"/>
                    <w:rPr>
                      <w:rFonts w:hint="eastAsia" w:ascii="Times New Roman" w:hAnsi="Times New Roman" w:cs="Times New Roman"/>
                      <w:b w:val="0"/>
                      <w:bCs w:val="0"/>
                      <w:color w:val="000000"/>
                      <w:lang w:val="en-US" w:eastAsia="zh-CN"/>
                    </w:rPr>
                  </w:pPr>
                  <w:r>
                    <w:rPr>
                      <w:rFonts w:hint="eastAsia" w:cs="Times New Roman"/>
                      <w:b w:val="0"/>
                      <w:bCs w:val="0"/>
                      <w:color w:val="000000"/>
                      <w:lang w:val="en-US" w:eastAsia="zh-CN"/>
                    </w:rPr>
                    <w:t>周口市2025年柴油货车污染治理攻坚战实施方案</w:t>
                  </w:r>
                </w:p>
              </w:tc>
              <w:tc>
                <w:tcPr>
                  <w:tcW w:w="3000" w:type="pct"/>
                  <w:tcBorders>
                    <w:tl2br w:val="nil"/>
                    <w:tr2bl w:val="nil"/>
                  </w:tcBorders>
                  <w:noWrap w:val="0"/>
                  <w:vAlign w:val="center"/>
                </w:tcPr>
                <w:p w14:paraId="0166B5B9">
                  <w:pPr>
                    <w:jc w:val="both"/>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提升重点行业清洁运输比例。大宗货物中长距离运输优先采用铁路、水路，短距离运输优先采用封闭式皮带廊道或新能源车船。鼓励工矿企业等用车单位通过与运输企业（个人）签订合作协议等方式实现清洁运输。探索将清洁运输作为钢铁、火电等行业新改扩建项目审核和监管重点。2025 年底前，火电、钢铁等行业大宗货物清洁运输比例达到80%以上；环保绩效A、B 级和绩效引领性企业清洁运输比例力争达到80%</w:t>
                  </w:r>
                </w:p>
                <w:p w14:paraId="54A1CF16">
                  <w:pPr>
                    <w:jc w:val="both"/>
                    <w:rPr>
                      <w:rFonts w:hint="default" w:ascii="Times New Roman" w:hAnsi="Times New Roman" w:eastAsia="宋体" w:cs="Times New Roman"/>
                      <w:b w:val="0"/>
                      <w:bCs w:val="0"/>
                      <w:color w:val="auto"/>
                      <w:sz w:val="21"/>
                      <w:szCs w:val="21"/>
                      <w:u w:val="none"/>
                      <w:lang w:val="en-US" w:eastAsia="zh-CN"/>
                    </w:rPr>
                  </w:pPr>
                </w:p>
              </w:tc>
              <w:tc>
                <w:tcPr>
                  <w:tcW w:w="964" w:type="pct"/>
                  <w:tcBorders>
                    <w:tl2br w:val="nil"/>
                    <w:tr2bl w:val="nil"/>
                  </w:tcBorders>
                  <w:noWrap w:val="0"/>
                  <w:vAlign w:val="center"/>
                </w:tcPr>
                <w:p w14:paraId="3B4A3B29">
                  <w:pPr>
                    <w:jc w:val="both"/>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kern w:val="0"/>
                      <w:sz w:val="21"/>
                      <w:szCs w:val="21"/>
                      <w:u w:val="none" w:color="auto"/>
                      <w:lang w:val="en-US" w:eastAsia="zh-CN" w:bidi="ar"/>
                    </w:rPr>
                    <w:t>项目营运期原辅材料以及产品等运输均采用绩效分级</w:t>
                  </w:r>
                  <w:r>
                    <w:rPr>
                      <w:rFonts w:hint="eastAsia" w:ascii="Times New Roman" w:hAnsi="Times New Roman" w:eastAsia="宋体" w:cs="Times New Roman"/>
                      <w:b w:val="0"/>
                      <w:bCs w:val="0"/>
                      <w:color w:val="auto"/>
                      <w:kern w:val="0"/>
                      <w:sz w:val="21"/>
                      <w:szCs w:val="21"/>
                      <w:u w:val="none" w:color="auto"/>
                      <w:lang w:val="en-US" w:eastAsia="zh-CN" w:bidi="ar"/>
                    </w:rPr>
                    <w:t>A级企业要求的运输</w:t>
                  </w:r>
                  <w:r>
                    <w:rPr>
                      <w:rFonts w:hint="default" w:ascii="Times New Roman" w:hAnsi="Times New Roman" w:eastAsia="宋体" w:cs="Times New Roman"/>
                      <w:b w:val="0"/>
                      <w:bCs w:val="0"/>
                      <w:color w:val="auto"/>
                      <w:kern w:val="0"/>
                      <w:sz w:val="21"/>
                      <w:szCs w:val="21"/>
                      <w:u w:val="none" w:color="auto"/>
                      <w:lang w:val="en-US" w:eastAsia="zh-CN" w:bidi="ar"/>
                    </w:rPr>
                    <w:t>车辆进行运输</w:t>
                  </w:r>
                </w:p>
              </w:tc>
              <w:tc>
                <w:tcPr>
                  <w:tcW w:w="417" w:type="pct"/>
                  <w:tcBorders>
                    <w:tl2br w:val="nil"/>
                    <w:tr2bl w:val="nil"/>
                  </w:tcBorders>
                  <w:noWrap w:val="0"/>
                  <w:vAlign w:val="center"/>
                </w:tcPr>
                <w:p w14:paraId="6454AB92">
                  <w:pPr>
                    <w:jc w:val="center"/>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bl>
          <w:p w14:paraId="0AE9EC9E">
            <w:pPr>
              <w:pStyle w:val="129"/>
              <w:ind w:firstLine="480"/>
              <w:rPr>
                <w:b w:val="0"/>
                <w:bCs w:val="0"/>
                <w:color w:val="auto"/>
              </w:rPr>
            </w:pPr>
            <w:r>
              <w:rPr>
                <w:rFonts w:hint="eastAsia" w:ascii="Times New Roman" w:hAnsi="Times New Roman" w:eastAsia="宋体" w:cs="Times New Roman"/>
                <w:b w:val="0"/>
                <w:bCs w:val="0"/>
                <w:color w:val="auto"/>
                <w:sz w:val="24"/>
                <w:szCs w:val="24"/>
                <w:lang w:val="en-US" w:eastAsia="zh-CN"/>
              </w:rPr>
              <w:t>由上表可知，本项目符合《周口市202</w:t>
            </w:r>
            <w:r>
              <w:rPr>
                <w:rFonts w:hint="eastAsia" w:cs="Times New Roman"/>
                <w:b w:val="0"/>
                <w:bCs w:val="0"/>
                <w:color w:val="auto"/>
                <w:sz w:val="24"/>
                <w:szCs w:val="24"/>
                <w:lang w:val="en-US" w:eastAsia="zh-CN"/>
              </w:rPr>
              <w:t>5</w:t>
            </w:r>
            <w:r>
              <w:rPr>
                <w:rFonts w:hint="eastAsia" w:ascii="Times New Roman" w:hAnsi="Times New Roman" w:eastAsia="宋体" w:cs="Times New Roman"/>
                <w:b w:val="0"/>
                <w:bCs w:val="0"/>
                <w:color w:val="auto"/>
                <w:sz w:val="24"/>
                <w:szCs w:val="24"/>
                <w:lang w:val="en-US" w:eastAsia="zh-CN"/>
              </w:rPr>
              <w:t>年蓝天保卫战实施方案》《周口市202</w:t>
            </w:r>
            <w:r>
              <w:rPr>
                <w:rFonts w:hint="eastAsia" w:cs="Times New Roman"/>
                <w:b w:val="0"/>
                <w:bCs w:val="0"/>
                <w:color w:val="auto"/>
                <w:sz w:val="24"/>
                <w:szCs w:val="24"/>
                <w:lang w:val="en-US" w:eastAsia="zh-CN"/>
              </w:rPr>
              <w:t>5</w:t>
            </w:r>
            <w:r>
              <w:rPr>
                <w:rFonts w:hint="eastAsia" w:ascii="Times New Roman" w:hAnsi="Times New Roman" w:eastAsia="宋体" w:cs="Times New Roman"/>
                <w:b w:val="0"/>
                <w:bCs w:val="0"/>
                <w:color w:val="auto"/>
                <w:sz w:val="24"/>
                <w:szCs w:val="24"/>
                <w:lang w:val="en-US" w:eastAsia="zh-CN"/>
              </w:rPr>
              <w:t>年碧水保卫战实施方案》《周口市202</w:t>
            </w:r>
            <w:r>
              <w:rPr>
                <w:rFonts w:hint="eastAsia" w:cs="Times New Roman"/>
                <w:b w:val="0"/>
                <w:bCs w:val="0"/>
                <w:color w:val="auto"/>
                <w:sz w:val="24"/>
                <w:szCs w:val="24"/>
                <w:lang w:val="en-US" w:eastAsia="zh-CN"/>
              </w:rPr>
              <w:t>5</w:t>
            </w:r>
            <w:r>
              <w:rPr>
                <w:rFonts w:hint="eastAsia" w:ascii="Times New Roman" w:hAnsi="Times New Roman" w:eastAsia="宋体" w:cs="Times New Roman"/>
                <w:b w:val="0"/>
                <w:bCs w:val="0"/>
                <w:color w:val="auto"/>
                <w:sz w:val="24"/>
                <w:szCs w:val="24"/>
                <w:lang w:val="en-US" w:eastAsia="zh-CN"/>
              </w:rPr>
              <w:t>年净土保卫战实施方案》《周口市202</w:t>
            </w:r>
            <w:r>
              <w:rPr>
                <w:rFonts w:hint="eastAsia" w:cs="Times New Roman"/>
                <w:b w:val="0"/>
                <w:bCs w:val="0"/>
                <w:color w:val="auto"/>
                <w:sz w:val="24"/>
                <w:szCs w:val="24"/>
                <w:lang w:val="en-US" w:eastAsia="zh-CN"/>
              </w:rPr>
              <w:t>5</w:t>
            </w:r>
            <w:r>
              <w:rPr>
                <w:rFonts w:hint="eastAsia" w:ascii="Times New Roman" w:hAnsi="Times New Roman" w:eastAsia="宋体" w:cs="Times New Roman"/>
                <w:b w:val="0"/>
                <w:bCs w:val="0"/>
                <w:color w:val="auto"/>
                <w:sz w:val="24"/>
                <w:szCs w:val="24"/>
                <w:lang w:val="en-US" w:eastAsia="zh-CN"/>
              </w:rPr>
              <w:t>年柴油货车污染治理攻坚战实施方案》（周环委办[202</w:t>
            </w:r>
            <w:r>
              <w:rPr>
                <w:rFonts w:hint="eastAsia" w:cs="Times New Roman"/>
                <w:b w:val="0"/>
                <w:bCs w:val="0"/>
                <w:color w:val="auto"/>
                <w:sz w:val="24"/>
                <w:szCs w:val="24"/>
                <w:lang w:val="en-US" w:eastAsia="zh-CN"/>
              </w:rPr>
              <w:t>5</w:t>
            </w:r>
            <w:r>
              <w:rPr>
                <w:rFonts w:hint="eastAsia" w:ascii="Times New Roman" w:hAnsi="Times New Roman" w:eastAsia="宋体" w:cs="Times New Roman"/>
                <w:b w:val="0"/>
                <w:bCs w:val="0"/>
                <w:color w:val="auto"/>
                <w:sz w:val="24"/>
                <w:szCs w:val="24"/>
                <w:lang w:val="en-US" w:eastAsia="zh-CN"/>
              </w:rPr>
              <w:t>]1</w:t>
            </w:r>
            <w:r>
              <w:rPr>
                <w:rFonts w:hint="eastAsia" w:cs="Times New Roman"/>
                <w:b w:val="0"/>
                <w:bCs w:val="0"/>
                <w:color w:val="auto"/>
                <w:sz w:val="24"/>
                <w:szCs w:val="24"/>
                <w:lang w:val="en-US" w:eastAsia="zh-CN"/>
              </w:rPr>
              <w:t>4</w:t>
            </w:r>
            <w:r>
              <w:rPr>
                <w:rFonts w:hint="eastAsia" w:ascii="Times New Roman" w:hAnsi="Times New Roman" w:eastAsia="宋体" w:cs="Times New Roman"/>
                <w:b w:val="0"/>
                <w:bCs w:val="0"/>
                <w:color w:val="auto"/>
                <w:sz w:val="24"/>
                <w:szCs w:val="24"/>
                <w:lang w:val="en-US" w:eastAsia="zh-CN"/>
              </w:rPr>
              <w:t>号）</w:t>
            </w:r>
            <w:r>
              <w:rPr>
                <w:rFonts w:hint="eastAsia" w:cs="Times New Roman"/>
                <w:b w:val="0"/>
                <w:bCs w:val="0"/>
                <w:color w:val="auto"/>
                <w:sz w:val="24"/>
                <w:szCs w:val="24"/>
                <w:lang w:val="en-US" w:eastAsia="zh-CN"/>
              </w:rPr>
              <w:t>文件中的</w:t>
            </w:r>
            <w:r>
              <w:rPr>
                <w:rFonts w:hint="eastAsia" w:ascii="Times New Roman" w:hAnsi="Times New Roman" w:eastAsia="宋体" w:cs="Times New Roman"/>
                <w:b w:val="0"/>
                <w:bCs w:val="0"/>
                <w:color w:val="auto"/>
                <w:sz w:val="24"/>
                <w:szCs w:val="24"/>
                <w:lang w:val="en-US" w:eastAsia="zh-CN"/>
              </w:rPr>
              <w:t>相关要求</w:t>
            </w:r>
            <w:r>
              <w:rPr>
                <w:b w:val="0"/>
                <w:bCs w:val="0"/>
                <w:color w:val="auto"/>
              </w:rPr>
              <w:t>。</w:t>
            </w:r>
          </w:p>
          <w:p w14:paraId="1DF0F692">
            <w:pPr>
              <w:pStyle w:val="2"/>
              <w:rPr>
                <w:rFonts w:hint="eastAsia" w:ascii="Times New Roman" w:hAnsi="Times New Roman" w:eastAsia="宋体" w:cs="Times New Roman"/>
                <w:b/>
                <w:bCs/>
                <w:color w:val="000000"/>
                <w:lang w:val="en-US" w:eastAsia="zh-CN"/>
              </w:rPr>
            </w:pPr>
            <w:bookmarkStart w:id="22" w:name="_Toc22416"/>
            <w:bookmarkStart w:id="23" w:name="_Toc2024"/>
            <w:r>
              <w:rPr>
                <w:rFonts w:hint="eastAsia" w:ascii="Times New Roman" w:hAnsi="Times New Roman" w:eastAsia="宋体" w:cs="Times New Roman"/>
                <w:b/>
                <w:bCs/>
                <w:color w:val="000000"/>
                <w:lang w:val="en-US" w:eastAsia="zh-CN"/>
              </w:rPr>
              <w:t>7、与《周口市“十四五”生态环境保护和生态经济发展规划》（周政[2023]16号）相符性分析</w:t>
            </w:r>
            <w:bookmarkEnd w:id="22"/>
            <w:bookmarkEnd w:id="23"/>
          </w:p>
          <w:p w14:paraId="0F435D8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eastAsia="zh-CN"/>
              </w:rPr>
            </w:pPr>
            <w:r>
              <w:rPr>
                <w:rFonts w:hint="eastAsia" w:ascii="Times New Roman" w:hAnsi="Times New Roman" w:cs="Times New Roman"/>
                <w:b w:val="0"/>
                <w:bCs w:val="0"/>
                <w:color w:val="auto"/>
                <w:sz w:val="24"/>
                <w:szCs w:val="24"/>
                <w:u w:val="none"/>
                <w:lang w:eastAsia="zh-CN"/>
              </w:rPr>
              <w:t>本项目与</w:t>
            </w:r>
            <w:r>
              <w:rPr>
                <w:rFonts w:hint="eastAsia" w:ascii="Times New Roman" w:hAnsi="Times New Roman" w:cs="Times New Roman"/>
                <w:b w:val="0"/>
                <w:bCs w:val="0"/>
                <w:color w:val="auto"/>
                <w:sz w:val="24"/>
                <w:szCs w:val="24"/>
                <w:u w:val="none"/>
                <w:lang w:val="en-US" w:eastAsia="zh-CN"/>
              </w:rPr>
              <w:t>《周口市“十四五”生态环境保护和生态经济发展规划》（周政[2023]16号）</w:t>
            </w:r>
            <w:r>
              <w:rPr>
                <w:rFonts w:hint="eastAsia" w:ascii="Times New Roman" w:hAnsi="Times New Roman" w:cs="Times New Roman"/>
                <w:b w:val="0"/>
                <w:bCs w:val="0"/>
                <w:color w:val="auto"/>
                <w:sz w:val="24"/>
                <w:szCs w:val="24"/>
                <w:u w:val="none"/>
                <w:lang w:eastAsia="zh-CN"/>
              </w:rPr>
              <w:t>相符性分析见下表。</w:t>
            </w:r>
          </w:p>
          <w:p w14:paraId="36BFB06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4"/>
                <w:szCs w:val="24"/>
                <w:u w:val="none"/>
                <w:lang w:val="en-US" w:eastAsia="zh-CN"/>
              </w:rPr>
            </w:pPr>
            <w:r>
              <w:rPr>
                <w:rFonts w:hint="default" w:ascii="Times New Roman" w:hAnsi="Times New Roman" w:eastAsia="宋体" w:cs="Times New Roman"/>
                <w:b/>
                <w:bCs/>
                <w:color w:val="auto"/>
                <w:sz w:val="24"/>
                <w:szCs w:val="24"/>
                <w:u w:val="none"/>
                <w:lang w:eastAsia="zh-CN"/>
              </w:rPr>
              <w:t>表</w:t>
            </w:r>
            <w:r>
              <w:rPr>
                <w:rFonts w:hint="eastAsia" w:cs="Times New Roman"/>
                <w:b/>
                <w:bCs/>
                <w:color w:val="auto"/>
                <w:sz w:val="24"/>
                <w:szCs w:val="24"/>
                <w:u w:val="none"/>
                <w:lang w:val="en-US" w:eastAsia="zh-CN"/>
              </w:rPr>
              <w:t>1-9</w:t>
            </w:r>
            <w:r>
              <w:rPr>
                <w:rFonts w:hint="default" w:ascii="Times New Roman" w:hAnsi="Times New Roman" w:eastAsia="宋体" w:cs="Times New Roman"/>
                <w:b/>
                <w:bCs/>
                <w:color w:val="auto"/>
                <w:sz w:val="24"/>
                <w:szCs w:val="24"/>
                <w:u w:val="none"/>
                <w:lang w:val="en-US" w:eastAsia="zh-CN"/>
              </w:rPr>
              <w:t xml:space="preserve"> </w:t>
            </w:r>
            <w:r>
              <w:rPr>
                <w:rFonts w:hint="eastAsia" w:ascii="Times New Roman" w:hAnsi="Times New Roman" w:eastAsia="宋体" w:cs="Times New Roman"/>
                <w:b/>
                <w:bCs/>
                <w:color w:val="auto"/>
                <w:sz w:val="24"/>
                <w:szCs w:val="24"/>
                <w:u w:val="none"/>
                <w:lang w:val="en-US" w:eastAsia="zh-CN"/>
              </w:rPr>
              <w:t xml:space="preserve">  </w:t>
            </w:r>
            <w:r>
              <w:rPr>
                <w:rFonts w:hint="default" w:ascii="Times New Roman" w:hAnsi="Times New Roman" w:eastAsia="宋体" w:cs="Times New Roman"/>
                <w:b/>
                <w:bCs/>
                <w:color w:val="auto"/>
                <w:sz w:val="24"/>
                <w:szCs w:val="24"/>
                <w:u w:val="none"/>
                <w:lang w:val="en-US" w:eastAsia="zh-CN"/>
              </w:rPr>
              <w:t>项目与（周政[2023]16号）相符性分析一览表</w:t>
            </w:r>
          </w:p>
          <w:tbl>
            <w:tblPr>
              <w:tblStyle w:val="39"/>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Layout w:type="autofit"/>
              <w:tblCellMar>
                <w:top w:w="0" w:type="dxa"/>
                <w:left w:w="57" w:type="dxa"/>
                <w:bottom w:w="0" w:type="dxa"/>
                <w:right w:w="57" w:type="dxa"/>
              </w:tblCellMar>
            </w:tblPr>
            <w:tblGrid>
              <w:gridCol w:w="447"/>
              <w:gridCol w:w="731"/>
              <w:gridCol w:w="3736"/>
              <w:gridCol w:w="1413"/>
              <w:gridCol w:w="594"/>
            </w:tblGrid>
            <w:tr w14:paraId="5EF2629A">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3" w:type="pct"/>
                  <w:tcBorders>
                    <w:tl2br w:val="nil"/>
                    <w:tr2bl w:val="nil"/>
                  </w:tcBorders>
                  <w:noWrap w:val="0"/>
                  <w:vAlign w:val="center"/>
                </w:tcPr>
                <w:p w14:paraId="21D44D91">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序号</w:t>
                  </w:r>
                </w:p>
              </w:tc>
              <w:tc>
                <w:tcPr>
                  <w:tcW w:w="3227" w:type="pct"/>
                  <w:gridSpan w:val="2"/>
                  <w:tcBorders>
                    <w:tl2br w:val="nil"/>
                    <w:tr2bl w:val="nil"/>
                  </w:tcBorders>
                  <w:noWrap w:val="0"/>
                  <w:vAlign w:val="center"/>
                </w:tcPr>
                <w:p w14:paraId="327547A9">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eastAsia="zh-CN"/>
                    </w:rPr>
                    <w:t>相关要求</w:t>
                  </w:r>
                </w:p>
              </w:tc>
              <w:tc>
                <w:tcPr>
                  <w:tcW w:w="1021" w:type="pct"/>
                  <w:tcBorders>
                    <w:tl2br w:val="nil"/>
                    <w:tr2bl w:val="nil"/>
                  </w:tcBorders>
                  <w:noWrap w:val="0"/>
                  <w:vAlign w:val="center"/>
                </w:tcPr>
                <w:p w14:paraId="1FF28FF9">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本项目情况</w:t>
                  </w:r>
                </w:p>
              </w:tc>
              <w:tc>
                <w:tcPr>
                  <w:tcW w:w="428" w:type="pct"/>
                  <w:tcBorders>
                    <w:tl2br w:val="nil"/>
                    <w:tr2bl w:val="nil"/>
                  </w:tcBorders>
                  <w:noWrap w:val="0"/>
                  <w:vAlign w:val="center"/>
                </w:tcPr>
                <w:p w14:paraId="175AF8F3">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相符性</w:t>
                  </w:r>
                </w:p>
              </w:tc>
            </w:tr>
            <w:tr w14:paraId="663399C2">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3" w:type="pct"/>
                  <w:tcBorders>
                    <w:tl2br w:val="nil"/>
                    <w:tr2bl w:val="nil"/>
                  </w:tcBorders>
                  <w:noWrap w:val="0"/>
                  <w:vAlign w:val="center"/>
                </w:tcPr>
                <w:p w14:paraId="43F312C2">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1</w:t>
                  </w:r>
                </w:p>
              </w:tc>
              <w:tc>
                <w:tcPr>
                  <w:tcW w:w="528" w:type="pct"/>
                  <w:tcBorders>
                    <w:tl2br w:val="nil"/>
                    <w:tr2bl w:val="nil"/>
                  </w:tcBorders>
                  <w:noWrap w:val="0"/>
                  <w:vAlign w:val="center"/>
                </w:tcPr>
                <w:p w14:paraId="6444B539">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0"/>
                      <w:sz w:val="21"/>
                      <w:szCs w:val="21"/>
                      <w:u w:val="none"/>
                      <w:lang w:eastAsia="zh-CN"/>
                    </w:rPr>
                  </w:pPr>
                  <w:r>
                    <w:rPr>
                      <w:rFonts w:hint="default" w:ascii="Times New Roman" w:hAnsi="Times New Roman" w:eastAsia="宋体" w:cs="Times New Roman"/>
                      <w:b w:val="0"/>
                      <w:bCs w:val="0"/>
                      <w:i w:val="0"/>
                      <w:iCs w:val="0"/>
                      <w:caps w:val="0"/>
                      <w:color w:val="auto"/>
                      <w:spacing w:val="0"/>
                      <w:sz w:val="21"/>
                      <w:szCs w:val="21"/>
                    </w:rPr>
                    <w:t>构建区域绿色发展格局</w:t>
                  </w:r>
                </w:p>
              </w:tc>
              <w:tc>
                <w:tcPr>
                  <w:tcW w:w="2698" w:type="pct"/>
                  <w:tcBorders>
                    <w:tl2br w:val="nil"/>
                    <w:tr2bl w:val="nil"/>
                  </w:tcBorders>
                  <w:noWrap w:val="0"/>
                  <w:vAlign w:val="center"/>
                </w:tcPr>
                <w:p w14:paraId="1C59DF80">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i w:val="0"/>
                      <w:iCs w:val="0"/>
                      <w:color w:val="auto"/>
                      <w:kern w:val="0"/>
                      <w:sz w:val="21"/>
                      <w:szCs w:val="21"/>
                      <w:u w:val="none"/>
                    </w:rPr>
                  </w:pPr>
                  <w:r>
                    <w:rPr>
                      <w:rFonts w:hint="default" w:ascii="Times New Roman" w:hAnsi="Times New Roman" w:eastAsia="宋体" w:cs="Times New Roman"/>
                      <w:b w:val="0"/>
                      <w:bCs w:val="0"/>
                      <w:i w:val="0"/>
                      <w:iCs w:val="0"/>
                      <w:caps w:val="0"/>
                      <w:color w:val="auto"/>
                      <w:spacing w:val="0"/>
                      <w:sz w:val="21"/>
                      <w:szCs w:val="21"/>
                    </w:rPr>
                    <w:t>实施生态环境分区管控。衔接我市国土空间规划分区和用途管制要求，将生态保护红线、环境质量底线、资源利用上线的硬约束落实到环境管控单元，建立差别化的生态环境准入清单，加强“三线一单”在政策制定、环境准入、园区管理、执法监管等方面的应用。严格规划环评审查和建设项目环境准入，开展重大经济技术政策的生态环境影响分析和重大生态环境政策的社会经济影响评价</w:t>
                  </w:r>
                </w:p>
              </w:tc>
              <w:tc>
                <w:tcPr>
                  <w:tcW w:w="1021" w:type="pct"/>
                  <w:tcBorders>
                    <w:tl2br w:val="nil"/>
                    <w:tr2bl w:val="nil"/>
                  </w:tcBorders>
                  <w:noWrap w:val="0"/>
                  <w:vAlign w:val="center"/>
                </w:tcPr>
                <w:p w14:paraId="4F8F6542">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bCs/>
                      <w:i w:val="0"/>
                      <w:iCs w:val="0"/>
                      <w:color w:val="auto"/>
                      <w:kern w:val="0"/>
                      <w:sz w:val="21"/>
                      <w:szCs w:val="21"/>
                      <w:u w:val="none"/>
                      <w:lang w:val="en-US" w:eastAsia="zh-CN"/>
                    </w:rPr>
                  </w:pPr>
                  <w:r>
                    <w:rPr>
                      <w:rFonts w:hint="default" w:ascii="Times New Roman" w:hAnsi="Times New Roman" w:eastAsia="宋体" w:cs="Times New Roman"/>
                      <w:b w:val="0"/>
                      <w:bCs w:val="0"/>
                      <w:i w:val="0"/>
                      <w:iCs w:val="0"/>
                      <w:color w:val="auto"/>
                      <w:kern w:val="0"/>
                      <w:sz w:val="21"/>
                      <w:szCs w:val="21"/>
                      <w:u w:val="none"/>
                      <w:lang w:val="en-US" w:eastAsia="zh-CN"/>
                    </w:rPr>
                    <w:t>本项目符合周口市生态环境分区管控相关要求</w:t>
                  </w:r>
                </w:p>
              </w:tc>
              <w:tc>
                <w:tcPr>
                  <w:tcW w:w="428" w:type="pct"/>
                  <w:tcBorders>
                    <w:tl2br w:val="nil"/>
                    <w:tr2bl w:val="nil"/>
                  </w:tcBorders>
                  <w:noWrap w:val="0"/>
                  <w:vAlign w:val="center"/>
                </w:tcPr>
                <w:p w14:paraId="4BBDC366">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color w:val="auto"/>
                      <w:sz w:val="21"/>
                      <w:szCs w:val="21"/>
                      <w:u w:val="none"/>
                      <w:lang w:eastAsia="zh-CN"/>
                    </w:rPr>
                    <w:t>相符</w:t>
                  </w:r>
                </w:p>
              </w:tc>
            </w:tr>
            <w:tr w14:paraId="562830AA">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3" w:type="pct"/>
                  <w:tcBorders>
                    <w:tl2br w:val="nil"/>
                    <w:tr2bl w:val="nil"/>
                  </w:tcBorders>
                  <w:noWrap w:val="0"/>
                  <w:vAlign w:val="center"/>
                </w:tcPr>
                <w:p w14:paraId="1C7D0CCE">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Fonts w:hint="eastAsia" w:cs="Times New Roman"/>
                      <w:b w:val="0"/>
                      <w:bCs w:val="0"/>
                      <w:color w:val="auto"/>
                      <w:sz w:val="21"/>
                      <w:szCs w:val="21"/>
                      <w:u w:val="none"/>
                      <w:lang w:val="en-US" w:eastAsia="zh-CN"/>
                    </w:rPr>
                    <w:t>2</w:t>
                  </w:r>
                </w:p>
              </w:tc>
              <w:tc>
                <w:tcPr>
                  <w:tcW w:w="528" w:type="pct"/>
                  <w:vMerge w:val="restart"/>
                  <w:tcBorders>
                    <w:tl2br w:val="nil"/>
                    <w:tr2bl w:val="nil"/>
                  </w:tcBorders>
                  <w:noWrap w:val="0"/>
                  <w:vAlign w:val="center"/>
                </w:tcPr>
                <w:p w14:paraId="77F3B4EA">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Style w:val="42"/>
                      <w:rFonts w:hint="default" w:ascii="Times New Roman" w:hAnsi="Times New Roman" w:eastAsia="宋体" w:cs="Times New Roman"/>
                      <w:b w:val="0"/>
                      <w:bCs w:val="0"/>
                      <w:i w:val="0"/>
                      <w:iCs w:val="0"/>
                      <w:caps w:val="0"/>
                      <w:color w:val="auto"/>
                      <w:spacing w:val="0"/>
                      <w:sz w:val="21"/>
                      <w:szCs w:val="21"/>
                    </w:rPr>
                    <w:t>深入打好污染防治攻坚战，持续改善环境质量</w:t>
                  </w:r>
                </w:p>
              </w:tc>
              <w:tc>
                <w:tcPr>
                  <w:tcW w:w="2698" w:type="pct"/>
                  <w:tcBorders>
                    <w:tl2br w:val="nil"/>
                    <w:tr2bl w:val="nil"/>
                  </w:tcBorders>
                  <w:noWrap w:val="0"/>
                  <w:vAlign w:val="center"/>
                </w:tcPr>
                <w:p w14:paraId="6E8C1448">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color w:val="auto"/>
                      <w:sz w:val="21"/>
                      <w:szCs w:val="21"/>
                      <w:u w:val="none"/>
                      <w:lang w:eastAsia="zh-CN"/>
                    </w:rPr>
                  </w:pPr>
                  <w:r>
                    <w:rPr>
                      <w:rFonts w:hint="default" w:ascii="Times New Roman" w:hAnsi="Times New Roman" w:eastAsia="宋体" w:cs="Times New Roman"/>
                      <w:b w:val="0"/>
                      <w:bCs w:val="0"/>
                      <w:i w:val="0"/>
                      <w:iCs w:val="0"/>
                      <w:caps w:val="0"/>
                      <w:color w:val="auto"/>
                      <w:spacing w:val="0"/>
                      <w:sz w:val="21"/>
                      <w:szCs w:val="21"/>
                    </w:rPr>
                    <w:t>深化重点行业固定源整治。巩固钢铁行业超低排放改造成效，推动实施焦化行业超低排放。深化重点行业工业炉窑大气污染综合治理，持续实施煤改电、煤改气工程。针对铸造、焦化、建材等行业严格控制物料储存、输送及生产工艺过程无组织排放。推进火电行业污染物总量减排，通过参与碳排放权市场交易，协同降低污染物排放总量。深化垃圾焚烧发电、生物质发电废气提标治理。重点涉气排放企业原则上不得设置烟气旁路，因安全生产无法取消的，安装旁路在线监管系统。有效控制烟气脱硝和氨法脱硫过程中氨逃逸。加强生物质锅炉燃料品质及排放管控，淘汰污染物排放不符合要求的生物质锅炉。推进工业烟气中三氧化硫、汞、铅、砷、镉、二噁英、苯并芘等多种非常规污染物强效脱除技术应用</w:t>
                  </w:r>
                </w:p>
              </w:tc>
              <w:tc>
                <w:tcPr>
                  <w:tcW w:w="1021" w:type="pct"/>
                  <w:tcBorders>
                    <w:tl2br w:val="nil"/>
                    <w:tr2bl w:val="nil"/>
                  </w:tcBorders>
                  <w:noWrap w:val="0"/>
                  <w:vAlign w:val="center"/>
                </w:tcPr>
                <w:p w14:paraId="2AF867AD">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bCs/>
                      <w:color w:val="auto"/>
                      <w:sz w:val="21"/>
                      <w:szCs w:val="21"/>
                      <w:u w:val="none"/>
                    </w:rPr>
                  </w:pPr>
                  <w:r>
                    <w:rPr>
                      <w:rFonts w:hint="default" w:ascii="Times New Roman" w:hAnsi="Times New Roman" w:eastAsia="宋体" w:cs="Times New Roman"/>
                      <w:b w:val="0"/>
                      <w:bCs w:val="0"/>
                      <w:color w:val="auto"/>
                      <w:sz w:val="21"/>
                      <w:szCs w:val="21"/>
                      <w:u w:val="none"/>
                      <w:lang w:val="en-US" w:eastAsia="zh-CN"/>
                    </w:rPr>
                    <w:t>本项目不属于重点行业，项目废气主要为</w:t>
                  </w:r>
                  <w:r>
                    <w:rPr>
                      <w:rFonts w:hint="eastAsia" w:cs="Times New Roman"/>
                      <w:b w:val="0"/>
                      <w:bCs w:val="0"/>
                      <w:color w:val="auto"/>
                      <w:sz w:val="21"/>
                      <w:szCs w:val="21"/>
                      <w:u w:val="none"/>
                      <w:lang w:val="en-US" w:eastAsia="zh-CN"/>
                    </w:rPr>
                    <w:t>有机废气</w:t>
                  </w:r>
                  <w:r>
                    <w:rPr>
                      <w:rFonts w:hint="default" w:ascii="Times New Roman" w:hAnsi="Times New Roman" w:eastAsia="宋体" w:cs="Times New Roman"/>
                      <w:b w:val="0"/>
                      <w:bCs w:val="0"/>
                      <w:color w:val="auto"/>
                      <w:sz w:val="21"/>
                      <w:szCs w:val="21"/>
                      <w:u w:val="none"/>
                      <w:lang w:val="en-US" w:eastAsia="zh-CN"/>
                    </w:rPr>
                    <w:t>，各废气均采取了相应的治理措施，均能达到国家或地方相关标准要求</w:t>
                  </w:r>
                </w:p>
              </w:tc>
              <w:tc>
                <w:tcPr>
                  <w:tcW w:w="428" w:type="pct"/>
                  <w:tcBorders>
                    <w:tl2br w:val="nil"/>
                    <w:tr2bl w:val="nil"/>
                  </w:tcBorders>
                  <w:noWrap w:val="0"/>
                  <w:vAlign w:val="center"/>
                </w:tcPr>
                <w:p w14:paraId="5EA2197A">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r w14:paraId="5BAA4169">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3" w:type="pct"/>
                  <w:tcBorders>
                    <w:tl2br w:val="nil"/>
                    <w:tr2bl w:val="nil"/>
                  </w:tcBorders>
                  <w:noWrap w:val="0"/>
                  <w:vAlign w:val="center"/>
                </w:tcPr>
                <w:p w14:paraId="55B1D960">
                  <w:pPr>
                    <w:keepNext w:val="0"/>
                    <w:keepLines w:val="0"/>
                    <w:pageBreakBefore w:val="0"/>
                    <w:widowControl w:val="0"/>
                    <w:kinsoku/>
                    <w:wordWrap/>
                    <w:overflowPunct/>
                    <w:topLinePunct w:val="0"/>
                    <w:bidi w:val="0"/>
                    <w:adjustRightInd w:val="0"/>
                    <w:snapToGrid w:val="0"/>
                    <w:jc w:val="center"/>
                    <w:textAlignment w:val="auto"/>
                    <w:rPr>
                      <w:rFonts w:hint="eastAsia" w:cs="Times New Roman"/>
                      <w:b w:val="0"/>
                      <w:bCs w:val="0"/>
                      <w:color w:val="auto"/>
                      <w:sz w:val="21"/>
                      <w:szCs w:val="21"/>
                      <w:u w:val="none"/>
                      <w:lang w:val="en-US" w:eastAsia="zh-CN"/>
                    </w:rPr>
                  </w:pPr>
                </w:p>
              </w:tc>
              <w:tc>
                <w:tcPr>
                  <w:tcW w:w="528" w:type="pct"/>
                  <w:vMerge w:val="continue"/>
                  <w:tcBorders>
                    <w:tl2br w:val="nil"/>
                    <w:tr2bl w:val="nil"/>
                  </w:tcBorders>
                  <w:noWrap w:val="0"/>
                  <w:vAlign w:val="center"/>
                </w:tcPr>
                <w:p w14:paraId="3221A078">
                  <w:pPr>
                    <w:keepNext w:val="0"/>
                    <w:keepLines w:val="0"/>
                    <w:pageBreakBefore w:val="0"/>
                    <w:widowControl w:val="0"/>
                    <w:kinsoku/>
                    <w:wordWrap/>
                    <w:overflowPunct/>
                    <w:topLinePunct w:val="0"/>
                    <w:bidi w:val="0"/>
                    <w:adjustRightInd w:val="0"/>
                    <w:snapToGrid w:val="0"/>
                    <w:jc w:val="center"/>
                    <w:textAlignment w:val="auto"/>
                    <w:rPr>
                      <w:rStyle w:val="42"/>
                      <w:rFonts w:hint="default" w:ascii="Times New Roman" w:hAnsi="Times New Roman" w:eastAsia="宋体" w:cs="Times New Roman"/>
                      <w:b w:val="0"/>
                      <w:bCs w:val="0"/>
                      <w:i w:val="0"/>
                      <w:iCs w:val="0"/>
                      <w:caps w:val="0"/>
                      <w:color w:val="auto"/>
                      <w:spacing w:val="0"/>
                      <w:sz w:val="21"/>
                      <w:szCs w:val="21"/>
                    </w:rPr>
                  </w:pPr>
                </w:p>
              </w:tc>
              <w:tc>
                <w:tcPr>
                  <w:tcW w:w="2698" w:type="pct"/>
                  <w:tcBorders>
                    <w:tl2br w:val="nil"/>
                    <w:tr2bl w:val="nil"/>
                  </w:tcBorders>
                  <w:noWrap w:val="0"/>
                  <w:vAlign w:val="center"/>
                </w:tcPr>
                <w:p w14:paraId="0D6BB844">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val="0"/>
                      <w:bCs w:val="0"/>
                      <w:i w:val="0"/>
                      <w:iCs w:val="0"/>
                      <w:caps w:val="0"/>
                      <w:color w:val="auto"/>
                      <w:spacing w:val="0"/>
                      <w:sz w:val="21"/>
                      <w:szCs w:val="21"/>
                    </w:rPr>
                  </w:pPr>
                  <w:r>
                    <w:rPr>
                      <w:rFonts w:hint="default" w:ascii="Times New Roman" w:hAnsi="Times New Roman" w:eastAsia="宋体" w:cs="Times New Roman"/>
                      <w:b w:val="0"/>
                      <w:bCs w:val="0"/>
                      <w:i w:val="0"/>
                      <w:iCs w:val="0"/>
                      <w:caps w:val="0"/>
                      <w:color w:val="auto"/>
                      <w:spacing w:val="0"/>
                      <w:sz w:val="21"/>
                      <w:szCs w:val="21"/>
                    </w:rPr>
                    <w:t>加强VOCs全过程综合管控。严格VOCs产品准入和监控，推进重点行业VOCs污染物全过程综合整治。按照“可替尽替、应代尽代”的原则，全面推进使用低VOCs含量涂料、油墨、胶粘剂、清洗剂等。建立低 VOCs含量产品标志制度和源头替代力度，加大抽检力度。加强工业涂装、包装印刷、家具制造等重点行业建立完善源头、过程和末端的VOCs全过程控制体系，实施VOCs排放总量控制。开展涉VOCs产业集群排查及分类治理，鼓励具备条件、有需求的工业园区推广涉VOCs“绿岛”，推动建设集中涂装、有机溶剂回收处理、活性炭集中处理等“共享工厂”。开展成品油、有机化学品等涉VOCs物质储罐排查，逐步取消制药、农药、化工、工业涂装、包装印刷等企业非必要的VOCs废气排放系统旁路。加强汽修行业综合治理，禁止露天喷涂，全面取缔露天和敞开式汽修喷涂作业。加大餐饮油烟污染治理力度，鼓励城市建成区大中型餐饮服务企业安装油烟在线监控系统。加强建筑装饰装修行业VOCs治理，严格控制装饰材料市场准入。加强干洗行业VOCs治理，全面推广使用具有净化回收干洗溶剂功能的全封闭式干洗机</w:t>
                  </w:r>
                </w:p>
              </w:tc>
              <w:tc>
                <w:tcPr>
                  <w:tcW w:w="1021" w:type="pct"/>
                  <w:tcBorders>
                    <w:tl2br w:val="nil"/>
                    <w:tr2bl w:val="nil"/>
                  </w:tcBorders>
                  <w:noWrap w:val="0"/>
                  <w:vAlign w:val="center"/>
                </w:tcPr>
                <w:p w14:paraId="28FAB2D4">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bCs/>
                      <w:color w:val="auto"/>
                      <w:sz w:val="21"/>
                      <w:szCs w:val="21"/>
                      <w:u w:val="none"/>
                      <w:lang w:val="en-US" w:eastAsia="zh-CN"/>
                    </w:rPr>
                  </w:pPr>
                  <w:r>
                    <w:rPr>
                      <w:rFonts w:hint="eastAsia" w:cs="Times New Roman"/>
                      <w:b w:val="0"/>
                      <w:bCs w:val="0"/>
                      <w:color w:val="auto"/>
                      <w:sz w:val="21"/>
                      <w:szCs w:val="21"/>
                      <w:u w:val="none"/>
                      <w:lang w:val="en-US" w:eastAsia="zh-CN"/>
                    </w:rPr>
                    <w:t>项目所用油墨为环保型低</w:t>
                  </w:r>
                  <w:r>
                    <w:rPr>
                      <w:rFonts w:hint="default" w:ascii="Times New Roman" w:hAnsi="Times New Roman" w:eastAsia="宋体" w:cs="Times New Roman"/>
                      <w:b w:val="0"/>
                      <w:bCs w:val="0"/>
                      <w:i w:val="0"/>
                      <w:iCs w:val="0"/>
                      <w:caps w:val="0"/>
                      <w:color w:val="auto"/>
                      <w:spacing w:val="0"/>
                      <w:sz w:val="21"/>
                      <w:szCs w:val="21"/>
                    </w:rPr>
                    <w:t>VOCs含量</w:t>
                  </w:r>
                  <w:r>
                    <w:rPr>
                      <w:rFonts w:hint="eastAsia" w:cs="Times New Roman"/>
                      <w:b w:val="0"/>
                      <w:bCs w:val="0"/>
                      <w:i w:val="0"/>
                      <w:iCs w:val="0"/>
                      <w:caps w:val="0"/>
                      <w:color w:val="auto"/>
                      <w:spacing w:val="0"/>
                      <w:sz w:val="21"/>
                      <w:szCs w:val="21"/>
                      <w:lang w:val="en-US" w:eastAsia="zh-CN"/>
                    </w:rPr>
                    <w:t>油墨，且生产过程中产生有机废气的环节均进行了收集，收集的有机废气</w:t>
                  </w:r>
                  <w:r>
                    <w:rPr>
                      <w:rFonts w:hint="default" w:ascii="Times New Roman" w:hAnsi="Times New Roman" w:eastAsia="宋体" w:cs="Times New Roman"/>
                      <w:b w:val="0"/>
                      <w:bCs w:val="0"/>
                      <w:color w:val="auto"/>
                      <w:sz w:val="21"/>
                      <w:szCs w:val="21"/>
                      <w:u w:val="none"/>
                      <w:lang w:val="en-US" w:eastAsia="zh-CN"/>
                    </w:rPr>
                    <w:t>均采取了相应的治理措施，均能达到国家或地方相关标准要求</w:t>
                  </w:r>
                </w:p>
              </w:tc>
              <w:tc>
                <w:tcPr>
                  <w:tcW w:w="428" w:type="pct"/>
                  <w:tcBorders>
                    <w:tl2br w:val="nil"/>
                    <w:tr2bl w:val="nil"/>
                  </w:tcBorders>
                  <w:noWrap w:val="0"/>
                  <w:vAlign w:val="center"/>
                </w:tcPr>
                <w:p w14:paraId="090D2DDA">
                  <w:pPr>
                    <w:keepNext w:val="0"/>
                    <w:keepLines w:val="0"/>
                    <w:pageBreakBefore w:val="0"/>
                    <w:widowControl w:val="0"/>
                    <w:kinsoku/>
                    <w:wordWrap/>
                    <w:overflowPunct/>
                    <w:topLinePunct w:val="0"/>
                    <w:bidi w:val="0"/>
                    <w:adjustRightInd w:val="0"/>
                    <w:snapToGrid w:val="0"/>
                    <w:jc w:val="center"/>
                    <w:textAlignment w:val="auto"/>
                    <w:rPr>
                      <w:rFonts w:hint="eastAsia" w:ascii="Times New Roman" w:hAnsi="Times New Roman" w:eastAsia="宋体" w:cs="Times New Roman"/>
                      <w:b w:val="0"/>
                      <w:bCs w:val="0"/>
                      <w:color w:val="auto"/>
                      <w:sz w:val="21"/>
                      <w:szCs w:val="21"/>
                      <w:u w:val="none"/>
                      <w:lang w:val="en-US" w:eastAsia="zh-CN"/>
                    </w:rPr>
                  </w:pPr>
                  <w:r>
                    <w:rPr>
                      <w:rFonts w:hint="eastAsia" w:cs="Times New Roman"/>
                      <w:b w:val="0"/>
                      <w:bCs w:val="0"/>
                      <w:color w:val="auto"/>
                      <w:sz w:val="21"/>
                      <w:szCs w:val="21"/>
                      <w:u w:val="none"/>
                      <w:lang w:val="en-US" w:eastAsia="zh-CN"/>
                    </w:rPr>
                    <w:t>相符</w:t>
                  </w:r>
                </w:p>
              </w:tc>
            </w:tr>
            <w:tr w14:paraId="31803774">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3" w:type="pct"/>
                  <w:tcBorders>
                    <w:tl2br w:val="nil"/>
                    <w:tr2bl w:val="nil"/>
                  </w:tcBorders>
                  <w:noWrap w:val="0"/>
                  <w:vAlign w:val="center"/>
                </w:tcPr>
                <w:p w14:paraId="7B81EF0A">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eastAsia="zh-CN"/>
                    </w:rPr>
                  </w:pPr>
                  <w:r>
                    <w:rPr>
                      <w:rFonts w:hint="eastAsia" w:cs="Times New Roman"/>
                      <w:b w:val="0"/>
                      <w:bCs w:val="0"/>
                      <w:color w:val="auto"/>
                      <w:sz w:val="21"/>
                      <w:szCs w:val="21"/>
                      <w:u w:val="none"/>
                      <w:lang w:val="en-US" w:eastAsia="zh-CN"/>
                    </w:rPr>
                    <w:t>3</w:t>
                  </w:r>
                </w:p>
              </w:tc>
              <w:tc>
                <w:tcPr>
                  <w:tcW w:w="528" w:type="pct"/>
                  <w:vMerge w:val="continue"/>
                  <w:tcBorders>
                    <w:tl2br w:val="nil"/>
                    <w:tr2bl w:val="nil"/>
                  </w:tcBorders>
                  <w:noWrap w:val="0"/>
                  <w:vAlign w:val="center"/>
                </w:tcPr>
                <w:p w14:paraId="12AAD10D">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p>
              </w:tc>
              <w:tc>
                <w:tcPr>
                  <w:tcW w:w="2698" w:type="pct"/>
                  <w:tcBorders>
                    <w:tl2br w:val="nil"/>
                    <w:tr2bl w:val="nil"/>
                  </w:tcBorders>
                  <w:noWrap w:val="0"/>
                  <w:vAlign w:val="center"/>
                </w:tcPr>
                <w:p w14:paraId="2E83D666">
                  <w:pPr>
                    <w:keepNext w:val="0"/>
                    <w:keepLines w:val="0"/>
                    <w:pageBreakBefore w:val="0"/>
                    <w:widowControl w:val="0"/>
                    <w:kinsoku/>
                    <w:wordWrap/>
                    <w:overflowPunct/>
                    <w:topLinePunct w:val="0"/>
                    <w:autoSpaceDE w:val="0"/>
                    <w:autoSpaceDN w:val="0"/>
                    <w:bidi w:val="0"/>
                    <w:adjustRightInd w:val="0"/>
                    <w:snapToGrid w:val="0"/>
                    <w:jc w:val="both"/>
                    <w:textAlignment w:val="auto"/>
                    <w:rPr>
                      <w:rFonts w:hint="default" w:ascii="Times New Roman" w:hAnsi="Times New Roman" w:eastAsia="宋体" w:cs="Times New Roman"/>
                      <w:b w:val="0"/>
                      <w:bCs w:val="0"/>
                      <w:i w:val="0"/>
                      <w:iCs w:val="0"/>
                      <w:color w:val="auto"/>
                      <w:kern w:val="0"/>
                      <w:sz w:val="21"/>
                      <w:szCs w:val="21"/>
                      <w:u w:val="none"/>
                      <w:lang w:val="en-US" w:eastAsia="zh-CN" w:bidi="ar-SA"/>
                    </w:rPr>
                  </w:pPr>
                  <w:r>
                    <w:rPr>
                      <w:rFonts w:hint="default" w:ascii="Times New Roman" w:hAnsi="Times New Roman" w:eastAsia="宋体" w:cs="Times New Roman"/>
                      <w:b w:val="0"/>
                      <w:bCs w:val="0"/>
                      <w:i w:val="0"/>
                      <w:iCs w:val="0"/>
                      <w:caps w:val="0"/>
                      <w:color w:val="auto"/>
                      <w:spacing w:val="0"/>
                      <w:sz w:val="21"/>
                      <w:szCs w:val="21"/>
                    </w:rPr>
                    <w:t>强化“三水”统筹管理。加强对流域水生态、水环境、水资源的预警管理，建立水资源刚性约束制度，实行水资源消耗总量和强度双控，确立水资源开发利用及用水效率控制红线。加快水资源调度，保障河流生态流量。依托排污许可证信息，逐步建立“水体—入河排污口—排污管线—污染源”全链条管理的水污染物排放治理体系，持续削减化学需氧量和氨氮等污染物排放总量，因地制宜加强总磷、总氮排放控制。至2025年，全市基本消除劣Ⅴ类水体。统筹推进地表水与地下水协同防治，加强涉有毒有害物质、危险化学品的工业企业、产业集聚区等地下水污染源对地表水的环境风险管控</w:t>
                  </w:r>
                </w:p>
              </w:tc>
              <w:tc>
                <w:tcPr>
                  <w:tcW w:w="1021" w:type="pct"/>
                  <w:tcBorders>
                    <w:tl2br w:val="nil"/>
                    <w:tr2bl w:val="nil"/>
                  </w:tcBorders>
                  <w:noWrap w:val="0"/>
                  <w:vAlign w:val="center"/>
                </w:tcPr>
                <w:p w14:paraId="21176489">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bCs/>
                      <w:color w:val="auto"/>
                      <w:sz w:val="21"/>
                      <w:szCs w:val="21"/>
                      <w:u w:val="none"/>
                    </w:rPr>
                  </w:pPr>
                  <w:r>
                    <w:rPr>
                      <w:rFonts w:hint="default" w:ascii="Times New Roman" w:hAnsi="Times New Roman" w:eastAsia="宋体" w:cs="Times New Roman"/>
                      <w:b w:val="0"/>
                      <w:bCs w:val="0"/>
                      <w:color w:val="auto"/>
                      <w:sz w:val="21"/>
                      <w:szCs w:val="21"/>
                      <w:lang w:val="en-US" w:eastAsia="zh-CN"/>
                    </w:rPr>
                    <w:t>本项目</w:t>
                  </w:r>
                  <w:r>
                    <w:rPr>
                      <w:rFonts w:hint="default" w:ascii="Times New Roman" w:hAnsi="Times New Roman" w:eastAsia="宋体" w:cs="Times New Roman"/>
                      <w:b w:val="0"/>
                      <w:bCs w:val="0"/>
                      <w:color w:val="auto"/>
                      <w:sz w:val="21"/>
                      <w:szCs w:val="21"/>
                      <w:highlight w:val="none"/>
                    </w:rPr>
                    <w:t>生活污水</w:t>
                  </w:r>
                  <w:r>
                    <w:rPr>
                      <w:rFonts w:hint="eastAsia" w:cs="Times New Roman"/>
                      <w:b w:val="0"/>
                      <w:bCs w:val="0"/>
                      <w:color w:val="auto"/>
                      <w:sz w:val="21"/>
                      <w:szCs w:val="21"/>
                      <w:highlight w:val="none"/>
                      <w:lang w:val="en-US" w:eastAsia="zh-CN"/>
                    </w:rPr>
                    <w:t>经</w:t>
                  </w:r>
                  <w:r>
                    <w:rPr>
                      <w:rFonts w:hint="default" w:ascii="Times New Roman" w:hAnsi="Times New Roman" w:eastAsia="宋体" w:cs="Times New Roman"/>
                      <w:b w:val="0"/>
                      <w:bCs w:val="0"/>
                      <w:color w:val="auto"/>
                      <w:sz w:val="21"/>
                      <w:szCs w:val="21"/>
                      <w:highlight w:val="none"/>
                    </w:rPr>
                    <w:t>化粪池处理</w:t>
                  </w:r>
                  <w:r>
                    <w:rPr>
                      <w:rFonts w:hint="default" w:ascii="Times New Roman" w:hAnsi="Times New Roman" w:eastAsia="宋体" w:cs="Times New Roman"/>
                      <w:b w:val="0"/>
                      <w:bCs w:val="0"/>
                      <w:color w:val="auto"/>
                      <w:sz w:val="21"/>
                      <w:szCs w:val="21"/>
                      <w:highlight w:val="none"/>
                      <w:lang w:val="en-US" w:eastAsia="zh-CN"/>
                    </w:rPr>
                    <w:t>后</w:t>
                  </w:r>
                  <w:r>
                    <w:rPr>
                      <w:rFonts w:hint="default" w:ascii="Times New Roman" w:hAnsi="Times New Roman" w:eastAsia="宋体" w:cs="Times New Roman"/>
                      <w:b w:val="0"/>
                      <w:bCs w:val="0"/>
                      <w:color w:val="auto"/>
                      <w:sz w:val="21"/>
                      <w:szCs w:val="21"/>
                      <w:highlight w:val="none"/>
                    </w:rPr>
                    <w:t>通过厂区总排口</w:t>
                  </w:r>
                  <w:r>
                    <w:rPr>
                      <w:rFonts w:hint="default" w:ascii="Times New Roman" w:hAnsi="Times New Roman" w:eastAsia="宋体" w:cs="Times New Roman"/>
                      <w:b w:val="0"/>
                      <w:bCs w:val="0"/>
                      <w:color w:val="auto"/>
                      <w:sz w:val="21"/>
                      <w:szCs w:val="21"/>
                      <w:highlight w:val="none"/>
                      <w:u w:val="none" w:color="auto"/>
                      <w:lang w:val="en-US" w:eastAsia="zh-CN"/>
                    </w:rPr>
                    <w:t>排入市政管网</w:t>
                  </w:r>
                  <w:r>
                    <w:rPr>
                      <w:rFonts w:hint="default" w:ascii="Times New Roman" w:hAnsi="Times New Roman" w:eastAsia="宋体" w:cs="Times New Roman"/>
                      <w:b w:val="0"/>
                      <w:bCs w:val="0"/>
                      <w:color w:val="auto"/>
                      <w:sz w:val="21"/>
                      <w:szCs w:val="21"/>
                      <w:highlight w:val="none"/>
                    </w:rPr>
                    <w:t>进入淮阳区第</w:t>
                  </w:r>
                  <w:r>
                    <w:rPr>
                      <w:rFonts w:hint="eastAsia" w:cs="Times New Roman"/>
                      <w:b w:val="0"/>
                      <w:bCs w:val="0"/>
                      <w:color w:val="auto"/>
                      <w:sz w:val="21"/>
                      <w:szCs w:val="21"/>
                      <w:highlight w:val="none"/>
                      <w:lang w:val="en-US" w:eastAsia="zh-CN"/>
                    </w:rPr>
                    <w:t>二</w:t>
                  </w:r>
                  <w:r>
                    <w:rPr>
                      <w:rFonts w:hint="default" w:ascii="Times New Roman" w:hAnsi="Times New Roman" w:eastAsia="宋体" w:cs="Times New Roman"/>
                      <w:b w:val="0"/>
                      <w:bCs w:val="0"/>
                      <w:color w:val="auto"/>
                      <w:sz w:val="21"/>
                      <w:szCs w:val="21"/>
                      <w:highlight w:val="none"/>
                    </w:rPr>
                    <w:t>污水处理厂进一步处理</w:t>
                  </w:r>
                  <w:r>
                    <w:rPr>
                      <w:rFonts w:hint="default" w:ascii="Times New Roman" w:hAnsi="Times New Roman" w:eastAsia="宋体" w:cs="Times New Roman"/>
                      <w:b w:val="0"/>
                      <w:bCs w:val="0"/>
                      <w:color w:val="auto"/>
                      <w:sz w:val="21"/>
                      <w:szCs w:val="21"/>
                      <w:highlight w:val="none"/>
                      <w:lang w:val="en-US" w:eastAsia="zh-CN"/>
                    </w:rPr>
                    <w:t>后排放；</w:t>
                  </w:r>
                  <w:r>
                    <w:rPr>
                      <w:rFonts w:hint="default" w:ascii="Times New Roman" w:hAnsi="Times New Roman" w:eastAsia="宋体" w:cs="Times New Roman"/>
                      <w:color w:val="000000"/>
                      <w:kern w:val="0"/>
                      <w:sz w:val="21"/>
                      <w:szCs w:val="21"/>
                      <w:highlight w:val="none"/>
                      <w:lang w:val="en-US" w:eastAsia="zh-CN" w:bidi="ar"/>
                    </w:rPr>
                    <w:t>玻璃原片清洗废水</w:t>
                  </w:r>
                  <w:r>
                    <w:rPr>
                      <w:rFonts w:hint="default" w:ascii="Times New Roman" w:hAnsi="Times New Roman" w:eastAsia="宋体" w:cs="Times New Roman"/>
                      <w:b w:val="0"/>
                      <w:bCs w:val="0"/>
                      <w:color w:val="auto"/>
                      <w:sz w:val="21"/>
                      <w:szCs w:val="21"/>
                      <w:highlight w:val="none"/>
                      <w:lang w:val="en-US" w:eastAsia="zh-CN"/>
                    </w:rPr>
                    <w:t>经循环水箱沉淀后回用于清洗玻璃原片；</w:t>
                  </w:r>
                  <w:r>
                    <w:rPr>
                      <w:rFonts w:hint="default" w:ascii="Times New Roman" w:hAnsi="Times New Roman" w:eastAsia="宋体" w:cs="Times New Roman"/>
                      <w:b w:val="0"/>
                      <w:bCs w:val="0"/>
                      <w:color w:val="auto"/>
                      <w:sz w:val="21"/>
                      <w:szCs w:val="21"/>
                      <w:highlight w:val="none"/>
                      <w:u w:val="none" w:color="auto"/>
                      <w:lang w:val="en-US" w:eastAsia="zh-CN"/>
                    </w:rPr>
                    <w:t>镀膜及夹胶、中空工序对应</w:t>
                  </w:r>
                  <w:r>
                    <w:rPr>
                      <w:rFonts w:hint="default" w:ascii="Times New Roman" w:hAnsi="Times New Roman" w:eastAsia="宋体" w:cs="Times New Roman"/>
                      <w:color w:val="000000"/>
                      <w:kern w:val="0"/>
                      <w:sz w:val="21"/>
                      <w:szCs w:val="21"/>
                      <w:highlight w:val="none"/>
                      <w:lang w:val="en-US" w:eastAsia="zh-CN" w:bidi="ar"/>
                    </w:rPr>
                    <w:t>玻璃清洗废水经收集后回用于玻璃原片清洗用水；磨边废水经沉淀及过滤处理后回用于磨边；纯水制备系统排水收集后用于厂区洒水</w:t>
                  </w:r>
                </w:p>
              </w:tc>
              <w:tc>
                <w:tcPr>
                  <w:tcW w:w="428" w:type="pct"/>
                  <w:tcBorders>
                    <w:tl2br w:val="nil"/>
                    <w:tr2bl w:val="nil"/>
                  </w:tcBorders>
                  <w:noWrap w:val="0"/>
                  <w:vAlign w:val="center"/>
                </w:tcPr>
                <w:p w14:paraId="761952D9">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r>
                    <w:rPr>
                      <w:rFonts w:hint="default" w:ascii="Times New Roman" w:hAnsi="Times New Roman" w:eastAsia="宋体" w:cs="Times New Roman"/>
                      <w:b w:val="0"/>
                      <w:bCs w:val="0"/>
                      <w:color w:val="auto"/>
                      <w:sz w:val="21"/>
                      <w:szCs w:val="21"/>
                      <w:u w:val="none"/>
                    </w:rPr>
                    <w:t>相符</w:t>
                  </w:r>
                </w:p>
              </w:tc>
            </w:tr>
            <w:tr w14:paraId="51EDE9F4">
              <w:tblPrEx>
                <w:tblBorders>
                  <w:top w:val="single" w:color="auto" w:sz="4" w:space="0"/>
                  <w:left w:val="single" w:color="auto" w:sz="4" w:space="0"/>
                  <w:bottom w:val="single" w:color="auto" w:sz="4" w:space="0"/>
                  <w:right w:val="single" w:color="auto" w:sz="4" w:space="0"/>
                  <w:insideH w:val="single" w:color="auto" w:sz="4" w:space="0"/>
                  <w:insideV w:val="single" w:color="auto" w:sz="6" w:space="0"/>
                </w:tblBorders>
                <w:tblCellMar>
                  <w:top w:w="0" w:type="dxa"/>
                  <w:left w:w="57" w:type="dxa"/>
                  <w:bottom w:w="0" w:type="dxa"/>
                  <w:right w:w="57" w:type="dxa"/>
                </w:tblCellMar>
              </w:tblPrEx>
              <w:trPr>
                <w:trHeight w:val="340" w:hRule="atLeast"/>
              </w:trPr>
              <w:tc>
                <w:tcPr>
                  <w:tcW w:w="323" w:type="pct"/>
                  <w:tcBorders>
                    <w:tl2br w:val="nil"/>
                    <w:tr2bl w:val="nil"/>
                  </w:tcBorders>
                  <w:noWrap w:val="0"/>
                  <w:vAlign w:val="center"/>
                </w:tcPr>
                <w:p w14:paraId="66DB7DF7">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lang w:val="en-US" w:eastAsia="zh-CN"/>
                    </w:rPr>
                  </w:pPr>
                  <w:r>
                    <w:rPr>
                      <w:rFonts w:hint="eastAsia" w:cs="Times New Roman"/>
                      <w:b w:val="0"/>
                      <w:bCs w:val="0"/>
                      <w:color w:val="auto"/>
                      <w:sz w:val="21"/>
                      <w:szCs w:val="21"/>
                      <w:u w:val="none"/>
                      <w:lang w:val="en-US" w:eastAsia="zh-CN"/>
                    </w:rPr>
                    <w:t>4</w:t>
                  </w:r>
                </w:p>
              </w:tc>
              <w:tc>
                <w:tcPr>
                  <w:tcW w:w="528" w:type="pct"/>
                  <w:vMerge w:val="continue"/>
                  <w:tcBorders>
                    <w:tl2br w:val="nil"/>
                    <w:tr2bl w:val="nil"/>
                  </w:tcBorders>
                  <w:noWrap w:val="0"/>
                  <w:vAlign w:val="center"/>
                </w:tcPr>
                <w:p w14:paraId="094256E6">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p>
              </w:tc>
              <w:tc>
                <w:tcPr>
                  <w:tcW w:w="2698" w:type="pct"/>
                  <w:tcBorders>
                    <w:tl2br w:val="nil"/>
                    <w:tr2bl w:val="nil"/>
                  </w:tcBorders>
                  <w:noWrap w:val="0"/>
                  <w:vAlign w:val="center"/>
                </w:tcPr>
                <w:p w14:paraId="2A3D4E16">
                  <w:pPr>
                    <w:keepNext w:val="0"/>
                    <w:keepLines w:val="0"/>
                    <w:pageBreakBefore w:val="0"/>
                    <w:widowControl w:val="0"/>
                    <w:kinsoku/>
                    <w:wordWrap/>
                    <w:overflowPunct/>
                    <w:topLinePunct w:val="0"/>
                    <w:autoSpaceDE w:val="0"/>
                    <w:autoSpaceDN w:val="0"/>
                    <w:bidi w:val="0"/>
                    <w:adjustRightInd w:val="0"/>
                    <w:snapToGrid w:val="0"/>
                    <w:jc w:val="both"/>
                    <w:textAlignment w:val="auto"/>
                    <w:rPr>
                      <w:rFonts w:hint="default" w:ascii="Times New Roman" w:hAnsi="Times New Roman" w:eastAsia="宋体" w:cs="Times New Roman"/>
                      <w:b w:val="0"/>
                      <w:bCs w:val="0"/>
                      <w:i w:val="0"/>
                      <w:iCs w:val="0"/>
                      <w:color w:val="auto"/>
                      <w:kern w:val="0"/>
                      <w:sz w:val="21"/>
                      <w:szCs w:val="21"/>
                      <w:u w:val="none"/>
                      <w:lang w:val="en-US" w:eastAsia="zh-CN" w:bidi="ar-SA"/>
                    </w:rPr>
                  </w:pPr>
                  <w:r>
                    <w:rPr>
                      <w:rFonts w:hint="default" w:ascii="Times New Roman" w:hAnsi="Times New Roman" w:eastAsia="宋体" w:cs="Times New Roman"/>
                      <w:b w:val="0"/>
                      <w:bCs w:val="0"/>
                      <w:i w:val="0"/>
                      <w:iCs w:val="0"/>
                      <w:caps w:val="0"/>
                      <w:color w:val="auto"/>
                      <w:spacing w:val="0"/>
                      <w:sz w:val="21"/>
                      <w:szCs w:val="21"/>
                    </w:rPr>
                    <w:t>加强土壤污染源头防控。将土壤和地下水环境要求纳入国土空间规划，根据土壤污染状况和风险合理规划土地用途，实施污染地块空间信息与国土空间规划的“一张图”管理。把好建设项目环境准入关，严控涉重金属及不符合土壤环境管控要求的项目落地。持续推进耕地周边涉镉等重金属重点行业企业排查整治。以鹿邑县、沈丘县、项城市、扶沟县等涉及重金属污染隐患区域为重点，分期分批建立土壤生态环境长期观测基地，识别和排查耕地污染成因，提出针对性的断源措施并优先实施</w:t>
                  </w:r>
                  <w:r>
                    <w:rPr>
                      <w:rFonts w:hint="default" w:ascii="Times New Roman" w:hAnsi="Times New Roman" w:eastAsia="宋体" w:cs="Times New Roman"/>
                      <w:b w:val="0"/>
                      <w:bCs w:val="0"/>
                      <w:i w:val="0"/>
                      <w:iCs w:val="0"/>
                      <w:color w:val="auto"/>
                      <w:kern w:val="0"/>
                      <w:sz w:val="21"/>
                      <w:szCs w:val="21"/>
                      <w:u w:val="none"/>
                    </w:rPr>
                    <w:t>。</w:t>
                  </w:r>
                </w:p>
              </w:tc>
              <w:tc>
                <w:tcPr>
                  <w:tcW w:w="1021" w:type="pct"/>
                  <w:tcBorders>
                    <w:tl2br w:val="nil"/>
                    <w:tr2bl w:val="nil"/>
                  </w:tcBorders>
                  <w:noWrap w:val="0"/>
                  <w:vAlign w:val="center"/>
                </w:tcPr>
                <w:p w14:paraId="3BEC9F93">
                  <w:pPr>
                    <w:keepNext w:val="0"/>
                    <w:keepLines w:val="0"/>
                    <w:pageBreakBefore w:val="0"/>
                    <w:widowControl w:val="0"/>
                    <w:kinsoku/>
                    <w:wordWrap/>
                    <w:overflowPunct/>
                    <w:topLinePunct w:val="0"/>
                    <w:bidi w:val="0"/>
                    <w:adjustRightInd w:val="0"/>
                    <w:snapToGrid w:val="0"/>
                    <w:jc w:val="both"/>
                    <w:textAlignment w:val="auto"/>
                    <w:rPr>
                      <w:rFonts w:hint="default" w:ascii="Times New Roman" w:hAnsi="Times New Roman" w:eastAsia="宋体" w:cs="Times New Roman"/>
                      <w:b/>
                      <w:bCs/>
                      <w:color w:val="auto"/>
                      <w:sz w:val="21"/>
                      <w:szCs w:val="21"/>
                      <w:u w:val="none"/>
                      <w:lang w:val="en-US" w:eastAsia="zh-CN"/>
                    </w:rPr>
                  </w:pPr>
                  <w:r>
                    <w:rPr>
                      <w:rFonts w:hint="default" w:ascii="Times New Roman" w:hAnsi="Times New Roman" w:eastAsia="宋体" w:cs="Times New Roman"/>
                      <w:b w:val="0"/>
                      <w:bCs w:val="0"/>
                      <w:color w:val="auto"/>
                      <w:sz w:val="21"/>
                      <w:szCs w:val="21"/>
                      <w:u w:val="none"/>
                      <w:lang w:val="en-US" w:eastAsia="zh-CN"/>
                    </w:rPr>
                    <w:t>本项目不涉及重金属，</w:t>
                  </w:r>
                  <w:r>
                    <w:rPr>
                      <w:rFonts w:hint="default" w:ascii="Times New Roman" w:hAnsi="Times New Roman" w:eastAsia="宋体" w:cs="Times New Roman"/>
                      <w:b w:val="0"/>
                      <w:bCs w:val="0"/>
                      <w:i w:val="0"/>
                      <w:iCs w:val="0"/>
                      <w:color w:val="auto"/>
                      <w:kern w:val="0"/>
                      <w:sz w:val="21"/>
                      <w:szCs w:val="21"/>
                      <w:u w:val="none"/>
                      <w:lang w:val="en-US" w:eastAsia="zh-CN"/>
                    </w:rPr>
                    <w:t>本项目所在厂区及周边环境均符合土壤环境管控要求</w:t>
                  </w:r>
                </w:p>
              </w:tc>
              <w:tc>
                <w:tcPr>
                  <w:tcW w:w="428" w:type="pct"/>
                  <w:tcBorders>
                    <w:tl2br w:val="nil"/>
                    <w:tr2bl w:val="nil"/>
                  </w:tcBorders>
                  <w:noWrap w:val="0"/>
                  <w:vAlign w:val="center"/>
                </w:tcPr>
                <w:p w14:paraId="7DD8AC9C">
                  <w:pPr>
                    <w:keepNext w:val="0"/>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1"/>
                      <w:szCs w:val="21"/>
                      <w:u w:val="none"/>
                    </w:rPr>
                  </w:pPr>
                </w:p>
              </w:tc>
            </w:tr>
          </w:tbl>
          <w:p w14:paraId="34E1E8D5">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textAlignment w:val="auto"/>
              <w:rPr>
                <w:rFonts w:hint="default" w:ascii="Times New Roman" w:hAnsi="Times New Roman" w:eastAsia="宋体" w:cs="Times New Roman"/>
                <w:b w:val="0"/>
                <w:bCs w:val="0"/>
                <w:color w:val="auto"/>
                <w:kern w:val="2"/>
                <w:sz w:val="24"/>
                <w:szCs w:val="24"/>
                <w:lang w:val="en-US" w:eastAsia="zh-CN" w:bidi="ar-SA"/>
              </w:rPr>
            </w:pPr>
            <w:r>
              <w:rPr>
                <w:rFonts w:hint="default" w:ascii="Times New Roman" w:hAnsi="Times New Roman" w:cs="Times New Roman"/>
                <w:b w:val="0"/>
                <w:bCs w:val="0"/>
                <w:color w:val="auto"/>
                <w:sz w:val="24"/>
                <w:szCs w:val="24"/>
                <w:u w:val="none"/>
              </w:rPr>
              <w:t>由上表可知，项目与</w:t>
            </w:r>
            <w:r>
              <w:rPr>
                <w:rFonts w:hint="eastAsia" w:ascii="Times New Roman" w:hAnsi="Times New Roman" w:cs="Times New Roman"/>
                <w:b w:val="0"/>
                <w:bCs w:val="0"/>
                <w:color w:val="auto"/>
                <w:sz w:val="24"/>
                <w:szCs w:val="24"/>
                <w:u w:val="none"/>
                <w:lang w:val="en-US" w:eastAsia="zh-CN"/>
              </w:rPr>
              <w:t>《周口市“十四五”生态环境保护和生态经济发展规划》（周政[2023]16号）相关要求</w:t>
            </w:r>
            <w:r>
              <w:rPr>
                <w:rFonts w:hint="default" w:ascii="Times New Roman" w:hAnsi="Times New Roman" w:cs="Times New Roman"/>
                <w:b w:val="0"/>
                <w:bCs w:val="0"/>
                <w:color w:val="auto"/>
                <w:sz w:val="24"/>
                <w:szCs w:val="24"/>
                <w:u w:val="none"/>
              </w:rPr>
              <w:t>相符。</w:t>
            </w:r>
          </w:p>
          <w:p w14:paraId="12F5D5BA">
            <w:pPr>
              <w:pStyle w:val="2"/>
              <w:rPr>
                <w:rFonts w:hint="default" w:ascii="Times New Roman" w:hAnsi="Times New Roman" w:eastAsia="宋体" w:cs="Times New Roman"/>
                <w:b/>
                <w:bCs/>
                <w:color w:val="000000"/>
                <w:lang w:val="en-US" w:eastAsia="zh-CN"/>
              </w:rPr>
            </w:pPr>
            <w:bookmarkStart w:id="24" w:name="_Toc21901"/>
            <w:bookmarkStart w:id="25" w:name="_Toc7977"/>
            <w:r>
              <w:rPr>
                <w:rFonts w:hint="eastAsia" w:ascii="Times New Roman" w:hAnsi="Times New Roman" w:eastAsia="宋体" w:cs="Times New Roman"/>
                <w:b/>
                <w:bCs/>
                <w:color w:val="000000"/>
                <w:lang w:val="en-US" w:eastAsia="zh-CN"/>
              </w:rPr>
              <w:t>8、</w:t>
            </w:r>
            <w:r>
              <w:rPr>
                <w:rFonts w:hint="default" w:ascii="Times New Roman" w:hAnsi="Times New Roman" w:eastAsia="宋体" w:cs="Times New Roman"/>
                <w:b/>
                <w:bCs/>
                <w:color w:val="000000"/>
                <w:lang w:val="en-US" w:eastAsia="zh-CN"/>
              </w:rPr>
              <w:t>与《关于印发〈重污染天气重点行业应急减排措施制定技术指南（2020年修订版）〉的函》（环办大气函〔2020〕340号）相符性分析</w:t>
            </w:r>
            <w:bookmarkEnd w:id="24"/>
            <w:bookmarkEnd w:id="25"/>
          </w:p>
          <w:p w14:paraId="565C3F9B">
            <w:pPr>
              <w:pStyle w:val="21"/>
              <w:spacing w:line="360" w:lineRule="auto"/>
              <w:ind w:firstLine="480" w:firstLineChars="200"/>
              <w:rPr>
                <w:rFonts w:hint="eastAsia" w:ascii="Times New Roman" w:hAnsi="Times New Roman" w:cs="Times New Roman"/>
                <w:snapToGrid w:val="0"/>
                <w:kern w:val="0"/>
                <w:sz w:val="24"/>
                <w:highlight w:val="none"/>
                <w:lang w:val="en-US" w:eastAsia="zh-CN"/>
              </w:rPr>
            </w:pPr>
            <w:r>
              <w:rPr>
                <w:rFonts w:hint="eastAsia" w:ascii="Times New Roman" w:hAnsi="Times New Roman" w:cs="Times New Roman"/>
                <w:snapToGrid w:val="0"/>
                <w:kern w:val="0"/>
                <w:sz w:val="24"/>
                <w:highlight w:val="none"/>
                <w:lang w:val="en-US" w:eastAsia="zh-CN"/>
              </w:rPr>
              <w:t>根据《河南省人民政府关于印发河南省空气质量持续改善行动计划的通知》（豫政〔2024〕12号），新（改、扩）建项目原则上达到环境绩效A级或国内清洁生产先进水平，本项目执行《关于印发〈重污染天气重点行业应急减排措施制定技术指南（2020年修订版）〉的函》（环办大气函〔2020〕340号）中十九、玻璃－玻璃后加工企业绩效引领性指标和三十一、包装印刷A级绩效分级指标，本项目与其各项指标的相符性详见下表。</w:t>
            </w:r>
          </w:p>
          <w:p w14:paraId="2876F880">
            <w:pPr>
              <w:pStyle w:val="21"/>
              <w:spacing w:line="360" w:lineRule="auto"/>
              <w:ind w:firstLine="482" w:firstLineChars="200"/>
              <w:rPr>
                <w:rFonts w:hint="default" w:ascii="Times New Roman" w:hAnsi="Times New Roman" w:eastAsia="宋体" w:cs="Times New Roman"/>
                <w:b/>
                <w:bCs/>
                <w:snapToGrid w:val="0"/>
                <w:kern w:val="0"/>
                <w:sz w:val="24"/>
                <w:szCs w:val="21"/>
                <w:highlight w:val="none"/>
                <w:lang w:val="en-US" w:eastAsia="zh-CN" w:bidi="ar-SA"/>
              </w:rPr>
            </w:pPr>
            <w:r>
              <w:rPr>
                <w:rFonts w:hint="default" w:ascii="Times New Roman" w:hAnsi="Times New Roman" w:eastAsia="宋体" w:cs="Times New Roman"/>
                <w:b/>
                <w:bCs/>
                <w:snapToGrid w:val="0"/>
                <w:kern w:val="0"/>
                <w:sz w:val="24"/>
                <w:szCs w:val="21"/>
                <w:highlight w:val="none"/>
                <w:lang w:val="en-US" w:eastAsia="zh-CN" w:bidi="ar-SA"/>
              </w:rPr>
              <w:t xml:space="preserve"> 表1-1</w:t>
            </w:r>
            <w:r>
              <w:rPr>
                <w:rFonts w:hint="eastAsia" w:ascii="Times New Roman" w:hAnsi="Times New Roman" w:cs="Times New Roman"/>
                <w:b/>
                <w:bCs/>
                <w:snapToGrid w:val="0"/>
                <w:kern w:val="0"/>
                <w:sz w:val="24"/>
                <w:szCs w:val="21"/>
                <w:highlight w:val="none"/>
                <w:lang w:val="en-US" w:eastAsia="zh-CN" w:bidi="ar-SA"/>
              </w:rPr>
              <w:t>0</w:t>
            </w:r>
            <w:r>
              <w:rPr>
                <w:rFonts w:hint="default" w:ascii="Times New Roman" w:hAnsi="Times New Roman" w:eastAsia="宋体" w:cs="Times New Roman"/>
                <w:b/>
                <w:bCs/>
                <w:snapToGrid w:val="0"/>
                <w:kern w:val="0"/>
                <w:sz w:val="24"/>
                <w:szCs w:val="21"/>
                <w:highlight w:val="none"/>
                <w:lang w:val="en-US" w:eastAsia="zh-CN" w:bidi="ar-SA"/>
              </w:rPr>
              <w:t xml:space="preserve"> </w:t>
            </w:r>
            <w:r>
              <w:rPr>
                <w:rFonts w:hint="eastAsia" w:ascii="Times New Roman" w:hAnsi="Times New Roman" w:eastAsia="宋体" w:cs="Times New Roman"/>
                <w:b/>
                <w:bCs/>
                <w:snapToGrid w:val="0"/>
                <w:kern w:val="0"/>
                <w:sz w:val="24"/>
                <w:szCs w:val="21"/>
                <w:highlight w:val="none"/>
                <w:lang w:val="en-US" w:eastAsia="zh-CN" w:bidi="ar-SA"/>
              </w:rPr>
              <w:t xml:space="preserve"> </w:t>
            </w:r>
            <w:r>
              <w:rPr>
                <w:rFonts w:hint="default" w:ascii="Times New Roman" w:hAnsi="Times New Roman" w:eastAsia="宋体" w:cs="Times New Roman"/>
                <w:b/>
                <w:bCs/>
                <w:snapToGrid w:val="0"/>
                <w:kern w:val="0"/>
                <w:sz w:val="24"/>
                <w:szCs w:val="21"/>
                <w:highlight w:val="none"/>
                <w:lang w:val="en-US" w:eastAsia="zh-CN" w:bidi="ar-SA"/>
              </w:rPr>
              <w:t xml:space="preserve"> 与玻璃后加工企业绩效引领性指标要求相符性分析</w:t>
            </w:r>
          </w:p>
          <w:tbl>
            <w:tblPr>
              <w:tblStyle w:val="39"/>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45"/>
              <w:gridCol w:w="3104"/>
              <w:gridCol w:w="2420"/>
              <w:gridCol w:w="523"/>
            </w:tblGrid>
            <w:tr w14:paraId="6199A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noWrap w:val="0"/>
                  <w:vAlign w:val="center"/>
                </w:tcPr>
                <w:p w14:paraId="361D84C4">
                  <w:pPr>
                    <w:autoSpaceDE w:val="0"/>
                    <w:adjustRightInd w:val="0"/>
                    <w:spacing w:line="240" w:lineRule="auto"/>
                    <w:ind w:firstLine="0" w:firstLineChars="0"/>
                    <w:jc w:val="center"/>
                    <w:rPr>
                      <w:b w:val="0"/>
                      <w:bCs/>
                      <w:color w:val="auto"/>
                      <w:kern w:val="0"/>
                      <w:sz w:val="21"/>
                      <w:szCs w:val="21"/>
                    </w:rPr>
                  </w:pPr>
                  <w:r>
                    <w:rPr>
                      <w:rFonts w:hint="eastAsia"/>
                      <w:b w:val="0"/>
                      <w:bCs/>
                      <w:color w:val="auto"/>
                      <w:kern w:val="0"/>
                      <w:sz w:val="21"/>
                      <w:szCs w:val="21"/>
                    </w:rPr>
                    <w:t>项目</w:t>
                  </w:r>
                </w:p>
              </w:tc>
              <w:tc>
                <w:tcPr>
                  <w:tcW w:w="2257" w:type="pct"/>
                  <w:noWrap w:val="0"/>
                  <w:vAlign w:val="center"/>
                </w:tcPr>
                <w:p w14:paraId="2E339CFB">
                  <w:pPr>
                    <w:autoSpaceDE w:val="0"/>
                    <w:adjustRightInd w:val="0"/>
                    <w:spacing w:line="240" w:lineRule="auto"/>
                    <w:ind w:firstLine="0" w:firstLineChars="0"/>
                    <w:jc w:val="center"/>
                    <w:rPr>
                      <w:rFonts w:hint="eastAsia"/>
                      <w:b w:val="0"/>
                      <w:bCs/>
                      <w:color w:val="auto"/>
                      <w:kern w:val="0"/>
                      <w:sz w:val="21"/>
                      <w:szCs w:val="21"/>
                      <w:lang w:val="zh-CN"/>
                    </w:rPr>
                  </w:pPr>
                  <w:r>
                    <w:rPr>
                      <w:rFonts w:hint="eastAsia"/>
                      <w:b w:val="0"/>
                      <w:bCs/>
                      <w:color w:val="auto"/>
                      <w:kern w:val="0"/>
                      <w:sz w:val="21"/>
                      <w:szCs w:val="21"/>
                      <w:lang w:val="zh-CN"/>
                    </w:rPr>
                    <w:t>玻璃后加工企业绩效引领性指标</w:t>
                  </w:r>
                </w:p>
              </w:tc>
              <w:tc>
                <w:tcPr>
                  <w:tcW w:w="1763" w:type="pct"/>
                  <w:noWrap w:val="0"/>
                  <w:vAlign w:val="center"/>
                </w:tcPr>
                <w:p w14:paraId="75039264">
                  <w:pPr>
                    <w:autoSpaceDE w:val="0"/>
                    <w:adjustRightInd w:val="0"/>
                    <w:spacing w:line="240" w:lineRule="auto"/>
                    <w:ind w:firstLine="0" w:firstLineChars="0"/>
                    <w:jc w:val="center"/>
                    <w:rPr>
                      <w:b w:val="0"/>
                      <w:bCs/>
                      <w:color w:val="auto"/>
                      <w:kern w:val="0"/>
                      <w:sz w:val="21"/>
                      <w:szCs w:val="21"/>
                      <w:u w:val="none"/>
                    </w:rPr>
                  </w:pPr>
                  <w:r>
                    <w:rPr>
                      <w:rFonts w:hint="eastAsia"/>
                      <w:b w:val="0"/>
                      <w:bCs/>
                      <w:color w:val="auto"/>
                      <w:kern w:val="0"/>
                      <w:sz w:val="21"/>
                      <w:szCs w:val="21"/>
                      <w:u w:val="none"/>
                      <w:lang w:eastAsia="zh-CN"/>
                    </w:rPr>
                    <w:t>本项目</w:t>
                  </w:r>
                  <w:r>
                    <w:rPr>
                      <w:rFonts w:hint="eastAsia"/>
                      <w:b w:val="0"/>
                      <w:bCs/>
                      <w:color w:val="auto"/>
                      <w:kern w:val="0"/>
                      <w:sz w:val="21"/>
                      <w:szCs w:val="21"/>
                      <w:u w:val="none"/>
                    </w:rPr>
                    <w:t>情况</w:t>
                  </w:r>
                </w:p>
              </w:tc>
              <w:tc>
                <w:tcPr>
                  <w:tcW w:w="392" w:type="pct"/>
                  <w:noWrap w:val="0"/>
                  <w:vAlign w:val="center"/>
                </w:tcPr>
                <w:p w14:paraId="47D4AFDA">
                  <w:pPr>
                    <w:autoSpaceDE w:val="0"/>
                    <w:adjustRightInd w:val="0"/>
                    <w:spacing w:line="240" w:lineRule="auto"/>
                    <w:ind w:left="-105" w:leftChars="-50" w:right="-105" w:rightChars="-50" w:firstLine="0" w:firstLineChars="0"/>
                    <w:jc w:val="center"/>
                    <w:rPr>
                      <w:b w:val="0"/>
                      <w:bCs/>
                      <w:color w:val="auto"/>
                      <w:kern w:val="0"/>
                      <w:sz w:val="21"/>
                      <w:szCs w:val="21"/>
                    </w:rPr>
                  </w:pPr>
                  <w:r>
                    <w:rPr>
                      <w:rFonts w:hint="eastAsia"/>
                      <w:b w:val="0"/>
                      <w:bCs/>
                      <w:color w:val="auto"/>
                      <w:kern w:val="0"/>
                      <w:sz w:val="21"/>
                      <w:szCs w:val="21"/>
                    </w:rPr>
                    <w:t>相符性</w:t>
                  </w:r>
                </w:p>
              </w:tc>
            </w:tr>
            <w:tr w14:paraId="7113E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noWrap w:val="0"/>
                  <w:vAlign w:val="center"/>
                </w:tcPr>
                <w:p w14:paraId="3E446C0F">
                  <w:pPr>
                    <w:autoSpaceDE w:val="0"/>
                    <w:adjustRightInd w:val="0"/>
                    <w:spacing w:line="240" w:lineRule="auto"/>
                    <w:ind w:firstLine="0" w:firstLineChars="0"/>
                    <w:jc w:val="center"/>
                    <w:rPr>
                      <w:rFonts w:hint="default" w:eastAsia="宋体"/>
                      <w:b w:val="0"/>
                      <w:bCs/>
                      <w:color w:val="auto"/>
                      <w:kern w:val="0"/>
                      <w:sz w:val="21"/>
                      <w:szCs w:val="21"/>
                      <w:lang w:val="en-US" w:eastAsia="zh-CN"/>
                    </w:rPr>
                  </w:pPr>
                  <w:r>
                    <w:rPr>
                      <w:rFonts w:hint="eastAsia"/>
                      <w:b w:val="0"/>
                      <w:bCs/>
                      <w:color w:val="auto"/>
                      <w:kern w:val="0"/>
                      <w:sz w:val="21"/>
                      <w:szCs w:val="21"/>
                      <w:lang w:val="en-US" w:eastAsia="zh-CN"/>
                    </w:rPr>
                    <w:t>能源类型</w:t>
                  </w:r>
                </w:p>
              </w:tc>
              <w:tc>
                <w:tcPr>
                  <w:tcW w:w="2257" w:type="pct"/>
                  <w:noWrap w:val="0"/>
                  <w:vAlign w:val="center"/>
                </w:tcPr>
                <w:p w14:paraId="02DDD9D2">
                  <w:pPr>
                    <w:autoSpaceDE w:val="0"/>
                    <w:adjustRightInd w:val="0"/>
                    <w:spacing w:line="240" w:lineRule="auto"/>
                    <w:ind w:firstLine="0" w:firstLineChars="0"/>
                    <w:jc w:val="center"/>
                    <w:rPr>
                      <w:rFonts w:hint="eastAsia" w:eastAsia="宋体"/>
                      <w:b w:val="0"/>
                      <w:bCs/>
                      <w:color w:val="auto"/>
                      <w:kern w:val="0"/>
                      <w:sz w:val="21"/>
                      <w:szCs w:val="21"/>
                      <w:lang w:val="en-US" w:eastAsia="zh-CN"/>
                    </w:rPr>
                  </w:pPr>
                  <w:r>
                    <w:rPr>
                      <w:rFonts w:hint="eastAsia"/>
                      <w:b w:val="0"/>
                      <w:bCs/>
                      <w:color w:val="auto"/>
                      <w:kern w:val="0"/>
                      <w:sz w:val="21"/>
                      <w:szCs w:val="21"/>
                      <w:lang w:val="en-US" w:eastAsia="zh-CN"/>
                    </w:rPr>
                    <w:t>电</w:t>
                  </w:r>
                </w:p>
              </w:tc>
              <w:tc>
                <w:tcPr>
                  <w:tcW w:w="1763" w:type="pct"/>
                  <w:noWrap w:val="0"/>
                  <w:vAlign w:val="center"/>
                </w:tcPr>
                <w:p w14:paraId="0F2BAE2E">
                  <w:pPr>
                    <w:autoSpaceDE w:val="0"/>
                    <w:adjustRightInd w:val="0"/>
                    <w:spacing w:line="240" w:lineRule="auto"/>
                    <w:ind w:firstLine="0" w:firstLineChars="0"/>
                    <w:jc w:val="center"/>
                    <w:rPr>
                      <w:rFonts w:hint="default" w:eastAsia="宋体"/>
                      <w:b w:val="0"/>
                      <w:bCs/>
                      <w:color w:val="auto"/>
                      <w:kern w:val="0"/>
                      <w:sz w:val="21"/>
                      <w:szCs w:val="21"/>
                      <w:u w:val="none"/>
                      <w:lang w:val="en-US" w:eastAsia="zh-CN"/>
                    </w:rPr>
                  </w:pPr>
                  <w:r>
                    <w:rPr>
                      <w:rFonts w:hint="eastAsia"/>
                      <w:b w:val="0"/>
                      <w:bCs/>
                      <w:color w:val="auto"/>
                      <w:kern w:val="0"/>
                      <w:sz w:val="21"/>
                      <w:szCs w:val="21"/>
                      <w:u w:val="none"/>
                      <w:lang w:val="en-US" w:eastAsia="zh-CN"/>
                    </w:rPr>
                    <w:t>本项目能源使用电</w:t>
                  </w:r>
                </w:p>
              </w:tc>
              <w:tc>
                <w:tcPr>
                  <w:tcW w:w="392" w:type="pct"/>
                  <w:noWrap w:val="0"/>
                  <w:vAlign w:val="center"/>
                </w:tcPr>
                <w:p w14:paraId="10B0C456">
                  <w:pPr>
                    <w:autoSpaceDE w:val="0"/>
                    <w:adjustRightInd w:val="0"/>
                    <w:spacing w:line="240" w:lineRule="auto"/>
                    <w:ind w:left="-105" w:leftChars="-50" w:right="-105" w:rightChars="-50" w:firstLine="0" w:firstLineChars="0"/>
                    <w:jc w:val="center"/>
                    <w:rPr>
                      <w:rFonts w:hint="eastAsia" w:eastAsia="宋体"/>
                      <w:b w:val="0"/>
                      <w:bCs/>
                      <w:color w:val="auto"/>
                      <w:kern w:val="0"/>
                      <w:sz w:val="21"/>
                      <w:szCs w:val="21"/>
                      <w:lang w:val="en-US" w:eastAsia="zh-CN"/>
                    </w:rPr>
                  </w:pPr>
                  <w:r>
                    <w:rPr>
                      <w:rFonts w:hint="eastAsia"/>
                      <w:b w:val="0"/>
                      <w:bCs/>
                      <w:color w:val="auto"/>
                      <w:kern w:val="0"/>
                      <w:sz w:val="21"/>
                      <w:szCs w:val="21"/>
                      <w:lang w:val="en-US" w:eastAsia="zh-CN"/>
                    </w:rPr>
                    <w:t>相符</w:t>
                  </w:r>
                </w:p>
              </w:tc>
            </w:tr>
            <w:tr w14:paraId="4C1CA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noWrap w:val="0"/>
                  <w:vAlign w:val="center"/>
                </w:tcPr>
                <w:p w14:paraId="5307D983">
                  <w:pPr>
                    <w:autoSpaceDE w:val="0"/>
                    <w:adjustRightInd w:val="0"/>
                    <w:spacing w:line="240" w:lineRule="auto"/>
                    <w:ind w:firstLine="0" w:firstLineChars="0"/>
                    <w:jc w:val="center"/>
                    <w:rPr>
                      <w:rFonts w:hint="default" w:eastAsia="宋体"/>
                      <w:b w:val="0"/>
                      <w:bCs/>
                      <w:color w:val="auto"/>
                      <w:kern w:val="0"/>
                      <w:sz w:val="21"/>
                      <w:szCs w:val="21"/>
                      <w:lang w:val="en-US" w:eastAsia="zh-CN"/>
                    </w:rPr>
                  </w:pPr>
                  <w:r>
                    <w:rPr>
                      <w:rFonts w:hint="eastAsia"/>
                      <w:b w:val="0"/>
                      <w:bCs/>
                      <w:color w:val="auto"/>
                      <w:kern w:val="0"/>
                      <w:sz w:val="21"/>
                      <w:szCs w:val="21"/>
                      <w:lang w:val="en-US" w:eastAsia="zh-CN"/>
                    </w:rPr>
                    <w:t>污染治理技术</w:t>
                  </w:r>
                </w:p>
              </w:tc>
              <w:tc>
                <w:tcPr>
                  <w:tcW w:w="2257" w:type="pct"/>
                  <w:noWrap w:val="0"/>
                  <w:vAlign w:val="center"/>
                </w:tcPr>
                <w:p w14:paraId="562528A4">
                  <w:pPr>
                    <w:autoSpaceDE w:val="0"/>
                    <w:adjustRightInd w:val="0"/>
                    <w:spacing w:line="240" w:lineRule="auto"/>
                    <w:ind w:firstLine="0" w:firstLineChars="0"/>
                    <w:jc w:val="both"/>
                    <w:rPr>
                      <w:rFonts w:hint="eastAsia"/>
                      <w:b w:val="0"/>
                      <w:bCs/>
                      <w:color w:val="auto"/>
                      <w:kern w:val="0"/>
                      <w:sz w:val="21"/>
                      <w:szCs w:val="21"/>
                      <w:lang w:val="zh-CN"/>
                    </w:rPr>
                  </w:pPr>
                  <w:r>
                    <w:rPr>
                      <w:rFonts w:hint="eastAsia"/>
                      <w:b w:val="0"/>
                      <w:bCs/>
                      <w:color w:val="auto"/>
                      <w:kern w:val="0"/>
                      <w:sz w:val="21"/>
                      <w:szCs w:val="21"/>
                      <w:lang w:val="zh-CN"/>
                    </w:rPr>
                    <w:t>1、除尘采用袋式除尘工艺；</w:t>
                  </w:r>
                </w:p>
                <w:p w14:paraId="360F0BDD">
                  <w:pPr>
                    <w:autoSpaceDE w:val="0"/>
                    <w:adjustRightInd w:val="0"/>
                    <w:spacing w:line="240" w:lineRule="auto"/>
                    <w:ind w:firstLine="0" w:firstLineChars="0"/>
                    <w:jc w:val="both"/>
                    <w:rPr>
                      <w:rFonts w:hint="eastAsia"/>
                      <w:b w:val="0"/>
                      <w:bCs/>
                      <w:color w:val="auto"/>
                      <w:kern w:val="0"/>
                      <w:sz w:val="21"/>
                      <w:szCs w:val="21"/>
                      <w:lang w:val="zh-CN"/>
                    </w:rPr>
                  </w:pPr>
                  <w:r>
                    <w:rPr>
                      <w:rFonts w:hint="eastAsia"/>
                      <w:b w:val="0"/>
                      <w:bCs/>
                      <w:color w:val="auto"/>
                      <w:kern w:val="0"/>
                      <w:sz w:val="21"/>
                      <w:szCs w:val="21"/>
                      <w:lang w:val="zh-CN"/>
                    </w:rPr>
                    <w:t>2、日用玻璃喷涂彩装工序VOCs治理采用喷淋洗涤、吸附、氧化等两种及以上组合工艺或燃烧工艺；玻璃棉施胶VOCs采用燃烧或喷淋、吸附、低温等离子体、生物法等两种以上组合工艺</w:t>
                  </w:r>
                </w:p>
              </w:tc>
              <w:tc>
                <w:tcPr>
                  <w:tcW w:w="1763" w:type="pct"/>
                  <w:noWrap w:val="0"/>
                  <w:vAlign w:val="center"/>
                </w:tcPr>
                <w:p w14:paraId="0CBAB037">
                  <w:pPr>
                    <w:autoSpaceDE w:val="0"/>
                    <w:adjustRightInd w:val="0"/>
                    <w:spacing w:line="240" w:lineRule="auto"/>
                    <w:ind w:firstLine="0" w:firstLineChars="0"/>
                    <w:jc w:val="left"/>
                    <w:rPr>
                      <w:rFonts w:hint="eastAsia"/>
                      <w:b w:val="0"/>
                      <w:bCs/>
                      <w:color w:val="auto"/>
                      <w:kern w:val="0"/>
                      <w:sz w:val="21"/>
                      <w:szCs w:val="21"/>
                      <w:u w:val="none"/>
                      <w:lang w:val="en-US" w:eastAsia="zh-CN"/>
                    </w:rPr>
                  </w:pPr>
                  <w:r>
                    <w:rPr>
                      <w:rFonts w:hint="eastAsia"/>
                      <w:b w:val="0"/>
                      <w:bCs/>
                      <w:color w:val="auto"/>
                      <w:kern w:val="0"/>
                      <w:sz w:val="21"/>
                      <w:szCs w:val="21"/>
                      <w:u w:val="none"/>
                      <w:lang w:val="en-US" w:eastAsia="zh-CN"/>
                    </w:rPr>
                    <w:t>1.本项目不产生粉尘。</w:t>
                  </w:r>
                </w:p>
                <w:p w14:paraId="58F2CF5C">
                  <w:pPr>
                    <w:autoSpaceDE w:val="0"/>
                    <w:adjustRightInd w:val="0"/>
                    <w:spacing w:line="240" w:lineRule="auto"/>
                    <w:ind w:firstLine="0" w:firstLineChars="0"/>
                    <w:jc w:val="left"/>
                    <w:rPr>
                      <w:rFonts w:hint="default"/>
                      <w:b w:val="0"/>
                      <w:bCs/>
                      <w:color w:val="auto"/>
                      <w:kern w:val="0"/>
                      <w:sz w:val="21"/>
                      <w:szCs w:val="21"/>
                      <w:u w:val="none"/>
                      <w:lang w:val="en-US" w:eastAsia="zh-CN"/>
                    </w:rPr>
                  </w:pPr>
                  <w:r>
                    <w:rPr>
                      <w:rFonts w:hint="eastAsia"/>
                      <w:b w:val="0"/>
                      <w:bCs/>
                      <w:color w:val="auto"/>
                      <w:kern w:val="0"/>
                      <w:sz w:val="21"/>
                      <w:szCs w:val="21"/>
                      <w:u w:val="none"/>
                      <w:lang w:val="en-US" w:eastAsia="zh-CN"/>
                    </w:rPr>
                    <w:t>2.本项目</w:t>
                  </w:r>
                  <w:r>
                    <w:rPr>
                      <w:rFonts w:hint="eastAsia"/>
                      <w:b w:val="0"/>
                      <w:bCs/>
                      <w:color w:val="auto"/>
                      <w:kern w:val="0"/>
                      <w:sz w:val="21"/>
                      <w:szCs w:val="21"/>
                      <w:lang w:val="zh-CN"/>
                    </w:rPr>
                    <w:t>VOCs治理采用两级活性炭吸附装置</w:t>
                  </w:r>
                  <w:r>
                    <w:rPr>
                      <w:rFonts w:hint="eastAsia"/>
                      <w:b w:val="0"/>
                      <w:bCs/>
                      <w:color w:val="auto"/>
                      <w:kern w:val="0"/>
                      <w:sz w:val="21"/>
                      <w:szCs w:val="21"/>
                      <w:lang w:val="en-US" w:eastAsia="zh-CN"/>
                    </w:rPr>
                    <w:t>进行处理</w:t>
                  </w:r>
                </w:p>
              </w:tc>
              <w:tc>
                <w:tcPr>
                  <w:tcW w:w="392" w:type="pct"/>
                  <w:noWrap w:val="0"/>
                  <w:vAlign w:val="center"/>
                </w:tcPr>
                <w:p w14:paraId="430282D9">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24140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noWrap w:val="0"/>
                  <w:vAlign w:val="center"/>
                </w:tcPr>
                <w:p w14:paraId="4D7DBC48">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排放限值</w:t>
                  </w:r>
                </w:p>
              </w:tc>
              <w:tc>
                <w:tcPr>
                  <w:tcW w:w="2257" w:type="pct"/>
                  <w:noWrap w:val="0"/>
                  <w:vAlign w:val="center"/>
                </w:tcPr>
                <w:p w14:paraId="575516F4">
                  <w:pPr>
                    <w:autoSpaceDE w:val="0"/>
                    <w:adjustRightInd w:val="0"/>
                    <w:spacing w:line="240" w:lineRule="auto"/>
                    <w:ind w:firstLine="0" w:firstLineChars="0"/>
                    <w:jc w:val="both"/>
                    <w:rPr>
                      <w:rFonts w:hint="eastAsia" w:eastAsia="宋体"/>
                      <w:b w:val="0"/>
                      <w:bCs/>
                      <w:color w:val="auto"/>
                      <w:kern w:val="0"/>
                      <w:sz w:val="21"/>
                      <w:szCs w:val="21"/>
                      <w:lang w:val="zh-CN" w:eastAsia="zh-CN"/>
                    </w:rPr>
                  </w:pPr>
                  <w:r>
                    <w:rPr>
                      <w:rFonts w:hint="eastAsia"/>
                      <w:b w:val="0"/>
                      <w:bCs/>
                      <w:color w:val="auto"/>
                      <w:kern w:val="0"/>
                      <w:sz w:val="21"/>
                      <w:szCs w:val="21"/>
                      <w:lang w:val="zh-CN"/>
                    </w:rPr>
                    <w:t>PM、NMHC排放浓度分别不高于10、60mg/m</w:t>
                  </w:r>
                  <w:r>
                    <w:rPr>
                      <w:rFonts w:hint="eastAsia"/>
                      <w:b w:val="0"/>
                      <w:bCs/>
                      <w:color w:val="auto"/>
                      <w:kern w:val="0"/>
                      <w:sz w:val="21"/>
                      <w:szCs w:val="21"/>
                      <w:vertAlign w:val="superscript"/>
                      <w:lang w:val="en-US" w:eastAsia="zh-CN"/>
                    </w:rPr>
                    <w:t>3</w:t>
                  </w:r>
                </w:p>
              </w:tc>
              <w:tc>
                <w:tcPr>
                  <w:tcW w:w="1763" w:type="pct"/>
                  <w:noWrap w:val="0"/>
                  <w:vAlign w:val="center"/>
                </w:tcPr>
                <w:p w14:paraId="5D510FCB">
                  <w:pPr>
                    <w:autoSpaceDE w:val="0"/>
                    <w:adjustRightInd w:val="0"/>
                    <w:spacing w:line="240" w:lineRule="auto"/>
                    <w:ind w:firstLine="0" w:firstLineChars="0"/>
                    <w:jc w:val="left"/>
                    <w:rPr>
                      <w:rFonts w:hint="eastAsia"/>
                      <w:b w:val="0"/>
                      <w:bCs/>
                      <w:color w:val="auto"/>
                      <w:kern w:val="0"/>
                      <w:sz w:val="21"/>
                      <w:szCs w:val="21"/>
                      <w:u w:val="none"/>
                      <w:lang w:eastAsia="zh-CN"/>
                    </w:rPr>
                  </w:pPr>
                  <w:r>
                    <w:rPr>
                      <w:rFonts w:hint="eastAsia"/>
                      <w:b w:val="0"/>
                      <w:bCs/>
                      <w:color w:val="auto"/>
                      <w:kern w:val="0"/>
                      <w:sz w:val="21"/>
                      <w:szCs w:val="21"/>
                      <w:u w:val="none"/>
                      <w:lang w:eastAsia="zh-CN"/>
                    </w:rPr>
                    <w:t>本项目</w:t>
                  </w:r>
                  <w:r>
                    <w:rPr>
                      <w:rFonts w:hint="eastAsia"/>
                      <w:b w:val="0"/>
                      <w:bCs/>
                      <w:color w:val="auto"/>
                      <w:kern w:val="0"/>
                      <w:sz w:val="21"/>
                      <w:szCs w:val="21"/>
                      <w:u w:val="none"/>
                      <w:lang w:val="en-US" w:eastAsia="zh-CN"/>
                    </w:rPr>
                    <w:t>不涉及粉尘产生</w:t>
                  </w:r>
                  <w:r>
                    <w:rPr>
                      <w:rFonts w:hint="eastAsia"/>
                      <w:b w:val="0"/>
                      <w:bCs/>
                      <w:color w:val="auto"/>
                      <w:kern w:val="0"/>
                      <w:sz w:val="21"/>
                      <w:szCs w:val="21"/>
                      <w:lang w:val="zh-CN"/>
                    </w:rPr>
                    <w:t>、NMHC排放浓度不高于60mg/m</w:t>
                  </w:r>
                  <w:r>
                    <w:rPr>
                      <w:rFonts w:hint="eastAsia"/>
                      <w:b w:val="0"/>
                      <w:bCs/>
                      <w:color w:val="auto"/>
                      <w:kern w:val="0"/>
                      <w:sz w:val="21"/>
                      <w:szCs w:val="21"/>
                      <w:vertAlign w:val="superscript"/>
                      <w:lang w:val="en-US" w:eastAsia="zh-CN"/>
                    </w:rPr>
                    <w:t>3</w:t>
                  </w:r>
                </w:p>
              </w:tc>
              <w:tc>
                <w:tcPr>
                  <w:tcW w:w="392" w:type="pct"/>
                  <w:noWrap w:val="0"/>
                  <w:vAlign w:val="center"/>
                </w:tcPr>
                <w:p w14:paraId="3FC2E16A">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77AD8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vMerge w:val="restart"/>
                  <w:noWrap w:val="0"/>
                  <w:vAlign w:val="center"/>
                </w:tcPr>
                <w:p w14:paraId="06906EBB">
                  <w:pPr>
                    <w:autoSpaceDE w:val="0"/>
                    <w:adjustRightInd w:val="0"/>
                    <w:spacing w:line="240" w:lineRule="auto"/>
                    <w:ind w:firstLine="0" w:firstLineChars="0"/>
                    <w:jc w:val="center"/>
                    <w:rPr>
                      <w:rFonts w:hint="default" w:eastAsia="宋体"/>
                      <w:b w:val="0"/>
                      <w:bCs/>
                      <w:color w:val="auto"/>
                      <w:kern w:val="0"/>
                      <w:sz w:val="21"/>
                      <w:szCs w:val="21"/>
                      <w:lang w:val="en-US" w:eastAsia="zh-CN"/>
                    </w:rPr>
                  </w:pPr>
                  <w:r>
                    <w:rPr>
                      <w:rFonts w:hint="eastAsia"/>
                      <w:b w:val="0"/>
                      <w:bCs/>
                      <w:color w:val="auto"/>
                      <w:kern w:val="0"/>
                      <w:sz w:val="21"/>
                      <w:szCs w:val="21"/>
                      <w:lang w:val="en-US" w:eastAsia="zh-CN"/>
                    </w:rPr>
                    <w:t>无组织排放</w:t>
                  </w:r>
                </w:p>
              </w:tc>
              <w:tc>
                <w:tcPr>
                  <w:tcW w:w="2257" w:type="pct"/>
                  <w:noWrap w:val="0"/>
                  <w:vAlign w:val="center"/>
                </w:tcPr>
                <w:p w14:paraId="05DEFB9E">
                  <w:pPr>
                    <w:autoSpaceDE w:val="0"/>
                    <w:adjustRightInd w:val="0"/>
                    <w:spacing w:line="240" w:lineRule="auto"/>
                    <w:ind w:firstLine="0" w:firstLineChars="0"/>
                    <w:jc w:val="both"/>
                    <w:rPr>
                      <w:rFonts w:hint="eastAsia"/>
                      <w:b w:val="0"/>
                      <w:bCs/>
                      <w:color w:val="auto"/>
                      <w:kern w:val="0"/>
                      <w:sz w:val="21"/>
                      <w:szCs w:val="21"/>
                      <w:lang w:val="zh-CN"/>
                    </w:rPr>
                  </w:pPr>
                  <w:r>
                    <w:rPr>
                      <w:rFonts w:hint="eastAsia"/>
                      <w:b w:val="0"/>
                      <w:bCs/>
                      <w:color w:val="auto"/>
                      <w:kern w:val="0"/>
                      <w:sz w:val="21"/>
                      <w:szCs w:val="21"/>
                      <w:lang w:val="zh-CN"/>
                    </w:rPr>
                    <w:t>1、采取封闭等有效措施，生产工艺产尘点及车间不得有可见烟粉尘外逸；</w:t>
                  </w:r>
                </w:p>
              </w:tc>
              <w:tc>
                <w:tcPr>
                  <w:tcW w:w="1763" w:type="pct"/>
                  <w:noWrap w:val="0"/>
                  <w:vAlign w:val="center"/>
                </w:tcPr>
                <w:p w14:paraId="3BE5AEA3">
                  <w:pPr>
                    <w:autoSpaceDE w:val="0"/>
                    <w:adjustRightInd w:val="0"/>
                    <w:spacing w:line="240" w:lineRule="auto"/>
                    <w:ind w:firstLine="0" w:firstLineChars="0"/>
                    <w:jc w:val="left"/>
                    <w:rPr>
                      <w:rFonts w:hint="default"/>
                      <w:b w:val="0"/>
                      <w:bCs/>
                      <w:color w:val="auto"/>
                      <w:kern w:val="0"/>
                      <w:sz w:val="21"/>
                      <w:szCs w:val="21"/>
                      <w:u w:val="none"/>
                      <w:lang w:val="en-US" w:eastAsia="zh-CN"/>
                    </w:rPr>
                  </w:pPr>
                  <w:r>
                    <w:rPr>
                      <w:rFonts w:hint="eastAsia"/>
                      <w:b w:val="0"/>
                      <w:bCs/>
                      <w:color w:val="auto"/>
                      <w:kern w:val="0"/>
                      <w:sz w:val="21"/>
                      <w:szCs w:val="21"/>
                      <w:u w:val="none"/>
                      <w:lang w:val="en-US" w:eastAsia="zh-CN"/>
                    </w:rPr>
                    <w:t>1.本项目位于密闭车间内，</w:t>
                  </w:r>
                  <w:r>
                    <w:rPr>
                      <w:rFonts w:hint="eastAsia"/>
                      <w:b w:val="0"/>
                      <w:bCs/>
                      <w:color w:val="auto"/>
                      <w:kern w:val="0"/>
                      <w:sz w:val="21"/>
                      <w:szCs w:val="21"/>
                      <w:lang w:val="zh-CN"/>
                    </w:rPr>
                    <w:t>生产工艺</w:t>
                  </w:r>
                  <w:r>
                    <w:rPr>
                      <w:rFonts w:hint="eastAsia"/>
                      <w:b w:val="0"/>
                      <w:bCs/>
                      <w:color w:val="auto"/>
                      <w:kern w:val="0"/>
                      <w:sz w:val="21"/>
                      <w:szCs w:val="21"/>
                      <w:lang w:val="en-US" w:eastAsia="zh-CN"/>
                    </w:rPr>
                    <w:t>基本不产生粉尘，</w:t>
                  </w:r>
                  <w:r>
                    <w:rPr>
                      <w:rFonts w:hint="eastAsia"/>
                      <w:b w:val="0"/>
                      <w:bCs/>
                      <w:color w:val="auto"/>
                      <w:kern w:val="0"/>
                      <w:sz w:val="21"/>
                      <w:szCs w:val="21"/>
                      <w:lang w:val="zh-CN"/>
                    </w:rPr>
                    <w:t>车间</w:t>
                  </w:r>
                  <w:r>
                    <w:rPr>
                      <w:rFonts w:hint="eastAsia"/>
                      <w:b w:val="0"/>
                      <w:bCs/>
                      <w:color w:val="auto"/>
                      <w:kern w:val="0"/>
                      <w:sz w:val="21"/>
                      <w:szCs w:val="21"/>
                      <w:lang w:val="en-US" w:eastAsia="zh-CN"/>
                    </w:rPr>
                    <w:t>无</w:t>
                  </w:r>
                  <w:r>
                    <w:rPr>
                      <w:rFonts w:hint="eastAsia"/>
                      <w:b w:val="0"/>
                      <w:bCs/>
                      <w:color w:val="auto"/>
                      <w:kern w:val="0"/>
                      <w:sz w:val="21"/>
                      <w:szCs w:val="21"/>
                      <w:lang w:val="zh-CN"/>
                    </w:rPr>
                    <w:t>可见烟粉尘外逸</w:t>
                  </w:r>
                </w:p>
              </w:tc>
              <w:tc>
                <w:tcPr>
                  <w:tcW w:w="392" w:type="pct"/>
                  <w:noWrap w:val="0"/>
                  <w:vAlign w:val="center"/>
                </w:tcPr>
                <w:p w14:paraId="4359A6AC">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62EE9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vMerge w:val="continue"/>
                  <w:noWrap w:val="0"/>
                  <w:vAlign w:val="center"/>
                </w:tcPr>
                <w:p w14:paraId="0833AE78">
                  <w:pPr>
                    <w:autoSpaceDE w:val="0"/>
                    <w:adjustRightInd w:val="0"/>
                    <w:spacing w:line="240" w:lineRule="auto"/>
                    <w:ind w:firstLine="0" w:firstLineChars="0"/>
                    <w:jc w:val="center"/>
                    <w:rPr>
                      <w:rFonts w:hint="eastAsia"/>
                      <w:b w:val="0"/>
                      <w:bCs/>
                      <w:color w:val="auto"/>
                      <w:kern w:val="0"/>
                      <w:sz w:val="21"/>
                      <w:szCs w:val="21"/>
                    </w:rPr>
                  </w:pPr>
                </w:p>
              </w:tc>
              <w:tc>
                <w:tcPr>
                  <w:tcW w:w="2257" w:type="pct"/>
                  <w:noWrap w:val="0"/>
                  <w:vAlign w:val="center"/>
                </w:tcPr>
                <w:p w14:paraId="0AF3E50A">
                  <w:pPr>
                    <w:autoSpaceDE w:val="0"/>
                    <w:adjustRightInd w:val="0"/>
                    <w:spacing w:line="240" w:lineRule="auto"/>
                    <w:ind w:firstLine="0" w:firstLineChars="0"/>
                    <w:jc w:val="both"/>
                    <w:rPr>
                      <w:rFonts w:hint="eastAsia"/>
                      <w:b w:val="0"/>
                      <w:bCs/>
                      <w:color w:val="auto"/>
                      <w:kern w:val="0"/>
                      <w:sz w:val="21"/>
                      <w:szCs w:val="21"/>
                      <w:lang w:val="zh-CN"/>
                    </w:rPr>
                  </w:pPr>
                  <w:r>
                    <w:rPr>
                      <w:rFonts w:hint="eastAsia"/>
                      <w:b w:val="0"/>
                      <w:bCs/>
                      <w:color w:val="auto"/>
                      <w:kern w:val="0"/>
                      <w:sz w:val="21"/>
                      <w:szCs w:val="21"/>
                      <w:lang w:val="zh-CN"/>
                    </w:rPr>
                    <w:t>2、除尘灰等粉状物料应封闭储存，采用密闭车厢等方式输送；</w:t>
                  </w:r>
                </w:p>
              </w:tc>
              <w:tc>
                <w:tcPr>
                  <w:tcW w:w="1763" w:type="pct"/>
                  <w:noWrap w:val="0"/>
                  <w:vAlign w:val="center"/>
                </w:tcPr>
                <w:p w14:paraId="3E96F7FD">
                  <w:pPr>
                    <w:autoSpaceDE w:val="0"/>
                    <w:adjustRightInd w:val="0"/>
                    <w:spacing w:line="240" w:lineRule="auto"/>
                    <w:ind w:firstLine="0" w:firstLineChars="0"/>
                    <w:jc w:val="left"/>
                    <w:rPr>
                      <w:rFonts w:hint="default"/>
                      <w:b w:val="0"/>
                      <w:bCs/>
                      <w:color w:val="auto"/>
                      <w:kern w:val="0"/>
                      <w:sz w:val="21"/>
                      <w:szCs w:val="21"/>
                      <w:u w:val="none"/>
                      <w:lang w:val="en-US" w:eastAsia="zh-CN"/>
                    </w:rPr>
                  </w:pPr>
                  <w:r>
                    <w:rPr>
                      <w:rFonts w:hint="eastAsia"/>
                      <w:b w:val="0"/>
                      <w:bCs/>
                      <w:color w:val="auto"/>
                      <w:kern w:val="0"/>
                      <w:sz w:val="21"/>
                      <w:szCs w:val="21"/>
                      <w:u w:val="none"/>
                      <w:lang w:val="en-US" w:eastAsia="zh-CN"/>
                    </w:rPr>
                    <w:t>不涉及</w:t>
                  </w:r>
                </w:p>
              </w:tc>
              <w:tc>
                <w:tcPr>
                  <w:tcW w:w="392" w:type="pct"/>
                  <w:noWrap w:val="0"/>
                  <w:vAlign w:val="center"/>
                </w:tcPr>
                <w:p w14:paraId="552EB1A9">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22125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vMerge w:val="continue"/>
                  <w:noWrap w:val="0"/>
                  <w:vAlign w:val="center"/>
                </w:tcPr>
                <w:p w14:paraId="4E27690C">
                  <w:pPr>
                    <w:autoSpaceDE w:val="0"/>
                    <w:adjustRightInd w:val="0"/>
                    <w:spacing w:line="240" w:lineRule="auto"/>
                    <w:ind w:firstLine="0" w:firstLineChars="0"/>
                    <w:jc w:val="center"/>
                    <w:rPr>
                      <w:rFonts w:hint="eastAsia"/>
                      <w:b w:val="0"/>
                      <w:bCs/>
                      <w:color w:val="auto"/>
                      <w:kern w:val="0"/>
                      <w:sz w:val="21"/>
                      <w:szCs w:val="21"/>
                    </w:rPr>
                  </w:pPr>
                </w:p>
              </w:tc>
              <w:tc>
                <w:tcPr>
                  <w:tcW w:w="2257" w:type="pct"/>
                  <w:noWrap w:val="0"/>
                  <w:vAlign w:val="center"/>
                </w:tcPr>
                <w:p w14:paraId="6CB88213">
                  <w:pPr>
                    <w:autoSpaceDE w:val="0"/>
                    <w:adjustRightInd w:val="0"/>
                    <w:spacing w:line="240" w:lineRule="auto"/>
                    <w:ind w:firstLine="0" w:firstLineChars="0"/>
                    <w:jc w:val="both"/>
                    <w:rPr>
                      <w:rFonts w:hint="eastAsia"/>
                      <w:b w:val="0"/>
                      <w:bCs/>
                      <w:color w:val="auto"/>
                      <w:kern w:val="0"/>
                      <w:sz w:val="21"/>
                      <w:szCs w:val="21"/>
                      <w:lang w:val="zh-CN"/>
                    </w:rPr>
                  </w:pPr>
                  <w:r>
                    <w:rPr>
                      <w:rFonts w:hint="eastAsia"/>
                      <w:b w:val="0"/>
                      <w:bCs/>
                      <w:color w:val="auto"/>
                      <w:kern w:val="0"/>
                      <w:sz w:val="21"/>
                      <w:szCs w:val="21"/>
                      <w:lang w:val="zh-CN"/>
                    </w:rPr>
                    <w:t>3、物料输送过程中产尘点应采取有效抑尘措施；</w:t>
                  </w:r>
                </w:p>
              </w:tc>
              <w:tc>
                <w:tcPr>
                  <w:tcW w:w="1763" w:type="pct"/>
                  <w:noWrap w:val="0"/>
                  <w:vAlign w:val="center"/>
                </w:tcPr>
                <w:p w14:paraId="03178903">
                  <w:pPr>
                    <w:autoSpaceDE w:val="0"/>
                    <w:adjustRightInd w:val="0"/>
                    <w:spacing w:line="240" w:lineRule="auto"/>
                    <w:ind w:firstLine="0" w:firstLineChars="0"/>
                    <w:jc w:val="left"/>
                    <w:rPr>
                      <w:rFonts w:hint="default"/>
                      <w:b w:val="0"/>
                      <w:bCs/>
                      <w:color w:val="auto"/>
                      <w:kern w:val="0"/>
                      <w:sz w:val="21"/>
                      <w:szCs w:val="21"/>
                      <w:u w:val="none"/>
                      <w:lang w:val="en-US" w:eastAsia="zh-CN"/>
                    </w:rPr>
                  </w:pPr>
                  <w:r>
                    <w:rPr>
                      <w:rFonts w:hint="eastAsia"/>
                      <w:b w:val="0"/>
                      <w:bCs/>
                      <w:color w:val="auto"/>
                      <w:kern w:val="0"/>
                      <w:sz w:val="21"/>
                      <w:szCs w:val="21"/>
                      <w:u w:val="none"/>
                      <w:lang w:val="en-US" w:eastAsia="zh-CN"/>
                    </w:rPr>
                    <w:t>3.本项目原料主要为玻璃，输送过程无粉尘产生</w:t>
                  </w:r>
                </w:p>
              </w:tc>
              <w:tc>
                <w:tcPr>
                  <w:tcW w:w="392" w:type="pct"/>
                  <w:noWrap w:val="0"/>
                  <w:vAlign w:val="center"/>
                </w:tcPr>
                <w:p w14:paraId="43BD8B56">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1F75C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586" w:type="pct"/>
                  <w:gridSpan w:val="2"/>
                  <w:vMerge w:val="continue"/>
                  <w:noWrap w:val="0"/>
                  <w:vAlign w:val="center"/>
                </w:tcPr>
                <w:p w14:paraId="50354377">
                  <w:pPr>
                    <w:autoSpaceDE w:val="0"/>
                    <w:adjustRightInd w:val="0"/>
                    <w:spacing w:line="240" w:lineRule="auto"/>
                    <w:ind w:firstLine="0" w:firstLineChars="0"/>
                    <w:jc w:val="center"/>
                    <w:rPr>
                      <w:rFonts w:hint="eastAsia"/>
                      <w:b w:val="0"/>
                      <w:bCs/>
                      <w:color w:val="auto"/>
                      <w:kern w:val="0"/>
                      <w:sz w:val="21"/>
                      <w:szCs w:val="21"/>
                    </w:rPr>
                  </w:pPr>
                </w:p>
              </w:tc>
              <w:tc>
                <w:tcPr>
                  <w:tcW w:w="2257" w:type="pct"/>
                  <w:noWrap w:val="0"/>
                  <w:vAlign w:val="center"/>
                </w:tcPr>
                <w:p w14:paraId="27F141C8">
                  <w:pPr>
                    <w:autoSpaceDE w:val="0"/>
                    <w:adjustRightInd w:val="0"/>
                    <w:spacing w:line="240" w:lineRule="auto"/>
                    <w:ind w:firstLine="0" w:firstLineChars="0"/>
                    <w:jc w:val="left"/>
                    <w:rPr>
                      <w:rFonts w:hint="eastAsia"/>
                      <w:b w:val="0"/>
                      <w:bCs/>
                      <w:color w:val="auto"/>
                      <w:kern w:val="0"/>
                      <w:sz w:val="21"/>
                      <w:szCs w:val="21"/>
                      <w:lang w:val="zh-CN"/>
                    </w:rPr>
                  </w:pPr>
                  <w:r>
                    <w:rPr>
                      <w:rFonts w:hint="eastAsia"/>
                      <w:b w:val="0"/>
                      <w:bCs/>
                      <w:color w:val="auto"/>
                      <w:kern w:val="0"/>
                      <w:sz w:val="21"/>
                      <w:szCs w:val="21"/>
                      <w:lang w:val="zh-CN"/>
                    </w:rPr>
                    <w:t>4、生产工艺产尘点（装置）应封闭，并设置集气罩等措施。</w:t>
                  </w:r>
                </w:p>
              </w:tc>
              <w:tc>
                <w:tcPr>
                  <w:tcW w:w="1763" w:type="pct"/>
                  <w:noWrap w:val="0"/>
                  <w:vAlign w:val="center"/>
                </w:tcPr>
                <w:p w14:paraId="4A92A3D2">
                  <w:pPr>
                    <w:autoSpaceDE w:val="0"/>
                    <w:adjustRightInd w:val="0"/>
                    <w:spacing w:line="240" w:lineRule="auto"/>
                    <w:ind w:firstLine="0" w:firstLineChars="0"/>
                    <w:jc w:val="left"/>
                    <w:rPr>
                      <w:rFonts w:hint="eastAsia" w:eastAsia="宋体"/>
                      <w:b w:val="0"/>
                      <w:bCs/>
                      <w:color w:val="auto"/>
                      <w:kern w:val="0"/>
                      <w:sz w:val="21"/>
                      <w:szCs w:val="21"/>
                      <w:u w:val="none"/>
                      <w:lang w:val="en-US" w:eastAsia="zh-CN"/>
                    </w:rPr>
                  </w:pPr>
                  <w:r>
                    <w:rPr>
                      <w:rFonts w:hint="eastAsia"/>
                      <w:b w:val="0"/>
                      <w:bCs/>
                      <w:color w:val="auto"/>
                      <w:kern w:val="0"/>
                      <w:sz w:val="21"/>
                      <w:szCs w:val="21"/>
                      <w:u w:val="none"/>
                      <w:lang w:val="en-US" w:eastAsia="zh-CN"/>
                    </w:rPr>
                    <w:t>4.不涉及粉尘产生</w:t>
                  </w:r>
                </w:p>
              </w:tc>
              <w:tc>
                <w:tcPr>
                  <w:tcW w:w="392" w:type="pct"/>
                  <w:noWrap w:val="0"/>
                  <w:vAlign w:val="center"/>
                </w:tcPr>
                <w:p w14:paraId="01EF9816">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7A8FE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250" w:type="pct"/>
                  <w:vMerge w:val="restart"/>
                  <w:noWrap w:val="0"/>
                  <w:vAlign w:val="center"/>
                </w:tcPr>
                <w:p w14:paraId="1169CF75">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环境</w:t>
                  </w:r>
                </w:p>
                <w:p w14:paraId="003495D5">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管理</w:t>
                  </w:r>
                </w:p>
                <w:p w14:paraId="72430AB1">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水平</w:t>
                  </w:r>
                </w:p>
              </w:tc>
              <w:tc>
                <w:tcPr>
                  <w:tcW w:w="336" w:type="pct"/>
                  <w:noWrap w:val="0"/>
                  <w:vAlign w:val="center"/>
                </w:tcPr>
                <w:p w14:paraId="02D9A63B">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环保</w:t>
                  </w:r>
                </w:p>
                <w:p w14:paraId="0E2F8298">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档案</w:t>
                  </w:r>
                </w:p>
              </w:tc>
              <w:tc>
                <w:tcPr>
                  <w:tcW w:w="2257" w:type="pct"/>
                  <w:noWrap w:val="0"/>
                  <w:vAlign w:val="center"/>
                </w:tcPr>
                <w:p w14:paraId="3E3E2B99">
                  <w:pPr>
                    <w:autoSpaceDE w:val="0"/>
                    <w:adjustRightInd w:val="0"/>
                    <w:spacing w:line="240" w:lineRule="auto"/>
                    <w:ind w:firstLine="0" w:firstLineChars="0"/>
                    <w:jc w:val="left"/>
                    <w:rPr>
                      <w:rFonts w:hint="eastAsia"/>
                      <w:b w:val="0"/>
                      <w:bCs/>
                      <w:color w:val="auto"/>
                      <w:kern w:val="0"/>
                      <w:sz w:val="21"/>
                      <w:szCs w:val="21"/>
                      <w:lang w:val="zh-CN"/>
                    </w:rPr>
                  </w:pPr>
                  <w:r>
                    <w:rPr>
                      <w:rFonts w:hint="eastAsia"/>
                      <w:b w:val="0"/>
                      <w:bCs/>
                      <w:color w:val="auto"/>
                      <w:kern w:val="0"/>
                      <w:sz w:val="21"/>
                      <w:szCs w:val="21"/>
                      <w:lang w:val="zh-CN"/>
                    </w:rPr>
                    <w:t>1.环评批复文件；</w:t>
                  </w:r>
                </w:p>
                <w:p w14:paraId="7F5996CE">
                  <w:pPr>
                    <w:autoSpaceDE w:val="0"/>
                    <w:adjustRightInd w:val="0"/>
                    <w:spacing w:line="240" w:lineRule="auto"/>
                    <w:ind w:firstLine="0" w:firstLineChars="0"/>
                    <w:jc w:val="left"/>
                    <w:rPr>
                      <w:rFonts w:hint="eastAsia"/>
                      <w:b w:val="0"/>
                      <w:bCs/>
                      <w:color w:val="auto"/>
                      <w:kern w:val="0"/>
                      <w:sz w:val="21"/>
                      <w:szCs w:val="21"/>
                      <w:lang w:val="zh-CN"/>
                    </w:rPr>
                  </w:pPr>
                  <w:r>
                    <w:rPr>
                      <w:rFonts w:hint="eastAsia"/>
                      <w:b w:val="0"/>
                      <w:bCs/>
                      <w:color w:val="auto"/>
                      <w:kern w:val="0"/>
                      <w:sz w:val="21"/>
                      <w:szCs w:val="21"/>
                      <w:lang w:val="zh-CN"/>
                    </w:rPr>
                    <w:t>2.竣工验收文件；</w:t>
                  </w:r>
                </w:p>
                <w:p w14:paraId="4F207763">
                  <w:pPr>
                    <w:autoSpaceDE w:val="0"/>
                    <w:adjustRightInd w:val="0"/>
                    <w:spacing w:line="240" w:lineRule="auto"/>
                    <w:ind w:firstLine="0" w:firstLineChars="0"/>
                    <w:jc w:val="left"/>
                    <w:rPr>
                      <w:rFonts w:hint="eastAsia"/>
                      <w:b w:val="0"/>
                      <w:bCs/>
                      <w:color w:val="auto"/>
                      <w:kern w:val="0"/>
                      <w:sz w:val="21"/>
                      <w:szCs w:val="21"/>
                      <w:lang w:val="zh-CN"/>
                    </w:rPr>
                  </w:pPr>
                  <w:r>
                    <w:rPr>
                      <w:rFonts w:hint="eastAsia"/>
                      <w:b w:val="0"/>
                      <w:bCs/>
                      <w:color w:val="auto"/>
                      <w:kern w:val="0"/>
                      <w:sz w:val="21"/>
                      <w:szCs w:val="21"/>
                      <w:lang w:val="zh-CN"/>
                    </w:rPr>
                    <w:t>3.一年内</w:t>
                  </w:r>
                  <w:r>
                    <w:rPr>
                      <w:rFonts w:hint="eastAsia"/>
                      <w:b w:val="0"/>
                      <w:bCs/>
                      <w:color w:val="auto"/>
                      <w:kern w:val="0"/>
                      <w:sz w:val="21"/>
                      <w:szCs w:val="21"/>
                      <w:lang w:val="en-US" w:eastAsia="zh-CN"/>
                    </w:rPr>
                    <w:t>第三方</w:t>
                  </w:r>
                  <w:r>
                    <w:rPr>
                      <w:rFonts w:hint="eastAsia"/>
                      <w:b w:val="0"/>
                      <w:bCs/>
                      <w:color w:val="auto"/>
                      <w:kern w:val="0"/>
                      <w:sz w:val="21"/>
                      <w:szCs w:val="21"/>
                      <w:lang w:val="zh-CN"/>
                    </w:rPr>
                    <w:t>废气</w:t>
                  </w:r>
                  <w:r>
                    <w:rPr>
                      <w:rFonts w:hint="eastAsia"/>
                      <w:b w:val="0"/>
                      <w:bCs/>
                      <w:color w:val="auto"/>
                      <w:kern w:val="0"/>
                      <w:sz w:val="21"/>
                      <w:szCs w:val="21"/>
                      <w:lang w:val="en-US" w:eastAsia="zh-CN"/>
                    </w:rPr>
                    <w:t>检测</w:t>
                  </w:r>
                  <w:r>
                    <w:rPr>
                      <w:rFonts w:hint="eastAsia"/>
                      <w:b w:val="0"/>
                      <w:bCs/>
                      <w:color w:val="auto"/>
                      <w:kern w:val="0"/>
                      <w:sz w:val="21"/>
                      <w:szCs w:val="21"/>
                      <w:lang w:val="zh-CN"/>
                    </w:rPr>
                    <w:t>报告；</w:t>
                  </w:r>
                </w:p>
              </w:tc>
              <w:tc>
                <w:tcPr>
                  <w:tcW w:w="1763" w:type="pct"/>
                  <w:noWrap w:val="0"/>
                  <w:vAlign w:val="center"/>
                </w:tcPr>
                <w:p w14:paraId="5C6BAC6D">
                  <w:pPr>
                    <w:autoSpaceDE w:val="0"/>
                    <w:adjustRightInd w:val="0"/>
                    <w:spacing w:line="240" w:lineRule="auto"/>
                    <w:ind w:firstLine="0" w:firstLineChars="0"/>
                    <w:jc w:val="left"/>
                    <w:rPr>
                      <w:rFonts w:hint="eastAsia"/>
                      <w:b w:val="0"/>
                      <w:bCs/>
                      <w:color w:val="auto"/>
                      <w:kern w:val="0"/>
                      <w:sz w:val="21"/>
                      <w:szCs w:val="21"/>
                      <w:u w:val="none"/>
                      <w:lang w:eastAsia="zh-CN"/>
                    </w:rPr>
                  </w:pPr>
                  <w:r>
                    <w:rPr>
                      <w:rFonts w:hint="eastAsia"/>
                      <w:b w:val="0"/>
                      <w:bCs/>
                      <w:color w:val="auto"/>
                      <w:kern w:val="0"/>
                      <w:sz w:val="21"/>
                      <w:szCs w:val="21"/>
                      <w:u w:val="none"/>
                      <w:lang w:eastAsia="zh-CN"/>
                    </w:rPr>
                    <w:t>本项目建成后，建立环保档案，具体包括：</w:t>
                  </w:r>
                </w:p>
                <w:p w14:paraId="109D8C43">
                  <w:pPr>
                    <w:autoSpaceDE w:val="0"/>
                    <w:adjustRightInd w:val="0"/>
                    <w:spacing w:line="240" w:lineRule="auto"/>
                    <w:ind w:firstLine="0" w:firstLineChars="0"/>
                    <w:jc w:val="left"/>
                    <w:rPr>
                      <w:rFonts w:hint="eastAsia"/>
                      <w:b w:val="0"/>
                      <w:bCs/>
                      <w:color w:val="auto"/>
                      <w:kern w:val="0"/>
                      <w:sz w:val="21"/>
                      <w:szCs w:val="21"/>
                      <w:u w:val="none"/>
                      <w:lang w:eastAsia="zh-CN"/>
                    </w:rPr>
                  </w:pPr>
                  <w:r>
                    <w:rPr>
                      <w:rFonts w:hint="eastAsia"/>
                      <w:b w:val="0"/>
                      <w:bCs/>
                      <w:color w:val="auto"/>
                      <w:kern w:val="0"/>
                      <w:sz w:val="21"/>
                      <w:szCs w:val="21"/>
                      <w:lang w:val="zh-CN"/>
                    </w:rPr>
                    <w:t>1.环评批复文件；2.竣工验收文件；3.一年内</w:t>
                  </w:r>
                  <w:r>
                    <w:rPr>
                      <w:rFonts w:hint="eastAsia"/>
                      <w:b w:val="0"/>
                      <w:bCs/>
                      <w:color w:val="auto"/>
                      <w:kern w:val="0"/>
                      <w:sz w:val="21"/>
                      <w:szCs w:val="21"/>
                      <w:lang w:val="en-US" w:eastAsia="zh-CN"/>
                    </w:rPr>
                    <w:t>第三方</w:t>
                  </w:r>
                  <w:r>
                    <w:rPr>
                      <w:rFonts w:hint="eastAsia"/>
                      <w:b w:val="0"/>
                      <w:bCs/>
                      <w:color w:val="auto"/>
                      <w:kern w:val="0"/>
                      <w:sz w:val="21"/>
                      <w:szCs w:val="21"/>
                      <w:lang w:val="zh-CN"/>
                    </w:rPr>
                    <w:t>废气</w:t>
                  </w:r>
                  <w:r>
                    <w:rPr>
                      <w:rFonts w:hint="eastAsia"/>
                      <w:b w:val="0"/>
                      <w:bCs/>
                      <w:color w:val="auto"/>
                      <w:kern w:val="0"/>
                      <w:sz w:val="21"/>
                      <w:szCs w:val="21"/>
                      <w:lang w:val="en-US" w:eastAsia="zh-CN"/>
                    </w:rPr>
                    <w:t>检测</w:t>
                  </w:r>
                  <w:r>
                    <w:rPr>
                      <w:rFonts w:hint="eastAsia"/>
                      <w:b w:val="0"/>
                      <w:bCs/>
                      <w:color w:val="auto"/>
                      <w:kern w:val="0"/>
                      <w:sz w:val="21"/>
                      <w:szCs w:val="21"/>
                      <w:lang w:val="zh-CN"/>
                    </w:rPr>
                    <w:t>报告</w:t>
                  </w:r>
                </w:p>
              </w:tc>
              <w:tc>
                <w:tcPr>
                  <w:tcW w:w="392" w:type="pct"/>
                  <w:noWrap w:val="0"/>
                  <w:vAlign w:val="center"/>
                </w:tcPr>
                <w:p w14:paraId="25BCC9C9">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056F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vMerge w:val="continue"/>
                  <w:noWrap w:val="0"/>
                  <w:vAlign w:val="center"/>
                </w:tcPr>
                <w:p w14:paraId="05EF64AD">
                  <w:pPr>
                    <w:autoSpaceDE w:val="0"/>
                    <w:adjustRightInd w:val="0"/>
                    <w:spacing w:line="240" w:lineRule="auto"/>
                    <w:ind w:firstLine="0" w:firstLineChars="0"/>
                    <w:jc w:val="center"/>
                    <w:rPr>
                      <w:rFonts w:hint="eastAsia"/>
                      <w:b w:val="0"/>
                      <w:bCs/>
                      <w:color w:val="auto"/>
                      <w:kern w:val="0"/>
                      <w:sz w:val="21"/>
                      <w:szCs w:val="21"/>
                    </w:rPr>
                  </w:pPr>
                </w:p>
              </w:tc>
              <w:tc>
                <w:tcPr>
                  <w:tcW w:w="336" w:type="pct"/>
                  <w:noWrap w:val="0"/>
                  <w:vAlign w:val="center"/>
                </w:tcPr>
                <w:p w14:paraId="377F1A7F">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台账</w:t>
                  </w:r>
                </w:p>
                <w:p w14:paraId="56BAE1AC">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记录</w:t>
                  </w:r>
                </w:p>
              </w:tc>
              <w:tc>
                <w:tcPr>
                  <w:tcW w:w="2257" w:type="pct"/>
                  <w:noWrap w:val="0"/>
                  <w:vAlign w:val="center"/>
                </w:tcPr>
                <w:p w14:paraId="7AB34ECA">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en-US" w:eastAsia="zh-CN"/>
                    </w:rPr>
                    <w:t>1.</w:t>
                  </w:r>
                  <w:r>
                    <w:rPr>
                      <w:rFonts w:hint="eastAsia"/>
                      <w:b w:val="0"/>
                      <w:bCs/>
                      <w:color w:val="auto"/>
                      <w:kern w:val="0"/>
                      <w:sz w:val="21"/>
                      <w:szCs w:val="21"/>
                      <w:lang w:val="zh-CN"/>
                    </w:rPr>
                    <w:t>完整生产管理台账（包括生产设备运行台账，原辅材料、燃料使用量、产品产量等）；</w:t>
                  </w:r>
                </w:p>
                <w:p w14:paraId="04EEAADA">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2</w:t>
                  </w:r>
                  <w:r>
                    <w:rPr>
                      <w:rFonts w:hint="eastAsia"/>
                      <w:b w:val="0"/>
                      <w:bCs/>
                      <w:color w:val="auto"/>
                      <w:kern w:val="0"/>
                      <w:sz w:val="21"/>
                      <w:szCs w:val="21"/>
                      <w:lang w:val="en-US" w:eastAsia="zh-CN"/>
                    </w:rPr>
                    <w:t>.</w:t>
                  </w:r>
                  <w:r>
                    <w:rPr>
                      <w:rFonts w:hint="eastAsia"/>
                      <w:b w:val="0"/>
                      <w:bCs/>
                      <w:color w:val="auto"/>
                      <w:kern w:val="0"/>
                      <w:sz w:val="21"/>
                      <w:szCs w:val="21"/>
                      <w:lang w:val="zh-CN"/>
                    </w:rPr>
                    <w:t>运输管理电子台账（包括车辆出入记录、车牌号、VTN号、发动机编号和排放阶段等）；</w:t>
                  </w:r>
                </w:p>
                <w:p w14:paraId="42426ABC">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3</w:t>
                  </w:r>
                  <w:r>
                    <w:rPr>
                      <w:rFonts w:hint="eastAsia"/>
                      <w:b w:val="0"/>
                      <w:bCs/>
                      <w:color w:val="auto"/>
                      <w:kern w:val="0"/>
                      <w:sz w:val="21"/>
                      <w:szCs w:val="21"/>
                      <w:lang w:val="en-US" w:eastAsia="zh-CN"/>
                    </w:rPr>
                    <w:t>.</w:t>
                  </w:r>
                  <w:r>
                    <w:rPr>
                      <w:rFonts w:hint="eastAsia"/>
                      <w:b w:val="0"/>
                      <w:bCs/>
                      <w:color w:val="auto"/>
                      <w:kern w:val="0"/>
                      <w:sz w:val="21"/>
                      <w:szCs w:val="21"/>
                      <w:lang w:val="zh-CN"/>
                    </w:rPr>
                    <w:t>设备维护记录；</w:t>
                  </w:r>
                </w:p>
                <w:p w14:paraId="5C1E0BF7">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4</w:t>
                  </w:r>
                  <w:r>
                    <w:rPr>
                      <w:rFonts w:hint="eastAsia"/>
                      <w:b w:val="0"/>
                      <w:bCs/>
                      <w:color w:val="auto"/>
                      <w:kern w:val="0"/>
                      <w:sz w:val="21"/>
                      <w:szCs w:val="21"/>
                      <w:lang w:val="en-US" w:eastAsia="zh-CN"/>
                    </w:rPr>
                    <w:t>.</w:t>
                  </w:r>
                  <w:r>
                    <w:rPr>
                      <w:rFonts w:hint="eastAsia"/>
                      <w:b w:val="0"/>
                      <w:bCs/>
                      <w:color w:val="auto"/>
                      <w:kern w:val="0"/>
                      <w:sz w:val="21"/>
                      <w:szCs w:val="21"/>
                      <w:lang w:val="zh-CN"/>
                    </w:rPr>
                    <w:t>废气治理设备清单及记录（包括主要污染治理设备、运行记录等）；</w:t>
                  </w:r>
                </w:p>
                <w:p w14:paraId="277B3399">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5</w:t>
                  </w:r>
                  <w:r>
                    <w:rPr>
                      <w:rFonts w:hint="eastAsia"/>
                      <w:b w:val="0"/>
                      <w:bCs/>
                      <w:color w:val="auto"/>
                      <w:kern w:val="0"/>
                      <w:sz w:val="21"/>
                      <w:szCs w:val="21"/>
                      <w:lang w:val="en-US" w:eastAsia="zh-CN"/>
                    </w:rPr>
                    <w:t>.</w:t>
                  </w:r>
                  <w:r>
                    <w:rPr>
                      <w:rFonts w:hint="eastAsia"/>
                      <w:b w:val="0"/>
                      <w:bCs/>
                      <w:color w:val="auto"/>
                      <w:kern w:val="0"/>
                      <w:sz w:val="21"/>
                      <w:szCs w:val="21"/>
                      <w:lang w:val="zh-CN"/>
                    </w:rPr>
                    <w:t>耗材清单（除尘器等滤料更换记录）；</w:t>
                  </w:r>
                </w:p>
              </w:tc>
              <w:tc>
                <w:tcPr>
                  <w:tcW w:w="1763" w:type="pct"/>
                  <w:noWrap w:val="0"/>
                  <w:vAlign w:val="center"/>
                </w:tcPr>
                <w:p w14:paraId="6889C76F">
                  <w:pPr>
                    <w:autoSpaceDE w:val="0"/>
                    <w:adjustRightInd w:val="0"/>
                    <w:spacing w:line="240" w:lineRule="auto"/>
                    <w:ind w:left="-63" w:leftChars="-30" w:right="-63" w:rightChars="-30" w:firstLine="0" w:firstLineChars="0"/>
                    <w:jc w:val="left"/>
                    <w:rPr>
                      <w:rFonts w:hint="eastAsia"/>
                      <w:b w:val="0"/>
                      <w:bCs/>
                      <w:color w:val="auto"/>
                      <w:sz w:val="21"/>
                      <w:szCs w:val="21"/>
                      <w:u w:val="none"/>
                    </w:rPr>
                  </w:pPr>
                  <w:r>
                    <w:rPr>
                      <w:rFonts w:hint="eastAsia"/>
                      <w:b w:val="0"/>
                      <w:bCs/>
                      <w:color w:val="auto"/>
                      <w:sz w:val="21"/>
                      <w:szCs w:val="21"/>
                      <w:u w:val="none"/>
                      <w:lang w:eastAsia="zh-CN"/>
                    </w:rPr>
                    <w:t>本</w:t>
                  </w:r>
                  <w:r>
                    <w:rPr>
                      <w:rFonts w:hint="eastAsia"/>
                      <w:b w:val="0"/>
                      <w:bCs/>
                      <w:color w:val="auto"/>
                      <w:sz w:val="21"/>
                      <w:szCs w:val="21"/>
                      <w:u w:val="none"/>
                      <w:lang w:val="en-US" w:eastAsia="zh-CN"/>
                    </w:rPr>
                    <w:t>项目</w:t>
                  </w:r>
                  <w:r>
                    <w:rPr>
                      <w:rFonts w:hint="eastAsia"/>
                      <w:b w:val="0"/>
                      <w:bCs/>
                      <w:color w:val="auto"/>
                      <w:sz w:val="21"/>
                      <w:szCs w:val="21"/>
                      <w:u w:val="none"/>
                    </w:rPr>
                    <w:t>建成后，建立环境管理台账，具体包括：</w:t>
                  </w:r>
                </w:p>
                <w:p w14:paraId="319DF5C2">
                  <w:pPr>
                    <w:numPr>
                      <w:ilvl w:val="0"/>
                      <w:numId w:val="0"/>
                    </w:numPr>
                    <w:autoSpaceDE w:val="0"/>
                    <w:adjustRightInd w:val="0"/>
                    <w:spacing w:line="240" w:lineRule="auto"/>
                    <w:jc w:val="left"/>
                    <w:rPr>
                      <w:rFonts w:hint="eastAsia"/>
                      <w:b w:val="0"/>
                      <w:bCs/>
                      <w:color w:val="auto"/>
                      <w:kern w:val="0"/>
                      <w:sz w:val="21"/>
                      <w:szCs w:val="21"/>
                      <w:u w:val="none"/>
                      <w:lang w:eastAsia="zh-CN"/>
                    </w:rPr>
                  </w:pPr>
                  <w:r>
                    <w:rPr>
                      <w:rFonts w:hint="eastAsia"/>
                      <w:b w:val="0"/>
                      <w:bCs/>
                      <w:color w:val="auto"/>
                      <w:kern w:val="0"/>
                      <w:sz w:val="21"/>
                      <w:szCs w:val="21"/>
                      <w:lang w:val="en-US" w:eastAsia="zh-CN"/>
                    </w:rPr>
                    <w:t>1.</w:t>
                  </w:r>
                  <w:r>
                    <w:rPr>
                      <w:rFonts w:hint="eastAsia"/>
                      <w:b w:val="0"/>
                      <w:bCs/>
                      <w:color w:val="auto"/>
                      <w:kern w:val="0"/>
                      <w:sz w:val="21"/>
                      <w:szCs w:val="21"/>
                      <w:lang w:val="zh-CN"/>
                    </w:rPr>
                    <w:t>完整生产管理台账（包括生产设备运行台账，原辅材料、燃料使用量、产品产量等）；2</w:t>
                  </w:r>
                  <w:r>
                    <w:rPr>
                      <w:rFonts w:hint="eastAsia"/>
                      <w:b w:val="0"/>
                      <w:bCs/>
                      <w:color w:val="auto"/>
                      <w:kern w:val="0"/>
                      <w:sz w:val="21"/>
                      <w:szCs w:val="21"/>
                      <w:lang w:val="en-US" w:eastAsia="zh-CN"/>
                    </w:rPr>
                    <w:t>.</w:t>
                  </w:r>
                  <w:r>
                    <w:rPr>
                      <w:rFonts w:hint="eastAsia"/>
                      <w:b w:val="0"/>
                      <w:bCs/>
                      <w:color w:val="auto"/>
                      <w:kern w:val="0"/>
                      <w:sz w:val="21"/>
                      <w:szCs w:val="21"/>
                      <w:lang w:val="zh-CN"/>
                    </w:rPr>
                    <w:t>运输管理电子台账（包括车辆出入记录、车牌号、VTN号、发动机编号和排放阶段等）；3</w:t>
                  </w:r>
                  <w:r>
                    <w:rPr>
                      <w:rFonts w:hint="eastAsia"/>
                      <w:b w:val="0"/>
                      <w:bCs/>
                      <w:color w:val="auto"/>
                      <w:kern w:val="0"/>
                      <w:sz w:val="21"/>
                      <w:szCs w:val="21"/>
                      <w:lang w:val="en-US" w:eastAsia="zh-CN"/>
                    </w:rPr>
                    <w:t>.</w:t>
                  </w:r>
                  <w:r>
                    <w:rPr>
                      <w:rFonts w:hint="eastAsia"/>
                      <w:b w:val="0"/>
                      <w:bCs/>
                      <w:color w:val="auto"/>
                      <w:kern w:val="0"/>
                      <w:sz w:val="21"/>
                      <w:szCs w:val="21"/>
                      <w:lang w:val="zh-CN"/>
                    </w:rPr>
                    <w:t>设备维护记录；4</w:t>
                  </w:r>
                  <w:r>
                    <w:rPr>
                      <w:rFonts w:hint="eastAsia"/>
                      <w:b w:val="0"/>
                      <w:bCs/>
                      <w:color w:val="auto"/>
                      <w:kern w:val="0"/>
                      <w:sz w:val="21"/>
                      <w:szCs w:val="21"/>
                      <w:lang w:val="en-US" w:eastAsia="zh-CN"/>
                    </w:rPr>
                    <w:t>.</w:t>
                  </w:r>
                  <w:r>
                    <w:rPr>
                      <w:rFonts w:hint="eastAsia"/>
                      <w:b w:val="0"/>
                      <w:bCs/>
                      <w:color w:val="auto"/>
                      <w:kern w:val="0"/>
                      <w:sz w:val="21"/>
                      <w:szCs w:val="21"/>
                      <w:lang w:val="zh-CN"/>
                    </w:rPr>
                    <w:t>废气治理设备清单及记录（包括主要污染治理设备、运行记录等）；5</w:t>
                  </w:r>
                  <w:r>
                    <w:rPr>
                      <w:rFonts w:hint="eastAsia"/>
                      <w:b w:val="0"/>
                      <w:bCs/>
                      <w:color w:val="auto"/>
                      <w:kern w:val="0"/>
                      <w:sz w:val="21"/>
                      <w:szCs w:val="21"/>
                      <w:lang w:val="en-US" w:eastAsia="zh-CN"/>
                    </w:rPr>
                    <w:t>.</w:t>
                  </w:r>
                  <w:r>
                    <w:rPr>
                      <w:rFonts w:hint="eastAsia"/>
                      <w:b w:val="0"/>
                      <w:bCs/>
                      <w:color w:val="auto"/>
                      <w:kern w:val="0"/>
                      <w:sz w:val="21"/>
                      <w:szCs w:val="21"/>
                      <w:lang w:val="zh-CN"/>
                    </w:rPr>
                    <w:t>耗材清单（除尘器等滤料更换记录）</w:t>
                  </w:r>
                </w:p>
              </w:tc>
              <w:tc>
                <w:tcPr>
                  <w:tcW w:w="392" w:type="pct"/>
                  <w:noWrap w:val="0"/>
                  <w:vAlign w:val="center"/>
                </w:tcPr>
                <w:p w14:paraId="1D7C9208">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0D109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 w:type="pct"/>
                  <w:vMerge w:val="continue"/>
                  <w:noWrap w:val="0"/>
                  <w:vAlign w:val="center"/>
                </w:tcPr>
                <w:p w14:paraId="6A485440">
                  <w:pPr>
                    <w:autoSpaceDE w:val="0"/>
                    <w:adjustRightInd w:val="0"/>
                    <w:spacing w:line="240" w:lineRule="auto"/>
                    <w:ind w:firstLine="0" w:firstLineChars="0"/>
                    <w:jc w:val="center"/>
                    <w:rPr>
                      <w:rFonts w:hint="eastAsia"/>
                      <w:b w:val="0"/>
                      <w:bCs/>
                      <w:color w:val="auto"/>
                      <w:kern w:val="0"/>
                      <w:sz w:val="21"/>
                      <w:szCs w:val="21"/>
                    </w:rPr>
                  </w:pPr>
                </w:p>
              </w:tc>
              <w:tc>
                <w:tcPr>
                  <w:tcW w:w="336" w:type="pct"/>
                  <w:noWrap w:val="0"/>
                  <w:vAlign w:val="center"/>
                </w:tcPr>
                <w:p w14:paraId="752D0878">
                  <w:pPr>
                    <w:autoSpaceDE w:val="0"/>
                    <w:adjustRightInd w:val="0"/>
                    <w:spacing w:line="240" w:lineRule="auto"/>
                    <w:ind w:firstLine="0" w:firstLineChars="0"/>
                    <w:jc w:val="center"/>
                    <w:rPr>
                      <w:rFonts w:hint="default" w:eastAsia="宋体"/>
                      <w:b w:val="0"/>
                      <w:bCs/>
                      <w:color w:val="auto"/>
                      <w:kern w:val="0"/>
                      <w:sz w:val="21"/>
                      <w:szCs w:val="21"/>
                      <w:lang w:val="en-US" w:eastAsia="zh-CN"/>
                    </w:rPr>
                  </w:pPr>
                  <w:r>
                    <w:rPr>
                      <w:rFonts w:hint="eastAsia"/>
                      <w:b w:val="0"/>
                      <w:bCs/>
                      <w:color w:val="auto"/>
                      <w:kern w:val="0"/>
                      <w:sz w:val="21"/>
                      <w:szCs w:val="21"/>
                      <w:lang w:val="en-US" w:eastAsia="zh-CN"/>
                    </w:rPr>
                    <w:t>环境管理</w:t>
                  </w:r>
                </w:p>
              </w:tc>
              <w:tc>
                <w:tcPr>
                  <w:tcW w:w="2257" w:type="pct"/>
                  <w:noWrap w:val="0"/>
                  <w:vAlign w:val="center"/>
                </w:tcPr>
                <w:p w14:paraId="731E3DED">
                  <w:pPr>
                    <w:autoSpaceDE w:val="0"/>
                    <w:adjustRightInd w:val="0"/>
                    <w:spacing w:line="240" w:lineRule="auto"/>
                    <w:ind w:firstLine="0" w:firstLineChars="0"/>
                    <w:jc w:val="center"/>
                    <w:rPr>
                      <w:rFonts w:hint="eastAsia"/>
                      <w:b w:val="0"/>
                      <w:bCs/>
                      <w:color w:val="auto"/>
                      <w:kern w:val="0"/>
                      <w:sz w:val="21"/>
                      <w:szCs w:val="21"/>
                      <w:lang w:val="zh-CN"/>
                    </w:rPr>
                  </w:pPr>
                  <w:r>
                    <w:rPr>
                      <w:rFonts w:hint="eastAsia"/>
                      <w:b w:val="0"/>
                      <w:bCs/>
                      <w:color w:val="auto"/>
                      <w:kern w:val="0"/>
                      <w:sz w:val="21"/>
                      <w:szCs w:val="21"/>
                      <w:lang w:val="en-US" w:eastAsia="zh-CN"/>
                    </w:rPr>
                    <w:t>1.</w:t>
                  </w:r>
                  <w:r>
                    <w:rPr>
                      <w:rFonts w:hint="eastAsia"/>
                      <w:b w:val="0"/>
                      <w:bCs/>
                      <w:color w:val="auto"/>
                      <w:kern w:val="0"/>
                      <w:sz w:val="21"/>
                      <w:szCs w:val="21"/>
                      <w:lang w:val="zh-CN"/>
                    </w:rPr>
                    <w:t>专兼职环保人员；2</w:t>
                  </w:r>
                  <w:r>
                    <w:rPr>
                      <w:rFonts w:hint="eastAsia"/>
                      <w:b w:val="0"/>
                      <w:bCs/>
                      <w:color w:val="auto"/>
                      <w:kern w:val="0"/>
                      <w:sz w:val="21"/>
                      <w:szCs w:val="21"/>
                      <w:lang w:val="en-US" w:eastAsia="zh-CN"/>
                    </w:rPr>
                    <w:t>.</w:t>
                  </w:r>
                  <w:r>
                    <w:rPr>
                      <w:rFonts w:hint="eastAsia"/>
                      <w:b w:val="0"/>
                      <w:bCs/>
                      <w:color w:val="auto"/>
                      <w:kern w:val="0"/>
                      <w:sz w:val="21"/>
                      <w:szCs w:val="21"/>
                      <w:lang w:val="zh-CN"/>
                    </w:rPr>
                    <w:t>废气治理设施运行管理规程。</w:t>
                  </w:r>
                </w:p>
              </w:tc>
              <w:tc>
                <w:tcPr>
                  <w:tcW w:w="1763" w:type="pct"/>
                  <w:noWrap w:val="0"/>
                  <w:vAlign w:val="center"/>
                </w:tcPr>
                <w:p w14:paraId="326EFAB5">
                  <w:pPr>
                    <w:autoSpaceDE w:val="0"/>
                    <w:adjustRightInd w:val="0"/>
                    <w:spacing w:line="240" w:lineRule="auto"/>
                    <w:ind w:firstLine="0" w:firstLineChars="0"/>
                    <w:jc w:val="left"/>
                    <w:rPr>
                      <w:rFonts w:hint="eastAsia"/>
                      <w:b w:val="0"/>
                      <w:bCs/>
                      <w:color w:val="auto"/>
                      <w:kern w:val="0"/>
                      <w:sz w:val="21"/>
                      <w:szCs w:val="21"/>
                      <w:u w:val="none"/>
                      <w:lang w:eastAsia="zh-CN"/>
                    </w:rPr>
                  </w:pPr>
                  <w:r>
                    <w:rPr>
                      <w:rFonts w:hint="eastAsia"/>
                      <w:b w:val="0"/>
                      <w:bCs/>
                      <w:color w:val="auto"/>
                      <w:kern w:val="0"/>
                      <w:sz w:val="21"/>
                      <w:szCs w:val="21"/>
                      <w:u w:val="none"/>
                      <w:lang w:eastAsia="zh-CN"/>
                    </w:rPr>
                    <w:t>本项目投产前，为切实承担环保责任，建设单位成立环保部门，配备专职环保人员，并</w:t>
                  </w:r>
                  <w:r>
                    <w:rPr>
                      <w:rFonts w:hint="eastAsia"/>
                      <w:b w:val="0"/>
                      <w:bCs/>
                      <w:color w:val="auto"/>
                      <w:kern w:val="0"/>
                      <w:sz w:val="21"/>
                      <w:szCs w:val="21"/>
                      <w:u w:val="none"/>
                      <w:lang w:val="en-US" w:eastAsia="zh-CN"/>
                    </w:rPr>
                    <w:t>制定</w:t>
                  </w:r>
                  <w:r>
                    <w:rPr>
                      <w:rFonts w:hint="eastAsia"/>
                      <w:b w:val="0"/>
                      <w:bCs/>
                      <w:color w:val="auto"/>
                      <w:kern w:val="0"/>
                      <w:sz w:val="21"/>
                      <w:szCs w:val="21"/>
                      <w:u w:val="none"/>
                      <w:lang w:eastAsia="zh-CN"/>
                    </w:rPr>
                    <w:t>废气治理设施运行管理规程</w:t>
                  </w:r>
                </w:p>
              </w:tc>
              <w:tc>
                <w:tcPr>
                  <w:tcW w:w="392" w:type="pct"/>
                  <w:noWrap w:val="0"/>
                  <w:vAlign w:val="center"/>
                </w:tcPr>
                <w:p w14:paraId="01AB0F46">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64F56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noWrap w:val="0"/>
                  <w:vAlign w:val="center"/>
                </w:tcPr>
                <w:p w14:paraId="7A656295">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运输方式</w:t>
                  </w:r>
                </w:p>
              </w:tc>
              <w:tc>
                <w:tcPr>
                  <w:tcW w:w="2257" w:type="pct"/>
                  <w:noWrap w:val="0"/>
                  <w:vAlign w:val="center"/>
                </w:tcPr>
                <w:p w14:paraId="32F9058D">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en-US" w:eastAsia="zh-CN"/>
                    </w:rPr>
                    <w:t>1.</w:t>
                  </w:r>
                  <w:r>
                    <w:rPr>
                      <w:rFonts w:hint="eastAsia"/>
                      <w:b w:val="0"/>
                      <w:bCs/>
                      <w:color w:val="auto"/>
                      <w:kern w:val="0"/>
                      <w:sz w:val="21"/>
                      <w:szCs w:val="21"/>
                      <w:lang w:val="zh-CN"/>
                    </w:rPr>
                    <w:t>物料公路运输全部使用达到国五及以上排放标准重型载货车辆（含燃气）或新能源车辆；</w:t>
                  </w:r>
                </w:p>
                <w:p w14:paraId="48F521E0">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2</w:t>
                  </w:r>
                  <w:r>
                    <w:rPr>
                      <w:rFonts w:hint="eastAsia"/>
                      <w:b w:val="0"/>
                      <w:bCs/>
                      <w:color w:val="auto"/>
                      <w:kern w:val="0"/>
                      <w:sz w:val="21"/>
                      <w:szCs w:val="21"/>
                      <w:lang w:val="en-US" w:eastAsia="zh-CN"/>
                    </w:rPr>
                    <w:t>.</w:t>
                  </w:r>
                  <w:r>
                    <w:rPr>
                      <w:rFonts w:hint="eastAsia"/>
                      <w:b w:val="0"/>
                      <w:bCs/>
                      <w:color w:val="auto"/>
                      <w:kern w:val="0"/>
                      <w:sz w:val="21"/>
                      <w:szCs w:val="21"/>
                      <w:lang w:val="zh-CN"/>
                    </w:rPr>
                    <w:t>厂内运输车辆全部达到国五及以上排放标准（含燃气）或使用新能源车辆；</w:t>
                  </w:r>
                </w:p>
                <w:p w14:paraId="715FC5CA">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3</w:t>
                  </w:r>
                  <w:r>
                    <w:rPr>
                      <w:rFonts w:hint="eastAsia"/>
                      <w:b w:val="0"/>
                      <w:bCs/>
                      <w:color w:val="auto"/>
                      <w:kern w:val="0"/>
                      <w:sz w:val="21"/>
                      <w:szCs w:val="21"/>
                      <w:lang w:val="en-US" w:eastAsia="zh-CN"/>
                    </w:rPr>
                    <w:t>.</w:t>
                  </w:r>
                  <w:r>
                    <w:rPr>
                      <w:rFonts w:hint="eastAsia"/>
                      <w:b w:val="0"/>
                      <w:bCs/>
                      <w:color w:val="auto"/>
                      <w:kern w:val="0"/>
                      <w:sz w:val="21"/>
                      <w:szCs w:val="21"/>
                      <w:lang w:val="zh-CN"/>
                    </w:rPr>
                    <w:t>厂内非道路移动机械全部达到国三及以上排放标准或使用新能源机械。</w:t>
                  </w:r>
                </w:p>
              </w:tc>
              <w:tc>
                <w:tcPr>
                  <w:tcW w:w="1763" w:type="pct"/>
                  <w:noWrap w:val="0"/>
                  <w:vAlign w:val="center"/>
                </w:tcPr>
                <w:p w14:paraId="3F29CBD9">
                  <w:pPr>
                    <w:autoSpaceDE w:val="0"/>
                    <w:adjustRightInd w:val="0"/>
                    <w:spacing w:line="240" w:lineRule="auto"/>
                    <w:ind w:left="-63" w:leftChars="-30" w:right="-63" w:rightChars="-30" w:firstLine="0" w:firstLineChars="0"/>
                    <w:jc w:val="left"/>
                    <w:rPr>
                      <w:rFonts w:hint="eastAsia"/>
                      <w:b w:val="0"/>
                      <w:bCs/>
                      <w:color w:val="auto"/>
                      <w:sz w:val="21"/>
                      <w:szCs w:val="21"/>
                      <w:u w:val="none"/>
                    </w:rPr>
                  </w:pPr>
                  <w:r>
                    <w:rPr>
                      <w:rFonts w:hint="eastAsia"/>
                      <w:b w:val="0"/>
                      <w:bCs/>
                      <w:color w:val="auto"/>
                      <w:sz w:val="21"/>
                      <w:szCs w:val="21"/>
                      <w:u w:val="none"/>
                      <w:lang w:eastAsia="zh-CN"/>
                    </w:rPr>
                    <w:t>本</w:t>
                  </w:r>
                  <w:r>
                    <w:rPr>
                      <w:rFonts w:hint="eastAsia"/>
                      <w:b w:val="0"/>
                      <w:bCs/>
                      <w:color w:val="auto"/>
                      <w:sz w:val="21"/>
                      <w:szCs w:val="21"/>
                      <w:u w:val="none"/>
                      <w:lang w:val="en-US" w:eastAsia="zh-CN"/>
                    </w:rPr>
                    <w:t>项目</w:t>
                  </w:r>
                  <w:r>
                    <w:rPr>
                      <w:rFonts w:hint="eastAsia"/>
                      <w:b w:val="0"/>
                      <w:bCs/>
                      <w:color w:val="auto"/>
                      <w:sz w:val="21"/>
                      <w:szCs w:val="21"/>
                      <w:u w:val="none"/>
                    </w:rPr>
                    <w:t>建成后，物料运输严格执行如下规定：</w:t>
                  </w:r>
                </w:p>
                <w:p w14:paraId="75E411E9">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en-US" w:eastAsia="zh-CN"/>
                    </w:rPr>
                    <w:t>1.</w:t>
                  </w:r>
                  <w:r>
                    <w:rPr>
                      <w:rFonts w:hint="eastAsia"/>
                      <w:b w:val="0"/>
                      <w:bCs/>
                      <w:color w:val="auto"/>
                      <w:kern w:val="0"/>
                      <w:sz w:val="21"/>
                      <w:szCs w:val="21"/>
                      <w:lang w:val="zh-CN"/>
                    </w:rPr>
                    <w:t>物料公路运输全部使用达到国五及以上排放标准重型载货车辆（含燃气）或新能源车辆；</w:t>
                  </w:r>
                </w:p>
                <w:p w14:paraId="6934330C">
                  <w:pPr>
                    <w:numPr>
                      <w:ilvl w:val="0"/>
                      <w:numId w:val="0"/>
                    </w:numPr>
                    <w:autoSpaceDE w:val="0"/>
                    <w:adjustRightInd w:val="0"/>
                    <w:spacing w:line="240" w:lineRule="auto"/>
                    <w:jc w:val="left"/>
                    <w:rPr>
                      <w:rFonts w:hint="eastAsia"/>
                      <w:b w:val="0"/>
                      <w:bCs/>
                      <w:color w:val="auto"/>
                      <w:kern w:val="0"/>
                      <w:sz w:val="21"/>
                      <w:szCs w:val="21"/>
                      <w:lang w:val="zh-CN"/>
                    </w:rPr>
                  </w:pPr>
                  <w:r>
                    <w:rPr>
                      <w:rFonts w:hint="eastAsia"/>
                      <w:b w:val="0"/>
                      <w:bCs/>
                      <w:color w:val="auto"/>
                      <w:kern w:val="0"/>
                      <w:sz w:val="21"/>
                      <w:szCs w:val="21"/>
                      <w:lang w:val="zh-CN"/>
                    </w:rPr>
                    <w:t>2</w:t>
                  </w:r>
                  <w:r>
                    <w:rPr>
                      <w:rFonts w:hint="eastAsia"/>
                      <w:b w:val="0"/>
                      <w:bCs/>
                      <w:color w:val="auto"/>
                      <w:kern w:val="0"/>
                      <w:sz w:val="21"/>
                      <w:szCs w:val="21"/>
                      <w:lang w:val="en-US" w:eastAsia="zh-CN"/>
                    </w:rPr>
                    <w:t>.</w:t>
                  </w:r>
                  <w:r>
                    <w:rPr>
                      <w:rFonts w:hint="eastAsia"/>
                      <w:b w:val="0"/>
                      <w:bCs/>
                      <w:color w:val="auto"/>
                      <w:kern w:val="0"/>
                      <w:sz w:val="21"/>
                      <w:szCs w:val="21"/>
                      <w:lang w:val="zh-CN"/>
                    </w:rPr>
                    <w:t>厂内运输车辆全部达到国五及以上排放标准（含燃气）或使用新能源车辆；</w:t>
                  </w:r>
                </w:p>
                <w:p w14:paraId="33AF02A9">
                  <w:pPr>
                    <w:autoSpaceDE w:val="0"/>
                    <w:adjustRightInd w:val="0"/>
                    <w:spacing w:line="240" w:lineRule="auto"/>
                    <w:ind w:left="-63" w:leftChars="-30" w:right="-63" w:rightChars="-30" w:firstLine="0" w:firstLineChars="0"/>
                    <w:jc w:val="left"/>
                    <w:rPr>
                      <w:rFonts w:hint="eastAsia"/>
                      <w:b w:val="0"/>
                      <w:bCs/>
                      <w:color w:val="auto"/>
                      <w:kern w:val="0"/>
                      <w:sz w:val="21"/>
                      <w:szCs w:val="21"/>
                      <w:u w:val="none"/>
                      <w:lang w:eastAsia="zh-CN"/>
                    </w:rPr>
                  </w:pPr>
                  <w:r>
                    <w:rPr>
                      <w:rFonts w:hint="eastAsia"/>
                      <w:b w:val="0"/>
                      <w:bCs/>
                      <w:color w:val="auto"/>
                      <w:kern w:val="0"/>
                      <w:sz w:val="21"/>
                      <w:szCs w:val="21"/>
                      <w:lang w:val="zh-CN"/>
                    </w:rPr>
                    <w:t>3</w:t>
                  </w:r>
                  <w:r>
                    <w:rPr>
                      <w:rFonts w:hint="eastAsia"/>
                      <w:b w:val="0"/>
                      <w:bCs/>
                      <w:color w:val="auto"/>
                      <w:kern w:val="0"/>
                      <w:sz w:val="21"/>
                      <w:szCs w:val="21"/>
                      <w:lang w:val="en-US" w:eastAsia="zh-CN"/>
                    </w:rPr>
                    <w:t>.</w:t>
                  </w:r>
                  <w:r>
                    <w:rPr>
                      <w:rFonts w:hint="eastAsia"/>
                      <w:b w:val="0"/>
                      <w:bCs/>
                      <w:color w:val="auto"/>
                      <w:kern w:val="0"/>
                      <w:sz w:val="21"/>
                      <w:szCs w:val="21"/>
                      <w:lang w:val="zh-CN"/>
                    </w:rPr>
                    <w:t>厂内非道路移动机械全部达到国三及以上排放标准或使用新能源机械</w:t>
                  </w:r>
                </w:p>
              </w:tc>
              <w:tc>
                <w:tcPr>
                  <w:tcW w:w="392" w:type="pct"/>
                  <w:noWrap w:val="0"/>
                  <w:vAlign w:val="center"/>
                </w:tcPr>
                <w:p w14:paraId="0B914D1C">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r w14:paraId="0E264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6" w:type="pct"/>
                  <w:gridSpan w:val="2"/>
                  <w:noWrap w:val="0"/>
                  <w:vAlign w:val="center"/>
                </w:tcPr>
                <w:p w14:paraId="57DBD635">
                  <w:pPr>
                    <w:autoSpaceDE w:val="0"/>
                    <w:adjustRightInd w:val="0"/>
                    <w:spacing w:line="240" w:lineRule="auto"/>
                    <w:ind w:firstLine="0" w:firstLineChars="0"/>
                    <w:jc w:val="center"/>
                    <w:rPr>
                      <w:rFonts w:hint="eastAsia"/>
                      <w:b w:val="0"/>
                      <w:bCs/>
                      <w:color w:val="auto"/>
                      <w:kern w:val="0"/>
                      <w:sz w:val="21"/>
                      <w:szCs w:val="21"/>
                    </w:rPr>
                  </w:pPr>
                  <w:r>
                    <w:rPr>
                      <w:rFonts w:hint="eastAsia"/>
                      <w:b w:val="0"/>
                      <w:bCs/>
                      <w:color w:val="auto"/>
                      <w:kern w:val="0"/>
                      <w:sz w:val="21"/>
                      <w:szCs w:val="21"/>
                    </w:rPr>
                    <w:t>运输监管</w:t>
                  </w:r>
                </w:p>
              </w:tc>
              <w:tc>
                <w:tcPr>
                  <w:tcW w:w="2257" w:type="pct"/>
                  <w:noWrap w:val="0"/>
                  <w:vAlign w:val="center"/>
                </w:tcPr>
                <w:p w14:paraId="6837FC15">
                  <w:pPr>
                    <w:autoSpaceDE w:val="0"/>
                    <w:adjustRightInd w:val="0"/>
                    <w:spacing w:line="240" w:lineRule="auto"/>
                    <w:ind w:firstLine="0" w:firstLineChars="0"/>
                    <w:jc w:val="left"/>
                    <w:rPr>
                      <w:rFonts w:hint="eastAsia"/>
                      <w:b w:val="0"/>
                      <w:bCs/>
                      <w:color w:val="auto"/>
                      <w:kern w:val="0"/>
                      <w:sz w:val="21"/>
                      <w:szCs w:val="21"/>
                      <w:lang w:val="zh-CN"/>
                    </w:rPr>
                  </w:pPr>
                  <w:r>
                    <w:rPr>
                      <w:rFonts w:hint="eastAsia"/>
                      <w:b w:val="0"/>
                      <w:bCs/>
                      <w:color w:val="auto"/>
                      <w:kern w:val="0"/>
                      <w:sz w:val="21"/>
                      <w:szCs w:val="21"/>
                      <w:lang w:val="zh-CN"/>
                    </w:rPr>
                    <w:t>参照《重污染天气重点行业移动源应急管理技术指南》建立门禁系统和电子台账。</w:t>
                  </w:r>
                </w:p>
              </w:tc>
              <w:tc>
                <w:tcPr>
                  <w:tcW w:w="1763" w:type="pct"/>
                  <w:noWrap w:val="0"/>
                  <w:vAlign w:val="center"/>
                </w:tcPr>
                <w:p w14:paraId="1448ECBB">
                  <w:pPr>
                    <w:autoSpaceDE w:val="0"/>
                    <w:adjustRightInd w:val="0"/>
                    <w:spacing w:line="240" w:lineRule="auto"/>
                    <w:ind w:firstLine="0" w:firstLineChars="0"/>
                    <w:jc w:val="left"/>
                    <w:rPr>
                      <w:rFonts w:hint="eastAsia"/>
                      <w:b w:val="0"/>
                      <w:bCs/>
                      <w:color w:val="auto"/>
                      <w:kern w:val="0"/>
                      <w:sz w:val="21"/>
                      <w:szCs w:val="21"/>
                      <w:u w:val="none"/>
                      <w:lang w:eastAsia="zh-CN"/>
                    </w:rPr>
                  </w:pPr>
                  <w:r>
                    <w:rPr>
                      <w:rFonts w:hint="eastAsia"/>
                      <w:b w:val="0"/>
                      <w:bCs/>
                      <w:color w:val="auto"/>
                      <w:kern w:val="0"/>
                      <w:sz w:val="21"/>
                      <w:szCs w:val="21"/>
                      <w:u w:val="none"/>
                      <w:lang w:val="en-US" w:eastAsia="zh-CN"/>
                    </w:rPr>
                    <w:t>本项目</w:t>
                  </w:r>
                  <w:r>
                    <w:rPr>
                      <w:rFonts w:hint="eastAsia"/>
                      <w:b w:val="0"/>
                      <w:bCs/>
                      <w:color w:val="auto"/>
                      <w:kern w:val="0"/>
                      <w:sz w:val="21"/>
                      <w:szCs w:val="21"/>
                      <w:u w:val="none"/>
                      <w:lang w:eastAsia="zh-CN"/>
                    </w:rPr>
                    <w:t>参照《重污染天气重点行业移动源应急管理技术指南》建立门禁系统和电子台账</w:t>
                  </w:r>
                </w:p>
              </w:tc>
              <w:tc>
                <w:tcPr>
                  <w:tcW w:w="392" w:type="pct"/>
                  <w:noWrap w:val="0"/>
                  <w:vAlign w:val="center"/>
                </w:tcPr>
                <w:p w14:paraId="5A857559">
                  <w:pPr>
                    <w:autoSpaceDE w:val="0"/>
                    <w:adjustRightInd w:val="0"/>
                    <w:spacing w:line="240" w:lineRule="auto"/>
                    <w:ind w:left="-105" w:leftChars="-50" w:right="-105" w:rightChars="-50" w:firstLine="0" w:firstLineChars="0"/>
                    <w:jc w:val="center"/>
                    <w:rPr>
                      <w:rFonts w:hint="eastAsia"/>
                      <w:b w:val="0"/>
                      <w:bCs/>
                      <w:color w:val="auto"/>
                      <w:kern w:val="0"/>
                      <w:sz w:val="21"/>
                      <w:szCs w:val="21"/>
                    </w:rPr>
                  </w:pPr>
                  <w:r>
                    <w:rPr>
                      <w:rFonts w:hint="eastAsia"/>
                      <w:b w:val="0"/>
                      <w:bCs/>
                      <w:color w:val="auto"/>
                      <w:kern w:val="0"/>
                      <w:sz w:val="21"/>
                      <w:szCs w:val="21"/>
                      <w:lang w:val="en-US" w:eastAsia="zh-CN"/>
                    </w:rPr>
                    <w:t>相符</w:t>
                  </w:r>
                </w:p>
              </w:tc>
            </w:tr>
          </w:tbl>
          <w:p w14:paraId="257A7E22">
            <w:pPr>
              <w:pStyle w:val="85"/>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360" w:lineRule="auto"/>
              <w:ind w:leftChars="0" w:firstLine="480" w:firstLineChars="200"/>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综上，本项目</w:t>
            </w:r>
            <w:r>
              <w:rPr>
                <w:rFonts w:hint="eastAsia" w:ascii="Times New Roman" w:hAnsi="Times New Roman" w:eastAsia="宋体" w:cs="Times New Roman"/>
                <w:color w:val="auto"/>
                <w:sz w:val="24"/>
                <w:szCs w:val="24"/>
                <w:lang w:val="en-US" w:eastAsia="zh-CN"/>
              </w:rPr>
              <w:t>满足《关于印发〈重污染天气重点行业应急减排措施制定技术指南（2020年修订版）〉的函》（环办大气函〔2020〕340号）中十九、玻璃－玻璃后加工企业绩效引领性指标</w:t>
            </w:r>
            <w:r>
              <w:rPr>
                <w:rFonts w:hint="default" w:ascii="Times New Roman" w:hAnsi="Times New Roman" w:eastAsia="宋体" w:cs="Times New Roman"/>
                <w:color w:val="auto"/>
                <w:sz w:val="24"/>
                <w:szCs w:val="24"/>
                <w:lang w:val="en-US" w:eastAsia="zh-CN"/>
              </w:rPr>
              <w:t>。</w:t>
            </w:r>
          </w:p>
          <w:p w14:paraId="59DCD0FB">
            <w:pPr>
              <w:pStyle w:val="85"/>
              <w:tabs>
                <w:tab w:val="left" w:pos="420"/>
              </w:tabs>
              <w:bidi w:val="0"/>
              <w:spacing w:line="240" w:lineRule="auto"/>
              <w:ind w:left="0" w:leftChars="0" w:firstLine="0" w:firstLineChars="0"/>
              <w:rPr>
                <w:rFonts w:hint="default" w:ascii="Times New Roman" w:hAnsi="Times New Roman" w:eastAsia="宋体" w:cs="Times New Roman"/>
                <w:b/>
                <w:bCs/>
                <w:snapToGrid w:val="0"/>
                <w:kern w:val="0"/>
                <w:sz w:val="24"/>
                <w:szCs w:val="21"/>
                <w:highlight w:val="none"/>
                <w:lang w:val="en-US" w:eastAsia="zh-CN" w:bidi="ar-SA"/>
              </w:rPr>
            </w:pPr>
            <w:r>
              <w:rPr>
                <w:rFonts w:hint="eastAsia" w:ascii="Times New Roman" w:hAnsi="Times New Roman" w:eastAsia="宋体" w:cs="Times New Roman"/>
                <w:b/>
                <w:bCs/>
                <w:snapToGrid w:val="0"/>
                <w:kern w:val="0"/>
                <w:sz w:val="24"/>
                <w:szCs w:val="21"/>
                <w:highlight w:val="none"/>
                <w:lang w:val="en-US" w:eastAsia="zh-CN" w:bidi="ar-SA"/>
              </w:rPr>
              <w:t xml:space="preserve"> 表1-11    与包装印刷A级绩效分级指标相符性分析</w:t>
            </w:r>
          </w:p>
          <w:tbl>
            <w:tblPr>
              <w:tblStyle w:val="39"/>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2"/>
              <w:gridCol w:w="335"/>
              <w:gridCol w:w="3616"/>
              <w:gridCol w:w="2067"/>
              <w:gridCol w:w="426"/>
            </w:tblGrid>
            <w:tr w14:paraId="4F8D6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 w:type="pct"/>
                  <w:gridSpan w:val="2"/>
                  <w:noWrap w:val="0"/>
                  <w:vAlign w:val="center"/>
                </w:tcPr>
                <w:p w14:paraId="6A89528D">
                  <w:pPr>
                    <w:autoSpaceDE w:val="0"/>
                    <w:adjustRightInd w:val="0"/>
                    <w:spacing w:line="240" w:lineRule="auto"/>
                    <w:ind w:firstLine="0" w:firstLineChars="0"/>
                    <w:jc w:val="center"/>
                    <w:rPr>
                      <w:b/>
                      <w:color w:val="auto"/>
                      <w:kern w:val="0"/>
                      <w:sz w:val="21"/>
                    </w:rPr>
                  </w:pPr>
                  <w:r>
                    <w:rPr>
                      <w:rFonts w:hint="eastAsia"/>
                      <w:b/>
                      <w:color w:val="auto"/>
                      <w:kern w:val="0"/>
                      <w:sz w:val="21"/>
                    </w:rPr>
                    <w:t>差异化指标</w:t>
                  </w:r>
                </w:p>
              </w:tc>
              <w:tc>
                <w:tcPr>
                  <w:tcW w:w="2613" w:type="pct"/>
                  <w:noWrap w:val="0"/>
                  <w:vAlign w:val="center"/>
                </w:tcPr>
                <w:p w14:paraId="4798A54A">
                  <w:pPr>
                    <w:autoSpaceDE w:val="0"/>
                    <w:adjustRightInd w:val="0"/>
                    <w:spacing w:line="240" w:lineRule="auto"/>
                    <w:ind w:firstLine="0" w:firstLineChars="0"/>
                    <w:jc w:val="center"/>
                    <w:rPr>
                      <w:rFonts w:hint="eastAsia"/>
                      <w:b/>
                      <w:color w:val="auto"/>
                      <w:kern w:val="0"/>
                      <w:sz w:val="21"/>
                      <w:lang w:val="zh-CN"/>
                    </w:rPr>
                  </w:pPr>
                  <w:r>
                    <w:rPr>
                      <w:rFonts w:hint="eastAsia"/>
                      <w:b/>
                      <w:color w:val="auto"/>
                      <w:kern w:val="0"/>
                      <w:sz w:val="21"/>
                      <w:lang w:val="zh-CN"/>
                    </w:rPr>
                    <w:t>A级企业</w:t>
                  </w:r>
                  <w:r>
                    <w:rPr>
                      <w:b/>
                      <w:color w:val="auto"/>
                      <w:kern w:val="0"/>
                      <w:sz w:val="21"/>
                      <w:lang w:val="zh-CN"/>
                    </w:rPr>
                    <w:t>要求</w:t>
                  </w:r>
                </w:p>
              </w:tc>
              <w:tc>
                <w:tcPr>
                  <w:tcW w:w="1494" w:type="pct"/>
                  <w:noWrap w:val="0"/>
                  <w:vAlign w:val="center"/>
                </w:tcPr>
                <w:p w14:paraId="429BBB9C">
                  <w:pPr>
                    <w:autoSpaceDE w:val="0"/>
                    <w:adjustRightInd w:val="0"/>
                    <w:spacing w:line="240" w:lineRule="auto"/>
                    <w:ind w:firstLine="0" w:firstLineChars="0"/>
                    <w:jc w:val="center"/>
                    <w:rPr>
                      <w:b/>
                      <w:color w:val="auto"/>
                      <w:kern w:val="0"/>
                      <w:sz w:val="21"/>
                    </w:rPr>
                  </w:pPr>
                  <w:r>
                    <w:rPr>
                      <w:rFonts w:hint="eastAsia"/>
                      <w:b/>
                      <w:color w:val="auto"/>
                      <w:kern w:val="0"/>
                      <w:sz w:val="21"/>
                    </w:rPr>
                    <w:t>本项目情况</w:t>
                  </w:r>
                </w:p>
              </w:tc>
              <w:tc>
                <w:tcPr>
                  <w:tcW w:w="308" w:type="pct"/>
                  <w:noWrap w:val="0"/>
                  <w:vAlign w:val="center"/>
                </w:tcPr>
                <w:p w14:paraId="6818220A">
                  <w:pPr>
                    <w:autoSpaceDE w:val="0"/>
                    <w:adjustRightInd w:val="0"/>
                    <w:spacing w:line="240" w:lineRule="auto"/>
                    <w:ind w:left="-105" w:leftChars="-50" w:right="-105" w:rightChars="-50" w:firstLine="0" w:firstLineChars="0"/>
                    <w:jc w:val="center"/>
                    <w:rPr>
                      <w:b/>
                      <w:color w:val="auto"/>
                      <w:kern w:val="0"/>
                      <w:sz w:val="21"/>
                    </w:rPr>
                  </w:pPr>
                  <w:r>
                    <w:rPr>
                      <w:rFonts w:hint="eastAsia"/>
                      <w:b/>
                      <w:color w:val="auto"/>
                      <w:kern w:val="0"/>
                      <w:sz w:val="21"/>
                    </w:rPr>
                    <w:t>相符性</w:t>
                  </w:r>
                </w:p>
              </w:tc>
            </w:tr>
            <w:tr w14:paraId="1535B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 w:type="pct"/>
                  <w:gridSpan w:val="2"/>
                  <w:vMerge w:val="restart"/>
                  <w:noWrap w:val="0"/>
                  <w:vAlign w:val="center"/>
                </w:tcPr>
                <w:p w14:paraId="1F513B06">
                  <w:pPr>
                    <w:autoSpaceDE w:val="0"/>
                    <w:adjustRightInd w:val="0"/>
                    <w:spacing w:line="240" w:lineRule="auto"/>
                    <w:ind w:left="-84" w:leftChars="-40" w:right="-84" w:rightChars="-40" w:firstLine="0" w:firstLineChars="0"/>
                    <w:jc w:val="center"/>
                    <w:rPr>
                      <w:rFonts w:hint="eastAsia" w:eastAsia="宋体"/>
                      <w:bCs/>
                      <w:color w:val="auto"/>
                      <w:kern w:val="0"/>
                      <w:sz w:val="21"/>
                      <w:lang w:val="en-US" w:eastAsia="zh-CN"/>
                    </w:rPr>
                  </w:pPr>
                  <w:r>
                    <w:rPr>
                      <w:rFonts w:hint="eastAsia"/>
                      <w:bCs/>
                      <w:color w:val="auto"/>
                      <w:kern w:val="0"/>
                      <w:sz w:val="21"/>
                      <w:lang w:val="en-US" w:eastAsia="zh-CN"/>
                    </w:rPr>
                    <w:t>原辅材料</w:t>
                  </w:r>
                </w:p>
              </w:tc>
              <w:tc>
                <w:tcPr>
                  <w:tcW w:w="2613" w:type="pct"/>
                  <w:noWrap w:val="0"/>
                  <w:vAlign w:val="center"/>
                </w:tcPr>
                <w:p w14:paraId="7547FCA4">
                  <w:pPr>
                    <w:autoSpaceDE w:val="0"/>
                    <w:adjustRightInd w:val="0"/>
                    <w:spacing w:line="240" w:lineRule="auto"/>
                    <w:ind w:left="-63" w:leftChars="-30" w:right="-63" w:rightChars="-30" w:firstLine="0" w:firstLineChars="0"/>
                    <w:jc w:val="left"/>
                    <w:rPr>
                      <w:bCs/>
                      <w:color w:val="auto"/>
                      <w:kern w:val="0"/>
                      <w:sz w:val="21"/>
                      <w:lang w:val="zh-CN"/>
                    </w:rPr>
                  </w:pPr>
                  <w:r>
                    <w:rPr>
                      <w:rFonts w:hint="eastAsia"/>
                      <w:bCs/>
                      <w:color w:val="auto"/>
                      <w:kern w:val="0"/>
                      <w:sz w:val="21"/>
                      <w:lang w:val="zh-CN"/>
                    </w:rPr>
                    <w:t>1、凹版印刷工艺采用吸收性材料印刷时，使用水性油墨（VOCs≤15%）、能量固化油墨（VOCs≤10%）等低VOCs含量油墨比例达60%及以上；采用非吸收性材料印刷时，使用水性油墨（VOCs≤30%）、能量固化油墨（VOCs≤10%）等低VOCs含量油墨比例达30%及以上；</w:t>
                  </w:r>
                </w:p>
              </w:tc>
              <w:tc>
                <w:tcPr>
                  <w:tcW w:w="1494" w:type="pct"/>
                  <w:vMerge w:val="restart"/>
                  <w:noWrap w:val="0"/>
                  <w:vAlign w:val="center"/>
                </w:tcPr>
                <w:p w14:paraId="24271DFB">
                  <w:pPr>
                    <w:autoSpaceDE w:val="0"/>
                    <w:adjustRightInd w:val="0"/>
                    <w:spacing w:line="240" w:lineRule="auto"/>
                    <w:ind w:left="-63" w:leftChars="-30" w:right="-63" w:rightChars="-30" w:firstLine="0" w:firstLineChars="0"/>
                    <w:jc w:val="left"/>
                    <w:rPr>
                      <w:rFonts w:hint="eastAsia"/>
                      <w:bCs/>
                      <w:color w:val="auto"/>
                      <w:sz w:val="21"/>
                      <w:lang w:val="en-US" w:eastAsia="zh-CN"/>
                    </w:rPr>
                  </w:pPr>
                  <w:r>
                    <w:rPr>
                      <w:rFonts w:hint="eastAsia"/>
                      <w:bCs/>
                      <w:color w:val="auto"/>
                      <w:sz w:val="21"/>
                      <w:lang w:val="en-US" w:eastAsia="zh-CN"/>
                    </w:rPr>
                    <w:t>本项目彩色成像工序采用数字喷墨设备进行彩打，不涉及凹版印刷工艺、柔版印刷工艺、平版印刷工艺、丝网印刷工艺等；</w:t>
                  </w:r>
                </w:p>
                <w:p w14:paraId="14C3A107">
                  <w:pPr>
                    <w:autoSpaceDE w:val="0"/>
                    <w:adjustRightInd w:val="0"/>
                    <w:spacing w:line="240" w:lineRule="auto"/>
                    <w:ind w:left="-63" w:leftChars="-30" w:right="-63" w:rightChars="-30" w:firstLine="0" w:firstLineChars="0"/>
                    <w:jc w:val="left"/>
                    <w:rPr>
                      <w:rFonts w:hint="eastAsia"/>
                      <w:bCs/>
                      <w:color w:val="auto"/>
                      <w:sz w:val="21"/>
                      <w:lang w:eastAsia="zh-CN"/>
                    </w:rPr>
                  </w:pPr>
                  <w:r>
                    <w:rPr>
                      <w:rFonts w:hint="eastAsia"/>
                      <w:bCs/>
                      <w:color w:val="auto"/>
                      <w:sz w:val="21"/>
                      <w:lang w:val="en-US" w:eastAsia="zh-CN"/>
                    </w:rPr>
                    <w:t>本项目涂胶工序使用的胶为</w:t>
                  </w:r>
                  <w:r>
                    <w:rPr>
                      <w:rFonts w:hint="eastAsia"/>
                      <w:bCs/>
                      <w:color w:val="auto"/>
                      <w:sz w:val="21"/>
                    </w:rPr>
                    <w:t>《胶粘剂挥发性有机化合物限量》</w:t>
                  </w:r>
                  <w:r>
                    <w:rPr>
                      <w:rFonts w:hint="eastAsia"/>
                      <w:bCs/>
                      <w:color w:val="auto"/>
                      <w:sz w:val="21"/>
                      <w:lang w:eastAsia="zh-CN"/>
                    </w:rPr>
                    <w:t>（</w:t>
                  </w:r>
                  <w:r>
                    <w:rPr>
                      <w:rFonts w:hint="eastAsia"/>
                      <w:bCs/>
                      <w:color w:val="auto"/>
                      <w:sz w:val="21"/>
                    </w:rPr>
                    <w:t>GB33372-2020</w:t>
                  </w:r>
                  <w:r>
                    <w:rPr>
                      <w:rFonts w:hint="eastAsia"/>
                      <w:bCs/>
                      <w:color w:val="auto"/>
                      <w:sz w:val="21"/>
                      <w:lang w:eastAsia="zh-CN"/>
                    </w:rPr>
                    <w:t>）</w:t>
                  </w:r>
                  <w:r>
                    <w:rPr>
                      <w:rFonts w:hint="eastAsia"/>
                      <w:bCs/>
                      <w:color w:val="auto"/>
                      <w:sz w:val="21"/>
                    </w:rPr>
                    <w:t>的无溶剂胶粘剂</w:t>
                  </w:r>
                  <w:r>
                    <w:rPr>
                      <w:rFonts w:hint="eastAsia"/>
                      <w:bCs/>
                      <w:color w:val="auto"/>
                      <w:sz w:val="21"/>
                      <w:lang w:eastAsia="zh-CN"/>
                    </w:rPr>
                    <w:t>（</w:t>
                  </w:r>
                  <w:r>
                    <w:rPr>
                      <w:rFonts w:hint="eastAsia"/>
                      <w:bCs/>
                      <w:color w:val="auto"/>
                      <w:sz w:val="21"/>
                      <w:lang w:val="en-US" w:eastAsia="zh-CN"/>
                    </w:rPr>
                    <w:t>主要为丁基胶和硅酮密封胶</w:t>
                  </w:r>
                  <w:r>
                    <w:rPr>
                      <w:rFonts w:hint="eastAsia"/>
                      <w:bCs/>
                      <w:color w:val="auto"/>
                      <w:sz w:val="21"/>
                      <w:lang w:eastAsia="zh-CN"/>
                    </w:rPr>
                    <w:t>）；</w:t>
                  </w:r>
                </w:p>
                <w:p w14:paraId="513503C7">
                  <w:pPr>
                    <w:pStyle w:val="21"/>
                    <w:rPr>
                      <w:rFonts w:hint="default"/>
                      <w:lang w:val="en-US" w:eastAsia="zh-CN"/>
                    </w:rPr>
                  </w:pPr>
                  <w:r>
                    <w:rPr>
                      <w:rFonts w:hint="eastAsia"/>
                      <w:bCs/>
                      <w:color w:val="auto"/>
                      <w:sz w:val="21"/>
                      <w:lang w:val="en-US" w:eastAsia="zh-CN"/>
                    </w:rPr>
                    <w:t>本项目清洗均使用自来水和纯水进行清洗，不涉及使用清洗剂</w:t>
                  </w:r>
                </w:p>
                <w:p w14:paraId="50E1BD91">
                  <w:pPr>
                    <w:autoSpaceDE w:val="0"/>
                    <w:adjustRightInd w:val="0"/>
                    <w:spacing w:line="240" w:lineRule="auto"/>
                    <w:ind w:left="-63" w:leftChars="-30" w:right="-63" w:rightChars="-30" w:firstLine="0" w:firstLineChars="0"/>
                    <w:jc w:val="left"/>
                    <w:rPr>
                      <w:bCs/>
                      <w:color w:val="auto"/>
                      <w:kern w:val="2"/>
                      <w:sz w:val="21"/>
                      <w:lang w:val="en-US" w:eastAsia="zh-CN" w:bidi="ar-SA"/>
                    </w:rPr>
                  </w:pPr>
                </w:p>
              </w:tc>
              <w:tc>
                <w:tcPr>
                  <w:tcW w:w="308" w:type="pct"/>
                  <w:noWrap w:val="0"/>
                  <w:vAlign w:val="center"/>
                </w:tcPr>
                <w:p w14:paraId="232B9A7C">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28857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583" w:type="pct"/>
                  <w:gridSpan w:val="2"/>
                  <w:vMerge w:val="continue"/>
                  <w:noWrap w:val="0"/>
                  <w:vAlign w:val="center"/>
                </w:tcPr>
                <w:p w14:paraId="0D8DE8E3">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77E85FA3">
                  <w:pPr>
                    <w:autoSpaceDE w:val="0"/>
                    <w:adjustRightInd w:val="0"/>
                    <w:spacing w:line="240" w:lineRule="auto"/>
                    <w:ind w:left="-63" w:leftChars="-30" w:right="-63" w:rightChars="-30" w:firstLine="0" w:firstLineChars="0"/>
                    <w:jc w:val="left"/>
                    <w:rPr>
                      <w:bCs/>
                      <w:color w:val="auto"/>
                      <w:sz w:val="21"/>
                    </w:rPr>
                  </w:pPr>
                  <w:r>
                    <w:rPr>
                      <w:rFonts w:hint="eastAsia"/>
                      <w:bCs/>
                      <w:color w:val="auto"/>
                      <w:kern w:val="0"/>
                      <w:sz w:val="21"/>
                      <w:lang w:val="zh-CN"/>
                    </w:rPr>
                    <w:t>2、柔版印刷工艺采用吸收性材料印刷时，使用水性油墨（VOCs≤5%）的比例达100%；采用非吸收性材料印刷时，使用水性油墨（VOCs≤25%）比例达60%及以上；</w:t>
                  </w:r>
                </w:p>
              </w:tc>
              <w:tc>
                <w:tcPr>
                  <w:tcW w:w="1494" w:type="pct"/>
                  <w:vMerge w:val="continue"/>
                  <w:noWrap w:val="0"/>
                  <w:vAlign w:val="center"/>
                </w:tcPr>
                <w:p w14:paraId="7E258186">
                  <w:pPr>
                    <w:autoSpaceDE w:val="0"/>
                    <w:adjustRightInd w:val="0"/>
                    <w:spacing w:line="240" w:lineRule="auto"/>
                    <w:ind w:left="-63" w:leftChars="-30" w:right="-63" w:rightChars="-30" w:firstLine="0" w:firstLineChars="0"/>
                    <w:jc w:val="both"/>
                    <w:rPr>
                      <w:rFonts w:hint="default"/>
                      <w:bCs/>
                      <w:color w:val="auto"/>
                      <w:sz w:val="21"/>
                      <w:lang w:val="en-US"/>
                    </w:rPr>
                  </w:pPr>
                </w:p>
              </w:tc>
              <w:tc>
                <w:tcPr>
                  <w:tcW w:w="308" w:type="pct"/>
                  <w:noWrap w:val="0"/>
                  <w:vAlign w:val="center"/>
                </w:tcPr>
                <w:p w14:paraId="328B9FE2">
                  <w:pPr>
                    <w:autoSpaceDE w:val="0"/>
                    <w:adjustRightInd w:val="0"/>
                    <w:spacing w:line="240" w:lineRule="auto"/>
                    <w:ind w:firstLine="0" w:firstLineChars="0"/>
                    <w:jc w:val="center"/>
                    <w:rPr>
                      <w:rFonts w:hint="eastAsia"/>
                      <w:bCs/>
                      <w:color w:val="auto"/>
                      <w:sz w:val="21"/>
                      <w:highlight w:val="yellow"/>
                    </w:rPr>
                  </w:pPr>
                  <w:r>
                    <w:rPr>
                      <w:rFonts w:hint="eastAsia"/>
                      <w:bCs/>
                      <w:color w:val="auto"/>
                      <w:sz w:val="21"/>
                    </w:rPr>
                    <w:t>相符</w:t>
                  </w:r>
                </w:p>
              </w:tc>
            </w:tr>
            <w:tr w14:paraId="0B485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381BFE7C">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6160B696">
                  <w:pPr>
                    <w:autoSpaceDE w:val="0"/>
                    <w:adjustRightInd w:val="0"/>
                    <w:spacing w:line="240" w:lineRule="auto"/>
                    <w:ind w:left="-63" w:leftChars="-30" w:right="-63" w:rightChars="-30" w:firstLine="0" w:firstLineChars="0"/>
                    <w:jc w:val="both"/>
                    <w:rPr>
                      <w:rFonts w:hint="eastAsia" w:eastAsia="宋体"/>
                      <w:bCs/>
                      <w:color w:val="auto"/>
                      <w:sz w:val="21"/>
                      <w:lang w:eastAsia="zh-CN"/>
                    </w:rPr>
                  </w:pPr>
                  <w:r>
                    <w:rPr>
                      <w:rFonts w:hint="eastAsia"/>
                      <w:bCs/>
                      <w:color w:val="auto"/>
                      <w:sz w:val="21"/>
                    </w:rPr>
                    <w:t>3、平版印刷工艺使用符合《油墨中可挥发性有机化合物</w:t>
                  </w:r>
                  <w:r>
                    <w:rPr>
                      <w:rFonts w:hint="eastAsia"/>
                      <w:bCs/>
                      <w:color w:val="auto"/>
                      <w:sz w:val="21"/>
                      <w:lang w:eastAsia="zh-CN"/>
                    </w:rPr>
                    <w:t>（</w:t>
                  </w:r>
                  <w:r>
                    <w:rPr>
                      <w:rFonts w:hint="eastAsia"/>
                      <w:bCs/>
                      <w:color w:val="auto"/>
                      <w:sz w:val="21"/>
                    </w:rPr>
                    <w:t>VOCs</w:t>
                  </w:r>
                  <w:r>
                    <w:rPr>
                      <w:rFonts w:hint="eastAsia"/>
                      <w:bCs/>
                      <w:color w:val="auto"/>
                      <w:sz w:val="21"/>
                      <w:lang w:eastAsia="zh-CN"/>
                    </w:rPr>
                    <w:t>）</w:t>
                  </w:r>
                  <w:r>
                    <w:rPr>
                      <w:rFonts w:hint="eastAsia"/>
                      <w:bCs/>
                      <w:color w:val="auto"/>
                      <w:sz w:val="21"/>
                    </w:rPr>
                    <w:t>含量的限值》</w:t>
                  </w:r>
                  <w:r>
                    <w:rPr>
                      <w:rFonts w:hint="eastAsia"/>
                      <w:bCs/>
                      <w:color w:val="auto"/>
                      <w:sz w:val="21"/>
                      <w:lang w:eastAsia="zh-CN"/>
                    </w:rPr>
                    <w:t>（</w:t>
                  </w:r>
                  <w:r>
                    <w:rPr>
                      <w:rFonts w:hint="eastAsia"/>
                      <w:bCs/>
                      <w:color w:val="auto"/>
                      <w:sz w:val="21"/>
                    </w:rPr>
                    <w:t>GB 38507-2020</w:t>
                  </w:r>
                  <w:r>
                    <w:rPr>
                      <w:rFonts w:hint="eastAsia"/>
                      <w:bCs/>
                      <w:color w:val="auto"/>
                      <w:sz w:val="21"/>
                      <w:lang w:eastAsia="zh-CN"/>
                    </w:rPr>
                    <w:t>）</w:t>
                  </w:r>
                  <w:r>
                    <w:rPr>
                      <w:rFonts w:hint="eastAsia"/>
                      <w:bCs/>
                      <w:color w:val="auto"/>
                      <w:sz w:val="21"/>
                    </w:rPr>
                    <w:t>中VOCs含量限值要求的油墨产品比例达100%</w:t>
                  </w:r>
                  <w:r>
                    <w:rPr>
                      <w:rFonts w:hint="eastAsia"/>
                      <w:bCs/>
                      <w:color w:val="auto"/>
                      <w:sz w:val="21"/>
                      <w:lang w:eastAsia="zh-CN"/>
                    </w:rPr>
                    <w:t>；</w:t>
                  </w:r>
                  <w:r>
                    <w:rPr>
                      <w:rFonts w:hint="eastAsia"/>
                      <w:bCs/>
                      <w:color w:val="auto"/>
                      <w:sz w:val="21"/>
                    </w:rPr>
                    <w:t>100%使用无</w:t>
                  </w:r>
                  <w:r>
                    <w:rPr>
                      <w:rFonts w:hint="eastAsia"/>
                      <w:bCs/>
                      <w:color w:val="auto"/>
                      <w:sz w:val="21"/>
                      <w:lang w:eastAsia="zh-CN"/>
                    </w:rPr>
                    <w:t>（</w:t>
                  </w:r>
                  <w:r>
                    <w:rPr>
                      <w:rFonts w:hint="eastAsia"/>
                      <w:bCs/>
                      <w:color w:val="auto"/>
                      <w:sz w:val="21"/>
                    </w:rPr>
                    <w:t>免</w:t>
                  </w:r>
                  <w:r>
                    <w:rPr>
                      <w:rFonts w:hint="eastAsia"/>
                      <w:bCs/>
                      <w:color w:val="auto"/>
                      <w:sz w:val="21"/>
                      <w:lang w:eastAsia="zh-CN"/>
                    </w:rPr>
                    <w:t>）</w:t>
                  </w:r>
                  <w:r>
                    <w:rPr>
                      <w:rFonts w:hint="eastAsia"/>
                      <w:bCs/>
                      <w:color w:val="auto"/>
                      <w:sz w:val="21"/>
                    </w:rPr>
                    <w:t>醇</w:t>
                  </w:r>
                  <w:r>
                    <w:rPr>
                      <w:rFonts w:hint="eastAsia"/>
                      <w:bCs/>
                      <w:color w:val="auto"/>
                      <w:sz w:val="21"/>
                      <w:lang w:eastAsia="zh-CN"/>
                    </w:rPr>
                    <w:t>润版液</w:t>
                  </w:r>
                  <w:r>
                    <w:rPr>
                      <w:rFonts w:hint="eastAsia"/>
                      <w:bCs/>
                      <w:color w:val="auto"/>
                      <w:sz w:val="21"/>
                    </w:rPr>
                    <w:t>原液中</w:t>
                  </w:r>
                  <w:r>
                    <w:rPr>
                      <w:rFonts w:hint="eastAsia"/>
                      <w:bCs/>
                      <w:color w:val="auto"/>
                      <w:sz w:val="21"/>
                      <w:lang w:eastAsia="zh-CN"/>
                    </w:rPr>
                    <w:t>（</w:t>
                  </w:r>
                  <w:r>
                    <w:rPr>
                      <w:rFonts w:hint="eastAsia"/>
                      <w:bCs/>
                      <w:color w:val="auto"/>
                      <w:sz w:val="21"/>
                    </w:rPr>
                    <w:t>VOCs&lt;10%</w:t>
                  </w:r>
                  <w:r>
                    <w:rPr>
                      <w:rFonts w:hint="eastAsia"/>
                      <w:bCs/>
                      <w:color w:val="auto"/>
                      <w:sz w:val="21"/>
                      <w:lang w:eastAsia="zh-CN"/>
                    </w:rPr>
                    <w:t>）</w:t>
                  </w:r>
                  <w:r>
                    <w:rPr>
                      <w:rFonts w:hint="eastAsia"/>
                      <w:bCs/>
                      <w:color w:val="auto"/>
                      <w:sz w:val="21"/>
                    </w:rPr>
                    <w:t>，或使用无水印刷技术，或使用零醇润版胶印技术</w:t>
                  </w:r>
                  <w:r>
                    <w:rPr>
                      <w:rFonts w:hint="eastAsia"/>
                      <w:bCs/>
                      <w:color w:val="auto"/>
                      <w:sz w:val="21"/>
                      <w:lang w:eastAsia="zh-CN"/>
                    </w:rPr>
                    <w:t>；</w:t>
                  </w:r>
                </w:p>
              </w:tc>
              <w:tc>
                <w:tcPr>
                  <w:tcW w:w="1494" w:type="pct"/>
                  <w:vMerge w:val="continue"/>
                  <w:noWrap w:val="0"/>
                  <w:vAlign w:val="center"/>
                </w:tcPr>
                <w:p w14:paraId="278421AA">
                  <w:pPr>
                    <w:autoSpaceDE w:val="0"/>
                    <w:adjustRightInd w:val="0"/>
                    <w:spacing w:line="240" w:lineRule="auto"/>
                    <w:ind w:left="-63" w:leftChars="-30" w:right="-63" w:rightChars="-30" w:firstLine="0" w:firstLineChars="0"/>
                    <w:jc w:val="left"/>
                    <w:rPr>
                      <w:rFonts w:hint="eastAsia" w:eastAsia="宋体"/>
                      <w:bCs/>
                      <w:color w:val="auto"/>
                      <w:sz w:val="21"/>
                      <w:lang w:eastAsia="zh-CN"/>
                    </w:rPr>
                  </w:pPr>
                </w:p>
              </w:tc>
              <w:tc>
                <w:tcPr>
                  <w:tcW w:w="308" w:type="pct"/>
                  <w:noWrap w:val="0"/>
                  <w:vAlign w:val="center"/>
                </w:tcPr>
                <w:p w14:paraId="696C5FB1">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449B3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41B05A81">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3873BD5D">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4、丝网印刷工艺使用水性油墨</w:t>
                  </w:r>
                  <w:r>
                    <w:rPr>
                      <w:rFonts w:hint="eastAsia"/>
                      <w:bCs/>
                      <w:color w:val="auto"/>
                      <w:sz w:val="21"/>
                      <w:lang w:eastAsia="zh-CN"/>
                    </w:rPr>
                    <w:t>（</w:t>
                  </w:r>
                  <w:r>
                    <w:rPr>
                      <w:rFonts w:hint="eastAsia"/>
                      <w:bCs/>
                      <w:color w:val="auto"/>
                      <w:sz w:val="21"/>
                    </w:rPr>
                    <w:t>VOCs≤30%</w:t>
                  </w:r>
                  <w:r>
                    <w:rPr>
                      <w:rFonts w:hint="eastAsia"/>
                      <w:bCs/>
                      <w:color w:val="auto"/>
                      <w:sz w:val="21"/>
                      <w:lang w:eastAsia="zh-CN"/>
                    </w:rPr>
                    <w:t>）</w:t>
                  </w:r>
                  <w:r>
                    <w:rPr>
                      <w:rFonts w:hint="eastAsia"/>
                      <w:bCs/>
                      <w:color w:val="auto"/>
                      <w:sz w:val="21"/>
                    </w:rPr>
                    <w:t>、能量固化油墨</w:t>
                  </w:r>
                  <w:r>
                    <w:rPr>
                      <w:rFonts w:hint="eastAsia"/>
                      <w:bCs/>
                      <w:color w:val="auto"/>
                      <w:sz w:val="21"/>
                      <w:lang w:eastAsia="zh-CN"/>
                    </w:rPr>
                    <w:t>（</w:t>
                  </w:r>
                  <w:r>
                    <w:rPr>
                      <w:rFonts w:hint="eastAsia"/>
                      <w:bCs/>
                      <w:color w:val="auto"/>
                      <w:sz w:val="21"/>
                    </w:rPr>
                    <w:t>VOCs&lt;5%</w:t>
                  </w:r>
                  <w:r>
                    <w:rPr>
                      <w:rFonts w:hint="eastAsia"/>
                      <w:bCs/>
                      <w:color w:val="auto"/>
                      <w:sz w:val="21"/>
                      <w:lang w:eastAsia="zh-CN"/>
                    </w:rPr>
                    <w:t>）</w:t>
                  </w:r>
                  <w:r>
                    <w:rPr>
                      <w:rFonts w:hint="eastAsia"/>
                      <w:bCs/>
                      <w:color w:val="auto"/>
                      <w:sz w:val="21"/>
                    </w:rPr>
                    <w:t>的比例达60%</w:t>
                  </w:r>
                  <w:r>
                    <w:rPr>
                      <w:rFonts w:hint="eastAsia"/>
                      <w:bCs/>
                      <w:color w:val="auto"/>
                      <w:sz w:val="21"/>
                      <w:lang w:eastAsia="zh-CN"/>
                    </w:rPr>
                    <w:t>以</w:t>
                  </w:r>
                  <w:r>
                    <w:rPr>
                      <w:rFonts w:hint="eastAsia"/>
                      <w:bCs/>
                      <w:color w:val="auto"/>
                      <w:sz w:val="21"/>
                    </w:rPr>
                    <w:t>上</w:t>
                  </w:r>
                  <w:r>
                    <w:rPr>
                      <w:rFonts w:hint="eastAsia"/>
                      <w:bCs/>
                      <w:color w:val="auto"/>
                      <w:sz w:val="21"/>
                      <w:lang w:eastAsia="zh-CN"/>
                    </w:rPr>
                    <w:t>；</w:t>
                  </w:r>
                </w:p>
              </w:tc>
              <w:tc>
                <w:tcPr>
                  <w:tcW w:w="1494" w:type="pct"/>
                  <w:vMerge w:val="continue"/>
                  <w:noWrap w:val="0"/>
                  <w:vAlign w:val="center"/>
                </w:tcPr>
                <w:p w14:paraId="5257086E">
                  <w:pPr>
                    <w:autoSpaceDE w:val="0"/>
                    <w:adjustRightInd w:val="0"/>
                    <w:spacing w:line="240" w:lineRule="auto"/>
                    <w:ind w:left="-63" w:leftChars="-30" w:right="-63" w:rightChars="-30" w:firstLine="0" w:firstLineChars="0"/>
                    <w:jc w:val="left"/>
                    <w:rPr>
                      <w:rFonts w:hint="default"/>
                      <w:bCs/>
                      <w:color w:val="auto"/>
                      <w:sz w:val="21"/>
                      <w:lang w:val="en-US"/>
                    </w:rPr>
                  </w:pPr>
                </w:p>
              </w:tc>
              <w:tc>
                <w:tcPr>
                  <w:tcW w:w="308" w:type="pct"/>
                  <w:noWrap w:val="0"/>
                  <w:vAlign w:val="center"/>
                </w:tcPr>
                <w:p w14:paraId="0A401509">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4142C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3B79DDE5">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133E0A48">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5、印铁制罐生产过程 100%使用水能量固化性油墨</w:t>
                  </w:r>
                  <w:r>
                    <w:rPr>
                      <w:rFonts w:hint="eastAsia"/>
                      <w:bCs/>
                      <w:color w:val="auto"/>
                      <w:sz w:val="21"/>
                      <w:lang w:eastAsia="zh-CN"/>
                    </w:rPr>
                    <w:t>（</w:t>
                  </w:r>
                  <w:r>
                    <w:rPr>
                      <w:rFonts w:hint="eastAsia"/>
                      <w:bCs/>
                      <w:color w:val="auto"/>
                      <w:sz w:val="21"/>
                    </w:rPr>
                    <w:t>VOCs≤25%</w:t>
                  </w:r>
                  <w:r>
                    <w:rPr>
                      <w:rFonts w:hint="eastAsia"/>
                      <w:bCs/>
                      <w:color w:val="auto"/>
                      <w:sz w:val="21"/>
                      <w:lang w:eastAsia="zh-CN"/>
                    </w:rPr>
                    <w:t>）</w:t>
                  </w:r>
                  <w:r>
                    <w:rPr>
                      <w:rFonts w:hint="eastAsia"/>
                      <w:bCs/>
                      <w:color w:val="auto"/>
                      <w:sz w:val="21"/>
                    </w:rPr>
                    <w:t>、自油墨</w:t>
                  </w:r>
                  <w:r>
                    <w:rPr>
                      <w:rFonts w:hint="eastAsia"/>
                      <w:bCs/>
                      <w:color w:val="auto"/>
                      <w:sz w:val="21"/>
                      <w:lang w:eastAsia="zh-CN"/>
                    </w:rPr>
                    <w:t>（</w:t>
                  </w:r>
                  <w:r>
                    <w:rPr>
                      <w:rFonts w:hint="eastAsia"/>
                      <w:bCs/>
                      <w:color w:val="auto"/>
                      <w:sz w:val="21"/>
                    </w:rPr>
                    <w:t>VOCs≤2%</w:t>
                  </w:r>
                  <w:r>
                    <w:rPr>
                      <w:rFonts w:hint="eastAsia"/>
                      <w:bCs/>
                      <w:color w:val="auto"/>
                      <w:sz w:val="21"/>
                      <w:lang w:eastAsia="zh-CN"/>
                    </w:rPr>
                    <w:t>）；</w:t>
                  </w:r>
                  <w:r>
                    <w:rPr>
                      <w:rFonts w:hint="eastAsia"/>
                      <w:bCs/>
                      <w:color w:val="auto"/>
                      <w:sz w:val="21"/>
                    </w:rPr>
                    <w:t>100%使用水性涂料、能量固化涂料替代溶剂型涂料</w:t>
                  </w:r>
                  <w:r>
                    <w:rPr>
                      <w:rFonts w:hint="eastAsia"/>
                      <w:bCs/>
                      <w:color w:val="auto"/>
                      <w:sz w:val="21"/>
                      <w:lang w:eastAsia="zh-CN"/>
                    </w:rPr>
                    <w:t>；</w:t>
                  </w:r>
                </w:p>
              </w:tc>
              <w:tc>
                <w:tcPr>
                  <w:tcW w:w="1494" w:type="pct"/>
                  <w:vMerge w:val="continue"/>
                  <w:noWrap w:val="0"/>
                  <w:vAlign w:val="center"/>
                </w:tcPr>
                <w:p w14:paraId="5FA5ADFE">
                  <w:pPr>
                    <w:autoSpaceDE w:val="0"/>
                    <w:adjustRightInd w:val="0"/>
                    <w:spacing w:line="240" w:lineRule="auto"/>
                    <w:ind w:left="-63" w:leftChars="-30" w:right="-63" w:rightChars="-30" w:firstLine="0" w:firstLineChars="0"/>
                    <w:jc w:val="left"/>
                    <w:rPr>
                      <w:bCs/>
                      <w:color w:val="auto"/>
                      <w:kern w:val="2"/>
                      <w:sz w:val="21"/>
                      <w:lang w:val="en-US" w:eastAsia="zh-CN" w:bidi="ar-SA"/>
                    </w:rPr>
                  </w:pPr>
                </w:p>
              </w:tc>
              <w:tc>
                <w:tcPr>
                  <w:tcW w:w="308" w:type="pct"/>
                  <w:noWrap w:val="0"/>
                  <w:vAlign w:val="center"/>
                </w:tcPr>
                <w:p w14:paraId="7AFE54DE">
                  <w:pPr>
                    <w:autoSpaceDE w:val="0"/>
                    <w:adjustRightInd w:val="0"/>
                    <w:spacing w:line="240" w:lineRule="auto"/>
                    <w:ind w:firstLine="0" w:firstLineChars="0"/>
                    <w:jc w:val="center"/>
                    <w:rPr>
                      <w:rFonts w:hint="eastAsia"/>
                      <w:bCs/>
                      <w:color w:val="auto"/>
                      <w:kern w:val="2"/>
                      <w:sz w:val="21"/>
                      <w:lang w:val="en-US" w:eastAsia="zh-CN" w:bidi="ar-SA"/>
                    </w:rPr>
                  </w:pPr>
                  <w:r>
                    <w:rPr>
                      <w:rFonts w:hint="eastAsia"/>
                      <w:bCs/>
                      <w:color w:val="auto"/>
                      <w:sz w:val="21"/>
                    </w:rPr>
                    <w:t>相符</w:t>
                  </w:r>
                </w:p>
              </w:tc>
            </w:tr>
            <w:tr w14:paraId="56C3C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00736B55">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0258363E">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6、复合、覆膜</w:t>
                  </w:r>
                  <w:r>
                    <w:rPr>
                      <w:rFonts w:hint="eastAsia"/>
                      <w:bCs/>
                      <w:color w:val="auto"/>
                      <w:sz w:val="21"/>
                      <w:lang w:eastAsia="zh-CN"/>
                    </w:rPr>
                    <w:t>：</w:t>
                  </w:r>
                  <w:r>
                    <w:rPr>
                      <w:rFonts w:hint="eastAsia"/>
                      <w:bCs/>
                      <w:color w:val="auto"/>
                      <w:sz w:val="21"/>
                    </w:rPr>
                    <w:t>使用符合《胶粘剂挥发性有机化合物限量》</w:t>
                  </w:r>
                  <w:r>
                    <w:rPr>
                      <w:rFonts w:hint="eastAsia"/>
                      <w:bCs/>
                      <w:color w:val="auto"/>
                      <w:sz w:val="21"/>
                      <w:lang w:eastAsia="zh-CN"/>
                    </w:rPr>
                    <w:t>（</w:t>
                  </w:r>
                  <w:r>
                    <w:rPr>
                      <w:rFonts w:hint="eastAsia"/>
                      <w:bCs/>
                      <w:color w:val="auto"/>
                      <w:sz w:val="21"/>
                    </w:rPr>
                    <w:t>GB33372-2020</w:t>
                  </w:r>
                  <w:r>
                    <w:rPr>
                      <w:rFonts w:hint="eastAsia"/>
                      <w:bCs/>
                      <w:color w:val="auto"/>
                      <w:sz w:val="21"/>
                      <w:lang w:eastAsia="zh-CN"/>
                    </w:rPr>
                    <w:t>）</w:t>
                  </w:r>
                  <w:r>
                    <w:rPr>
                      <w:rFonts w:hint="eastAsia"/>
                      <w:bCs/>
                      <w:color w:val="auto"/>
                      <w:sz w:val="21"/>
                    </w:rPr>
                    <w:t>的无溶剂、水基型等非溶剂型胶粘剂比例达75%及以上</w:t>
                  </w:r>
                  <w:r>
                    <w:rPr>
                      <w:rFonts w:hint="eastAsia"/>
                      <w:bCs/>
                      <w:color w:val="auto"/>
                      <w:sz w:val="21"/>
                      <w:lang w:eastAsia="zh-CN"/>
                    </w:rPr>
                    <w:t>；</w:t>
                  </w:r>
                </w:p>
              </w:tc>
              <w:tc>
                <w:tcPr>
                  <w:tcW w:w="1494" w:type="pct"/>
                  <w:vMerge w:val="continue"/>
                  <w:noWrap w:val="0"/>
                  <w:vAlign w:val="center"/>
                </w:tcPr>
                <w:p w14:paraId="165041FB">
                  <w:pPr>
                    <w:autoSpaceDE w:val="0"/>
                    <w:adjustRightInd w:val="0"/>
                    <w:spacing w:line="240" w:lineRule="auto"/>
                    <w:ind w:left="-63" w:leftChars="-30" w:right="-63" w:rightChars="-30" w:firstLine="0" w:firstLineChars="0"/>
                    <w:jc w:val="both"/>
                    <w:rPr>
                      <w:rFonts w:hint="eastAsia" w:eastAsia="宋体"/>
                      <w:bCs/>
                      <w:color w:val="auto"/>
                      <w:sz w:val="21"/>
                      <w:lang w:val="en-US" w:eastAsia="zh-CN"/>
                    </w:rPr>
                  </w:pPr>
                </w:p>
              </w:tc>
              <w:tc>
                <w:tcPr>
                  <w:tcW w:w="308" w:type="pct"/>
                  <w:noWrap w:val="0"/>
                  <w:vAlign w:val="center"/>
                </w:tcPr>
                <w:p w14:paraId="329023A6">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4E19C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583" w:type="pct"/>
                  <w:gridSpan w:val="2"/>
                  <w:vMerge w:val="continue"/>
                  <w:noWrap w:val="0"/>
                  <w:vAlign w:val="center"/>
                </w:tcPr>
                <w:p w14:paraId="00355F73">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09C8ECE1">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7、上光</w:t>
                  </w:r>
                  <w:r>
                    <w:rPr>
                      <w:rFonts w:hint="eastAsia"/>
                      <w:bCs/>
                      <w:color w:val="auto"/>
                      <w:sz w:val="21"/>
                      <w:lang w:eastAsia="zh-CN"/>
                    </w:rPr>
                    <w:t>：</w:t>
                  </w:r>
                  <w:r>
                    <w:rPr>
                      <w:rFonts w:hint="eastAsia"/>
                      <w:bCs/>
                      <w:color w:val="auto"/>
                      <w:sz w:val="21"/>
                    </w:rPr>
                    <w:t>使用水性、紫外光固化</w:t>
                  </w:r>
                  <w:r>
                    <w:rPr>
                      <w:rFonts w:hint="eastAsia"/>
                      <w:bCs/>
                      <w:color w:val="auto"/>
                      <w:sz w:val="21"/>
                      <w:lang w:eastAsia="zh-CN"/>
                    </w:rPr>
                    <w:t>（</w:t>
                  </w:r>
                  <w:r>
                    <w:rPr>
                      <w:rFonts w:hint="eastAsia"/>
                      <w:bCs/>
                      <w:color w:val="auto"/>
                      <w:sz w:val="21"/>
                    </w:rPr>
                    <w:t>UV</w:t>
                  </w:r>
                  <w:r>
                    <w:rPr>
                      <w:rFonts w:hint="eastAsia"/>
                      <w:bCs/>
                      <w:color w:val="auto"/>
                      <w:sz w:val="21"/>
                      <w:lang w:eastAsia="zh-CN"/>
                    </w:rPr>
                    <w:t>）</w:t>
                  </w:r>
                  <w:r>
                    <w:rPr>
                      <w:rFonts w:hint="eastAsia"/>
                      <w:bCs/>
                      <w:color w:val="auto"/>
                      <w:sz w:val="21"/>
                    </w:rPr>
                    <w:t>等非溶剂型光油比例达到100%</w:t>
                  </w:r>
                  <w:r>
                    <w:rPr>
                      <w:rFonts w:hint="eastAsia"/>
                      <w:bCs/>
                      <w:color w:val="auto"/>
                      <w:sz w:val="21"/>
                      <w:lang w:eastAsia="zh-CN"/>
                    </w:rPr>
                    <w:t>；</w:t>
                  </w:r>
                </w:p>
              </w:tc>
              <w:tc>
                <w:tcPr>
                  <w:tcW w:w="1494" w:type="pct"/>
                  <w:vMerge w:val="continue"/>
                  <w:noWrap w:val="0"/>
                  <w:vAlign w:val="center"/>
                </w:tcPr>
                <w:p w14:paraId="07B15515">
                  <w:pPr>
                    <w:autoSpaceDE w:val="0"/>
                    <w:adjustRightInd w:val="0"/>
                    <w:spacing w:line="240" w:lineRule="auto"/>
                    <w:ind w:left="-63" w:leftChars="-30" w:right="-63" w:rightChars="-30" w:firstLine="0" w:firstLineChars="0"/>
                    <w:jc w:val="left"/>
                    <w:rPr>
                      <w:bCs/>
                      <w:color w:val="auto"/>
                      <w:kern w:val="2"/>
                      <w:sz w:val="21"/>
                      <w:lang w:val="en-US" w:eastAsia="zh-CN" w:bidi="ar-SA"/>
                    </w:rPr>
                  </w:pPr>
                </w:p>
              </w:tc>
              <w:tc>
                <w:tcPr>
                  <w:tcW w:w="308" w:type="pct"/>
                  <w:noWrap w:val="0"/>
                  <w:vAlign w:val="center"/>
                </w:tcPr>
                <w:p w14:paraId="03344C4C">
                  <w:pPr>
                    <w:autoSpaceDE w:val="0"/>
                    <w:adjustRightInd w:val="0"/>
                    <w:spacing w:line="240" w:lineRule="auto"/>
                    <w:ind w:firstLine="0" w:firstLineChars="0"/>
                    <w:jc w:val="center"/>
                    <w:rPr>
                      <w:rFonts w:hint="eastAsia"/>
                      <w:bCs/>
                      <w:color w:val="auto"/>
                      <w:kern w:val="2"/>
                      <w:sz w:val="21"/>
                      <w:lang w:val="en-US" w:eastAsia="zh-CN" w:bidi="ar-SA"/>
                    </w:rPr>
                  </w:pPr>
                  <w:r>
                    <w:rPr>
                      <w:rFonts w:hint="eastAsia"/>
                      <w:bCs/>
                      <w:color w:val="auto"/>
                      <w:sz w:val="21"/>
                    </w:rPr>
                    <w:t>相符</w:t>
                  </w:r>
                </w:p>
              </w:tc>
            </w:tr>
            <w:tr w14:paraId="422A1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33BA90D9">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3538F755">
                  <w:pPr>
                    <w:autoSpaceDE w:val="0"/>
                    <w:adjustRightInd w:val="0"/>
                    <w:spacing w:line="240" w:lineRule="auto"/>
                    <w:ind w:left="-63" w:leftChars="-30" w:right="-63" w:rightChars="-30" w:firstLine="0" w:firstLineChars="0"/>
                    <w:jc w:val="both"/>
                    <w:rPr>
                      <w:rFonts w:hint="eastAsia"/>
                      <w:bCs/>
                      <w:color w:val="auto"/>
                      <w:sz w:val="21"/>
                    </w:rPr>
                  </w:pPr>
                  <w:r>
                    <w:rPr>
                      <w:rFonts w:hint="eastAsia"/>
                      <w:bCs/>
                      <w:color w:val="auto"/>
                      <w:sz w:val="21"/>
                    </w:rPr>
                    <w:t>8、清洗</w:t>
                  </w:r>
                  <w:r>
                    <w:rPr>
                      <w:rFonts w:hint="eastAsia"/>
                      <w:bCs/>
                      <w:color w:val="auto"/>
                      <w:sz w:val="21"/>
                      <w:lang w:eastAsia="zh-CN"/>
                    </w:rPr>
                    <w:t>：</w:t>
                  </w:r>
                  <w:r>
                    <w:rPr>
                      <w:rFonts w:hint="eastAsia"/>
                      <w:bCs/>
                      <w:color w:val="auto"/>
                      <w:sz w:val="21"/>
                    </w:rPr>
                    <w:t>采用胶印油墨、UV油墨印刷时，使用符合《清洗剂挥发性有机化合物含量限值》</w:t>
                  </w:r>
                  <w:r>
                    <w:rPr>
                      <w:rFonts w:hint="eastAsia"/>
                      <w:bCs/>
                      <w:color w:val="auto"/>
                      <w:sz w:val="21"/>
                      <w:lang w:eastAsia="zh-CN"/>
                    </w:rPr>
                    <w:t>（</w:t>
                  </w:r>
                  <w:r>
                    <w:rPr>
                      <w:rFonts w:hint="eastAsia"/>
                      <w:bCs/>
                      <w:color w:val="auto"/>
                      <w:sz w:val="21"/>
                    </w:rPr>
                    <w:t>GB38508-2020</w:t>
                  </w:r>
                  <w:r>
                    <w:rPr>
                      <w:rFonts w:hint="eastAsia"/>
                      <w:bCs/>
                      <w:color w:val="auto"/>
                      <w:sz w:val="21"/>
                      <w:lang w:eastAsia="zh-CN"/>
                    </w:rPr>
                    <w:t>）</w:t>
                  </w:r>
                  <w:r>
                    <w:rPr>
                      <w:rFonts w:hint="eastAsia"/>
                      <w:bCs/>
                      <w:color w:val="auto"/>
                      <w:sz w:val="21"/>
                    </w:rPr>
                    <w:t>的低VOCs含量清洗剂比例达到100%</w:t>
                  </w:r>
                </w:p>
              </w:tc>
              <w:tc>
                <w:tcPr>
                  <w:tcW w:w="1494" w:type="pct"/>
                  <w:vMerge w:val="continue"/>
                  <w:noWrap w:val="0"/>
                  <w:vAlign w:val="center"/>
                </w:tcPr>
                <w:p w14:paraId="17E2932D">
                  <w:pPr>
                    <w:autoSpaceDE w:val="0"/>
                    <w:adjustRightInd w:val="0"/>
                    <w:spacing w:line="240" w:lineRule="auto"/>
                    <w:ind w:left="-63" w:leftChars="-30" w:right="-63" w:rightChars="-30" w:firstLine="0" w:firstLineChars="0"/>
                    <w:jc w:val="left"/>
                    <w:rPr>
                      <w:bCs/>
                      <w:color w:val="auto"/>
                      <w:kern w:val="2"/>
                      <w:sz w:val="21"/>
                      <w:lang w:val="en-US" w:eastAsia="zh-CN" w:bidi="ar-SA"/>
                    </w:rPr>
                  </w:pPr>
                </w:p>
              </w:tc>
              <w:tc>
                <w:tcPr>
                  <w:tcW w:w="308" w:type="pct"/>
                  <w:noWrap w:val="0"/>
                  <w:vAlign w:val="center"/>
                </w:tcPr>
                <w:p w14:paraId="4AAA2A54">
                  <w:pPr>
                    <w:autoSpaceDE w:val="0"/>
                    <w:adjustRightInd w:val="0"/>
                    <w:spacing w:line="240" w:lineRule="auto"/>
                    <w:ind w:firstLine="0" w:firstLineChars="0"/>
                    <w:jc w:val="center"/>
                    <w:rPr>
                      <w:rFonts w:hint="eastAsia"/>
                      <w:bCs/>
                      <w:color w:val="auto"/>
                      <w:kern w:val="2"/>
                      <w:sz w:val="21"/>
                      <w:lang w:val="en-US" w:eastAsia="zh-CN" w:bidi="ar-SA"/>
                    </w:rPr>
                  </w:pPr>
                  <w:r>
                    <w:rPr>
                      <w:rFonts w:hint="eastAsia"/>
                      <w:bCs/>
                      <w:color w:val="auto"/>
                      <w:sz w:val="21"/>
                    </w:rPr>
                    <w:t>相符</w:t>
                  </w:r>
                </w:p>
              </w:tc>
            </w:tr>
            <w:tr w14:paraId="30787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restart"/>
                  <w:noWrap w:val="0"/>
                  <w:vAlign w:val="center"/>
                </w:tcPr>
                <w:p w14:paraId="12DA7E50">
                  <w:pPr>
                    <w:autoSpaceDE w:val="0"/>
                    <w:adjustRightInd w:val="0"/>
                    <w:spacing w:line="240" w:lineRule="auto"/>
                    <w:ind w:left="-84" w:leftChars="-40" w:right="-84" w:rightChars="-40" w:firstLine="0" w:firstLineChars="0"/>
                    <w:jc w:val="center"/>
                    <w:rPr>
                      <w:rFonts w:hint="default" w:eastAsia="宋体"/>
                      <w:bCs/>
                      <w:color w:val="auto"/>
                      <w:sz w:val="21"/>
                      <w:szCs w:val="24"/>
                      <w:lang w:val="en-US" w:eastAsia="zh-CN"/>
                    </w:rPr>
                  </w:pPr>
                  <w:r>
                    <w:rPr>
                      <w:rFonts w:hint="eastAsia"/>
                      <w:bCs/>
                      <w:color w:val="auto"/>
                      <w:sz w:val="21"/>
                      <w:szCs w:val="24"/>
                      <w:lang w:val="en-US" w:eastAsia="zh-CN"/>
                    </w:rPr>
                    <w:t>无组织排放</w:t>
                  </w:r>
                </w:p>
              </w:tc>
              <w:tc>
                <w:tcPr>
                  <w:tcW w:w="2613" w:type="pct"/>
                  <w:noWrap w:val="0"/>
                  <w:vAlign w:val="center"/>
                </w:tcPr>
                <w:p w14:paraId="177BEC92">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1、满足《挥发性有机物无组织排放控制标准》</w:t>
                  </w:r>
                  <w:r>
                    <w:rPr>
                      <w:rFonts w:hint="eastAsia"/>
                      <w:bCs/>
                      <w:color w:val="auto"/>
                      <w:sz w:val="21"/>
                      <w:lang w:eastAsia="zh-CN"/>
                    </w:rPr>
                    <w:t>（</w:t>
                  </w:r>
                  <w:r>
                    <w:rPr>
                      <w:rFonts w:hint="eastAsia"/>
                      <w:bCs/>
                      <w:color w:val="auto"/>
                      <w:sz w:val="21"/>
                    </w:rPr>
                    <w:t>GB 37822-2019</w:t>
                  </w:r>
                  <w:r>
                    <w:rPr>
                      <w:rFonts w:hint="eastAsia"/>
                      <w:bCs/>
                      <w:color w:val="auto"/>
                      <w:sz w:val="21"/>
                      <w:lang w:eastAsia="zh-CN"/>
                    </w:rPr>
                    <w:t>）</w:t>
                  </w:r>
                  <w:r>
                    <w:rPr>
                      <w:rFonts w:hint="eastAsia"/>
                      <w:bCs/>
                      <w:color w:val="auto"/>
                      <w:sz w:val="21"/>
                    </w:rPr>
                    <w:t>特别控制要求</w:t>
                  </w:r>
                  <w:r>
                    <w:rPr>
                      <w:rFonts w:hint="eastAsia"/>
                      <w:bCs/>
                      <w:color w:val="auto"/>
                      <w:sz w:val="21"/>
                      <w:lang w:eastAsia="zh-CN"/>
                    </w:rPr>
                    <w:t>；</w:t>
                  </w:r>
                </w:p>
              </w:tc>
              <w:tc>
                <w:tcPr>
                  <w:tcW w:w="1494" w:type="pct"/>
                  <w:noWrap w:val="0"/>
                  <w:vAlign w:val="center"/>
                </w:tcPr>
                <w:p w14:paraId="1F597EDE">
                  <w:pPr>
                    <w:autoSpaceDE w:val="0"/>
                    <w:adjustRightInd w:val="0"/>
                    <w:spacing w:line="240" w:lineRule="auto"/>
                    <w:ind w:left="-63" w:leftChars="-30" w:right="-63" w:rightChars="-30" w:firstLine="0" w:firstLineChars="0"/>
                    <w:jc w:val="both"/>
                    <w:rPr>
                      <w:rFonts w:hint="default" w:eastAsia="宋体"/>
                      <w:b w:val="0"/>
                      <w:bCs/>
                      <w:color w:val="auto"/>
                      <w:kern w:val="2"/>
                      <w:sz w:val="21"/>
                      <w:u w:val="none"/>
                      <w:lang w:val="en-US" w:eastAsia="zh-CN" w:bidi="ar-SA"/>
                    </w:rPr>
                  </w:pPr>
                  <w:r>
                    <w:rPr>
                      <w:rFonts w:hint="eastAsia"/>
                      <w:b w:val="0"/>
                      <w:bCs/>
                      <w:color w:val="auto"/>
                      <w:sz w:val="21"/>
                      <w:u w:val="none"/>
                      <w:lang w:val="en-US" w:eastAsia="zh-CN"/>
                    </w:rPr>
                    <w:t>本项目</w:t>
                  </w:r>
                  <w:r>
                    <w:rPr>
                      <w:rFonts w:hint="eastAsia"/>
                      <w:b w:val="0"/>
                      <w:bCs/>
                      <w:color w:val="auto"/>
                      <w:sz w:val="21"/>
                      <w:u w:val="none"/>
                    </w:rPr>
                    <w:t>VOCs</w:t>
                  </w:r>
                  <w:r>
                    <w:rPr>
                      <w:rFonts w:hint="eastAsia"/>
                      <w:b w:val="0"/>
                      <w:bCs/>
                      <w:color w:val="auto"/>
                      <w:sz w:val="21"/>
                      <w:u w:val="none"/>
                      <w:lang w:val="en-US" w:eastAsia="zh-CN"/>
                    </w:rPr>
                    <w:t>排放满足《挥发性有机物无组织排放控制标准》（GB 37822-2019）特别控制要求</w:t>
                  </w:r>
                </w:p>
              </w:tc>
              <w:tc>
                <w:tcPr>
                  <w:tcW w:w="308" w:type="pct"/>
                  <w:noWrap w:val="0"/>
                  <w:vAlign w:val="center"/>
                </w:tcPr>
                <w:p w14:paraId="2F1E4FF3">
                  <w:pPr>
                    <w:autoSpaceDE w:val="0"/>
                    <w:adjustRightInd w:val="0"/>
                    <w:spacing w:line="240" w:lineRule="auto"/>
                    <w:ind w:firstLine="0" w:firstLineChars="0"/>
                    <w:jc w:val="center"/>
                    <w:rPr>
                      <w:bCs/>
                      <w:color w:val="auto"/>
                      <w:sz w:val="21"/>
                    </w:rPr>
                  </w:pPr>
                  <w:r>
                    <w:rPr>
                      <w:rFonts w:hint="eastAsia"/>
                      <w:bCs/>
                      <w:color w:val="auto"/>
                      <w:sz w:val="21"/>
                    </w:rPr>
                    <w:t>相符</w:t>
                  </w:r>
                </w:p>
              </w:tc>
            </w:tr>
            <w:tr w14:paraId="4D2B0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583" w:type="pct"/>
                  <w:gridSpan w:val="2"/>
                  <w:vMerge w:val="continue"/>
                  <w:noWrap w:val="0"/>
                  <w:vAlign w:val="center"/>
                </w:tcPr>
                <w:p w14:paraId="158ECB87">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2B2CE86C">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2、调配过程</w:t>
                  </w:r>
                  <w:r>
                    <w:rPr>
                      <w:rFonts w:hint="eastAsia"/>
                      <w:bCs/>
                      <w:color w:val="auto"/>
                      <w:sz w:val="21"/>
                      <w:lang w:eastAsia="zh-CN"/>
                    </w:rPr>
                    <w:t>：</w:t>
                  </w:r>
                  <w:r>
                    <w:rPr>
                      <w:rFonts w:hint="eastAsia"/>
                      <w:bCs/>
                      <w:color w:val="auto"/>
                      <w:sz w:val="21"/>
                    </w:rPr>
                    <w:t>胶印工艺使用自动配墨系统</w:t>
                  </w:r>
                  <w:r>
                    <w:rPr>
                      <w:rFonts w:hint="eastAsia"/>
                      <w:bCs/>
                      <w:color w:val="auto"/>
                      <w:sz w:val="21"/>
                      <w:lang w:eastAsia="zh-CN"/>
                    </w:rPr>
                    <w:t>；</w:t>
                  </w:r>
                  <w:r>
                    <w:rPr>
                      <w:rFonts w:hint="eastAsia"/>
                      <w:bCs/>
                      <w:color w:val="auto"/>
                      <w:sz w:val="21"/>
                    </w:rPr>
                    <w:t>凹印工艺调配稀释剂采用管道集中输送系统</w:t>
                  </w:r>
                  <w:r>
                    <w:rPr>
                      <w:rFonts w:hint="eastAsia"/>
                      <w:bCs/>
                      <w:color w:val="auto"/>
                      <w:sz w:val="21"/>
                      <w:lang w:eastAsia="zh-CN"/>
                    </w:rPr>
                    <w:t>；</w:t>
                  </w:r>
                  <w:r>
                    <w:rPr>
                      <w:rFonts w:hint="eastAsia"/>
                      <w:bCs/>
                      <w:color w:val="auto"/>
                      <w:sz w:val="21"/>
                    </w:rPr>
                    <w:t>设置专门的调配间进行调墨、调胶等，废气排至VOCs废气收集处理系统</w:t>
                  </w:r>
                  <w:r>
                    <w:rPr>
                      <w:rFonts w:hint="eastAsia"/>
                      <w:bCs/>
                      <w:color w:val="auto"/>
                      <w:sz w:val="21"/>
                      <w:lang w:eastAsia="zh-CN"/>
                    </w:rPr>
                    <w:t>；</w:t>
                  </w:r>
                </w:p>
              </w:tc>
              <w:tc>
                <w:tcPr>
                  <w:tcW w:w="1494" w:type="pct"/>
                  <w:noWrap w:val="0"/>
                  <w:vAlign w:val="center"/>
                </w:tcPr>
                <w:p w14:paraId="7F07FD25">
                  <w:pPr>
                    <w:autoSpaceDE w:val="0"/>
                    <w:adjustRightInd w:val="0"/>
                    <w:spacing w:line="240" w:lineRule="auto"/>
                    <w:ind w:left="-63" w:leftChars="-30" w:right="-63" w:rightChars="-30" w:firstLine="0" w:firstLineChars="0"/>
                    <w:jc w:val="left"/>
                    <w:rPr>
                      <w:rFonts w:hint="eastAsia" w:eastAsia="宋体"/>
                      <w:b w:val="0"/>
                      <w:bCs/>
                      <w:color w:val="auto"/>
                      <w:kern w:val="2"/>
                      <w:sz w:val="21"/>
                      <w:u w:val="none"/>
                      <w:lang w:val="en-US" w:eastAsia="zh-CN" w:bidi="ar-SA"/>
                    </w:rPr>
                  </w:pPr>
                  <w:r>
                    <w:rPr>
                      <w:rFonts w:hint="eastAsia"/>
                      <w:b w:val="0"/>
                      <w:bCs/>
                      <w:color w:val="auto"/>
                      <w:sz w:val="21"/>
                      <w:u w:val="none"/>
                      <w:lang w:val="en-US" w:eastAsia="zh-CN"/>
                    </w:rPr>
                    <w:t>本项目不涉及</w:t>
                  </w:r>
                </w:p>
              </w:tc>
              <w:tc>
                <w:tcPr>
                  <w:tcW w:w="308" w:type="pct"/>
                  <w:noWrap w:val="0"/>
                  <w:vAlign w:val="center"/>
                </w:tcPr>
                <w:p w14:paraId="5A68B2AA">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46E90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 w:type="pct"/>
                  <w:gridSpan w:val="2"/>
                  <w:vMerge w:val="continue"/>
                  <w:noWrap w:val="0"/>
                  <w:vAlign w:val="center"/>
                </w:tcPr>
                <w:p w14:paraId="177318B2">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44FC7719">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3、供墨过程</w:t>
                  </w:r>
                  <w:r>
                    <w:rPr>
                      <w:rFonts w:hint="eastAsia"/>
                      <w:bCs/>
                      <w:color w:val="auto"/>
                      <w:sz w:val="21"/>
                      <w:lang w:eastAsia="zh-CN"/>
                    </w:rPr>
                    <w:t>：</w:t>
                  </w:r>
                  <w:r>
                    <w:rPr>
                      <w:rFonts w:hint="eastAsia"/>
                      <w:bCs/>
                      <w:color w:val="auto"/>
                      <w:sz w:val="21"/>
                    </w:rPr>
                    <w:t>在密闭设备或密闭负压空间内操作</w:t>
                  </w:r>
                  <w:r>
                    <w:rPr>
                      <w:rFonts w:hint="eastAsia"/>
                      <w:bCs/>
                      <w:color w:val="auto"/>
                      <w:sz w:val="21"/>
                      <w:lang w:eastAsia="zh-CN"/>
                    </w:rPr>
                    <w:t>；</w:t>
                  </w:r>
                  <w:r>
                    <w:rPr>
                      <w:rFonts w:hint="eastAsia"/>
                      <w:bCs/>
                      <w:color w:val="auto"/>
                      <w:sz w:val="21"/>
                    </w:rPr>
                    <w:t>向墨槽中加油墨或稀释剂时采用漏斗或软管等接驳工具</w:t>
                  </w:r>
                  <w:r>
                    <w:rPr>
                      <w:rFonts w:hint="eastAsia"/>
                      <w:bCs/>
                      <w:color w:val="auto"/>
                      <w:sz w:val="21"/>
                      <w:lang w:eastAsia="zh-CN"/>
                    </w:rPr>
                    <w:t>；</w:t>
                  </w:r>
                </w:p>
              </w:tc>
              <w:tc>
                <w:tcPr>
                  <w:tcW w:w="1494" w:type="pct"/>
                  <w:noWrap w:val="0"/>
                  <w:vAlign w:val="center"/>
                </w:tcPr>
                <w:p w14:paraId="0CC2F73C">
                  <w:pPr>
                    <w:autoSpaceDE w:val="0"/>
                    <w:adjustRightInd w:val="0"/>
                    <w:spacing w:line="240" w:lineRule="auto"/>
                    <w:ind w:left="-63" w:leftChars="-30" w:right="-63" w:rightChars="-30" w:firstLine="0" w:firstLineChars="0"/>
                    <w:jc w:val="left"/>
                    <w:rPr>
                      <w:rFonts w:hint="eastAsia" w:eastAsia="宋体"/>
                      <w:b w:val="0"/>
                      <w:bCs/>
                      <w:color w:val="auto"/>
                      <w:kern w:val="2"/>
                      <w:sz w:val="21"/>
                      <w:u w:val="none"/>
                      <w:lang w:val="en-US" w:eastAsia="zh-CN" w:bidi="ar-SA"/>
                    </w:rPr>
                  </w:pPr>
                  <w:r>
                    <w:rPr>
                      <w:rFonts w:hint="eastAsia"/>
                      <w:b w:val="0"/>
                      <w:bCs/>
                      <w:color w:val="auto"/>
                      <w:sz w:val="21"/>
                      <w:highlight w:val="none"/>
                      <w:u w:val="none"/>
                      <w:lang w:val="en-US" w:eastAsia="zh-CN"/>
                    </w:rPr>
                    <w:t>本项目</w:t>
                  </w:r>
                  <w:r>
                    <w:rPr>
                      <w:rFonts w:hint="eastAsia"/>
                      <w:b w:val="0"/>
                      <w:bCs/>
                      <w:color w:val="auto"/>
                      <w:sz w:val="21"/>
                      <w:highlight w:val="none"/>
                      <w:u w:val="none"/>
                    </w:rPr>
                    <w:t>供墨过程在密闭设备内操作</w:t>
                  </w:r>
                  <w:r>
                    <w:rPr>
                      <w:rFonts w:hint="eastAsia"/>
                      <w:b w:val="0"/>
                      <w:bCs/>
                      <w:color w:val="auto"/>
                      <w:sz w:val="21"/>
                      <w:highlight w:val="none"/>
                      <w:u w:val="none"/>
                      <w:lang w:eastAsia="zh-CN"/>
                    </w:rPr>
                    <w:t>；</w:t>
                  </w:r>
                  <w:r>
                    <w:rPr>
                      <w:rFonts w:hint="eastAsia"/>
                      <w:b w:val="0"/>
                      <w:bCs/>
                      <w:color w:val="auto"/>
                      <w:sz w:val="21"/>
                      <w:highlight w:val="none"/>
                      <w:u w:val="none"/>
                    </w:rPr>
                    <w:t>向墨槽中加油墨时采用漏斗</w:t>
                  </w:r>
                </w:p>
              </w:tc>
              <w:tc>
                <w:tcPr>
                  <w:tcW w:w="308" w:type="pct"/>
                  <w:noWrap w:val="0"/>
                  <w:vAlign w:val="center"/>
                </w:tcPr>
                <w:p w14:paraId="2ED18036">
                  <w:pPr>
                    <w:autoSpaceDE w:val="0"/>
                    <w:adjustRightInd w:val="0"/>
                    <w:spacing w:line="240" w:lineRule="auto"/>
                    <w:ind w:firstLine="0" w:firstLineChars="0"/>
                    <w:jc w:val="center"/>
                    <w:rPr>
                      <w:bCs/>
                      <w:color w:val="auto"/>
                      <w:sz w:val="21"/>
                    </w:rPr>
                  </w:pPr>
                  <w:r>
                    <w:rPr>
                      <w:rFonts w:hint="eastAsia"/>
                      <w:bCs/>
                      <w:color w:val="auto"/>
                      <w:sz w:val="21"/>
                    </w:rPr>
                    <w:t>相符</w:t>
                  </w:r>
                </w:p>
              </w:tc>
            </w:tr>
            <w:tr w14:paraId="55AD8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83" w:type="pct"/>
                  <w:gridSpan w:val="2"/>
                  <w:vMerge w:val="continue"/>
                  <w:noWrap w:val="0"/>
                  <w:vAlign w:val="center"/>
                </w:tcPr>
                <w:p w14:paraId="38241610">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05E05E6C">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4、印刷过程</w:t>
                  </w:r>
                  <w:r>
                    <w:rPr>
                      <w:rFonts w:hint="eastAsia"/>
                      <w:bCs/>
                      <w:color w:val="auto"/>
                      <w:sz w:val="21"/>
                      <w:lang w:eastAsia="zh-CN"/>
                    </w:rPr>
                    <w:t>：</w:t>
                  </w:r>
                  <w:r>
                    <w:rPr>
                      <w:rFonts w:hint="eastAsia"/>
                      <w:bCs/>
                      <w:color w:val="auto"/>
                      <w:sz w:val="21"/>
                    </w:rPr>
                    <w:t>柔版印刷机采用封闭刮刀</w:t>
                  </w:r>
                  <w:r>
                    <w:rPr>
                      <w:rFonts w:hint="eastAsia"/>
                      <w:bCs/>
                      <w:color w:val="auto"/>
                      <w:sz w:val="21"/>
                      <w:lang w:eastAsia="zh-CN"/>
                    </w:rPr>
                    <w:t>；</w:t>
                  </w:r>
                  <w:r>
                    <w:rPr>
                      <w:rFonts w:hint="eastAsia"/>
                      <w:bCs/>
                      <w:color w:val="auto"/>
                      <w:sz w:val="21"/>
                    </w:rPr>
                    <w:t>凹版印刷机通过安装盖板、改变墨槽开口形状等减小墨盘、墨桶、搅墨机等开口面积</w:t>
                  </w:r>
                  <w:r>
                    <w:rPr>
                      <w:rFonts w:hint="eastAsia"/>
                      <w:bCs/>
                      <w:color w:val="auto"/>
                      <w:sz w:val="21"/>
                      <w:lang w:eastAsia="zh-CN"/>
                    </w:rPr>
                    <w:t>；</w:t>
                  </w:r>
                  <w:r>
                    <w:rPr>
                      <w:rFonts w:hint="eastAsia"/>
                      <w:bCs/>
                      <w:color w:val="auto"/>
                      <w:sz w:val="21"/>
                    </w:rPr>
                    <w:t>烘箱密闭，保持负压</w:t>
                  </w:r>
                  <w:r>
                    <w:rPr>
                      <w:rFonts w:hint="eastAsia"/>
                      <w:bCs/>
                      <w:color w:val="auto"/>
                      <w:sz w:val="21"/>
                      <w:lang w:eastAsia="zh-CN"/>
                    </w:rPr>
                    <w:t>；</w:t>
                  </w:r>
                  <w:r>
                    <w:rPr>
                      <w:rFonts w:hint="eastAsia"/>
                      <w:bCs/>
                      <w:color w:val="auto"/>
                      <w:sz w:val="21"/>
                    </w:rPr>
                    <w:t>印刷机整体排风收集</w:t>
                  </w:r>
                  <w:r>
                    <w:rPr>
                      <w:rFonts w:hint="eastAsia"/>
                      <w:bCs/>
                      <w:color w:val="auto"/>
                      <w:sz w:val="21"/>
                      <w:lang w:eastAsia="zh-CN"/>
                    </w:rPr>
                    <w:t>；</w:t>
                  </w:r>
                </w:p>
              </w:tc>
              <w:tc>
                <w:tcPr>
                  <w:tcW w:w="1494" w:type="pct"/>
                  <w:noWrap w:val="0"/>
                  <w:vAlign w:val="center"/>
                </w:tcPr>
                <w:p w14:paraId="1E570EDA">
                  <w:pPr>
                    <w:autoSpaceDE w:val="0"/>
                    <w:adjustRightInd w:val="0"/>
                    <w:spacing w:line="240" w:lineRule="auto"/>
                    <w:ind w:left="-63" w:leftChars="-30" w:right="-63" w:rightChars="-30" w:firstLine="0" w:firstLineChars="0"/>
                    <w:jc w:val="left"/>
                    <w:rPr>
                      <w:rFonts w:hint="default" w:eastAsia="宋体"/>
                      <w:b w:val="0"/>
                      <w:bCs/>
                      <w:color w:val="auto"/>
                      <w:kern w:val="2"/>
                      <w:sz w:val="21"/>
                      <w:u w:val="none"/>
                      <w:lang w:val="en-US" w:eastAsia="zh-CN" w:bidi="ar-SA"/>
                    </w:rPr>
                  </w:pPr>
                  <w:r>
                    <w:rPr>
                      <w:rFonts w:hint="eastAsia"/>
                      <w:b w:val="0"/>
                      <w:bCs/>
                      <w:color w:val="auto"/>
                      <w:sz w:val="21"/>
                      <w:u w:val="none"/>
                      <w:lang w:val="en-US" w:eastAsia="zh-CN"/>
                    </w:rPr>
                    <w:t>本项目采用数字喷墨打印，</w:t>
                  </w:r>
                  <w:r>
                    <w:rPr>
                      <w:rFonts w:hint="eastAsia"/>
                      <w:bCs/>
                      <w:color w:val="auto"/>
                      <w:sz w:val="21"/>
                    </w:rPr>
                    <w:t>印刷</w:t>
                  </w:r>
                  <w:r>
                    <w:rPr>
                      <w:rFonts w:hint="eastAsia"/>
                      <w:bCs/>
                      <w:color w:val="auto"/>
                      <w:sz w:val="21"/>
                      <w:lang w:eastAsia="zh-CN"/>
                    </w:rPr>
                    <w:t>、</w:t>
                  </w:r>
                  <w:r>
                    <w:rPr>
                      <w:rFonts w:hint="eastAsia"/>
                      <w:bCs/>
                      <w:color w:val="auto"/>
                      <w:sz w:val="21"/>
                      <w:lang w:val="en-US" w:eastAsia="zh-CN"/>
                    </w:rPr>
                    <w:t>烘干过程整体密闭运行</w:t>
                  </w:r>
                  <w:r>
                    <w:rPr>
                      <w:rFonts w:hint="eastAsia"/>
                      <w:bCs/>
                      <w:color w:val="auto"/>
                      <w:sz w:val="21"/>
                    </w:rPr>
                    <w:t>，保持负压</w:t>
                  </w:r>
                </w:p>
              </w:tc>
              <w:tc>
                <w:tcPr>
                  <w:tcW w:w="308" w:type="pct"/>
                  <w:noWrap w:val="0"/>
                  <w:vAlign w:val="center"/>
                </w:tcPr>
                <w:p w14:paraId="6374F933">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6B403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 w:type="pct"/>
                  <w:gridSpan w:val="2"/>
                  <w:vMerge w:val="continue"/>
                  <w:noWrap w:val="0"/>
                  <w:vAlign w:val="center"/>
                </w:tcPr>
                <w:p w14:paraId="438AF2C5">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27512DA1">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5、清洗过程</w:t>
                  </w:r>
                  <w:r>
                    <w:rPr>
                      <w:rFonts w:hint="eastAsia"/>
                      <w:bCs/>
                      <w:color w:val="auto"/>
                      <w:sz w:val="21"/>
                      <w:lang w:eastAsia="zh-CN"/>
                    </w:rPr>
                    <w:t>：</w:t>
                  </w:r>
                  <w:r>
                    <w:rPr>
                      <w:rFonts w:hint="eastAsia"/>
                      <w:bCs/>
                      <w:color w:val="auto"/>
                      <w:sz w:val="21"/>
                    </w:rPr>
                    <w:t>清洗专用清洗间、排风收集</w:t>
                  </w:r>
                  <w:r>
                    <w:rPr>
                      <w:rFonts w:hint="eastAsia"/>
                      <w:bCs/>
                      <w:color w:val="auto"/>
                      <w:sz w:val="21"/>
                      <w:lang w:eastAsia="zh-CN"/>
                    </w:rPr>
                    <w:t>；</w:t>
                  </w:r>
                  <w:r>
                    <w:rPr>
                      <w:rFonts w:hint="eastAsia"/>
                      <w:bCs/>
                      <w:color w:val="auto"/>
                      <w:sz w:val="21"/>
                    </w:rPr>
                    <w:t>沾染清洗剂的毛巾或抹布储存于密闭容器</w:t>
                  </w:r>
                  <w:r>
                    <w:rPr>
                      <w:rFonts w:hint="eastAsia"/>
                      <w:bCs/>
                      <w:color w:val="auto"/>
                      <w:sz w:val="21"/>
                      <w:lang w:eastAsia="zh-CN"/>
                    </w:rPr>
                    <w:t>；</w:t>
                  </w:r>
                </w:p>
              </w:tc>
              <w:tc>
                <w:tcPr>
                  <w:tcW w:w="1494" w:type="pct"/>
                  <w:noWrap w:val="0"/>
                  <w:vAlign w:val="center"/>
                </w:tcPr>
                <w:p w14:paraId="7617AD53">
                  <w:pPr>
                    <w:autoSpaceDE w:val="0"/>
                    <w:adjustRightInd w:val="0"/>
                    <w:spacing w:line="240" w:lineRule="auto"/>
                    <w:ind w:left="-63" w:leftChars="-30" w:right="-63" w:rightChars="-30" w:firstLine="0" w:firstLineChars="0"/>
                    <w:jc w:val="left"/>
                    <w:rPr>
                      <w:rFonts w:hint="default" w:eastAsia="宋体"/>
                      <w:b w:val="0"/>
                      <w:bCs/>
                      <w:color w:val="auto"/>
                      <w:kern w:val="2"/>
                      <w:sz w:val="21"/>
                      <w:u w:val="none"/>
                      <w:lang w:val="en-US" w:eastAsia="zh-CN" w:bidi="ar-SA"/>
                    </w:rPr>
                  </w:pPr>
                  <w:r>
                    <w:rPr>
                      <w:rFonts w:hint="eastAsia"/>
                      <w:b w:val="0"/>
                      <w:bCs/>
                      <w:color w:val="auto"/>
                      <w:sz w:val="21"/>
                      <w:u w:val="none"/>
                      <w:lang w:val="en-US" w:eastAsia="zh-CN"/>
                    </w:rPr>
                    <w:t>本项目彩打成像过程不涉及清洗</w:t>
                  </w:r>
                </w:p>
              </w:tc>
              <w:tc>
                <w:tcPr>
                  <w:tcW w:w="308" w:type="pct"/>
                  <w:noWrap w:val="0"/>
                  <w:vAlign w:val="center"/>
                </w:tcPr>
                <w:p w14:paraId="7801A340">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26513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trPr>
              <w:tc>
                <w:tcPr>
                  <w:tcW w:w="583" w:type="pct"/>
                  <w:gridSpan w:val="2"/>
                  <w:vMerge w:val="continue"/>
                  <w:noWrap w:val="0"/>
                  <w:vAlign w:val="center"/>
                </w:tcPr>
                <w:p w14:paraId="373F1908">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16FF5BB1">
                  <w:pPr>
                    <w:autoSpaceDE w:val="0"/>
                    <w:adjustRightInd w:val="0"/>
                    <w:spacing w:line="240" w:lineRule="auto"/>
                    <w:ind w:left="-63" w:leftChars="-30" w:right="-63" w:rightChars="-30" w:firstLine="0" w:firstLineChars="0"/>
                    <w:jc w:val="left"/>
                    <w:rPr>
                      <w:bCs/>
                      <w:color w:val="auto"/>
                      <w:sz w:val="21"/>
                    </w:rPr>
                  </w:pPr>
                  <w:r>
                    <w:rPr>
                      <w:rFonts w:hint="eastAsia"/>
                      <w:bCs/>
                      <w:color w:val="auto"/>
                      <w:sz w:val="21"/>
                    </w:rPr>
                    <w:t>6、复合过程</w:t>
                  </w:r>
                  <w:r>
                    <w:rPr>
                      <w:rFonts w:hint="eastAsia"/>
                      <w:bCs/>
                      <w:color w:val="auto"/>
                      <w:sz w:val="21"/>
                      <w:lang w:eastAsia="zh-CN"/>
                    </w:rPr>
                    <w:t>：</w:t>
                  </w:r>
                  <w:r>
                    <w:rPr>
                      <w:rFonts w:hint="eastAsia"/>
                      <w:bCs/>
                      <w:color w:val="auto"/>
                      <w:sz w:val="21"/>
                    </w:rPr>
                    <w:t>烘箱密闭，保持负压</w:t>
                  </w:r>
                  <w:r>
                    <w:rPr>
                      <w:rFonts w:hint="eastAsia"/>
                      <w:bCs/>
                      <w:color w:val="auto"/>
                      <w:sz w:val="21"/>
                      <w:lang w:eastAsia="zh-CN"/>
                    </w:rPr>
                    <w:t>；</w:t>
                  </w:r>
                  <w:r>
                    <w:rPr>
                      <w:rFonts w:hint="eastAsia"/>
                      <w:bCs/>
                      <w:color w:val="auto"/>
                      <w:sz w:val="21"/>
                      <w:lang w:val="en-US" w:eastAsia="zh-CN"/>
                    </w:rPr>
                    <w:t>干</w:t>
                  </w:r>
                  <w:r>
                    <w:rPr>
                      <w:rFonts w:hint="eastAsia"/>
                      <w:bCs/>
                      <w:color w:val="auto"/>
                      <w:sz w:val="21"/>
                    </w:rPr>
                    <w:t>式复合机整机封闭集气收集</w:t>
                  </w:r>
                  <w:r>
                    <w:rPr>
                      <w:rFonts w:hint="eastAsia"/>
                      <w:bCs/>
                      <w:color w:val="auto"/>
                      <w:sz w:val="21"/>
                      <w:lang w:eastAsia="zh-CN"/>
                    </w:rPr>
                    <w:t>；</w:t>
                  </w:r>
                </w:p>
              </w:tc>
              <w:tc>
                <w:tcPr>
                  <w:tcW w:w="1494" w:type="pct"/>
                  <w:noWrap w:val="0"/>
                  <w:vAlign w:val="center"/>
                </w:tcPr>
                <w:p w14:paraId="7B6D1273">
                  <w:pPr>
                    <w:autoSpaceDE w:val="0"/>
                    <w:adjustRightInd w:val="0"/>
                    <w:spacing w:line="240" w:lineRule="auto"/>
                    <w:ind w:left="-63" w:leftChars="-30" w:right="-63" w:rightChars="-30" w:firstLine="0" w:firstLineChars="0"/>
                    <w:jc w:val="left"/>
                    <w:rPr>
                      <w:rFonts w:hint="eastAsia" w:eastAsia="宋体"/>
                      <w:bCs/>
                      <w:color w:val="auto"/>
                      <w:kern w:val="2"/>
                      <w:sz w:val="21"/>
                      <w:lang w:val="en-US" w:eastAsia="zh-CN" w:bidi="ar-SA"/>
                    </w:rPr>
                  </w:pPr>
                  <w:r>
                    <w:rPr>
                      <w:rFonts w:hint="eastAsia"/>
                      <w:bCs/>
                      <w:color w:val="auto"/>
                      <w:sz w:val="21"/>
                      <w:lang w:val="en-US" w:eastAsia="zh-CN"/>
                    </w:rPr>
                    <w:t>本项目不涉及</w:t>
                  </w:r>
                  <w:r>
                    <w:rPr>
                      <w:rFonts w:hint="eastAsia"/>
                      <w:bCs/>
                      <w:color w:val="auto"/>
                      <w:sz w:val="21"/>
                    </w:rPr>
                    <w:t>复合过程</w:t>
                  </w:r>
                </w:p>
              </w:tc>
              <w:tc>
                <w:tcPr>
                  <w:tcW w:w="308" w:type="pct"/>
                  <w:noWrap w:val="0"/>
                  <w:vAlign w:val="center"/>
                </w:tcPr>
                <w:p w14:paraId="173FE0D5">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55B25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 w:type="pct"/>
                  <w:gridSpan w:val="2"/>
                  <w:vMerge w:val="continue"/>
                  <w:noWrap w:val="0"/>
                  <w:vAlign w:val="center"/>
                </w:tcPr>
                <w:p w14:paraId="654F64F5">
                  <w:pPr>
                    <w:autoSpaceDE w:val="0"/>
                    <w:adjustRightInd w:val="0"/>
                    <w:spacing w:line="240" w:lineRule="auto"/>
                    <w:ind w:left="-84" w:leftChars="-40" w:right="-84" w:rightChars="-40" w:firstLine="0" w:firstLineChars="0"/>
                    <w:jc w:val="center"/>
                    <w:rPr>
                      <w:rFonts w:hint="eastAsia"/>
                      <w:bCs/>
                      <w:color w:val="auto"/>
                      <w:sz w:val="21"/>
                      <w:szCs w:val="24"/>
                    </w:rPr>
                  </w:pPr>
                </w:p>
              </w:tc>
              <w:tc>
                <w:tcPr>
                  <w:tcW w:w="2613" w:type="pct"/>
                  <w:noWrap w:val="0"/>
                  <w:vAlign w:val="center"/>
                </w:tcPr>
                <w:p w14:paraId="3E79A0A7">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7、存储过程</w:t>
                  </w:r>
                  <w:r>
                    <w:rPr>
                      <w:rFonts w:hint="eastAsia"/>
                      <w:bCs/>
                      <w:color w:val="auto"/>
                      <w:sz w:val="21"/>
                      <w:lang w:eastAsia="zh-CN"/>
                    </w:rPr>
                    <w:t>：</w:t>
                  </w:r>
                  <w:r>
                    <w:rPr>
                      <w:rFonts w:hint="eastAsia"/>
                      <w:bCs/>
                      <w:color w:val="auto"/>
                      <w:sz w:val="21"/>
                    </w:rPr>
                    <w:t>油墨、稀释剂、胶粘剂、清洗剂、上光油等VOCs物料密闭存储，存放于无阳光直射的场所</w:t>
                  </w:r>
                  <w:r>
                    <w:rPr>
                      <w:rFonts w:hint="eastAsia"/>
                      <w:bCs/>
                      <w:color w:val="auto"/>
                      <w:sz w:val="21"/>
                      <w:lang w:eastAsia="zh-CN"/>
                    </w:rPr>
                    <w:t>；</w:t>
                  </w:r>
                  <w:r>
                    <w:rPr>
                      <w:rFonts w:hint="eastAsia"/>
                      <w:bCs/>
                      <w:color w:val="auto"/>
                      <w:sz w:val="21"/>
                    </w:rPr>
                    <w:t>废油墨、废清洗剂、废活性炭等含VOCs的废物应分类放置于贴有标识的容器内，加盖密封，存放于无阳光直射的场所</w:t>
                  </w:r>
                  <w:r>
                    <w:rPr>
                      <w:rFonts w:hint="eastAsia"/>
                      <w:bCs/>
                      <w:color w:val="auto"/>
                      <w:sz w:val="21"/>
                      <w:lang w:eastAsia="zh-CN"/>
                    </w:rPr>
                    <w:t>；</w:t>
                  </w:r>
                </w:p>
              </w:tc>
              <w:tc>
                <w:tcPr>
                  <w:tcW w:w="1494" w:type="pct"/>
                  <w:noWrap w:val="0"/>
                  <w:vAlign w:val="center"/>
                </w:tcPr>
                <w:p w14:paraId="72FA0320">
                  <w:pPr>
                    <w:autoSpaceDE w:val="0"/>
                    <w:adjustRightInd w:val="0"/>
                    <w:spacing w:line="240" w:lineRule="auto"/>
                    <w:ind w:left="-63" w:leftChars="-30" w:right="-63" w:rightChars="-30" w:firstLine="0" w:firstLineChars="0"/>
                    <w:jc w:val="both"/>
                    <w:rPr>
                      <w:bCs/>
                      <w:color w:val="auto"/>
                      <w:kern w:val="2"/>
                      <w:sz w:val="21"/>
                      <w:lang w:val="en-US" w:eastAsia="zh-CN" w:bidi="ar-SA"/>
                    </w:rPr>
                  </w:pPr>
                  <w:r>
                    <w:rPr>
                      <w:rFonts w:hint="eastAsia"/>
                      <w:b w:val="0"/>
                      <w:bCs/>
                      <w:color w:val="auto"/>
                      <w:sz w:val="21"/>
                      <w:u w:val="none"/>
                      <w:lang w:val="en-US" w:eastAsia="zh-CN"/>
                    </w:rPr>
                    <w:t>本项目涉及</w:t>
                  </w:r>
                  <w:r>
                    <w:rPr>
                      <w:rFonts w:hint="eastAsia"/>
                      <w:b w:val="0"/>
                      <w:bCs/>
                      <w:color w:val="auto"/>
                      <w:sz w:val="21"/>
                      <w:u w:val="none"/>
                    </w:rPr>
                    <w:t>VOCs物料密闭存储，存放于无阳光直射的场所</w:t>
                  </w:r>
                  <w:r>
                    <w:rPr>
                      <w:rFonts w:hint="eastAsia"/>
                      <w:b w:val="0"/>
                      <w:bCs/>
                      <w:color w:val="auto"/>
                      <w:sz w:val="21"/>
                      <w:u w:val="none"/>
                      <w:lang w:eastAsia="zh-CN"/>
                    </w:rPr>
                    <w:t>；</w:t>
                  </w:r>
                  <w:r>
                    <w:rPr>
                      <w:rFonts w:hint="eastAsia"/>
                      <w:b w:val="0"/>
                      <w:bCs/>
                      <w:color w:val="auto"/>
                      <w:sz w:val="21"/>
                      <w:u w:val="none"/>
                    </w:rPr>
                    <w:t>废活性炭等含VOCs的废物分类放置于贴有标识的容器内，加盖密封，存放于</w:t>
                  </w:r>
                  <w:r>
                    <w:rPr>
                      <w:rFonts w:hint="eastAsia"/>
                      <w:b w:val="0"/>
                      <w:bCs/>
                      <w:color w:val="auto"/>
                      <w:sz w:val="21"/>
                      <w:u w:val="none"/>
                      <w:lang w:val="en-US" w:eastAsia="zh-CN"/>
                    </w:rPr>
                    <w:t>危废暂存间内，</w:t>
                  </w:r>
                  <w:r>
                    <w:rPr>
                      <w:rFonts w:hint="eastAsia"/>
                      <w:b w:val="0"/>
                      <w:bCs/>
                      <w:color w:val="auto"/>
                      <w:sz w:val="21"/>
                      <w:u w:val="none"/>
                    </w:rPr>
                    <w:t>无阳光直射</w:t>
                  </w:r>
                </w:p>
              </w:tc>
              <w:tc>
                <w:tcPr>
                  <w:tcW w:w="308" w:type="pct"/>
                  <w:noWrap w:val="0"/>
                  <w:vAlign w:val="center"/>
                </w:tcPr>
                <w:p w14:paraId="006FA6D8">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6BF31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restart"/>
                  <w:noWrap w:val="0"/>
                  <w:vAlign w:val="center"/>
                </w:tcPr>
                <w:p w14:paraId="4C6D3123">
                  <w:pPr>
                    <w:autoSpaceDE w:val="0"/>
                    <w:adjustRightInd w:val="0"/>
                    <w:spacing w:line="240" w:lineRule="auto"/>
                    <w:ind w:left="-84" w:leftChars="-40" w:right="-84" w:rightChars="-40" w:firstLine="0" w:firstLineChars="0"/>
                    <w:jc w:val="center"/>
                    <w:rPr>
                      <w:rFonts w:hint="eastAsia"/>
                      <w:bCs/>
                      <w:color w:val="auto"/>
                      <w:sz w:val="21"/>
                      <w:szCs w:val="24"/>
                    </w:rPr>
                  </w:pPr>
                  <w:r>
                    <w:rPr>
                      <w:rFonts w:hint="eastAsia"/>
                      <w:bCs/>
                      <w:color w:val="auto"/>
                      <w:sz w:val="21"/>
                      <w:szCs w:val="24"/>
                      <w:lang w:val="en-US" w:eastAsia="zh-CN"/>
                    </w:rPr>
                    <w:t>污染治理技术</w:t>
                  </w:r>
                </w:p>
              </w:tc>
              <w:tc>
                <w:tcPr>
                  <w:tcW w:w="2613" w:type="pct"/>
                  <w:noWrap w:val="0"/>
                  <w:vAlign w:val="center"/>
                </w:tcPr>
                <w:p w14:paraId="72F41D28">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1、使用溶剂型原辅材料时，调墨供墨、涂布</w:t>
                  </w:r>
                  <w:r>
                    <w:rPr>
                      <w:rFonts w:hint="eastAsia"/>
                      <w:bCs/>
                      <w:color w:val="auto"/>
                      <w:sz w:val="21"/>
                      <w:lang w:eastAsia="zh-CN"/>
                    </w:rPr>
                    <w:t>（</w:t>
                  </w:r>
                  <w:r>
                    <w:rPr>
                      <w:rFonts w:hint="eastAsia"/>
                      <w:bCs/>
                      <w:color w:val="auto"/>
                      <w:sz w:val="21"/>
                    </w:rPr>
                    <w:t>上光</w:t>
                  </w:r>
                  <w:r>
                    <w:rPr>
                      <w:rFonts w:hint="eastAsia"/>
                      <w:bCs/>
                      <w:color w:val="auto"/>
                      <w:sz w:val="21"/>
                      <w:lang w:eastAsia="zh-CN"/>
                    </w:rPr>
                    <w:t>）</w:t>
                  </w:r>
                  <w:r>
                    <w:rPr>
                      <w:rFonts w:hint="eastAsia"/>
                      <w:bCs/>
                      <w:color w:val="auto"/>
                      <w:sz w:val="21"/>
                    </w:rPr>
                    <w:t>、印刷、覆膜、复合、清洗等工序含VOCs废气采用燃烧、吸附+燃烧、吸附+冷凝回收等治理技术，处理效率&gt;90%</w:t>
                  </w:r>
                  <w:r>
                    <w:rPr>
                      <w:rFonts w:hint="eastAsia"/>
                      <w:bCs/>
                      <w:color w:val="auto"/>
                      <w:sz w:val="21"/>
                      <w:lang w:eastAsia="zh-CN"/>
                    </w:rPr>
                    <w:t>；</w:t>
                  </w:r>
                </w:p>
              </w:tc>
              <w:tc>
                <w:tcPr>
                  <w:tcW w:w="1494" w:type="pct"/>
                  <w:vMerge w:val="restart"/>
                  <w:noWrap w:val="0"/>
                  <w:vAlign w:val="center"/>
                </w:tcPr>
                <w:p w14:paraId="512516B9">
                  <w:pPr>
                    <w:autoSpaceDE w:val="0"/>
                    <w:adjustRightInd w:val="0"/>
                    <w:spacing w:line="240" w:lineRule="auto"/>
                    <w:ind w:left="-63" w:leftChars="-30" w:right="-63" w:rightChars="-30" w:firstLine="0" w:firstLineChars="0"/>
                    <w:jc w:val="left"/>
                    <w:rPr>
                      <w:rFonts w:hint="default" w:eastAsia="宋体"/>
                      <w:bCs/>
                      <w:color w:val="auto"/>
                      <w:kern w:val="2"/>
                      <w:sz w:val="21"/>
                      <w:lang w:val="en-US" w:eastAsia="zh-CN" w:bidi="ar-SA"/>
                    </w:rPr>
                  </w:pPr>
                  <w:r>
                    <w:rPr>
                      <w:rFonts w:hint="eastAsia"/>
                      <w:bCs/>
                      <w:color w:val="auto"/>
                      <w:sz w:val="21"/>
                      <w:lang w:val="en-US" w:eastAsia="zh-CN"/>
                    </w:rPr>
                    <w:t>本项目</w:t>
                  </w:r>
                  <w:r>
                    <w:rPr>
                      <w:rFonts w:hint="eastAsia"/>
                      <w:bCs/>
                      <w:color w:val="auto"/>
                      <w:sz w:val="21"/>
                    </w:rPr>
                    <w:t>VOCs废气采用两级活性炭吸附装置</w:t>
                  </w:r>
                  <w:r>
                    <w:rPr>
                      <w:rFonts w:hint="eastAsia"/>
                      <w:bCs/>
                      <w:color w:val="auto"/>
                      <w:sz w:val="21"/>
                      <w:lang w:val="en-US" w:eastAsia="zh-CN"/>
                    </w:rPr>
                    <w:t>，处理效率为90%</w:t>
                  </w:r>
                </w:p>
              </w:tc>
              <w:tc>
                <w:tcPr>
                  <w:tcW w:w="308" w:type="pct"/>
                  <w:vMerge w:val="restart"/>
                  <w:noWrap w:val="0"/>
                  <w:vAlign w:val="center"/>
                </w:tcPr>
                <w:p w14:paraId="048AB71B">
                  <w:pPr>
                    <w:autoSpaceDE w:val="0"/>
                    <w:adjustRightInd w:val="0"/>
                    <w:spacing w:line="240" w:lineRule="auto"/>
                    <w:ind w:firstLine="0" w:firstLineChars="0"/>
                    <w:jc w:val="center"/>
                    <w:rPr>
                      <w:bCs/>
                      <w:color w:val="auto"/>
                      <w:sz w:val="21"/>
                    </w:rPr>
                  </w:pPr>
                  <w:r>
                    <w:rPr>
                      <w:rFonts w:hint="eastAsia"/>
                      <w:bCs/>
                      <w:color w:val="auto"/>
                      <w:sz w:val="21"/>
                    </w:rPr>
                    <w:t>相符</w:t>
                  </w:r>
                </w:p>
              </w:tc>
            </w:tr>
            <w:tr w14:paraId="4E10B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2CC943B6">
                  <w:pPr>
                    <w:autoSpaceDE w:val="0"/>
                    <w:adjustRightInd w:val="0"/>
                    <w:spacing w:line="240" w:lineRule="auto"/>
                    <w:ind w:left="-84" w:leftChars="-40" w:right="-84" w:rightChars="-40" w:firstLine="0" w:firstLineChars="0"/>
                    <w:jc w:val="center"/>
                    <w:rPr>
                      <w:rFonts w:hint="eastAsia"/>
                      <w:bCs/>
                      <w:color w:val="auto"/>
                      <w:sz w:val="21"/>
                    </w:rPr>
                  </w:pPr>
                </w:p>
              </w:tc>
              <w:tc>
                <w:tcPr>
                  <w:tcW w:w="2613" w:type="pct"/>
                  <w:noWrap w:val="0"/>
                  <w:vAlign w:val="center"/>
                </w:tcPr>
                <w:p w14:paraId="184CFE1A">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2、采用平版印刷工艺或使用非溶剂型原辅材料时，当车间或生产设施排气中NMHC初始排放速率&gt;2 kg/h时，建设末端治污设施，处理效率≥80%</w:t>
                  </w:r>
                  <w:r>
                    <w:rPr>
                      <w:rFonts w:hint="eastAsia"/>
                      <w:bCs/>
                      <w:color w:val="auto"/>
                      <w:sz w:val="21"/>
                      <w:lang w:eastAsia="zh-CN"/>
                    </w:rPr>
                    <w:t>。</w:t>
                  </w:r>
                </w:p>
              </w:tc>
              <w:tc>
                <w:tcPr>
                  <w:tcW w:w="1494" w:type="pct"/>
                  <w:vMerge w:val="continue"/>
                  <w:noWrap w:val="0"/>
                  <w:vAlign w:val="center"/>
                </w:tcPr>
                <w:p w14:paraId="33A2A570">
                  <w:pPr>
                    <w:autoSpaceDE w:val="0"/>
                    <w:adjustRightInd w:val="0"/>
                    <w:spacing w:line="240" w:lineRule="auto"/>
                    <w:ind w:left="-63" w:leftChars="-30" w:right="-63" w:rightChars="-30" w:firstLine="0" w:firstLineChars="0"/>
                    <w:jc w:val="both"/>
                    <w:rPr>
                      <w:rFonts w:hint="eastAsia" w:eastAsia="宋体"/>
                      <w:bCs/>
                      <w:color w:val="auto"/>
                      <w:kern w:val="2"/>
                      <w:sz w:val="21"/>
                      <w:lang w:val="en-US" w:eastAsia="zh-CN" w:bidi="ar-SA"/>
                    </w:rPr>
                  </w:pPr>
                </w:p>
              </w:tc>
              <w:tc>
                <w:tcPr>
                  <w:tcW w:w="308" w:type="pct"/>
                  <w:vMerge w:val="continue"/>
                  <w:noWrap w:val="0"/>
                  <w:vAlign w:val="center"/>
                </w:tcPr>
                <w:p w14:paraId="17394273">
                  <w:pPr>
                    <w:autoSpaceDE w:val="0"/>
                    <w:adjustRightInd w:val="0"/>
                    <w:spacing w:line="240" w:lineRule="auto"/>
                    <w:ind w:firstLine="0" w:firstLineChars="0"/>
                    <w:jc w:val="center"/>
                    <w:rPr>
                      <w:bCs/>
                      <w:color w:val="auto"/>
                      <w:sz w:val="21"/>
                    </w:rPr>
                  </w:pPr>
                </w:p>
              </w:tc>
            </w:tr>
            <w:tr w14:paraId="149C8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trPr>
              <w:tc>
                <w:tcPr>
                  <w:tcW w:w="583" w:type="pct"/>
                  <w:gridSpan w:val="2"/>
                  <w:vMerge w:val="restart"/>
                  <w:noWrap w:val="0"/>
                  <w:vAlign w:val="center"/>
                </w:tcPr>
                <w:p w14:paraId="6280F4EE">
                  <w:pPr>
                    <w:autoSpaceDE w:val="0"/>
                    <w:adjustRightInd w:val="0"/>
                    <w:spacing w:line="240" w:lineRule="auto"/>
                    <w:ind w:left="-84" w:leftChars="-40" w:right="-84" w:rightChars="-40" w:firstLine="0" w:firstLineChars="0"/>
                    <w:jc w:val="center"/>
                    <w:rPr>
                      <w:rFonts w:hint="eastAsia"/>
                      <w:bCs/>
                      <w:color w:val="auto"/>
                      <w:sz w:val="21"/>
                    </w:rPr>
                  </w:pPr>
                  <w:r>
                    <w:rPr>
                      <w:rFonts w:hint="eastAsia"/>
                      <w:bCs/>
                      <w:color w:val="auto"/>
                      <w:sz w:val="21"/>
                    </w:rPr>
                    <w:t>排放限值</w:t>
                  </w:r>
                </w:p>
              </w:tc>
              <w:tc>
                <w:tcPr>
                  <w:tcW w:w="2613" w:type="pct"/>
                  <w:noWrap w:val="0"/>
                  <w:vAlign w:val="center"/>
                </w:tcPr>
                <w:p w14:paraId="3C287357">
                  <w:pPr>
                    <w:autoSpaceDE w:val="0"/>
                    <w:adjustRightInd w:val="0"/>
                    <w:spacing w:line="240" w:lineRule="auto"/>
                    <w:ind w:left="-63" w:leftChars="-30" w:right="-63" w:rightChars="-30" w:firstLine="0" w:firstLineChars="0"/>
                    <w:jc w:val="both"/>
                    <w:rPr>
                      <w:rFonts w:hint="eastAsia"/>
                      <w:bCs/>
                      <w:color w:val="auto"/>
                      <w:sz w:val="21"/>
                    </w:rPr>
                  </w:pPr>
                  <w:r>
                    <w:rPr>
                      <w:rFonts w:hint="eastAsia"/>
                      <w:bCs/>
                      <w:color w:val="auto"/>
                      <w:sz w:val="21"/>
                    </w:rPr>
                    <w:t>1、在连续一年的监测数据中，车间或</w:t>
                  </w:r>
                  <w:r>
                    <w:rPr>
                      <w:rFonts w:hint="eastAsia"/>
                      <w:bCs/>
                      <w:color w:val="auto"/>
                      <w:sz w:val="21"/>
                      <w:lang w:val="en-US" w:eastAsia="zh-CN"/>
                    </w:rPr>
                    <w:t>生</w:t>
                  </w:r>
                  <w:r>
                    <w:rPr>
                      <w:rFonts w:hint="eastAsia"/>
                      <w:bCs/>
                      <w:color w:val="auto"/>
                      <w:sz w:val="21"/>
                    </w:rPr>
                    <w:t>产设施</w:t>
                  </w:r>
                  <w:r>
                    <w:rPr>
                      <w:rFonts w:hint="eastAsia"/>
                      <w:bCs/>
                      <w:color w:val="auto"/>
                      <w:sz w:val="21"/>
                      <w:lang w:val="en-US" w:eastAsia="zh-CN"/>
                    </w:rPr>
                    <w:t>排气筒</w:t>
                  </w:r>
                  <w:r>
                    <w:rPr>
                      <w:rFonts w:hint="eastAsia"/>
                      <w:bCs/>
                      <w:color w:val="auto"/>
                      <w:sz w:val="21"/>
                    </w:rPr>
                    <w:t>排放的NMHC</w:t>
                  </w:r>
                  <w:r>
                    <w:rPr>
                      <w:rFonts w:hint="eastAsia"/>
                      <w:bCs/>
                      <w:color w:val="auto"/>
                      <w:sz w:val="21"/>
                      <w:lang w:val="en-US" w:eastAsia="zh-CN"/>
                    </w:rPr>
                    <w:t>为</w:t>
                  </w:r>
                  <w:r>
                    <w:rPr>
                      <w:rFonts w:hint="eastAsia"/>
                      <w:bCs/>
                      <w:color w:val="auto"/>
                      <w:sz w:val="21"/>
                    </w:rPr>
                    <w:t>20</w:t>
                  </w:r>
                  <w:r>
                    <w:rPr>
                      <w:rFonts w:hint="eastAsia"/>
                      <w:bCs/>
                      <w:color w:val="auto"/>
                      <w:sz w:val="21"/>
                      <w:lang w:eastAsia="zh-CN"/>
                    </w:rPr>
                    <w:t>—</w:t>
                  </w:r>
                  <w:r>
                    <w:rPr>
                      <w:rFonts w:hint="eastAsia"/>
                      <w:bCs/>
                      <w:color w:val="auto"/>
                      <w:sz w:val="21"/>
                    </w:rPr>
                    <w:t>30mg/m</w:t>
                  </w:r>
                  <w:r>
                    <w:rPr>
                      <w:rFonts w:hint="eastAsia"/>
                      <w:bCs/>
                      <w:color w:val="auto"/>
                      <w:sz w:val="21"/>
                      <w:vertAlign w:val="superscript"/>
                      <w:lang w:val="en-US" w:eastAsia="zh-CN"/>
                    </w:rPr>
                    <w:t>3</w:t>
                  </w:r>
                  <w:r>
                    <w:rPr>
                      <w:rFonts w:hint="eastAsia"/>
                      <w:bCs/>
                      <w:color w:val="auto"/>
                      <w:sz w:val="21"/>
                      <w:lang w:val="en-US" w:eastAsia="zh-CN"/>
                    </w:rPr>
                    <w:t>、</w:t>
                  </w:r>
                  <w:r>
                    <w:rPr>
                      <w:rFonts w:hint="eastAsia"/>
                      <w:bCs/>
                      <w:color w:val="auto"/>
                      <w:sz w:val="21"/>
                    </w:rPr>
                    <w:t>TVOC为40</w:t>
                  </w:r>
                  <w:r>
                    <w:rPr>
                      <w:rFonts w:hint="eastAsia"/>
                      <w:bCs/>
                      <w:color w:val="auto"/>
                      <w:sz w:val="21"/>
                      <w:lang w:eastAsia="zh-CN"/>
                    </w:rPr>
                    <w:t>—</w:t>
                  </w:r>
                  <w:r>
                    <w:rPr>
                      <w:rFonts w:hint="eastAsia"/>
                      <w:bCs/>
                      <w:color w:val="auto"/>
                      <w:sz w:val="21"/>
                    </w:rPr>
                    <w:t>50mg/m</w:t>
                  </w:r>
                  <w:r>
                    <w:rPr>
                      <w:rFonts w:hint="eastAsia"/>
                      <w:bCs/>
                      <w:color w:val="auto"/>
                      <w:sz w:val="21"/>
                      <w:vertAlign w:val="superscript"/>
                      <w:lang w:val="en-US" w:eastAsia="zh-CN"/>
                    </w:rPr>
                    <w:t>3</w:t>
                  </w:r>
                  <w:r>
                    <w:rPr>
                      <w:rFonts w:hint="eastAsia"/>
                      <w:bCs/>
                      <w:color w:val="auto"/>
                      <w:sz w:val="21"/>
                      <w:lang w:val="en-US" w:eastAsia="zh-CN"/>
                    </w:rPr>
                    <w:t>；</w:t>
                  </w:r>
                </w:p>
              </w:tc>
              <w:tc>
                <w:tcPr>
                  <w:tcW w:w="1494" w:type="pct"/>
                  <w:noWrap w:val="0"/>
                  <w:vAlign w:val="center"/>
                </w:tcPr>
                <w:p w14:paraId="49F8D82A">
                  <w:pPr>
                    <w:autoSpaceDE w:val="0"/>
                    <w:adjustRightInd w:val="0"/>
                    <w:spacing w:line="240" w:lineRule="auto"/>
                    <w:ind w:left="-63" w:leftChars="-30" w:right="-63" w:rightChars="-30" w:firstLine="0" w:firstLineChars="0"/>
                    <w:jc w:val="left"/>
                    <w:rPr>
                      <w:rFonts w:hint="eastAsia" w:eastAsia="宋体"/>
                      <w:bCs/>
                      <w:color w:val="auto"/>
                      <w:kern w:val="2"/>
                      <w:sz w:val="21"/>
                      <w:lang w:val="en-US" w:eastAsia="zh-CN" w:bidi="ar-SA"/>
                    </w:rPr>
                  </w:pPr>
                  <w:r>
                    <w:rPr>
                      <w:rFonts w:hint="eastAsia"/>
                      <w:bCs/>
                      <w:color w:val="auto"/>
                      <w:sz w:val="21"/>
                    </w:rPr>
                    <w:t>1.</w:t>
                  </w:r>
                  <w:r>
                    <w:rPr>
                      <w:rFonts w:hint="eastAsia"/>
                      <w:bCs/>
                      <w:color w:val="auto"/>
                      <w:sz w:val="21"/>
                      <w:lang w:val="en-US" w:eastAsia="zh-CN"/>
                    </w:rPr>
                    <w:t>本项目</w:t>
                  </w:r>
                  <w:r>
                    <w:rPr>
                      <w:rFonts w:hint="eastAsia"/>
                      <w:bCs/>
                      <w:color w:val="auto"/>
                      <w:sz w:val="21"/>
                    </w:rPr>
                    <w:t>车间或</w:t>
                  </w:r>
                  <w:r>
                    <w:rPr>
                      <w:rFonts w:hint="eastAsia"/>
                      <w:bCs/>
                      <w:color w:val="auto"/>
                      <w:sz w:val="21"/>
                      <w:lang w:val="en-US" w:eastAsia="zh-CN"/>
                    </w:rPr>
                    <w:t>生</w:t>
                  </w:r>
                  <w:r>
                    <w:rPr>
                      <w:rFonts w:hint="eastAsia"/>
                      <w:bCs/>
                      <w:color w:val="auto"/>
                      <w:sz w:val="21"/>
                    </w:rPr>
                    <w:t>产设施排气筒排放的NMHC</w:t>
                  </w:r>
                  <w:r>
                    <w:rPr>
                      <w:rFonts w:hint="eastAsia"/>
                      <w:bCs/>
                      <w:color w:val="auto"/>
                      <w:sz w:val="21"/>
                      <w:lang w:val="en-US" w:eastAsia="zh-CN"/>
                    </w:rPr>
                    <w:t>≤2</w:t>
                  </w:r>
                  <w:r>
                    <w:rPr>
                      <w:rFonts w:hint="eastAsia"/>
                      <w:bCs/>
                      <w:color w:val="auto"/>
                      <w:sz w:val="21"/>
                    </w:rPr>
                    <w:t>0mg/m</w:t>
                  </w:r>
                  <w:r>
                    <w:rPr>
                      <w:rFonts w:hint="eastAsia"/>
                      <w:bCs/>
                      <w:color w:val="auto"/>
                      <w:sz w:val="21"/>
                      <w:vertAlign w:val="superscript"/>
                      <w:lang w:val="en-US" w:eastAsia="zh-CN"/>
                    </w:rPr>
                    <w:t>3</w:t>
                  </w:r>
                </w:p>
              </w:tc>
              <w:tc>
                <w:tcPr>
                  <w:tcW w:w="308" w:type="pct"/>
                  <w:noWrap w:val="0"/>
                  <w:vAlign w:val="center"/>
                </w:tcPr>
                <w:p w14:paraId="5CD47C98">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7CCF2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78945CFD">
                  <w:pPr>
                    <w:autoSpaceDE w:val="0"/>
                    <w:adjustRightInd w:val="0"/>
                    <w:spacing w:line="240" w:lineRule="auto"/>
                    <w:ind w:left="-84" w:leftChars="-40" w:right="-84" w:rightChars="-40" w:firstLine="0" w:firstLineChars="0"/>
                    <w:jc w:val="center"/>
                    <w:rPr>
                      <w:rFonts w:hint="eastAsia"/>
                      <w:bCs/>
                      <w:color w:val="auto"/>
                      <w:sz w:val="21"/>
                    </w:rPr>
                  </w:pPr>
                </w:p>
              </w:tc>
              <w:tc>
                <w:tcPr>
                  <w:tcW w:w="2613" w:type="pct"/>
                  <w:noWrap w:val="0"/>
                  <w:vAlign w:val="center"/>
                </w:tcPr>
                <w:p w14:paraId="2349FCB2">
                  <w:pPr>
                    <w:autoSpaceDE w:val="0"/>
                    <w:adjustRightInd w:val="0"/>
                    <w:spacing w:line="240" w:lineRule="auto"/>
                    <w:ind w:left="-63" w:leftChars="-30" w:right="-63" w:rightChars="-30" w:firstLine="0" w:firstLineChars="0"/>
                    <w:jc w:val="both"/>
                    <w:rPr>
                      <w:rFonts w:hint="eastAsia" w:eastAsia="宋体"/>
                      <w:bCs/>
                      <w:color w:val="auto"/>
                      <w:sz w:val="21"/>
                      <w:lang w:eastAsia="zh-CN"/>
                    </w:rPr>
                  </w:pPr>
                  <w:r>
                    <w:rPr>
                      <w:rFonts w:hint="eastAsia"/>
                      <w:bCs/>
                      <w:color w:val="auto"/>
                      <w:sz w:val="21"/>
                    </w:rPr>
                    <w:t>2、</w:t>
                  </w:r>
                  <w:r>
                    <w:rPr>
                      <w:rFonts w:hint="eastAsia"/>
                      <w:bCs/>
                      <w:color w:val="auto"/>
                      <w:sz w:val="21"/>
                      <w:lang w:val="en-US" w:eastAsia="zh-CN"/>
                    </w:rPr>
                    <w:t>厂</w:t>
                  </w:r>
                  <w:r>
                    <w:rPr>
                      <w:rFonts w:hint="eastAsia"/>
                      <w:bCs/>
                      <w:color w:val="auto"/>
                      <w:sz w:val="21"/>
                    </w:rPr>
                    <w:t>区内无组织排放监控点NMHC的1h平均浓度值不高于6mg/m</w:t>
                  </w:r>
                  <w:r>
                    <w:rPr>
                      <w:rFonts w:hint="eastAsia"/>
                      <w:bCs/>
                      <w:color w:val="auto"/>
                      <w:sz w:val="21"/>
                      <w:vertAlign w:val="superscript"/>
                      <w:lang w:val="en-US" w:eastAsia="zh-CN"/>
                    </w:rPr>
                    <w:t>3</w:t>
                  </w:r>
                  <w:r>
                    <w:rPr>
                      <w:rFonts w:hint="eastAsia"/>
                      <w:bCs/>
                      <w:color w:val="auto"/>
                      <w:sz w:val="21"/>
                      <w:lang w:eastAsia="zh-CN"/>
                    </w:rPr>
                    <w:t>、</w:t>
                  </w:r>
                  <w:r>
                    <w:rPr>
                      <w:rFonts w:hint="eastAsia"/>
                      <w:bCs/>
                      <w:color w:val="auto"/>
                      <w:sz w:val="21"/>
                    </w:rPr>
                    <w:t>任意</w:t>
                  </w:r>
                  <w:r>
                    <w:rPr>
                      <w:rFonts w:hint="eastAsia"/>
                      <w:bCs/>
                      <w:color w:val="auto"/>
                      <w:sz w:val="21"/>
                      <w:lang w:val="en-US" w:eastAsia="zh-CN"/>
                    </w:rPr>
                    <w:t>一</w:t>
                  </w:r>
                  <w:r>
                    <w:rPr>
                      <w:rFonts w:hint="eastAsia"/>
                      <w:bCs/>
                      <w:color w:val="auto"/>
                      <w:sz w:val="21"/>
                    </w:rPr>
                    <w:t>次浓度值不高于20mg/m</w:t>
                  </w:r>
                  <w:r>
                    <w:rPr>
                      <w:rFonts w:hint="eastAsia"/>
                      <w:bCs/>
                      <w:color w:val="auto"/>
                      <w:sz w:val="21"/>
                      <w:vertAlign w:val="superscript"/>
                      <w:lang w:val="en-US" w:eastAsia="zh-CN"/>
                    </w:rPr>
                    <w:t>3</w:t>
                  </w:r>
                  <w:r>
                    <w:rPr>
                      <w:rFonts w:hint="eastAsia"/>
                      <w:bCs/>
                      <w:color w:val="auto"/>
                      <w:sz w:val="21"/>
                      <w:lang w:eastAsia="zh-CN"/>
                    </w:rPr>
                    <w:t>；</w:t>
                  </w:r>
                </w:p>
              </w:tc>
              <w:tc>
                <w:tcPr>
                  <w:tcW w:w="1494" w:type="pct"/>
                  <w:noWrap w:val="0"/>
                  <w:vAlign w:val="center"/>
                </w:tcPr>
                <w:p w14:paraId="1CEFDA73">
                  <w:pPr>
                    <w:autoSpaceDE w:val="0"/>
                    <w:adjustRightInd w:val="0"/>
                    <w:spacing w:line="240" w:lineRule="auto"/>
                    <w:ind w:left="-63" w:leftChars="-30" w:right="-63" w:rightChars="-30" w:firstLine="0" w:firstLineChars="0"/>
                    <w:jc w:val="both"/>
                    <w:rPr>
                      <w:rFonts w:hint="eastAsia" w:eastAsia="宋体"/>
                      <w:bCs/>
                      <w:color w:val="auto"/>
                      <w:kern w:val="2"/>
                      <w:sz w:val="21"/>
                      <w:lang w:val="en-US" w:eastAsia="zh-CN" w:bidi="ar-SA"/>
                    </w:rPr>
                  </w:pPr>
                  <w:r>
                    <w:rPr>
                      <w:rFonts w:hint="eastAsia"/>
                      <w:bCs/>
                      <w:color w:val="auto"/>
                      <w:sz w:val="21"/>
                    </w:rPr>
                    <w:t>2.本项目</w:t>
                  </w:r>
                  <w:r>
                    <w:rPr>
                      <w:rFonts w:hint="eastAsia"/>
                      <w:bCs/>
                      <w:color w:val="auto"/>
                      <w:sz w:val="21"/>
                      <w:lang w:val="en-US" w:eastAsia="zh-CN"/>
                    </w:rPr>
                    <w:t>厂</w:t>
                  </w:r>
                  <w:r>
                    <w:rPr>
                      <w:rFonts w:hint="eastAsia"/>
                      <w:bCs/>
                      <w:color w:val="auto"/>
                      <w:sz w:val="21"/>
                    </w:rPr>
                    <w:t>区内无组织排放监控点NMHC的1h平均浓度值不高于6mg/m</w:t>
                  </w:r>
                  <w:r>
                    <w:rPr>
                      <w:rFonts w:hint="eastAsia"/>
                      <w:bCs/>
                      <w:color w:val="auto"/>
                      <w:sz w:val="21"/>
                      <w:vertAlign w:val="superscript"/>
                      <w:lang w:val="en-US" w:eastAsia="zh-CN"/>
                    </w:rPr>
                    <w:t>3</w:t>
                  </w:r>
                  <w:r>
                    <w:rPr>
                      <w:rFonts w:hint="eastAsia"/>
                      <w:bCs/>
                      <w:color w:val="auto"/>
                      <w:sz w:val="21"/>
                      <w:lang w:eastAsia="zh-CN"/>
                    </w:rPr>
                    <w:t>、</w:t>
                  </w:r>
                  <w:r>
                    <w:rPr>
                      <w:rFonts w:hint="eastAsia"/>
                      <w:bCs/>
                      <w:color w:val="auto"/>
                      <w:sz w:val="21"/>
                    </w:rPr>
                    <w:t>任意</w:t>
                  </w:r>
                  <w:r>
                    <w:rPr>
                      <w:rFonts w:hint="eastAsia"/>
                      <w:bCs/>
                      <w:color w:val="auto"/>
                      <w:sz w:val="21"/>
                      <w:lang w:val="en-US" w:eastAsia="zh-CN"/>
                    </w:rPr>
                    <w:t>一</w:t>
                  </w:r>
                  <w:r>
                    <w:rPr>
                      <w:rFonts w:hint="eastAsia"/>
                      <w:bCs/>
                      <w:color w:val="auto"/>
                      <w:sz w:val="21"/>
                    </w:rPr>
                    <w:t>次浓度值不高于20 mg/m</w:t>
                  </w:r>
                  <w:r>
                    <w:rPr>
                      <w:rFonts w:hint="eastAsia"/>
                      <w:bCs/>
                      <w:color w:val="auto"/>
                      <w:sz w:val="21"/>
                      <w:vertAlign w:val="superscript"/>
                      <w:lang w:val="en-US" w:eastAsia="zh-CN"/>
                    </w:rPr>
                    <w:t>3</w:t>
                  </w:r>
                </w:p>
              </w:tc>
              <w:tc>
                <w:tcPr>
                  <w:tcW w:w="308" w:type="pct"/>
                  <w:noWrap w:val="0"/>
                  <w:vAlign w:val="center"/>
                </w:tcPr>
                <w:p w14:paraId="13F62540">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3F9FD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65AEA4C2">
                  <w:pPr>
                    <w:autoSpaceDE w:val="0"/>
                    <w:adjustRightInd w:val="0"/>
                    <w:spacing w:line="240" w:lineRule="auto"/>
                    <w:ind w:left="-84" w:leftChars="-40" w:right="-84" w:rightChars="-40" w:firstLine="0" w:firstLineChars="0"/>
                    <w:jc w:val="center"/>
                    <w:rPr>
                      <w:rFonts w:hint="eastAsia"/>
                      <w:bCs/>
                      <w:color w:val="auto"/>
                      <w:sz w:val="21"/>
                    </w:rPr>
                  </w:pPr>
                </w:p>
              </w:tc>
              <w:tc>
                <w:tcPr>
                  <w:tcW w:w="2613" w:type="pct"/>
                  <w:noWrap w:val="0"/>
                  <w:vAlign w:val="center"/>
                </w:tcPr>
                <w:p w14:paraId="13D747A4">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3、其他各项污染物稳定达到现行排放控制要求，并从严地方要求</w:t>
                  </w:r>
                  <w:r>
                    <w:rPr>
                      <w:rFonts w:hint="eastAsia"/>
                      <w:bCs/>
                      <w:color w:val="auto"/>
                      <w:sz w:val="21"/>
                      <w:lang w:eastAsia="zh-CN"/>
                    </w:rPr>
                    <w:t>。</w:t>
                  </w:r>
                </w:p>
              </w:tc>
              <w:tc>
                <w:tcPr>
                  <w:tcW w:w="1494" w:type="pct"/>
                  <w:noWrap w:val="0"/>
                  <w:vAlign w:val="center"/>
                </w:tcPr>
                <w:p w14:paraId="6D692B11">
                  <w:pPr>
                    <w:autoSpaceDE w:val="0"/>
                    <w:adjustRightInd w:val="0"/>
                    <w:spacing w:line="240" w:lineRule="auto"/>
                    <w:ind w:left="-63" w:leftChars="-30" w:right="-63" w:rightChars="-30" w:firstLine="0" w:firstLineChars="0"/>
                    <w:jc w:val="left"/>
                    <w:rPr>
                      <w:rFonts w:hint="eastAsia" w:eastAsia="宋体"/>
                      <w:bCs/>
                      <w:color w:val="auto"/>
                      <w:kern w:val="2"/>
                      <w:sz w:val="21"/>
                      <w:lang w:val="en-US" w:eastAsia="zh-CN" w:bidi="ar-SA"/>
                    </w:rPr>
                  </w:pPr>
                  <w:r>
                    <w:rPr>
                      <w:rFonts w:hint="eastAsia"/>
                      <w:bCs/>
                      <w:color w:val="auto"/>
                      <w:sz w:val="21"/>
                    </w:rPr>
                    <w:t>3.本项目其他各项污染物稳定达到</w:t>
                  </w:r>
                  <w:r>
                    <w:rPr>
                      <w:rFonts w:hint="eastAsia"/>
                      <w:bCs/>
                      <w:color w:val="auto"/>
                      <w:sz w:val="21"/>
                      <w:lang w:val="en-US" w:eastAsia="zh-CN"/>
                    </w:rPr>
                    <w:t>相关</w:t>
                  </w:r>
                  <w:r>
                    <w:rPr>
                      <w:rFonts w:hint="eastAsia"/>
                      <w:bCs/>
                      <w:color w:val="auto"/>
                      <w:sz w:val="21"/>
                    </w:rPr>
                    <w:t>排放控制要求</w:t>
                  </w:r>
                </w:p>
              </w:tc>
              <w:tc>
                <w:tcPr>
                  <w:tcW w:w="308" w:type="pct"/>
                  <w:noWrap w:val="0"/>
                  <w:vAlign w:val="center"/>
                </w:tcPr>
                <w:p w14:paraId="4F9789DC">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4E035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restart"/>
                  <w:noWrap w:val="0"/>
                  <w:vAlign w:val="center"/>
                </w:tcPr>
                <w:p w14:paraId="65A0F4E4">
                  <w:pPr>
                    <w:autoSpaceDE w:val="0"/>
                    <w:adjustRightInd w:val="0"/>
                    <w:spacing w:line="240" w:lineRule="auto"/>
                    <w:ind w:left="-84" w:leftChars="-40" w:right="-84" w:rightChars="-40" w:firstLine="0" w:firstLineChars="0"/>
                    <w:jc w:val="center"/>
                    <w:rPr>
                      <w:rFonts w:hint="eastAsia"/>
                      <w:bCs/>
                      <w:color w:val="auto"/>
                      <w:sz w:val="21"/>
                    </w:rPr>
                  </w:pPr>
                  <w:r>
                    <w:rPr>
                      <w:rFonts w:hint="eastAsia"/>
                      <w:bCs/>
                      <w:color w:val="auto"/>
                      <w:sz w:val="21"/>
                    </w:rPr>
                    <w:t>监测监控</w:t>
                  </w:r>
                </w:p>
                <w:p w14:paraId="1A23B11C">
                  <w:pPr>
                    <w:autoSpaceDE w:val="0"/>
                    <w:adjustRightInd w:val="0"/>
                    <w:spacing w:line="240" w:lineRule="auto"/>
                    <w:ind w:left="-84" w:leftChars="-40" w:right="-84" w:rightChars="-40" w:firstLine="0" w:firstLineChars="0"/>
                    <w:jc w:val="center"/>
                    <w:rPr>
                      <w:rFonts w:hint="eastAsia"/>
                      <w:bCs/>
                      <w:color w:val="auto"/>
                      <w:sz w:val="21"/>
                    </w:rPr>
                  </w:pPr>
                  <w:r>
                    <w:rPr>
                      <w:rFonts w:hint="eastAsia"/>
                      <w:bCs/>
                      <w:color w:val="auto"/>
                      <w:sz w:val="21"/>
                    </w:rPr>
                    <w:t>水平</w:t>
                  </w:r>
                </w:p>
              </w:tc>
              <w:tc>
                <w:tcPr>
                  <w:tcW w:w="2613" w:type="pct"/>
                  <w:noWrap w:val="0"/>
                  <w:vAlign w:val="center"/>
                </w:tcPr>
                <w:p w14:paraId="7F20AB46">
                  <w:pPr>
                    <w:autoSpaceDE w:val="0"/>
                    <w:adjustRightInd w:val="0"/>
                    <w:spacing w:line="240" w:lineRule="auto"/>
                    <w:ind w:left="-63" w:leftChars="-30" w:right="-63" w:rightChars="-30" w:firstLine="0" w:firstLineChars="0"/>
                    <w:jc w:val="both"/>
                    <w:rPr>
                      <w:rFonts w:hint="eastAsia" w:eastAsia="宋体"/>
                      <w:bCs/>
                      <w:color w:val="auto"/>
                      <w:sz w:val="21"/>
                      <w:lang w:eastAsia="zh-CN"/>
                    </w:rPr>
                  </w:pPr>
                  <w:r>
                    <w:rPr>
                      <w:rFonts w:hint="eastAsia"/>
                      <w:bCs/>
                      <w:color w:val="auto"/>
                      <w:sz w:val="21"/>
                    </w:rPr>
                    <w:t>1、严格执行《排污许可证申请与核发技术规范</w:t>
                  </w:r>
                  <w:r>
                    <w:rPr>
                      <w:rFonts w:hint="eastAsia"/>
                      <w:bCs/>
                      <w:color w:val="auto"/>
                      <w:sz w:val="21"/>
                      <w:lang w:val="en-US" w:eastAsia="zh-CN"/>
                    </w:rPr>
                    <w:t xml:space="preserve"> </w:t>
                  </w:r>
                  <w:r>
                    <w:rPr>
                      <w:rFonts w:hint="eastAsia"/>
                      <w:bCs/>
                      <w:color w:val="auto"/>
                      <w:sz w:val="21"/>
                    </w:rPr>
                    <w:t>印刷工业》</w:t>
                  </w:r>
                  <w:r>
                    <w:rPr>
                      <w:rFonts w:hint="eastAsia"/>
                      <w:bCs/>
                      <w:color w:val="auto"/>
                      <w:sz w:val="21"/>
                      <w:lang w:eastAsia="zh-CN"/>
                    </w:rPr>
                    <w:t>（</w:t>
                  </w:r>
                  <w:r>
                    <w:rPr>
                      <w:rFonts w:hint="eastAsia"/>
                      <w:bCs/>
                      <w:color w:val="auto"/>
                      <w:sz w:val="21"/>
                    </w:rPr>
                    <w:t>HJ1066-2019</w:t>
                  </w:r>
                  <w:r>
                    <w:rPr>
                      <w:rFonts w:hint="eastAsia"/>
                      <w:bCs/>
                      <w:color w:val="auto"/>
                      <w:sz w:val="21"/>
                      <w:lang w:eastAsia="zh-CN"/>
                    </w:rPr>
                    <w:t>）</w:t>
                  </w:r>
                  <w:r>
                    <w:rPr>
                      <w:rFonts w:hint="eastAsia"/>
                      <w:bCs/>
                      <w:color w:val="auto"/>
                      <w:sz w:val="21"/>
                    </w:rPr>
                    <w:t>规定的自行监测管理要求</w:t>
                  </w:r>
                  <w:r>
                    <w:rPr>
                      <w:rFonts w:hint="eastAsia"/>
                      <w:bCs/>
                      <w:color w:val="auto"/>
                      <w:sz w:val="21"/>
                      <w:lang w:eastAsia="zh-CN"/>
                    </w:rPr>
                    <w:t>；</w:t>
                  </w:r>
                </w:p>
              </w:tc>
              <w:tc>
                <w:tcPr>
                  <w:tcW w:w="1494" w:type="pct"/>
                  <w:noWrap w:val="0"/>
                  <w:vAlign w:val="center"/>
                </w:tcPr>
                <w:p w14:paraId="54F3404A">
                  <w:pPr>
                    <w:autoSpaceDE w:val="0"/>
                    <w:adjustRightInd w:val="0"/>
                    <w:spacing w:line="240" w:lineRule="auto"/>
                    <w:ind w:left="-63" w:leftChars="-30" w:right="-63" w:rightChars="-30" w:firstLine="0" w:firstLineChars="0"/>
                    <w:jc w:val="both"/>
                    <w:rPr>
                      <w:rFonts w:hint="eastAsia" w:eastAsia="宋体"/>
                      <w:bCs/>
                      <w:color w:val="auto"/>
                      <w:kern w:val="2"/>
                      <w:sz w:val="21"/>
                      <w:lang w:val="en-US" w:eastAsia="zh-CN" w:bidi="ar-SA"/>
                    </w:rPr>
                  </w:pPr>
                  <w:r>
                    <w:rPr>
                      <w:rFonts w:hint="eastAsia"/>
                      <w:bCs/>
                      <w:color w:val="auto"/>
                      <w:sz w:val="21"/>
                    </w:rPr>
                    <w:t>1.本项目严格执行《排污许可证申请与核发技术规范</w:t>
                  </w:r>
                  <w:r>
                    <w:rPr>
                      <w:rFonts w:hint="eastAsia"/>
                      <w:bCs/>
                      <w:color w:val="auto"/>
                      <w:sz w:val="21"/>
                      <w:lang w:val="en-US" w:eastAsia="zh-CN"/>
                    </w:rPr>
                    <w:t xml:space="preserve"> </w:t>
                  </w:r>
                  <w:r>
                    <w:rPr>
                      <w:rFonts w:hint="eastAsia"/>
                      <w:bCs/>
                      <w:color w:val="auto"/>
                      <w:sz w:val="21"/>
                    </w:rPr>
                    <w:t>印刷工业》</w:t>
                  </w:r>
                  <w:r>
                    <w:rPr>
                      <w:rFonts w:hint="eastAsia"/>
                      <w:bCs/>
                      <w:color w:val="auto"/>
                      <w:sz w:val="21"/>
                      <w:lang w:eastAsia="zh-CN"/>
                    </w:rPr>
                    <w:t>（</w:t>
                  </w:r>
                  <w:r>
                    <w:rPr>
                      <w:rFonts w:hint="eastAsia"/>
                      <w:bCs/>
                      <w:color w:val="auto"/>
                      <w:sz w:val="21"/>
                    </w:rPr>
                    <w:t>HJ1066-2019</w:t>
                  </w:r>
                  <w:r>
                    <w:rPr>
                      <w:rFonts w:hint="eastAsia"/>
                      <w:bCs/>
                      <w:color w:val="auto"/>
                      <w:sz w:val="21"/>
                      <w:lang w:eastAsia="zh-CN"/>
                    </w:rPr>
                    <w:t>）</w:t>
                  </w:r>
                  <w:r>
                    <w:rPr>
                      <w:rFonts w:hint="eastAsia"/>
                      <w:bCs/>
                      <w:color w:val="auto"/>
                      <w:sz w:val="21"/>
                    </w:rPr>
                    <w:t>规定的自行监测管理要求</w:t>
                  </w:r>
                </w:p>
              </w:tc>
              <w:tc>
                <w:tcPr>
                  <w:tcW w:w="308" w:type="pct"/>
                  <w:noWrap w:val="0"/>
                  <w:vAlign w:val="center"/>
                </w:tcPr>
                <w:p w14:paraId="056427BF">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551E6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49A3C620">
                  <w:pPr>
                    <w:autoSpaceDE w:val="0"/>
                    <w:adjustRightInd w:val="0"/>
                    <w:spacing w:line="240" w:lineRule="auto"/>
                    <w:ind w:left="-84" w:leftChars="-40" w:right="-84" w:rightChars="-40" w:firstLine="0" w:firstLineChars="0"/>
                    <w:jc w:val="center"/>
                    <w:rPr>
                      <w:rFonts w:hint="eastAsia"/>
                      <w:bCs/>
                      <w:color w:val="auto"/>
                      <w:sz w:val="21"/>
                    </w:rPr>
                  </w:pPr>
                </w:p>
              </w:tc>
              <w:tc>
                <w:tcPr>
                  <w:tcW w:w="2613" w:type="pct"/>
                  <w:noWrap w:val="0"/>
                  <w:vAlign w:val="center"/>
                </w:tcPr>
                <w:p w14:paraId="3E7652E9">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2、重点排污企业风量大于10000m</w:t>
                  </w:r>
                  <w:r>
                    <w:rPr>
                      <w:rFonts w:hint="eastAsia"/>
                      <w:bCs/>
                      <w:color w:val="auto"/>
                      <w:sz w:val="21"/>
                      <w:vertAlign w:val="superscript"/>
                      <w:lang w:val="en-US" w:eastAsia="zh-CN"/>
                    </w:rPr>
                    <w:t>3</w:t>
                  </w:r>
                  <w:r>
                    <w:rPr>
                      <w:rFonts w:hint="eastAsia"/>
                      <w:bCs/>
                      <w:color w:val="auto"/>
                      <w:sz w:val="21"/>
                    </w:rPr>
                    <w:t>/h的主要排放口安装NMHC在线监测设施</w:t>
                  </w:r>
                  <w:r>
                    <w:rPr>
                      <w:rFonts w:hint="eastAsia"/>
                      <w:bCs/>
                      <w:color w:val="auto"/>
                      <w:sz w:val="21"/>
                      <w:lang w:eastAsia="zh-CN"/>
                    </w:rPr>
                    <w:t>（</w:t>
                  </w:r>
                  <w:r>
                    <w:rPr>
                      <w:rFonts w:hint="eastAsia"/>
                      <w:bCs/>
                      <w:color w:val="auto"/>
                      <w:sz w:val="21"/>
                    </w:rPr>
                    <w:t>FID检测器</w:t>
                  </w:r>
                  <w:r>
                    <w:rPr>
                      <w:rFonts w:hint="eastAsia"/>
                      <w:bCs/>
                      <w:color w:val="auto"/>
                      <w:sz w:val="21"/>
                      <w:lang w:eastAsia="zh-CN"/>
                    </w:rPr>
                    <w:t>）</w:t>
                  </w:r>
                  <w:r>
                    <w:rPr>
                      <w:rFonts w:hint="eastAsia"/>
                      <w:bCs/>
                      <w:color w:val="auto"/>
                      <w:sz w:val="21"/>
                    </w:rPr>
                    <w:t>，自动监控数据保存一年以上</w:t>
                  </w:r>
                  <w:r>
                    <w:rPr>
                      <w:rFonts w:hint="eastAsia"/>
                      <w:bCs/>
                      <w:color w:val="auto"/>
                      <w:sz w:val="21"/>
                      <w:lang w:eastAsia="zh-CN"/>
                    </w:rPr>
                    <w:t>；</w:t>
                  </w:r>
                </w:p>
              </w:tc>
              <w:tc>
                <w:tcPr>
                  <w:tcW w:w="1494" w:type="pct"/>
                  <w:noWrap w:val="0"/>
                  <w:vAlign w:val="center"/>
                </w:tcPr>
                <w:p w14:paraId="4D9B9CD9">
                  <w:pPr>
                    <w:autoSpaceDE w:val="0"/>
                    <w:adjustRightInd w:val="0"/>
                    <w:spacing w:line="240" w:lineRule="auto"/>
                    <w:ind w:left="-63" w:leftChars="-30" w:right="-63" w:rightChars="-30" w:firstLine="0" w:firstLineChars="0"/>
                    <w:jc w:val="left"/>
                    <w:rPr>
                      <w:rFonts w:hint="eastAsia"/>
                      <w:bCs/>
                      <w:color w:val="auto"/>
                      <w:kern w:val="2"/>
                      <w:sz w:val="21"/>
                      <w:lang w:val="en-US" w:eastAsia="zh-CN" w:bidi="ar-SA"/>
                    </w:rPr>
                  </w:pPr>
                  <w:r>
                    <w:rPr>
                      <w:rFonts w:hint="eastAsia"/>
                      <w:bCs/>
                      <w:color w:val="auto"/>
                      <w:sz w:val="21"/>
                    </w:rPr>
                    <w:t>2.本项目</w:t>
                  </w:r>
                  <w:r>
                    <w:rPr>
                      <w:rFonts w:hint="eastAsia"/>
                      <w:bCs/>
                      <w:color w:val="auto"/>
                      <w:sz w:val="21"/>
                      <w:lang w:val="en-US" w:eastAsia="zh-CN"/>
                    </w:rPr>
                    <w:t>不属于</w:t>
                  </w:r>
                  <w:r>
                    <w:rPr>
                      <w:rFonts w:hint="eastAsia"/>
                      <w:bCs/>
                      <w:color w:val="auto"/>
                      <w:sz w:val="21"/>
                    </w:rPr>
                    <w:t>重点排污企业</w:t>
                  </w:r>
                  <w:r>
                    <w:rPr>
                      <w:rFonts w:hint="eastAsia"/>
                      <w:bCs/>
                      <w:color w:val="auto"/>
                      <w:sz w:val="21"/>
                      <w:lang w:eastAsia="zh-CN"/>
                    </w:rPr>
                    <w:t>，</w:t>
                  </w:r>
                  <w:r>
                    <w:rPr>
                      <w:rFonts w:hint="eastAsia"/>
                      <w:bCs/>
                      <w:color w:val="auto"/>
                      <w:sz w:val="21"/>
                      <w:lang w:val="en-US" w:eastAsia="zh-CN"/>
                    </w:rPr>
                    <w:t>无需安装NMHC在线监测设施</w:t>
                  </w:r>
                </w:p>
              </w:tc>
              <w:tc>
                <w:tcPr>
                  <w:tcW w:w="308" w:type="pct"/>
                  <w:noWrap w:val="0"/>
                  <w:vAlign w:val="center"/>
                </w:tcPr>
                <w:p w14:paraId="398A5B2A">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58F88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3" w:type="pct"/>
                  <w:gridSpan w:val="2"/>
                  <w:vMerge w:val="continue"/>
                  <w:noWrap w:val="0"/>
                  <w:vAlign w:val="center"/>
                </w:tcPr>
                <w:p w14:paraId="4A025809">
                  <w:pPr>
                    <w:autoSpaceDE w:val="0"/>
                    <w:adjustRightInd w:val="0"/>
                    <w:spacing w:line="240" w:lineRule="auto"/>
                    <w:ind w:left="-84" w:leftChars="-40" w:right="-84" w:rightChars="-40" w:firstLine="0" w:firstLineChars="0"/>
                    <w:jc w:val="center"/>
                    <w:rPr>
                      <w:rFonts w:hint="eastAsia"/>
                      <w:bCs/>
                      <w:color w:val="auto"/>
                      <w:sz w:val="21"/>
                    </w:rPr>
                  </w:pPr>
                </w:p>
              </w:tc>
              <w:tc>
                <w:tcPr>
                  <w:tcW w:w="2613" w:type="pct"/>
                  <w:noWrap w:val="0"/>
                  <w:vAlign w:val="center"/>
                </w:tcPr>
                <w:p w14:paraId="4108DECC">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3、安装DCS系统、仪器仪表等装置，连续测量并记录治理设施控制指标温度、压力</w:t>
                  </w:r>
                  <w:r>
                    <w:rPr>
                      <w:rFonts w:hint="eastAsia"/>
                      <w:bCs/>
                      <w:color w:val="auto"/>
                      <w:sz w:val="21"/>
                      <w:lang w:eastAsia="zh-CN"/>
                    </w:rPr>
                    <w:t>（</w:t>
                  </w:r>
                  <w:r>
                    <w:rPr>
                      <w:rFonts w:hint="eastAsia"/>
                      <w:bCs/>
                      <w:color w:val="auto"/>
                      <w:sz w:val="21"/>
                    </w:rPr>
                    <w:t>压差</w:t>
                  </w:r>
                  <w:r>
                    <w:rPr>
                      <w:rFonts w:hint="eastAsia"/>
                      <w:bCs/>
                      <w:color w:val="auto"/>
                      <w:sz w:val="21"/>
                      <w:lang w:eastAsia="zh-CN"/>
                    </w:rPr>
                    <w:t>）</w:t>
                  </w:r>
                  <w:r>
                    <w:rPr>
                      <w:rFonts w:hint="eastAsia"/>
                      <w:bCs/>
                      <w:color w:val="auto"/>
                      <w:sz w:val="21"/>
                    </w:rPr>
                    <w:t>、时间和频率值。再生式活性炭连续自动测量并记录温度、再生时间和更换周期</w:t>
                  </w:r>
                  <w:r>
                    <w:rPr>
                      <w:rFonts w:hint="eastAsia"/>
                      <w:bCs/>
                      <w:color w:val="auto"/>
                      <w:sz w:val="21"/>
                      <w:lang w:eastAsia="zh-CN"/>
                    </w:rPr>
                    <w:t>；</w:t>
                  </w:r>
                  <w:r>
                    <w:rPr>
                      <w:rFonts w:hint="eastAsia"/>
                      <w:bCs/>
                      <w:color w:val="auto"/>
                      <w:sz w:val="21"/>
                    </w:rPr>
                    <w:t>更换式活性炭记录温度、更换周期及更换量</w:t>
                  </w:r>
                  <w:r>
                    <w:rPr>
                      <w:rFonts w:hint="eastAsia"/>
                      <w:bCs/>
                      <w:color w:val="auto"/>
                      <w:sz w:val="21"/>
                      <w:lang w:eastAsia="zh-CN"/>
                    </w:rPr>
                    <w:t>；</w:t>
                  </w:r>
                  <w:r>
                    <w:rPr>
                      <w:rFonts w:hint="eastAsia"/>
                      <w:bCs/>
                      <w:color w:val="auto"/>
                      <w:sz w:val="21"/>
                    </w:rPr>
                    <w:t>数据保存一年以上</w:t>
                  </w:r>
                  <w:r>
                    <w:rPr>
                      <w:rFonts w:hint="eastAsia"/>
                      <w:bCs/>
                      <w:color w:val="auto"/>
                      <w:sz w:val="21"/>
                      <w:lang w:eastAsia="zh-CN"/>
                    </w:rPr>
                    <w:t>；</w:t>
                  </w:r>
                </w:p>
              </w:tc>
              <w:tc>
                <w:tcPr>
                  <w:tcW w:w="1494" w:type="pct"/>
                  <w:noWrap w:val="0"/>
                  <w:vAlign w:val="center"/>
                </w:tcPr>
                <w:p w14:paraId="66ACBF03">
                  <w:pPr>
                    <w:autoSpaceDE w:val="0"/>
                    <w:adjustRightInd w:val="0"/>
                    <w:spacing w:line="240" w:lineRule="auto"/>
                    <w:ind w:left="-63" w:leftChars="-30" w:right="-63" w:rightChars="-30" w:firstLine="0" w:firstLineChars="0"/>
                    <w:jc w:val="left"/>
                    <w:rPr>
                      <w:rFonts w:hint="eastAsia" w:eastAsia="宋体"/>
                      <w:bCs/>
                      <w:color w:val="auto"/>
                      <w:sz w:val="21"/>
                      <w:lang w:val="en-US" w:eastAsia="zh-CN"/>
                    </w:rPr>
                  </w:pPr>
                  <w:r>
                    <w:rPr>
                      <w:rFonts w:hint="eastAsia"/>
                      <w:bCs/>
                      <w:color w:val="auto"/>
                      <w:sz w:val="21"/>
                      <w:lang w:val="en-US" w:eastAsia="zh-CN"/>
                    </w:rPr>
                    <w:t>3.本项目建成后安装</w:t>
                  </w:r>
                  <w:r>
                    <w:rPr>
                      <w:rFonts w:hint="eastAsia"/>
                      <w:bCs/>
                      <w:color w:val="auto"/>
                      <w:sz w:val="21"/>
                    </w:rPr>
                    <w:t>DCS系统、仪器仪表等装置，连续测量并记录治理设施控制指标温度、压力</w:t>
                  </w:r>
                  <w:r>
                    <w:rPr>
                      <w:rFonts w:hint="eastAsia"/>
                      <w:bCs/>
                      <w:color w:val="auto"/>
                      <w:sz w:val="21"/>
                      <w:lang w:eastAsia="zh-CN"/>
                    </w:rPr>
                    <w:t>（</w:t>
                  </w:r>
                  <w:r>
                    <w:rPr>
                      <w:rFonts w:hint="eastAsia"/>
                      <w:bCs/>
                      <w:color w:val="auto"/>
                      <w:sz w:val="21"/>
                    </w:rPr>
                    <w:t>压差</w:t>
                  </w:r>
                  <w:r>
                    <w:rPr>
                      <w:rFonts w:hint="eastAsia"/>
                      <w:bCs/>
                      <w:color w:val="auto"/>
                      <w:sz w:val="21"/>
                      <w:lang w:eastAsia="zh-CN"/>
                    </w:rPr>
                    <w:t>）</w:t>
                  </w:r>
                  <w:r>
                    <w:rPr>
                      <w:rFonts w:hint="eastAsia"/>
                      <w:bCs/>
                      <w:color w:val="auto"/>
                      <w:sz w:val="21"/>
                    </w:rPr>
                    <w:t>、时间和频率值。更换式活性炭记录温度、更换周期及更换量</w:t>
                  </w:r>
                  <w:r>
                    <w:rPr>
                      <w:rFonts w:hint="eastAsia"/>
                      <w:bCs/>
                      <w:color w:val="auto"/>
                      <w:sz w:val="21"/>
                      <w:lang w:eastAsia="zh-CN"/>
                    </w:rPr>
                    <w:t>；</w:t>
                  </w:r>
                  <w:r>
                    <w:rPr>
                      <w:rFonts w:hint="eastAsia"/>
                      <w:bCs/>
                      <w:color w:val="auto"/>
                      <w:sz w:val="21"/>
                    </w:rPr>
                    <w:t>数据保存一年以上</w:t>
                  </w:r>
                </w:p>
              </w:tc>
              <w:tc>
                <w:tcPr>
                  <w:tcW w:w="308" w:type="pct"/>
                  <w:noWrap w:val="0"/>
                  <w:vAlign w:val="center"/>
                </w:tcPr>
                <w:p w14:paraId="2966DC2E">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546D6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 w:type="pct"/>
                  <w:vMerge w:val="restart"/>
                  <w:noWrap w:val="0"/>
                  <w:vAlign w:val="center"/>
                </w:tcPr>
                <w:p w14:paraId="5A5CAE60">
                  <w:pPr>
                    <w:autoSpaceDE w:val="0"/>
                    <w:adjustRightInd w:val="0"/>
                    <w:spacing w:line="240" w:lineRule="auto"/>
                    <w:ind w:firstLine="0" w:firstLineChars="0"/>
                    <w:jc w:val="center"/>
                    <w:rPr>
                      <w:rFonts w:hint="eastAsia" w:eastAsia="宋体"/>
                      <w:bCs/>
                      <w:color w:val="auto"/>
                      <w:sz w:val="21"/>
                      <w:lang w:val="en-US" w:eastAsia="zh-CN"/>
                    </w:rPr>
                  </w:pPr>
                  <w:r>
                    <w:rPr>
                      <w:rFonts w:hint="eastAsia"/>
                      <w:bCs/>
                      <w:color w:val="auto"/>
                      <w:sz w:val="21"/>
                    </w:rPr>
                    <w:t>环境管理</w:t>
                  </w:r>
                  <w:r>
                    <w:rPr>
                      <w:rFonts w:hint="eastAsia"/>
                      <w:bCs/>
                      <w:color w:val="auto"/>
                      <w:sz w:val="21"/>
                      <w:lang w:val="en-US" w:eastAsia="zh-CN"/>
                    </w:rPr>
                    <w:t>水平</w:t>
                  </w:r>
                </w:p>
              </w:tc>
              <w:tc>
                <w:tcPr>
                  <w:tcW w:w="242" w:type="pct"/>
                  <w:noWrap w:val="0"/>
                  <w:vAlign w:val="center"/>
                </w:tcPr>
                <w:p w14:paraId="53290A87">
                  <w:pPr>
                    <w:autoSpaceDE w:val="0"/>
                    <w:adjustRightInd w:val="0"/>
                    <w:spacing w:line="240" w:lineRule="auto"/>
                    <w:ind w:left="-84" w:leftChars="-40" w:right="-84" w:rightChars="-40" w:firstLine="0" w:firstLineChars="0"/>
                    <w:jc w:val="center"/>
                    <w:rPr>
                      <w:rFonts w:hint="eastAsia"/>
                      <w:bCs/>
                      <w:color w:val="auto"/>
                      <w:sz w:val="21"/>
                    </w:rPr>
                  </w:pPr>
                  <w:r>
                    <w:rPr>
                      <w:rFonts w:hint="eastAsia"/>
                      <w:bCs/>
                      <w:color w:val="auto"/>
                      <w:sz w:val="21"/>
                    </w:rPr>
                    <w:t>环保档案</w:t>
                  </w:r>
                </w:p>
              </w:tc>
              <w:tc>
                <w:tcPr>
                  <w:tcW w:w="2613" w:type="pct"/>
                  <w:noWrap w:val="0"/>
                  <w:vAlign w:val="center"/>
                </w:tcPr>
                <w:p w14:paraId="0960ED9E">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1.环评批复文件；</w:t>
                  </w:r>
                </w:p>
                <w:p w14:paraId="75EDB4E5">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2.排污许可证及季度、年度执行报告；</w:t>
                  </w:r>
                </w:p>
                <w:p w14:paraId="2A566C51">
                  <w:pPr>
                    <w:autoSpaceDE w:val="0"/>
                    <w:adjustRightInd w:val="0"/>
                    <w:spacing w:line="240" w:lineRule="auto"/>
                    <w:ind w:left="-63" w:leftChars="-30" w:right="-63" w:rightChars="-30" w:firstLine="0" w:firstLineChars="0"/>
                    <w:jc w:val="left"/>
                    <w:rPr>
                      <w:rFonts w:hint="default" w:eastAsia="宋体"/>
                      <w:bCs/>
                      <w:color w:val="auto"/>
                      <w:sz w:val="21"/>
                      <w:lang w:val="en-US" w:eastAsia="zh-CN"/>
                    </w:rPr>
                  </w:pPr>
                  <w:r>
                    <w:rPr>
                      <w:rFonts w:hint="eastAsia"/>
                      <w:bCs/>
                      <w:color w:val="auto"/>
                      <w:sz w:val="21"/>
                    </w:rPr>
                    <w:t>3.</w:t>
                  </w:r>
                  <w:r>
                    <w:rPr>
                      <w:rFonts w:hint="eastAsia"/>
                      <w:bCs/>
                      <w:color w:val="auto"/>
                      <w:sz w:val="21"/>
                      <w:lang w:val="en-US" w:eastAsia="zh-CN"/>
                    </w:rPr>
                    <w:t>竣工验收文件；</w:t>
                  </w:r>
                </w:p>
                <w:p w14:paraId="50D4945A">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lang w:val="en-US" w:eastAsia="zh-CN"/>
                    </w:rPr>
                    <w:t>4.废气治理设施运行管理规程</w:t>
                  </w:r>
                  <w:r>
                    <w:rPr>
                      <w:rFonts w:hint="eastAsia"/>
                      <w:bCs/>
                      <w:color w:val="auto"/>
                      <w:sz w:val="21"/>
                    </w:rPr>
                    <w:t>；</w:t>
                  </w:r>
                </w:p>
                <w:p w14:paraId="690F6D6E">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lang w:val="en-US" w:eastAsia="zh-CN"/>
                    </w:rPr>
                    <w:t>5</w:t>
                  </w:r>
                  <w:r>
                    <w:rPr>
                      <w:rFonts w:hint="eastAsia"/>
                      <w:bCs/>
                      <w:color w:val="auto"/>
                      <w:sz w:val="21"/>
                    </w:rPr>
                    <w:t>.一年内废气监测报告。</w:t>
                  </w:r>
                </w:p>
              </w:tc>
              <w:tc>
                <w:tcPr>
                  <w:tcW w:w="1494" w:type="pct"/>
                  <w:noWrap w:val="0"/>
                  <w:vAlign w:val="center"/>
                </w:tcPr>
                <w:p w14:paraId="5B3C0C34">
                  <w:pPr>
                    <w:autoSpaceDE w:val="0"/>
                    <w:adjustRightInd w:val="0"/>
                    <w:spacing w:line="240" w:lineRule="auto"/>
                    <w:ind w:left="-63" w:leftChars="-30" w:right="-63" w:rightChars="-30" w:firstLine="0" w:firstLineChars="0"/>
                    <w:jc w:val="left"/>
                    <w:rPr>
                      <w:bCs/>
                      <w:color w:val="auto"/>
                      <w:sz w:val="21"/>
                    </w:rPr>
                  </w:pPr>
                  <w:r>
                    <w:rPr>
                      <w:rFonts w:hint="eastAsia"/>
                      <w:bCs/>
                      <w:color w:val="auto"/>
                      <w:sz w:val="21"/>
                    </w:rPr>
                    <w:t>本项目建成后，建立</w:t>
                  </w:r>
                  <w:r>
                    <w:rPr>
                      <w:rFonts w:hint="eastAsia"/>
                      <w:bCs/>
                      <w:color w:val="auto"/>
                      <w:sz w:val="21"/>
                      <w:lang w:val="en-US" w:eastAsia="zh-CN"/>
                    </w:rPr>
                    <w:t>环保档案</w:t>
                  </w:r>
                  <w:r>
                    <w:rPr>
                      <w:rFonts w:hint="eastAsia"/>
                      <w:bCs/>
                      <w:color w:val="auto"/>
                      <w:sz w:val="21"/>
                    </w:rPr>
                    <w:t>，具体包括</w:t>
                  </w:r>
                  <w:r>
                    <w:rPr>
                      <w:bCs/>
                      <w:color w:val="auto"/>
                      <w:sz w:val="21"/>
                    </w:rPr>
                    <w:t>：</w:t>
                  </w:r>
                </w:p>
                <w:p w14:paraId="2749A3ED">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1.环评批复文件；2.排污许可证及季度、年度执行报告；3.</w:t>
                  </w:r>
                  <w:r>
                    <w:rPr>
                      <w:rFonts w:hint="eastAsia"/>
                      <w:bCs/>
                      <w:color w:val="auto"/>
                      <w:sz w:val="21"/>
                      <w:lang w:val="en-US" w:eastAsia="zh-CN"/>
                    </w:rPr>
                    <w:t>竣工验收文件；4.废气治理设施运行管理规程</w:t>
                  </w:r>
                  <w:r>
                    <w:rPr>
                      <w:rFonts w:hint="eastAsia"/>
                      <w:bCs/>
                      <w:color w:val="auto"/>
                      <w:sz w:val="21"/>
                    </w:rPr>
                    <w:t>；</w:t>
                  </w:r>
                  <w:r>
                    <w:rPr>
                      <w:rFonts w:hint="eastAsia"/>
                      <w:bCs/>
                      <w:color w:val="auto"/>
                      <w:sz w:val="21"/>
                      <w:lang w:val="en-US" w:eastAsia="zh-CN"/>
                    </w:rPr>
                    <w:t>5</w:t>
                  </w:r>
                  <w:r>
                    <w:rPr>
                      <w:rFonts w:hint="eastAsia"/>
                      <w:bCs/>
                      <w:color w:val="auto"/>
                      <w:sz w:val="21"/>
                    </w:rPr>
                    <w:t>.一年内废气监测报告</w:t>
                  </w:r>
                </w:p>
              </w:tc>
              <w:tc>
                <w:tcPr>
                  <w:tcW w:w="308" w:type="pct"/>
                  <w:noWrap w:val="0"/>
                  <w:vAlign w:val="center"/>
                </w:tcPr>
                <w:p w14:paraId="267A8924">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538DD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 w:type="pct"/>
                  <w:vMerge w:val="continue"/>
                  <w:noWrap w:val="0"/>
                  <w:vAlign w:val="center"/>
                </w:tcPr>
                <w:p w14:paraId="5428F85B">
                  <w:pPr>
                    <w:autoSpaceDE w:val="0"/>
                    <w:adjustRightInd w:val="0"/>
                    <w:spacing w:line="240" w:lineRule="auto"/>
                    <w:ind w:firstLine="0" w:firstLineChars="0"/>
                    <w:jc w:val="center"/>
                    <w:rPr>
                      <w:rFonts w:hint="eastAsia"/>
                      <w:bCs/>
                      <w:color w:val="auto"/>
                      <w:sz w:val="21"/>
                    </w:rPr>
                  </w:pPr>
                </w:p>
              </w:tc>
              <w:tc>
                <w:tcPr>
                  <w:tcW w:w="242" w:type="pct"/>
                  <w:noWrap w:val="0"/>
                  <w:vAlign w:val="center"/>
                </w:tcPr>
                <w:p w14:paraId="6343B783">
                  <w:pPr>
                    <w:autoSpaceDE w:val="0"/>
                    <w:adjustRightInd w:val="0"/>
                    <w:spacing w:line="240" w:lineRule="auto"/>
                    <w:ind w:left="-84" w:leftChars="-40" w:right="-84" w:rightChars="-40" w:firstLine="0" w:firstLineChars="0"/>
                    <w:jc w:val="center"/>
                    <w:rPr>
                      <w:rFonts w:hint="eastAsia"/>
                      <w:bCs/>
                      <w:color w:val="auto"/>
                      <w:sz w:val="21"/>
                    </w:rPr>
                  </w:pPr>
                  <w:r>
                    <w:rPr>
                      <w:rFonts w:hint="eastAsia"/>
                      <w:bCs/>
                      <w:color w:val="auto"/>
                      <w:sz w:val="21"/>
                    </w:rPr>
                    <w:t>台账记录</w:t>
                  </w:r>
                </w:p>
              </w:tc>
              <w:tc>
                <w:tcPr>
                  <w:tcW w:w="2613" w:type="pct"/>
                  <w:noWrap w:val="0"/>
                  <w:vAlign w:val="center"/>
                </w:tcPr>
                <w:p w14:paraId="0BF21F76">
                  <w:pPr>
                    <w:numPr>
                      <w:ilvl w:val="0"/>
                      <w:numId w:val="0"/>
                    </w:numPr>
                    <w:autoSpaceDE w:val="0"/>
                    <w:adjustRightInd w:val="0"/>
                    <w:spacing w:line="240" w:lineRule="auto"/>
                    <w:ind w:right="-63" w:rightChars="-30"/>
                    <w:jc w:val="left"/>
                    <w:rPr>
                      <w:rFonts w:hint="eastAsia"/>
                      <w:bCs/>
                      <w:color w:val="auto"/>
                      <w:sz w:val="21"/>
                      <w:lang w:eastAsia="zh-CN"/>
                    </w:rPr>
                  </w:pPr>
                  <w:r>
                    <w:rPr>
                      <w:rFonts w:hint="eastAsia"/>
                      <w:bCs/>
                      <w:color w:val="auto"/>
                      <w:sz w:val="21"/>
                      <w:lang w:val="en-US" w:eastAsia="zh-CN"/>
                    </w:rPr>
                    <w:t>1.</w:t>
                  </w:r>
                  <w:r>
                    <w:rPr>
                      <w:rFonts w:hint="eastAsia"/>
                      <w:bCs/>
                      <w:color w:val="auto"/>
                      <w:sz w:val="21"/>
                    </w:rPr>
                    <w:t>生产设施运行管理信息</w:t>
                  </w:r>
                  <w:r>
                    <w:rPr>
                      <w:rFonts w:hint="eastAsia"/>
                      <w:bCs/>
                      <w:color w:val="auto"/>
                      <w:sz w:val="21"/>
                      <w:lang w:eastAsia="zh-CN"/>
                    </w:rPr>
                    <w:t>（</w:t>
                  </w:r>
                  <w:r>
                    <w:rPr>
                      <w:rFonts w:hint="eastAsia"/>
                      <w:bCs/>
                      <w:color w:val="auto"/>
                      <w:sz w:val="21"/>
                    </w:rPr>
                    <w:t>生产时间、运行负荷、产品产量等，必须具备近一年及以上所用油墨的固含量、VOCs含量、含水率(水性油墨)等信息的检测报告</w:t>
                  </w:r>
                  <w:r>
                    <w:rPr>
                      <w:rFonts w:hint="eastAsia"/>
                      <w:bCs/>
                      <w:color w:val="auto"/>
                      <w:sz w:val="21"/>
                      <w:lang w:eastAsia="zh-CN"/>
                    </w:rPr>
                    <w:t>）；</w:t>
                  </w:r>
                </w:p>
                <w:p w14:paraId="2E8FD204">
                  <w:pPr>
                    <w:numPr>
                      <w:ilvl w:val="0"/>
                      <w:numId w:val="0"/>
                    </w:numPr>
                    <w:autoSpaceDE w:val="0"/>
                    <w:adjustRightInd w:val="0"/>
                    <w:spacing w:line="240" w:lineRule="auto"/>
                    <w:ind w:right="-63" w:rightChars="-30"/>
                    <w:jc w:val="left"/>
                    <w:rPr>
                      <w:rFonts w:hint="eastAsia" w:eastAsia="宋体"/>
                      <w:bCs/>
                      <w:color w:val="auto"/>
                      <w:sz w:val="21"/>
                      <w:lang w:eastAsia="zh-CN"/>
                    </w:rPr>
                  </w:pPr>
                  <w:r>
                    <w:rPr>
                      <w:rFonts w:hint="eastAsia"/>
                      <w:bCs/>
                      <w:color w:val="auto"/>
                      <w:sz w:val="21"/>
                      <w:lang w:val="en-US" w:eastAsia="zh-CN"/>
                    </w:rPr>
                    <w:t>2.</w:t>
                  </w:r>
                  <w:r>
                    <w:rPr>
                      <w:rFonts w:hint="eastAsia"/>
                      <w:bCs/>
                      <w:color w:val="auto"/>
                      <w:sz w:val="21"/>
                    </w:rPr>
                    <w:t>废气污染治理设施运行管理信息</w:t>
                  </w:r>
                  <w:r>
                    <w:rPr>
                      <w:rFonts w:hint="eastAsia"/>
                      <w:bCs/>
                      <w:color w:val="auto"/>
                      <w:sz w:val="21"/>
                      <w:lang w:eastAsia="zh-CN"/>
                    </w:rPr>
                    <w:t>（</w:t>
                  </w:r>
                  <w:r>
                    <w:rPr>
                      <w:rFonts w:hint="eastAsia"/>
                      <w:bCs/>
                      <w:color w:val="auto"/>
                      <w:sz w:val="21"/>
                    </w:rPr>
                    <w:t>燃烧室温度、冷凝温度、过滤材料更换频次、吸附剂更换频次、催化剂更换频次</w:t>
                  </w:r>
                  <w:r>
                    <w:rPr>
                      <w:rFonts w:hint="eastAsia"/>
                      <w:bCs/>
                      <w:color w:val="auto"/>
                      <w:sz w:val="21"/>
                      <w:lang w:eastAsia="zh-CN"/>
                    </w:rPr>
                    <w:t>）；</w:t>
                  </w:r>
                </w:p>
                <w:p w14:paraId="4BD00C4B">
                  <w:pPr>
                    <w:numPr>
                      <w:ilvl w:val="0"/>
                      <w:numId w:val="0"/>
                    </w:numPr>
                    <w:autoSpaceDE w:val="0"/>
                    <w:adjustRightInd w:val="0"/>
                    <w:spacing w:line="240" w:lineRule="auto"/>
                    <w:ind w:right="-63" w:rightChars="-30"/>
                    <w:jc w:val="left"/>
                    <w:rPr>
                      <w:rFonts w:hint="eastAsia"/>
                      <w:bCs/>
                      <w:color w:val="auto"/>
                      <w:sz w:val="21"/>
                      <w:lang w:eastAsia="zh-CN"/>
                    </w:rPr>
                  </w:pPr>
                  <w:r>
                    <w:rPr>
                      <w:rFonts w:hint="eastAsia"/>
                      <w:bCs/>
                      <w:color w:val="auto"/>
                      <w:sz w:val="21"/>
                      <w:lang w:val="en-US" w:eastAsia="zh-CN"/>
                    </w:rPr>
                    <w:t>3.</w:t>
                  </w:r>
                  <w:r>
                    <w:rPr>
                      <w:rFonts w:hint="eastAsia"/>
                      <w:bCs/>
                      <w:color w:val="auto"/>
                      <w:sz w:val="21"/>
                    </w:rPr>
                    <w:t>监测记录信息</w:t>
                  </w:r>
                  <w:r>
                    <w:rPr>
                      <w:rFonts w:hint="eastAsia"/>
                      <w:bCs/>
                      <w:color w:val="auto"/>
                      <w:sz w:val="21"/>
                      <w:lang w:eastAsia="zh-CN"/>
                    </w:rPr>
                    <w:t>（</w:t>
                  </w:r>
                  <w:r>
                    <w:rPr>
                      <w:rFonts w:hint="eastAsia"/>
                      <w:bCs/>
                      <w:color w:val="auto"/>
                      <w:sz w:val="21"/>
                    </w:rPr>
                    <w:t>主要污染排放口废气排放记录(手工监测和在线监测)等</w:t>
                  </w:r>
                  <w:r>
                    <w:rPr>
                      <w:rFonts w:hint="eastAsia"/>
                      <w:bCs/>
                      <w:color w:val="auto"/>
                      <w:sz w:val="21"/>
                      <w:lang w:eastAsia="zh-CN"/>
                    </w:rPr>
                    <w:t>）；</w:t>
                  </w:r>
                </w:p>
                <w:p w14:paraId="7365B181">
                  <w:pPr>
                    <w:numPr>
                      <w:ilvl w:val="0"/>
                      <w:numId w:val="0"/>
                    </w:numPr>
                    <w:autoSpaceDE w:val="0"/>
                    <w:adjustRightInd w:val="0"/>
                    <w:spacing w:line="240" w:lineRule="auto"/>
                    <w:ind w:right="-63" w:rightChars="-30"/>
                    <w:jc w:val="left"/>
                    <w:rPr>
                      <w:rFonts w:hint="eastAsia"/>
                      <w:bCs/>
                      <w:color w:val="auto"/>
                      <w:sz w:val="21"/>
                      <w:lang w:eastAsia="zh-CN"/>
                    </w:rPr>
                  </w:pPr>
                  <w:r>
                    <w:rPr>
                      <w:rFonts w:hint="eastAsia"/>
                      <w:bCs/>
                      <w:color w:val="auto"/>
                      <w:sz w:val="21"/>
                      <w:lang w:val="en-US" w:eastAsia="zh-CN"/>
                    </w:rPr>
                    <w:t>4.</w:t>
                  </w:r>
                  <w:r>
                    <w:rPr>
                      <w:rFonts w:hint="eastAsia"/>
                      <w:bCs/>
                      <w:color w:val="auto"/>
                      <w:sz w:val="21"/>
                    </w:rPr>
                    <w:t>主要原辅材料消耗记录</w:t>
                  </w:r>
                  <w:r>
                    <w:rPr>
                      <w:rFonts w:hint="eastAsia"/>
                      <w:bCs/>
                      <w:color w:val="auto"/>
                      <w:sz w:val="21"/>
                      <w:lang w:eastAsia="zh-CN"/>
                    </w:rPr>
                    <w:t>；</w:t>
                  </w:r>
                </w:p>
                <w:p w14:paraId="15A9852A">
                  <w:pPr>
                    <w:numPr>
                      <w:ilvl w:val="0"/>
                      <w:numId w:val="0"/>
                    </w:numPr>
                    <w:autoSpaceDE w:val="0"/>
                    <w:adjustRightInd w:val="0"/>
                    <w:spacing w:line="240" w:lineRule="auto"/>
                    <w:ind w:right="-63" w:rightChars="-30"/>
                    <w:jc w:val="left"/>
                    <w:rPr>
                      <w:rFonts w:hint="eastAsia"/>
                      <w:bCs/>
                      <w:color w:val="auto"/>
                      <w:sz w:val="21"/>
                    </w:rPr>
                  </w:pPr>
                  <w:r>
                    <w:rPr>
                      <w:rFonts w:hint="eastAsia"/>
                      <w:bCs/>
                      <w:color w:val="auto"/>
                      <w:sz w:val="21"/>
                      <w:lang w:val="en-US" w:eastAsia="zh-CN"/>
                    </w:rPr>
                    <w:t>5.</w:t>
                  </w:r>
                  <w:r>
                    <w:rPr>
                      <w:rFonts w:hint="eastAsia"/>
                      <w:bCs/>
                      <w:color w:val="auto"/>
                      <w:sz w:val="21"/>
                    </w:rPr>
                    <w:t>燃料</w:t>
                  </w:r>
                  <w:r>
                    <w:rPr>
                      <w:rFonts w:hint="eastAsia"/>
                      <w:bCs/>
                      <w:color w:val="auto"/>
                      <w:sz w:val="21"/>
                      <w:lang w:eastAsia="zh-CN"/>
                    </w:rPr>
                    <w:t>（</w:t>
                  </w:r>
                  <w:r>
                    <w:rPr>
                      <w:rFonts w:hint="eastAsia"/>
                      <w:bCs/>
                      <w:color w:val="auto"/>
                      <w:sz w:val="21"/>
                    </w:rPr>
                    <w:t>天然气</w:t>
                  </w:r>
                  <w:r>
                    <w:rPr>
                      <w:rFonts w:hint="eastAsia"/>
                      <w:bCs/>
                      <w:color w:val="auto"/>
                      <w:sz w:val="21"/>
                      <w:lang w:eastAsia="zh-CN"/>
                    </w:rPr>
                    <w:t>）</w:t>
                  </w:r>
                  <w:r>
                    <w:rPr>
                      <w:rFonts w:hint="eastAsia"/>
                      <w:bCs/>
                      <w:color w:val="auto"/>
                      <w:sz w:val="21"/>
                    </w:rPr>
                    <w:t>消耗记录。</w:t>
                  </w:r>
                </w:p>
              </w:tc>
              <w:tc>
                <w:tcPr>
                  <w:tcW w:w="1494" w:type="pct"/>
                  <w:noWrap w:val="0"/>
                  <w:vAlign w:val="center"/>
                </w:tcPr>
                <w:p w14:paraId="0DEFD578">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本项目建成后，建立环境管理台账，具体包括：</w:t>
                  </w:r>
                </w:p>
                <w:p w14:paraId="5C05BDD6">
                  <w:pPr>
                    <w:numPr>
                      <w:ilvl w:val="0"/>
                      <w:numId w:val="0"/>
                    </w:numPr>
                    <w:autoSpaceDE w:val="0"/>
                    <w:adjustRightInd w:val="0"/>
                    <w:spacing w:line="240" w:lineRule="auto"/>
                    <w:ind w:right="-63" w:rightChars="-30"/>
                    <w:jc w:val="left"/>
                    <w:rPr>
                      <w:rFonts w:hint="eastAsia"/>
                      <w:bCs/>
                      <w:color w:val="auto"/>
                      <w:sz w:val="21"/>
                      <w:lang w:eastAsia="zh-CN"/>
                    </w:rPr>
                  </w:pPr>
                  <w:r>
                    <w:rPr>
                      <w:rFonts w:hint="eastAsia"/>
                      <w:bCs/>
                      <w:color w:val="auto"/>
                      <w:sz w:val="21"/>
                      <w:lang w:val="en-US" w:eastAsia="zh-CN"/>
                    </w:rPr>
                    <w:t>1.</w:t>
                  </w:r>
                  <w:r>
                    <w:rPr>
                      <w:rFonts w:hint="eastAsia"/>
                      <w:bCs/>
                      <w:color w:val="auto"/>
                      <w:sz w:val="21"/>
                    </w:rPr>
                    <w:t>生产设施运行管理信息</w:t>
                  </w:r>
                  <w:r>
                    <w:rPr>
                      <w:rFonts w:hint="eastAsia"/>
                      <w:bCs/>
                      <w:color w:val="auto"/>
                      <w:sz w:val="21"/>
                      <w:lang w:eastAsia="zh-CN"/>
                    </w:rPr>
                    <w:t>（</w:t>
                  </w:r>
                  <w:r>
                    <w:rPr>
                      <w:rFonts w:hint="eastAsia"/>
                      <w:bCs/>
                      <w:color w:val="auto"/>
                      <w:sz w:val="21"/>
                    </w:rPr>
                    <w:t>生产时间、运行负荷、产品产量等，必须具备近一年及以上所用油墨的固含量、VOCs含量、含水率(水性油墨)等信息的检测报告</w:t>
                  </w:r>
                  <w:r>
                    <w:rPr>
                      <w:rFonts w:hint="eastAsia"/>
                      <w:bCs/>
                      <w:color w:val="auto"/>
                      <w:sz w:val="21"/>
                      <w:lang w:eastAsia="zh-CN"/>
                    </w:rPr>
                    <w:t>）；</w:t>
                  </w:r>
                </w:p>
                <w:p w14:paraId="2EDCE3A8">
                  <w:pPr>
                    <w:numPr>
                      <w:ilvl w:val="0"/>
                      <w:numId w:val="0"/>
                    </w:numPr>
                    <w:autoSpaceDE w:val="0"/>
                    <w:adjustRightInd w:val="0"/>
                    <w:spacing w:line="240" w:lineRule="auto"/>
                    <w:ind w:right="-63" w:rightChars="-30"/>
                    <w:jc w:val="left"/>
                    <w:rPr>
                      <w:rFonts w:hint="eastAsia" w:eastAsia="宋体"/>
                      <w:bCs/>
                      <w:color w:val="auto"/>
                      <w:sz w:val="21"/>
                      <w:lang w:eastAsia="zh-CN"/>
                    </w:rPr>
                  </w:pPr>
                  <w:r>
                    <w:rPr>
                      <w:rFonts w:hint="eastAsia"/>
                      <w:bCs/>
                      <w:color w:val="auto"/>
                      <w:sz w:val="21"/>
                      <w:lang w:val="en-US" w:eastAsia="zh-CN"/>
                    </w:rPr>
                    <w:t>2.</w:t>
                  </w:r>
                  <w:r>
                    <w:rPr>
                      <w:rFonts w:hint="eastAsia"/>
                      <w:bCs/>
                      <w:color w:val="auto"/>
                      <w:sz w:val="21"/>
                    </w:rPr>
                    <w:t>废气污染治理设施运行管理信息</w:t>
                  </w:r>
                  <w:r>
                    <w:rPr>
                      <w:rFonts w:hint="eastAsia"/>
                      <w:bCs/>
                      <w:color w:val="auto"/>
                      <w:sz w:val="21"/>
                      <w:lang w:eastAsia="zh-CN"/>
                    </w:rPr>
                    <w:t>（</w:t>
                  </w:r>
                  <w:r>
                    <w:rPr>
                      <w:rFonts w:hint="eastAsia"/>
                      <w:bCs/>
                      <w:color w:val="auto"/>
                      <w:sz w:val="21"/>
                    </w:rPr>
                    <w:t>吸附剂更换频次</w:t>
                  </w:r>
                  <w:r>
                    <w:rPr>
                      <w:rFonts w:hint="eastAsia"/>
                      <w:bCs/>
                      <w:color w:val="auto"/>
                      <w:sz w:val="21"/>
                      <w:lang w:eastAsia="zh-CN"/>
                    </w:rPr>
                    <w:t>）；</w:t>
                  </w:r>
                </w:p>
                <w:p w14:paraId="0EBCEC01">
                  <w:pPr>
                    <w:numPr>
                      <w:ilvl w:val="0"/>
                      <w:numId w:val="0"/>
                    </w:numPr>
                    <w:autoSpaceDE w:val="0"/>
                    <w:adjustRightInd w:val="0"/>
                    <w:spacing w:line="240" w:lineRule="auto"/>
                    <w:ind w:right="-63" w:rightChars="-30"/>
                    <w:jc w:val="left"/>
                    <w:rPr>
                      <w:rFonts w:hint="eastAsia"/>
                      <w:bCs/>
                      <w:color w:val="auto"/>
                      <w:sz w:val="21"/>
                      <w:lang w:eastAsia="zh-CN"/>
                    </w:rPr>
                  </w:pPr>
                  <w:r>
                    <w:rPr>
                      <w:rFonts w:hint="eastAsia"/>
                      <w:bCs/>
                      <w:color w:val="auto"/>
                      <w:sz w:val="21"/>
                      <w:lang w:val="en-US" w:eastAsia="zh-CN"/>
                    </w:rPr>
                    <w:t>3.</w:t>
                  </w:r>
                  <w:r>
                    <w:rPr>
                      <w:rFonts w:hint="eastAsia"/>
                      <w:bCs/>
                      <w:color w:val="auto"/>
                      <w:sz w:val="21"/>
                    </w:rPr>
                    <w:t>监测记录信息</w:t>
                  </w:r>
                  <w:r>
                    <w:rPr>
                      <w:rFonts w:hint="eastAsia"/>
                      <w:bCs/>
                      <w:color w:val="auto"/>
                      <w:sz w:val="21"/>
                      <w:lang w:eastAsia="zh-CN"/>
                    </w:rPr>
                    <w:t>（</w:t>
                  </w:r>
                  <w:r>
                    <w:rPr>
                      <w:rFonts w:hint="eastAsia"/>
                      <w:bCs/>
                      <w:color w:val="auto"/>
                      <w:sz w:val="21"/>
                    </w:rPr>
                    <w:t>主要污染排放口废气排放记录(手工监测和在线监测)等</w:t>
                  </w:r>
                  <w:r>
                    <w:rPr>
                      <w:rFonts w:hint="eastAsia"/>
                      <w:bCs/>
                      <w:color w:val="auto"/>
                      <w:sz w:val="21"/>
                      <w:lang w:eastAsia="zh-CN"/>
                    </w:rPr>
                    <w:t>）；</w:t>
                  </w:r>
                </w:p>
                <w:p w14:paraId="21BDA3EB">
                  <w:pPr>
                    <w:numPr>
                      <w:ilvl w:val="0"/>
                      <w:numId w:val="0"/>
                    </w:numPr>
                    <w:autoSpaceDE w:val="0"/>
                    <w:adjustRightInd w:val="0"/>
                    <w:spacing w:line="240" w:lineRule="auto"/>
                    <w:ind w:right="-63" w:rightChars="-30"/>
                    <w:jc w:val="left"/>
                    <w:rPr>
                      <w:rFonts w:hint="eastAsia"/>
                      <w:bCs/>
                      <w:color w:val="auto"/>
                      <w:sz w:val="21"/>
                      <w:lang w:eastAsia="zh-CN"/>
                    </w:rPr>
                  </w:pPr>
                  <w:r>
                    <w:rPr>
                      <w:rFonts w:hint="eastAsia"/>
                      <w:bCs/>
                      <w:color w:val="auto"/>
                      <w:sz w:val="21"/>
                      <w:lang w:val="en-US" w:eastAsia="zh-CN"/>
                    </w:rPr>
                    <w:t>4.</w:t>
                  </w:r>
                  <w:r>
                    <w:rPr>
                      <w:rFonts w:hint="eastAsia"/>
                      <w:bCs/>
                      <w:color w:val="auto"/>
                      <w:sz w:val="21"/>
                    </w:rPr>
                    <w:t>主要原辅材料消耗记录</w:t>
                  </w:r>
                  <w:r>
                    <w:rPr>
                      <w:rFonts w:hint="eastAsia"/>
                      <w:bCs/>
                      <w:color w:val="auto"/>
                      <w:sz w:val="21"/>
                      <w:lang w:eastAsia="zh-CN"/>
                    </w:rPr>
                    <w:t>；</w:t>
                  </w:r>
                </w:p>
                <w:p w14:paraId="694CD9B3">
                  <w:pPr>
                    <w:numPr>
                      <w:ilvl w:val="0"/>
                      <w:numId w:val="0"/>
                    </w:numPr>
                    <w:autoSpaceDE w:val="0"/>
                    <w:adjustRightInd w:val="0"/>
                    <w:spacing w:line="240" w:lineRule="auto"/>
                    <w:ind w:right="-63" w:rightChars="-30"/>
                    <w:jc w:val="left"/>
                    <w:rPr>
                      <w:bCs/>
                      <w:color w:val="auto"/>
                      <w:sz w:val="21"/>
                    </w:rPr>
                  </w:pPr>
                  <w:r>
                    <w:rPr>
                      <w:rFonts w:hint="eastAsia"/>
                      <w:bCs/>
                      <w:color w:val="auto"/>
                      <w:sz w:val="21"/>
                      <w:lang w:val="en-US" w:eastAsia="zh-CN"/>
                    </w:rPr>
                    <w:t>5.不涉及</w:t>
                  </w:r>
                </w:p>
              </w:tc>
              <w:tc>
                <w:tcPr>
                  <w:tcW w:w="308" w:type="pct"/>
                  <w:noWrap w:val="0"/>
                  <w:vAlign w:val="center"/>
                </w:tcPr>
                <w:p w14:paraId="7A576686">
                  <w:pPr>
                    <w:autoSpaceDE w:val="0"/>
                    <w:adjustRightInd w:val="0"/>
                    <w:spacing w:line="240" w:lineRule="auto"/>
                    <w:ind w:firstLine="0" w:firstLineChars="0"/>
                    <w:jc w:val="center"/>
                    <w:rPr>
                      <w:bCs/>
                      <w:color w:val="auto"/>
                      <w:sz w:val="21"/>
                    </w:rPr>
                  </w:pPr>
                  <w:r>
                    <w:rPr>
                      <w:rFonts w:hint="eastAsia"/>
                      <w:bCs/>
                      <w:color w:val="auto"/>
                      <w:sz w:val="21"/>
                    </w:rPr>
                    <w:t>相符</w:t>
                  </w:r>
                </w:p>
              </w:tc>
            </w:tr>
            <w:tr w14:paraId="27F81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 w:type="pct"/>
                  <w:vMerge w:val="continue"/>
                  <w:noWrap w:val="0"/>
                  <w:vAlign w:val="center"/>
                </w:tcPr>
                <w:p w14:paraId="6CE56949">
                  <w:pPr>
                    <w:autoSpaceDE w:val="0"/>
                    <w:adjustRightInd w:val="0"/>
                    <w:spacing w:line="240" w:lineRule="auto"/>
                    <w:ind w:firstLine="0" w:firstLineChars="0"/>
                    <w:jc w:val="center"/>
                    <w:rPr>
                      <w:rFonts w:hint="eastAsia"/>
                      <w:bCs/>
                      <w:color w:val="auto"/>
                      <w:sz w:val="21"/>
                    </w:rPr>
                  </w:pPr>
                </w:p>
              </w:tc>
              <w:tc>
                <w:tcPr>
                  <w:tcW w:w="242" w:type="pct"/>
                  <w:noWrap w:val="0"/>
                  <w:vAlign w:val="center"/>
                </w:tcPr>
                <w:p w14:paraId="37B52141">
                  <w:pPr>
                    <w:autoSpaceDE w:val="0"/>
                    <w:adjustRightInd w:val="0"/>
                    <w:spacing w:line="240" w:lineRule="auto"/>
                    <w:ind w:left="-84" w:leftChars="-40" w:right="-84" w:rightChars="-40" w:firstLine="0" w:firstLineChars="0"/>
                    <w:jc w:val="center"/>
                    <w:rPr>
                      <w:rFonts w:hint="eastAsia"/>
                      <w:bCs/>
                      <w:color w:val="auto"/>
                      <w:sz w:val="21"/>
                    </w:rPr>
                  </w:pPr>
                  <w:r>
                    <w:rPr>
                      <w:rFonts w:hint="eastAsia"/>
                      <w:bCs/>
                      <w:color w:val="auto"/>
                      <w:sz w:val="21"/>
                    </w:rPr>
                    <w:t>人员配置合理</w:t>
                  </w:r>
                </w:p>
              </w:tc>
              <w:tc>
                <w:tcPr>
                  <w:tcW w:w="2613" w:type="pct"/>
                  <w:noWrap w:val="0"/>
                  <w:vAlign w:val="center"/>
                </w:tcPr>
                <w:p w14:paraId="076DBDA7">
                  <w:pPr>
                    <w:autoSpaceDE w:val="0"/>
                    <w:adjustRightInd w:val="0"/>
                    <w:spacing w:line="240" w:lineRule="auto"/>
                    <w:ind w:left="-63" w:leftChars="-30" w:right="-63" w:rightChars="-30" w:firstLine="0" w:firstLineChars="0"/>
                    <w:jc w:val="left"/>
                    <w:rPr>
                      <w:bCs/>
                      <w:color w:val="auto"/>
                      <w:sz w:val="21"/>
                    </w:rPr>
                  </w:pPr>
                  <w:r>
                    <w:rPr>
                      <w:rFonts w:hint="eastAsia"/>
                      <w:bCs/>
                      <w:color w:val="auto"/>
                      <w:sz w:val="21"/>
                    </w:rPr>
                    <w:t>设置环保部门，配备专职环保人员，并具备相应的环境管理能力。</w:t>
                  </w:r>
                </w:p>
              </w:tc>
              <w:tc>
                <w:tcPr>
                  <w:tcW w:w="1494" w:type="pct"/>
                  <w:noWrap w:val="0"/>
                  <w:vAlign w:val="center"/>
                </w:tcPr>
                <w:p w14:paraId="7CB7264C">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本项目投产前，为切实承担环保责任，建设单位成立环保部门，配备专职环保人员，并具备相应的环境管理能力</w:t>
                  </w:r>
                </w:p>
              </w:tc>
              <w:tc>
                <w:tcPr>
                  <w:tcW w:w="308" w:type="pct"/>
                  <w:noWrap w:val="0"/>
                  <w:vAlign w:val="center"/>
                </w:tcPr>
                <w:p w14:paraId="1A57EDE1">
                  <w:pPr>
                    <w:autoSpaceDE w:val="0"/>
                    <w:adjustRightInd w:val="0"/>
                    <w:spacing w:line="240" w:lineRule="auto"/>
                    <w:ind w:firstLine="0" w:firstLineChars="0"/>
                    <w:jc w:val="center"/>
                    <w:rPr>
                      <w:bCs/>
                      <w:color w:val="auto"/>
                      <w:sz w:val="21"/>
                    </w:rPr>
                  </w:pPr>
                  <w:r>
                    <w:rPr>
                      <w:rFonts w:hint="eastAsia"/>
                      <w:bCs/>
                      <w:color w:val="auto"/>
                      <w:sz w:val="21"/>
                    </w:rPr>
                    <w:t>相符</w:t>
                  </w:r>
                </w:p>
              </w:tc>
            </w:tr>
            <w:tr w14:paraId="7C8CC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 w:type="pct"/>
                  <w:vMerge w:val="restart"/>
                  <w:noWrap w:val="0"/>
                  <w:vAlign w:val="center"/>
                </w:tcPr>
                <w:p w14:paraId="2A19A906">
                  <w:pPr>
                    <w:autoSpaceDE w:val="0"/>
                    <w:adjustRightInd w:val="0"/>
                    <w:spacing w:line="240" w:lineRule="auto"/>
                    <w:ind w:firstLine="0" w:firstLineChars="0"/>
                    <w:jc w:val="center"/>
                    <w:rPr>
                      <w:rFonts w:hint="eastAsia"/>
                      <w:bCs/>
                      <w:color w:val="auto"/>
                      <w:sz w:val="21"/>
                    </w:rPr>
                  </w:pPr>
                  <w:r>
                    <w:rPr>
                      <w:rFonts w:hint="eastAsia"/>
                      <w:bCs/>
                      <w:color w:val="auto"/>
                      <w:sz w:val="21"/>
                    </w:rPr>
                    <w:t>运输方式</w:t>
                  </w:r>
                </w:p>
              </w:tc>
              <w:tc>
                <w:tcPr>
                  <w:tcW w:w="2855" w:type="pct"/>
                  <w:gridSpan w:val="2"/>
                  <w:noWrap w:val="0"/>
                  <w:vAlign w:val="center"/>
                </w:tcPr>
                <w:p w14:paraId="121712EC">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1</w:t>
                  </w:r>
                  <w:r>
                    <w:rPr>
                      <w:rFonts w:hint="eastAsia"/>
                      <w:bCs/>
                      <w:color w:val="auto"/>
                      <w:sz w:val="21"/>
                      <w:lang w:val="en-US" w:eastAsia="zh-CN"/>
                    </w:rPr>
                    <w:t>.</w:t>
                  </w:r>
                  <w:r>
                    <w:rPr>
                      <w:rFonts w:hint="eastAsia"/>
                      <w:bCs/>
                      <w:color w:val="auto"/>
                      <w:sz w:val="21"/>
                    </w:rPr>
                    <w:t>物料公路运输全部使用达到国五及以上排放标准重型载货车辆</w:t>
                  </w:r>
                  <w:r>
                    <w:rPr>
                      <w:rFonts w:hint="eastAsia"/>
                      <w:bCs/>
                      <w:color w:val="auto"/>
                      <w:sz w:val="21"/>
                      <w:lang w:eastAsia="zh-CN"/>
                    </w:rPr>
                    <w:t>（</w:t>
                  </w:r>
                  <w:r>
                    <w:rPr>
                      <w:rFonts w:hint="eastAsia"/>
                      <w:bCs/>
                      <w:color w:val="auto"/>
                      <w:sz w:val="21"/>
                    </w:rPr>
                    <w:t>含燃气</w:t>
                  </w:r>
                  <w:r>
                    <w:rPr>
                      <w:rFonts w:hint="eastAsia"/>
                      <w:bCs/>
                      <w:color w:val="auto"/>
                      <w:sz w:val="21"/>
                      <w:lang w:eastAsia="zh-CN"/>
                    </w:rPr>
                    <w:t>）</w:t>
                  </w:r>
                  <w:r>
                    <w:rPr>
                      <w:rFonts w:hint="eastAsia"/>
                      <w:bCs/>
                      <w:color w:val="auto"/>
                      <w:sz w:val="21"/>
                    </w:rPr>
                    <w:t>或新能源车辆</w:t>
                  </w:r>
                  <w:r>
                    <w:rPr>
                      <w:rFonts w:hint="eastAsia"/>
                      <w:bCs/>
                      <w:color w:val="auto"/>
                      <w:sz w:val="21"/>
                      <w:lang w:eastAsia="zh-CN"/>
                    </w:rPr>
                    <w:t>；</w:t>
                  </w:r>
                </w:p>
              </w:tc>
              <w:tc>
                <w:tcPr>
                  <w:tcW w:w="1494" w:type="pct"/>
                  <w:noWrap w:val="0"/>
                  <w:vAlign w:val="center"/>
                </w:tcPr>
                <w:p w14:paraId="3E1558CC">
                  <w:pPr>
                    <w:autoSpaceDE w:val="0"/>
                    <w:adjustRightInd w:val="0"/>
                    <w:spacing w:line="240" w:lineRule="auto"/>
                    <w:ind w:left="-63" w:leftChars="-30" w:right="-63" w:rightChars="-30" w:firstLine="0" w:firstLineChars="0"/>
                    <w:jc w:val="left"/>
                    <w:rPr>
                      <w:rFonts w:hint="eastAsia" w:eastAsia="宋体"/>
                      <w:bCs/>
                      <w:color w:val="auto"/>
                      <w:kern w:val="2"/>
                      <w:sz w:val="21"/>
                      <w:lang w:val="en-US" w:eastAsia="zh-CN" w:bidi="ar-SA"/>
                    </w:rPr>
                  </w:pPr>
                  <w:r>
                    <w:rPr>
                      <w:rFonts w:hint="eastAsia"/>
                      <w:bCs/>
                      <w:color w:val="auto"/>
                      <w:sz w:val="21"/>
                    </w:rPr>
                    <w:t>1.本项目物料公路运输全部使用达到国五及以上排放标准重型载货车辆</w:t>
                  </w:r>
                  <w:r>
                    <w:rPr>
                      <w:rFonts w:hint="eastAsia"/>
                      <w:bCs/>
                      <w:color w:val="auto"/>
                      <w:sz w:val="21"/>
                      <w:lang w:eastAsia="zh-CN"/>
                    </w:rPr>
                    <w:t>（</w:t>
                  </w:r>
                  <w:r>
                    <w:rPr>
                      <w:rFonts w:hint="eastAsia"/>
                      <w:bCs/>
                      <w:color w:val="auto"/>
                      <w:sz w:val="21"/>
                    </w:rPr>
                    <w:t>含燃气</w:t>
                  </w:r>
                  <w:r>
                    <w:rPr>
                      <w:rFonts w:hint="eastAsia"/>
                      <w:bCs/>
                      <w:color w:val="auto"/>
                      <w:sz w:val="21"/>
                      <w:lang w:eastAsia="zh-CN"/>
                    </w:rPr>
                    <w:t>）</w:t>
                  </w:r>
                  <w:r>
                    <w:rPr>
                      <w:rFonts w:hint="eastAsia"/>
                      <w:bCs/>
                      <w:color w:val="auto"/>
                      <w:sz w:val="21"/>
                    </w:rPr>
                    <w:t>或新能源车辆</w:t>
                  </w:r>
                </w:p>
              </w:tc>
              <w:tc>
                <w:tcPr>
                  <w:tcW w:w="308" w:type="pct"/>
                  <w:noWrap w:val="0"/>
                  <w:vAlign w:val="center"/>
                </w:tcPr>
                <w:p w14:paraId="06094AF5">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4F354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 w:type="pct"/>
                  <w:vMerge w:val="continue"/>
                  <w:noWrap w:val="0"/>
                  <w:vAlign w:val="center"/>
                </w:tcPr>
                <w:p w14:paraId="61BAE52E">
                  <w:pPr>
                    <w:autoSpaceDE w:val="0"/>
                    <w:adjustRightInd w:val="0"/>
                    <w:spacing w:line="240" w:lineRule="auto"/>
                    <w:ind w:firstLine="0" w:firstLineChars="0"/>
                    <w:jc w:val="center"/>
                    <w:rPr>
                      <w:rFonts w:hint="eastAsia"/>
                      <w:bCs/>
                      <w:color w:val="auto"/>
                      <w:sz w:val="21"/>
                    </w:rPr>
                  </w:pPr>
                </w:p>
              </w:tc>
              <w:tc>
                <w:tcPr>
                  <w:tcW w:w="2855" w:type="pct"/>
                  <w:gridSpan w:val="2"/>
                  <w:noWrap w:val="0"/>
                  <w:vAlign w:val="center"/>
                </w:tcPr>
                <w:p w14:paraId="479D9F64">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2</w:t>
                  </w:r>
                  <w:r>
                    <w:rPr>
                      <w:rFonts w:hint="eastAsia"/>
                      <w:bCs/>
                      <w:color w:val="auto"/>
                      <w:sz w:val="21"/>
                      <w:lang w:val="en-US" w:eastAsia="zh-CN"/>
                    </w:rPr>
                    <w:t>.</w:t>
                  </w:r>
                  <w:r>
                    <w:rPr>
                      <w:rFonts w:hint="eastAsia"/>
                      <w:bCs/>
                      <w:color w:val="auto"/>
                      <w:sz w:val="21"/>
                    </w:rPr>
                    <w:t>厂内运输车辆全部达到国五及以上排放标准</w:t>
                  </w:r>
                  <w:r>
                    <w:rPr>
                      <w:rFonts w:hint="eastAsia"/>
                      <w:bCs/>
                      <w:color w:val="auto"/>
                      <w:sz w:val="21"/>
                      <w:lang w:eastAsia="zh-CN"/>
                    </w:rPr>
                    <w:t>（</w:t>
                  </w:r>
                  <w:r>
                    <w:rPr>
                      <w:rFonts w:hint="eastAsia"/>
                      <w:bCs/>
                      <w:color w:val="auto"/>
                      <w:sz w:val="21"/>
                    </w:rPr>
                    <w:t>含燃气</w:t>
                  </w:r>
                  <w:r>
                    <w:rPr>
                      <w:rFonts w:hint="eastAsia"/>
                      <w:bCs/>
                      <w:color w:val="auto"/>
                      <w:sz w:val="21"/>
                      <w:lang w:eastAsia="zh-CN"/>
                    </w:rPr>
                    <w:t>）</w:t>
                  </w:r>
                  <w:r>
                    <w:rPr>
                      <w:rFonts w:hint="eastAsia"/>
                      <w:bCs/>
                      <w:color w:val="auto"/>
                      <w:sz w:val="21"/>
                    </w:rPr>
                    <w:t>或使用新能源车辆</w:t>
                  </w:r>
                  <w:r>
                    <w:rPr>
                      <w:rFonts w:hint="eastAsia"/>
                      <w:bCs/>
                      <w:color w:val="auto"/>
                      <w:sz w:val="21"/>
                      <w:lang w:eastAsia="zh-CN"/>
                    </w:rPr>
                    <w:t>；</w:t>
                  </w:r>
                </w:p>
              </w:tc>
              <w:tc>
                <w:tcPr>
                  <w:tcW w:w="1494" w:type="pct"/>
                  <w:noWrap w:val="0"/>
                  <w:vAlign w:val="center"/>
                </w:tcPr>
                <w:p w14:paraId="080218D2">
                  <w:pPr>
                    <w:autoSpaceDE w:val="0"/>
                    <w:adjustRightInd w:val="0"/>
                    <w:spacing w:line="240" w:lineRule="auto"/>
                    <w:ind w:left="-63" w:leftChars="-30" w:right="-63" w:rightChars="-30" w:firstLine="0" w:firstLineChars="0"/>
                    <w:jc w:val="left"/>
                    <w:rPr>
                      <w:rFonts w:hint="eastAsia" w:eastAsia="宋体"/>
                      <w:bCs/>
                      <w:color w:val="auto"/>
                      <w:kern w:val="2"/>
                      <w:sz w:val="21"/>
                      <w:lang w:val="en-US" w:eastAsia="zh-CN" w:bidi="ar-SA"/>
                    </w:rPr>
                  </w:pPr>
                  <w:r>
                    <w:rPr>
                      <w:rFonts w:hint="eastAsia"/>
                      <w:bCs/>
                      <w:color w:val="auto"/>
                      <w:sz w:val="21"/>
                    </w:rPr>
                    <w:t>2.本项目厂内运输车辆全部达到国五及以上排放标准</w:t>
                  </w:r>
                  <w:r>
                    <w:rPr>
                      <w:rFonts w:hint="eastAsia"/>
                      <w:bCs/>
                      <w:color w:val="auto"/>
                      <w:sz w:val="21"/>
                      <w:lang w:eastAsia="zh-CN"/>
                    </w:rPr>
                    <w:t>（</w:t>
                  </w:r>
                  <w:r>
                    <w:rPr>
                      <w:rFonts w:hint="eastAsia"/>
                      <w:bCs/>
                      <w:color w:val="auto"/>
                      <w:sz w:val="21"/>
                    </w:rPr>
                    <w:t>含燃气</w:t>
                  </w:r>
                  <w:r>
                    <w:rPr>
                      <w:rFonts w:hint="eastAsia"/>
                      <w:bCs/>
                      <w:color w:val="auto"/>
                      <w:sz w:val="21"/>
                      <w:lang w:eastAsia="zh-CN"/>
                    </w:rPr>
                    <w:t>）</w:t>
                  </w:r>
                  <w:r>
                    <w:rPr>
                      <w:rFonts w:hint="eastAsia"/>
                      <w:bCs/>
                      <w:color w:val="auto"/>
                      <w:sz w:val="21"/>
                    </w:rPr>
                    <w:t>或使用新能源车辆</w:t>
                  </w:r>
                </w:p>
              </w:tc>
              <w:tc>
                <w:tcPr>
                  <w:tcW w:w="308" w:type="pct"/>
                  <w:noWrap w:val="0"/>
                  <w:vAlign w:val="center"/>
                </w:tcPr>
                <w:p w14:paraId="14C62E8B">
                  <w:pPr>
                    <w:autoSpaceDE w:val="0"/>
                    <w:adjustRightInd w:val="0"/>
                    <w:spacing w:line="240" w:lineRule="auto"/>
                    <w:ind w:firstLine="0" w:firstLineChars="0"/>
                    <w:jc w:val="center"/>
                    <w:rPr>
                      <w:bCs/>
                      <w:color w:val="auto"/>
                      <w:sz w:val="21"/>
                    </w:rPr>
                  </w:pPr>
                  <w:r>
                    <w:rPr>
                      <w:rFonts w:hint="eastAsia"/>
                      <w:bCs/>
                      <w:color w:val="auto"/>
                      <w:sz w:val="21"/>
                    </w:rPr>
                    <w:t>相符</w:t>
                  </w:r>
                </w:p>
              </w:tc>
            </w:tr>
            <w:tr w14:paraId="75DA0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41" w:type="pct"/>
                  <w:vMerge w:val="continue"/>
                  <w:noWrap w:val="0"/>
                  <w:vAlign w:val="center"/>
                </w:tcPr>
                <w:p w14:paraId="3D9BF14F">
                  <w:pPr>
                    <w:autoSpaceDE w:val="0"/>
                    <w:adjustRightInd w:val="0"/>
                    <w:spacing w:line="240" w:lineRule="auto"/>
                    <w:ind w:firstLine="0" w:firstLineChars="0"/>
                    <w:jc w:val="center"/>
                    <w:rPr>
                      <w:rFonts w:hint="eastAsia"/>
                      <w:bCs/>
                      <w:color w:val="auto"/>
                      <w:sz w:val="21"/>
                    </w:rPr>
                  </w:pPr>
                </w:p>
              </w:tc>
              <w:tc>
                <w:tcPr>
                  <w:tcW w:w="2855" w:type="pct"/>
                  <w:gridSpan w:val="2"/>
                  <w:noWrap w:val="0"/>
                  <w:vAlign w:val="center"/>
                </w:tcPr>
                <w:p w14:paraId="1C6361AD">
                  <w:pPr>
                    <w:autoSpaceDE w:val="0"/>
                    <w:adjustRightInd w:val="0"/>
                    <w:spacing w:line="240" w:lineRule="auto"/>
                    <w:ind w:left="-63" w:leftChars="-30" w:right="-63" w:rightChars="-30" w:firstLine="0" w:firstLineChars="0"/>
                    <w:jc w:val="left"/>
                    <w:rPr>
                      <w:rFonts w:hint="eastAsia" w:eastAsia="宋体"/>
                      <w:bCs/>
                      <w:color w:val="auto"/>
                      <w:sz w:val="21"/>
                      <w:lang w:eastAsia="zh-CN"/>
                    </w:rPr>
                  </w:pPr>
                  <w:r>
                    <w:rPr>
                      <w:rFonts w:hint="eastAsia"/>
                      <w:bCs/>
                      <w:color w:val="auto"/>
                      <w:sz w:val="21"/>
                    </w:rPr>
                    <w:t>3</w:t>
                  </w:r>
                  <w:r>
                    <w:rPr>
                      <w:rFonts w:hint="eastAsia"/>
                      <w:bCs/>
                      <w:color w:val="auto"/>
                      <w:sz w:val="21"/>
                      <w:lang w:val="en-US" w:eastAsia="zh-CN"/>
                    </w:rPr>
                    <w:t>.</w:t>
                  </w:r>
                  <w:r>
                    <w:rPr>
                      <w:rFonts w:hint="eastAsia"/>
                      <w:bCs/>
                      <w:color w:val="auto"/>
                      <w:sz w:val="21"/>
                    </w:rPr>
                    <w:t>厂内非道路移动机械全部达到国三及以上排放标准或使用新能源机械</w:t>
                  </w:r>
                  <w:r>
                    <w:rPr>
                      <w:rFonts w:hint="eastAsia"/>
                      <w:bCs/>
                      <w:color w:val="auto"/>
                      <w:sz w:val="21"/>
                      <w:lang w:eastAsia="zh-CN"/>
                    </w:rPr>
                    <w:t>；</w:t>
                  </w:r>
                </w:p>
              </w:tc>
              <w:tc>
                <w:tcPr>
                  <w:tcW w:w="1494" w:type="pct"/>
                  <w:noWrap w:val="0"/>
                  <w:vAlign w:val="center"/>
                </w:tcPr>
                <w:p w14:paraId="723F6606">
                  <w:pPr>
                    <w:autoSpaceDE w:val="0"/>
                    <w:adjustRightInd w:val="0"/>
                    <w:spacing w:line="240" w:lineRule="auto"/>
                    <w:ind w:left="-63" w:leftChars="-30" w:right="-63" w:rightChars="-30" w:firstLine="0" w:firstLineChars="0"/>
                    <w:jc w:val="left"/>
                    <w:rPr>
                      <w:rFonts w:hint="eastAsia"/>
                      <w:bCs/>
                      <w:color w:val="auto"/>
                      <w:kern w:val="2"/>
                      <w:sz w:val="21"/>
                      <w:lang w:val="en-US" w:eastAsia="zh-CN" w:bidi="ar-SA"/>
                    </w:rPr>
                  </w:pPr>
                  <w:r>
                    <w:rPr>
                      <w:rFonts w:hint="eastAsia"/>
                      <w:bCs/>
                      <w:color w:val="auto"/>
                      <w:sz w:val="21"/>
                    </w:rPr>
                    <w:t>3.本项目厂内非道路移动机械全部达到国三及以上排放标准或使用新能源机械</w:t>
                  </w:r>
                </w:p>
              </w:tc>
              <w:tc>
                <w:tcPr>
                  <w:tcW w:w="308" w:type="pct"/>
                  <w:noWrap w:val="0"/>
                  <w:vAlign w:val="center"/>
                </w:tcPr>
                <w:p w14:paraId="31C9DDA3">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r w14:paraId="16982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341" w:type="pct"/>
                  <w:noWrap w:val="0"/>
                  <w:vAlign w:val="center"/>
                </w:tcPr>
                <w:p w14:paraId="2964644C">
                  <w:pPr>
                    <w:autoSpaceDE w:val="0"/>
                    <w:adjustRightInd w:val="0"/>
                    <w:spacing w:line="240" w:lineRule="auto"/>
                    <w:ind w:firstLine="0" w:firstLineChars="0"/>
                    <w:jc w:val="center"/>
                    <w:rPr>
                      <w:rFonts w:hint="eastAsia"/>
                      <w:bCs/>
                      <w:color w:val="auto"/>
                      <w:sz w:val="21"/>
                    </w:rPr>
                  </w:pPr>
                  <w:r>
                    <w:rPr>
                      <w:rFonts w:hint="eastAsia"/>
                      <w:bCs/>
                      <w:color w:val="auto"/>
                      <w:sz w:val="21"/>
                    </w:rPr>
                    <w:t>运输监管</w:t>
                  </w:r>
                </w:p>
              </w:tc>
              <w:tc>
                <w:tcPr>
                  <w:tcW w:w="2855" w:type="pct"/>
                  <w:gridSpan w:val="2"/>
                  <w:noWrap w:val="0"/>
                  <w:vAlign w:val="center"/>
                </w:tcPr>
                <w:p w14:paraId="38FD4834">
                  <w:pPr>
                    <w:autoSpaceDE w:val="0"/>
                    <w:adjustRightInd w:val="0"/>
                    <w:spacing w:line="240" w:lineRule="auto"/>
                    <w:ind w:left="-63" w:leftChars="-30" w:right="-63" w:rightChars="-30" w:firstLine="0" w:firstLineChars="0"/>
                    <w:jc w:val="left"/>
                    <w:rPr>
                      <w:rFonts w:hint="eastAsia"/>
                      <w:bCs/>
                      <w:color w:val="auto"/>
                      <w:sz w:val="21"/>
                    </w:rPr>
                  </w:pPr>
                  <w:r>
                    <w:rPr>
                      <w:rFonts w:hint="eastAsia"/>
                      <w:bCs/>
                      <w:color w:val="auto"/>
                      <w:sz w:val="21"/>
                    </w:rPr>
                    <w:t>参照《重污染天气重点行业移动源应急管理技术指南》建立门禁系统和电子台账。</w:t>
                  </w:r>
                </w:p>
              </w:tc>
              <w:tc>
                <w:tcPr>
                  <w:tcW w:w="1494" w:type="pct"/>
                  <w:noWrap w:val="0"/>
                  <w:vAlign w:val="center"/>
                </w:tcPr>
                <w:p w14:paraId="1C939EE9">
                  <w:pPr>
                    <w:autoSpaceDE w:val="0"/>
                    <w:adjustRightInd w:val="0"/>
                    <w:spacing w:line="240" w:lineRule="auto"/>
                    <w:ind w:right="-63" w:rightChars="-30" w:firstLine="0" w:firstLineChars="0"/>
                    <w:jc w:val="left"/>
                    <w:rPr>
                      <w:bCs/>
                      <w:color w:val="auto"/>
                      <w:sz w:val="21"/>
                    </w:rPr>
                  </w:pPr>
                  <w:r>
                    <w:rPr>
                      <w:rFonts w:hint="eastAsia"/>
                      <w:bCs/>
                      <w:color w:val="auto"/>
                      <w:sz w:val="21"/>
                    </w:rPr>
                    <w:t>本项目参照《重污染天气重点行业移动源应急管理技术指南》建立门禁系统和电子台账</w:t>
                  </w:r>
                </w:p>
              </w:tc>
              <w:tc>
                <w:tcPr>
                  <w:tcW w:w="308" w:type="pct"/>
                  <w:noWrap w:val="0"/>
                  <w:vAlign w:val="center"/>
                </w:tcPr>
                <w:p w14:paraId="4A6A90E7">
                  <w:pPr>
                    <w:autoSpaceDE w:val="0"/>
                    <w:adjustRightInd w:val="0"/>
                    <w:spacing w:line="240" w:lineRule="auto"/>
                    <w:ind w:firstLine="0" w:firstLineChars="0"/>
                    <w:jc w:val="center"/>
                    <w:rPr>
                      <w:rFonts w:hint="eastAsia"/>
                      <w:bCs/>
                      <w:color w:val="auto"/>
                      <w:sz w:val="21"/>
                    </w:rPr>
                  </w:pPr>
                  <w:r>
                    <w:rPr>
                      <w:rFonts w:hint="eastAsia"/>
                      <w:bCs/>
                      <w:color w:val="auto"/>
                      <w:sz w:val="21"/>
                    </w:rPr>
                    <w:t>相符</w:t>
                  </w:r>
                </w:p>
              </w:tc>
            </w:tr>
          </w:tbl>
          <w:p w14:paraId="5816576F">
            <w:pPr>
              <w:pStyle w:val="21"/>
              <w:keepNext w:val="0"/>
              <w:keepLines w:val="0"/>
              <w:pageBreakBefore w:val="0"/>
              <w:widowControl w:val="0"/>
              <w:numPr>
                <w:ilvl w:val="0"/>
                <w:numId w:val="0"/>
              </w:numPr>
              <w:tabs>
                <w:tab w:val="left" w:pos="0"/>
              </w:tabs>
              <w:kinsoku/>
              <w:wordWrap/>
              <w:overflowPunct/>
              <w:topLinePunct w:val="0"/>
              <w:autoSpaceDE/>
              <w:autoSpaceDN/>
              <w:bidi w:val="0"/>
              <w:adjustRightInd w:val="0"/>
              <w:snapToGrid w:val="0"/>
              <w:spacing w:before="157" w:beforeLines="50" w:line="360" w:lineRule="auto"/>
              <w:ind w:firstLine="420"/>
              <w:textAlignment w:val="auto"/>
              <w:rPr>
                <w:rFonts w:hint="eastAsia"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val="0"/>
                <w:bCs/>
                <w:color w:val="auto"/>
                <w:kern w:val="0"/>
                <w:sz w:val="24"/>
                <w:szCs w:val="24"/>
                <w:lang w:val="en-US" w:eastAsia="zh-CN"/>
              </w:rPr>
              <w:t>综上，本项目满足《重污染天气重点行业应急减排措施制定技术指南》（2020年修订版）</w:t>
            </w:r>
            <w:r>
              <w:rPr>
                <w:rFonts w:hint="eastAsia" w:ascii="Times New Roman" w:hAnsi="Times New Roman" w:eastAsia="宋体" w:cs="Times New Roman"/>
                <w:b w:val="0"/>
                <w:bCs/>
                <w:color w:val="auto"/>
                <w:kern w:val="0"/>
                <w:sz w:val="24"/>
                <w:szCs w:val="24"/>
                <w:lang w:val="en-US" w:eastAsia="zh-CN"/>
              </w:rPr>
              <w:t>中第</w:t>
            </w:r>
            <w:r>
              <w:rPr>
                <w:rFonts w:hint="default" w:ascii="Times New Roman" w:hAnsi="Times New Roman" w:eastAsia="宋体" w:cs="Times New Roman"/>
                <w:b w:val="0"/>
                <w:bCs/>
                <w:color w:val="auto"/>
                <w:kern w:val="0"/>
                <w:sz w:val="24"/>
                <w:szCs w:val="24"/>
                <w:lang w:val="en-US" w:eastAsia="zh-CN"/>
              </w:rPr>
              <w:t>三十一、包装印刷A级绩效分级指标</w:t>
            </w:r>
            <w:r>
              <w:rPr>
                <w:rFonts w:hint="eastAsia" w:ascii="Times New Roman" w:hAnsi="Times New Roman" w:eastAsia="宋体" w:cs="Times New Roman"/>
                <w:b w:val="0"/>
                <w:bCs/>
                <w:color w:val="auto"/>
                <w:kern w:val="0"/>
                <w:sz w:val="24"/>
                <w:szCs w:val="24"/>
                <w:lang w:val="en-US" w:eastAsia="zh-CN"/>
              </w:rPr>
              <w:t>。</w:t>
            </w:r>
          </w:p>
          <w:p w14:paraId="46EBC8DC">
            <w:pPr>
              <w:pStyle w:val="2"/>
              <w:rPr>
                <w:rFonts w:hint="default" w:ascii="Times New Roman" w:hAnsi="Times New Roman" w:eastAsia="宋体" w:cs="Times New Roman"/>
                <w:b/>
                <w:bCs/>
                <w:color w:val="000000"/>
                <w:lang w:val="en-US" w:eastAsia="zh-CN"/>
              </w:rPr>
            </w:pPr>
            <w:bookmarkStart w:id="26" w:name="_Toc22350"/>
            <w:bookmarkStart w:id="27" w:name="_Toc26699"/>
            <w:r>
              <w:rPr>
                <w:rFonts w:hint="eastAsia" w:ascii="Times New Roman" w:hAnsi="Times New Roman" w:eastAsia="宋体" w:cs="Times New Roman"/>
                <w:b/>
                <w:bCs/>
                <w:color w:val="000000"/>
                <w:lang w:val="en-US" w:eastAsia="zh-CN"/>
              </w:rPr>
              <w:t>9、“两高”项目判定</w:t>
            </w:r>
            <w:bookmarkEnd w:id="26"/>
            <w:bookmarkEnd w:id="27"/>
          </w:p>
          <w:p w14:paraId="555A6DA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Times New Roman" w:hAnsi="Times New Roman"/>
                <w:b w:val="0"/>
                <w:bCs w:val="0"/>
                <w:color w:val="auto"/>
                <w:sz w:val="24"/>
                <w:szCs w:val="24"/>
              </w:rPr>
            </w:pPr>
            <w:r>
              <w:rPr>
                <w:rFonts w:ascii="Times New Roman" w:hAnsi="Times New Roman"/>
                <w:b w:val="0"/>
                <w:bCs w:val="0"/>
                <w:color w:val="auto"/>
                <w:sz w:val="24"/>
                <w:szCs w:val="24"/>
              </w:rPr>
              <w:t>根据《河南省坚决遏制</w:t>
            </w:r>
            <w:r>
              <w:rPr>
                <w:rFonts w:hint="eastAsia" w:ascii="Times New Roman" w:hAnsi="Times New Roman"/>
                <w:b w:val="0"/>
                <w:bCs w:val="0"/>
                <w:color w:val="auto"/>
                <w:sz w:val="24"/>
                <w:szCs w:val="24"/>
                <w:lang w:eastAsia="zh-CN"/>
              </w:rPr>
              <w:t>“</w:t>
            </w:r>
            <w:r>
              <w:rPr>
                <w:rFonts w:ascii="Times New Roman" w:hAnsi="Times New Roman"/>
                <w:b w:val="0"/>
                <w:bCs w:val="0"/>
                <w:color w:val="auto"/>
                <w:sz w:val="24"/>
                <w:szCs w:val="24"/>
              </w:rPr>
              <w:t>两高</w:t>
            </w:r>
            <w:r>
              <w:rPr>
                <w:rFonts w:hint="eastAsia" w:ascii="Times New Roman" w:hAnsi="Times New Roman"/>
                <w:b w:val="0"/>
                <w:bCs w:val="0"/>
                <w:color w:val="auto"/>
                <w:sz w:val="24"/>
                <w:szCs w:val="24"/>
                <w:lang w:eastAsia="zh-CN"/>
              </w:rPr>
              <w:t>”</w:t>
            </w:r>
            <w:r>
              <w:rPr>
                <w:rFonts w:ascii="Times New Roman" w:hAnsi="Times New Roman"/>
                <w:b w:val="0"/>
                <w:bCs w:val="0"/>
                <w:color w:val="auto"/>
                <w:sz w:val="24"/>
                <w:szCs w:val="24"/>
              </w:rPr>
              <w:t>项目盲目发展行动方案的通知》（豫政办〔2021）65号）、《河南省生态环境厅关于加强</w:t>
            </w:r>
            <w:r>
              <w:rPr>
                <w:rFonts w:hint="eastAsia" w:ascii="Times New Roman" w:hAnsi="Times New Roman"/>
                <w:b w:val="0"/>
                <w:bCs w:val="0"/>
                <w:color w:val="auto"/>
                <w:sz w:val="24"/>
                <w:szCs w:val="24"/>
                <w:lang w:eastAsia="zh-CN"/>
              </w:rPr>
              <w:t>“</w:t>
            </w:r>
            <w:r>
              <w:rPr>
                <w:rFonts w:ascii="Times New Roman" w:hAnsi="Times New Roman"/>
                <w:b w:val="0"/>
                <w:bCs w:val="0"/>
                <w:color w:val="auto"/>
                <w:sz w:val="24"/>
                <w:szCs w:val="24"/>
              </w:rPr>
              <w:t>两高</w:t>
            </w:r>
            <w:r>
              <w:rPr>
                <w:rFonts w:hint="eastAsia" w:ascii="Times New Roman" w:hAnsi="Times New Roman"/>
                <w:b w:val="0"/>
                <w:bCs w:val="0"/>
                <w:color w:val="auto"/>
                <w:sz w:val="24"/>
                <w:szCs w:val="24"/>
                <w:lang w:eastAsia="zh-CN"/>
              </w:rPr>
              <w:t>”</w:t>
            </w:r>
            <w:r>
              <w:rPr>
                <w:rFonts w:ascii="Times New Roman" w:hAnsi="Times New Roman"/>
                <w:b w:val="0"/>
                <w:bCs w:val="0"/>
                <w:color w:val="auto"/>
                <w:sz w:val="24"/>
                <w:szCs w:val="24"/>
              </w:rPr>
              <w:t>项目生态环境源头防控的实施意见》（豫环文〔2021</w:t>
            </w:r>
            <w:r>
              <w:rPr>
                <w:rFonts w:hint="eastAsia" w:ascii="Times New Roman" w:hAnsi="Times New Roman"/>
                <w:b w:val="0"/>
                <w:bCs w:val="0"/>
                <w:color w:val="auto"/>
                <w:sz w:val="24"/>
                <w:szCs w:val="24"/>
                <w:lang w:val="en-US" w:eastAsia="zh-CN"/>
              </w:rPr>
              <w:t>]</w:t>
            </w:r>
            <w:r>
              <w:rPr>
                <w:rFonts w:ascii="Times New Roman" w:hAnsi="Times New Roman"/>
                <w:b w:val="0"/>
                <w:bCs w:val="0"/>
                <w:color w:val="auto"/>
                <w:sz w:val="24"/>
                <w:szCs w:val="24"/>
              </w:rPr>
              <w:t>100号）及</w:t>
            </w:r>
            <w:r>
              <w:rPr>
                <w:rFonts w:hint="eastAsia" w:ascii="Times New Roman" w:hAnsi="Times New Roman"/>
                <w:b w:val="0"/>
                <w:bCs w:val="0"/>
                <w:color w:val="auto"/>
                <w:sz w:val="24"/>
                <w:szCs w:val="24"/>
              </w:rPr>
              <w:t>《关于印发河南省</w:t>
            </w:r>
            <w:r>
              <w:rPr>
                <w:rFonts w:hint="eastAsia" w:ascii="Times New Roman" w:hAnsi="Times New Roman"/>
                <w:b w:val="0"/>
                <w:bCs w:val="0"/>
                <w:color w:val="auto"/>
                <w:sz w:val="24"/>
                <w:szCs w:val="24"/>
                <w:lang w:eastAsia="zh-CN"/>
              </w:rPr>
              <w:t>“</w:t>
            </w:r>
            <w:r>
              <w:rPr>
                <w:rFonts w:hint="eastAsia" w:ascii="Times New Roman" w:hAnsi="Times New Roman"/>
                <w:b w:val="0"/>
                <w:bCs w:val="0"/>
                <w:color w:val="auto"/>
                <w:sz w:val="24"/>
                <w:szCs w:val="24"/>
              </w:rPr>
              <w:t>两高</w:t>
            </w:r>
            <w:r>
              <w:rPr>
                <w:rFonts w:hint="eastAsia" w:ascii="Times New Roman" w:hAnsi="Times New Roman"/>
                <w:b w:val="0"/>
                <w:bCs w:val="0"/>
                <w:color w:val="auto"/>
                <w:sz w:val="24"/>
                <w:szCs w:val="24"/>
                <w:lang w:eastAsia="zh-CN"/>
              </w:rPr>
              <w:t>”</w:t>
            </w:r>
            <w:r>
              <w:rPr>
                <w:rFonts w:hint="eastAsia" w:ascii="Times New Roman" w:hAnsi="Times New Roman"/>
                <w:b w:val="0"/>
                <w:bCs w:val="0"/>
                <w:color w:val="auto"/>
                <w:sz w:val="24"/>
                <w:szCs w:val="24"/>
              </w:rPr>
              <w:t>项目管理目录（2023年修订）的通知》（豫发改环资〔2023〕38号）</w:t>
            </w:r>
            <w:r>
              <w:rPr>
                <w:rFonts w:ascii="Times New Roman" w:hAnsi="Times New Roman"/>
                <w:b w:val="0"/>
                <w:bCs w:val="0"/>
                <w:color w:val="auto"/>
                <w:sz w:val="24"/>
                <w:szCs w:val="24"/>
              </w:rPr>
              <w:t>，分析认为本项目属于第</w:t>
            </w:r>
            <w:r>
              <w:rPr>
                <w:rFonts w:hint="eastAsia" w:ascii="Times New Roman" w:hAnsi="Times New Roman"/>
                <w:b w:val="0"/>
                <w:bCs w:val="0"/>
                <w:color w:val="auto"/>
                <w:sz w:val="24"/>
                <w:szCs w:val="24"/>
                <w:lang w:val="en-US" w:eastAsia="zh-CN"/>
              </w:rPr>
              <w:t>一</w:t>
            </w:r>
            <w:r>
              <w:rPr>
                <w:rFonts w:ascii="Times New Roman" w:hAnsi="Times New Roman"/>
                <w:b w:val="0"/>
                <w:bCs w:val="0"/>
                <w:color w:val="auto"/>
                <w:sz w:val="24"/>
                <w:szCs w:val="24"/>
              </w:rPr>
              <w:t>类8个行业中</w:t>
            </w:r>
            <w:r>
              <w:rPr>
                <w:rFonts w:hint="eastAsia" w:ascii="Times New Roman" w:hAnsi="Times New Roman"/>
                <w:b w:val="0"/>
                <w:bCs w:val="0"/>
                <w:color w:val="auto"/>
                <w:sz w:val="24"/>
                <w:szCs w:val="24"/>
                <w:lang w:eastAsia="zh-CN"/>
              </w:rPr>
              <w:t>“</w:t>
            </w:r>
            <w:r>
              <w:rPr>
                <w:rFonts w:hint="eastAsia"/>
                <w:b w:val="0"/>
                <w:bCs w:val="0"/>
                <w:color w:val="auto"/>
                <w:sz w:val="24"/>
                <w:szCs w:val="24"/>
                <w:lang w:val="en-US" w:eastAsia="zh-CN"/>
              </w:rPr>
              <w:t>建材行业</w:t>
            </w:r>
            <w:r>
              <w:rPr>
                <w:rFonts w:hint="eastAsia" w:ascii="Times New Roman" w:hAnsi="Times New Roman"/>
                <w:b w:val="0"/>
                <w:bCs w:val="0"/>
                <w:color w:val="auto"/>
                <w:sz w:val="24"/>
                <w:szCs w:val="24"/>
                <w:lang w:eastAsia="zh-CN"/>
              </w:rPr>
              <w:t>”，</w:t>
            </w:r>
            <w:r>
              <w:rPr>
                <w:rFonts w:hint="eastAsia" w:ascii="Times New Roman" w:hAnsi="Times New Roman"/>
                <w:b w:val="0"/>
                <w:bCs w:val="0"/>
                <w:color w:val="auto"/>
                <w:sz w:val="24"/>
                <w:szCs w:val="24"/>
                <w:lang w:val="en-US" w:eastAsia="zh-CN"/>
              </w:rPr>
              <w:t>需进行综合能耗计算</w:t>
            </w:r>
            <w:r>
              <w:rPr>
                <w:rFonts w:ascii="Times New Roman" w:hAnsi="Times New Roman"/>
                <w:b w:val="0"/>
                <w:bCs w:val="0"/>
                <w:color w:val="auto"/>
                <w:sz w:val="24"/>
                <w:szCs w:val="24"/>
              </w:rPr>
              <w:t>。</w:t>
            </w:r>
          </w:p>
          <w:p w14:paraId="2CC92F4C">
            <w:pPr>
              <w:snapToGrid w:val="0"/>
              <w:spacing w:line="360" w:lineRule="auto"/>
              <w:ind w:firstLine="480" w:firstLineChars="200"/>
              <w:rPr>
                <w:rFonts w:hint="eastAsia"/>
                <w:b w:val="0"/>
                <w:bCs w:val="0"/>
                <w:snapToGrid w:val="0"/>
                <w:color w:val="auto"/>
                <w:kern w:val="0"/>
                <w:sz w:val="24"/>
                <w:szCs w:val="24"/>
                <w:highlight w:val="none"/>
                <w:u w:val="none"/>
              </w:rPr>
            </w:pPr>
            <w:r>
              <w:rPr>
                <w:rFonts w:hint="eastAsia"/>
                <w:b w:val="0"/>
                <w:bCs w:val="0"/>
                <w:snapToGrid w:val="0"/>
                <w:color w:val="auto"/>
                <w:kern w:val="0"/>
                <w:sz w:val="24"/>
                <w:szCs w:val="24"/>
                <w:highlight w:val="none"/>
                <w:u w:val="none"/>
              </w:rPr>
              <w:t>根据《综合能耗计算通则》（GB/T2589-2020）可知，综合能耗计算公式：</w:t>
            </w:r>
          </w:p>
          <w:p w14:paraId="6C4FB4C6">
            <w:pPr>
              <w:snapToGrid w:val="0"/>
              <w:spacing w:line="360" w:lineRule="auto"/>
              <w:ind w:firstLine="480" w:firstLineChars="200"/>
              <w:rPr>
                <w:rFonts w:hint="eastAsia"/>
                <w:b w:val="0"/>
                <w:bCs w:val="0"/>
                <w:snapToGrid w:val="0"/>
                <w:color w:val="auto"/>
                <w:kern w:val="0"/>
                <w:sz w:val="24"/>
                <w:szCs w:val="24"/>
                <w:highlight w:val="none"/>
                <w:u w:val="none"/>
              </w:rPr>
            </w:pPr>
            <w:r>
              <w:rPr>
                <w:rFonts w:hint="eastAsia"/>
                <w:b w:val="0"/>
                <w:bCs w:val="0"/>
                <w:snapToGrid w:val="0"/>
                <w:color w:val="auto"/>
                <w:kern w:val="0"/>
                <w:sz w:val="24"/>
                <w:szCs w:val="24"/>
                <w:highlight w:val="none"/>
                <w:u w:val="none"/>
              </w:rPr>
              <w:t>E=∑（Ei×k</w:t>
            </w:r>
            <w:r>
              <w:rPr>
                <w:rFonts w:hint="eastAsia"/>
                <w:b w:val="0"/>
                <w:bCs w:val="0"/>
                <w:snapToGrid w:val="0"/>
                <w:color w:val="auto"/>
                <w:kern w:val="0"/>
                <w:sz w:val="24"/>
                <w:szCs w:val="24"/>
                <w:highlight w:val="none"/>
                <w:u w:val="none"/>
                <w:vertAlign w:val="subscript"/>
              </w:rPr>
              <w:t>ⅰ</w:t>
            </w:r>
            <w:r>
              <w:rPr>
                <w:rFonts w:hint="eastAsia"/>
                <w:b w:val="0"/>
                <w:bCs w:val="0"/>
                <w:snapToGrid w:val="0"/>
                <w:color w:val="auto"/>
                <w:kern w:val="0"/>
                <w:sz w:val="24"/>
                <w:szCs w:val="24"/>
                <w:highlight w:val="none"/>
                <w:u w:val="none"/>
              </w:rPr>
              <w:t>）</w:t>
            </w:r>
          </w:p>
          <w:p w14:paraId="65075838">
            <w:pPr>
              <w:snapToGrid w:val="0"/>
              <w:spacing w:line="360" w:lineRule="auto"/>
              <w:ind w:firstLine="480" w:firstLineChars="200"/>
              <w:rPr>
                <w:rFonts w:hint="eastAsia" w:eastAsia="宋体"/>
                <w:b w:val="0"/>
                <w:bCs w:val="0"/>
                <w:snapToGrid w:val="0"/>
                <w:color w:val="auto"/>
                <w:kern w:val="0"/>
                <w:sz w:val="24"/>
                <w:szCs w:val="24"/>
                <w:highlight w:val="none"/>
                <w:u w:val="none"/>
                <w:lang w:eastAsia="zh-CN"/>
              </w:rPr>
            </w:pPr>
            <w:r>
              <w:rPr>
                <w:rFonts w:hint="eastAsia"/>
                <w:b w:val="0"/>
                <w:bCs w:val="0"/>
                <w:snapToGrid w:val="0"/>
                <w:color w:val="auto"/>
                <w:kern w:val="0"/>
                <w:sz w:val="24"/>
                <w:szCs w:val="24"/>
                <w:highlight w:val="none"/>
                <w:u w:val="none"/>
              </w:rPr>
              <w:t>其中：E一综合能耗</w:t>
            </w:r>
            <w:r>
              <w:rPr>
                <w:rFonts w:hint="eastAsia"/>
                <w:b w:val="0"/>
                <w:bCs w:val="0"/>
                <w:snapToGrid w:val="0"/>
                <w:color w:val="auto"/>
                <w:kern w:val="0"/>
                <w:sz w:val="24"/>
                <w:szCs w:val="24"/>
                <w:highlight w:val="none"/>
                <w:u w:val="none"/>
                <w:lang w:eastAsia="zh-CN"/>
              </w:rPr>
              <w:t>；</w:t>
            </w:r>
          </w:p>
          <w:p w14:paraId="4C17495F">
            <w:pPr>
              <w:snapToGrid w:val="0"/>
              <w:spacing w:line="360" w:lineRule="auto"/>
              <w:ind w:firstLine="480" w:firstLineChars="200"/>
              <w:rPr>
                <w:rFonts w:hint="eastAsia"/>
                <w:b w:val="0"/>
                <w:bCs w:val="0"/>
                <w:snapToGrid w:val="0"/>
                <w:color w:val="auto"/>
                <w:kern w:val="0"/>
                <w:sz w:val="24"/>
                <w:szCs w:val="24"/>
                <w:highlight w:val="none"/>
                <w:u w:val="none"/>
              </w:rPr>
            </w:pPr>
            <w:r>
              <w:rPr>
                <w:rFonts w:hint="eastAsia"/>
                <w:b w:val="0"/>
                <w:bCs w:val="0"/>
                <w:snapToGrid w:val="0"/>
                <w:color w:val="auto"/>
                <w:kern w:val="0"/>
                <w:sz w:val="24"/>
                <w:szCs w:val="24"/>
                <w:highlight w:val="none"/>
                <w:u w:val="none"/>
              </w:rPr>
              <w:t>n一消耗的能源种类数</w:t>
            </w:r>
            <w:r>
              <w:rPr>
                <w:rFonts w:hint="eastAsia"/>
                <w:b w:val="0"/>
                <w:bCs w:val="0"/>
                <w:snapToGrid w:val="0"/>
                <w:color w:val="auto"/>
                <w:kern w:val="0"/>
                <w:sz w:val="24"/>
                <w:szCs w:val="24"/>
                <w:highlight w:val="none"/>
                <w:u w:val="none"/>
                <w:lang w:eastAsia="zh-CN"/>
              </w:rPr>
              <w:t>；</w:t>
            </w:r>
          </w:p>
          <w:p w14:paraId="44A97AEA">
            <w:pPr>
              <w:snapToGrid w:val="0"/>
              <w:spacing w:line="360" w:lineRule="auto"/>
              <w:ind w:firstLine="480" w:firstLineChars="200"/>
              <w:rPr>
                <w:rFonts w:hint="eastAsia"/>
                <w:b w:val="0"/>
                <w:bCs w:val="0"/>
                <w:snapToGrid w:val="0"/>
                <w:color w:val="auto"/>
                <w:kern w:val="0"/>
                <w:sz w:val="24"/>
                <w:szCs w:val="24"/>
                <w:highlight w:val="none"/>
                <w:u w:val="none"/>
              </w:rPr>
            </w:pPr>
            <w:r>
              <w:rPr>
                <w:rFonts w:hint="eastAsia"/>
                <w:b w:val="0"/>
                <w:bCs w:val="0"/>
                <w:snapToGrid w:val="0"/>
                <w:color w:val="auto"/>
                <w:kern w:val="0"/>
                <w:sz w:val="24"/>
                <w:szCs w:val="24"/>
                <w:highlight w:val="none"/>
                <w:u w:val="none"/>
              </w:rPr>
              <w:t>E一生产和/或服务活动中实际消耗的第ⅰ种能源量（含耗能</w:t>
            </w:r>
            <w:r>
              <w:rPr>
                <w:rFonts w:hint="eastAsia"/>
                <w:b w:val="0"/>
                <w:bCs w:val="0"/>
                <w:snapToGrid w:val="0"/>
                <w:color w:val="auto"/>
                <w:kern w:val="0"/>
                <w:sz w:val="24"/>
                <w:szCs w:val="24"/>
                <w:highlight w:val="none"/>
                <w:u w:val="none"/>
                <w:lang w:val="en-US" w:eastAsia="zh-CN"/>
              </w:rPr>
              <w:t>工</w:t>
            </w:r>
            <w:r>
              <w:rPr>
                <w:rFonts w:hint="eastAsia"/>
                <w:b w:val="0"/>
                <w:bCs w:val="0"/>
                <w:snapToGrid w:val="0"/>
                <w:color w:val="auto"/>
                <w:kern w:val="0"/>
                <w:sz w:val="24"/>
                <w:szCs w:val="24"/>
                <w:highlight w:val="none"/>
                <w:u w:val="none"/>
              </w:rPr>
              <w:t>质消耗的能源量）</w:t>
            </w:r>
            <w:r>
              <w:rPr>
                <w:rFonts w:hint="eastAsia"/>
                <w:b w:val="0"/>
                <w:bCs w:val="0"/>
                <w:snapToGrid w:val="0"/>
                <w:color w:val="auto"/>
                <w:kern w:val="0"/>
                <w:sz w:val="24"/>
                <w:szCs w:val="24"/>
                <w:highlight w:val="none"/>
                <w:u w:val="none"/>
                <w:lang w:eastAsia="zh-CN"/>
              </w:rPr>
              <w:t>；</w:t>
            </w:r>
          </w:p>
          <w:p w14:paraId="214DCAC2">
            <w:pPr>
              <w:snapToGrid w:val="0"/>
              <w:spacing w:line="360" w:lineRule="auto"/>
              <w:ind w:firstLine="480" w:firstLineChars="200"/>
              <w:rPr>
                <w:rFonts w:hint="default" w:eastAsia="宋体"/>
                <w:b w:val="0"/>
                <w:bCs w:val="0"/>
                <w:snapToGrid w:val="0"/>
                <w:color w:val="auto"/>
                <w:kern w:val="0"/>
                <w:sz w:val="24"/>
                <w:szCs w:val="24"/>
                <w:highlight w:val="none"/>
                <w:u w:val="none"/>
                <w:lang w:val="en-US" w:eastAsia="zh-CN"/>
              </w:rPr>
            </w:pPr>
            <w:r>
              <w:rPr>
                <w:rFonts w:hint="eastAsia"/>
                <w:b w:val="0"/>
                <w:bCs w:val="0"/>
                <w:snapToGrid w:val="0"/>
                <w:color w:val="auto"/>
                <w:kern w:val="0"/>
                <w:sz w:val="24"/>
                <w:szCs w:val="24"/>
                <w:highlight w:val="none"/>
                <w:u w:val="none"/>
              </w:rPr>
              <w:t>k</w:t>
            </w:r>
            <w:r>
              <w:rPr>
                <w:rFonts w:hint="eastAsia"/>
                <w:b w:val="0"/>
                <w:bCs w:val="0"/>
                <w:snapToGrid w:val="0"/>
                <w:color w:val="auto"/>
                <w:kern w:val="0"/>
                <w:sz w:val="24"/>
                <w:szCs w:val="24"/>
                <w:highlight w:val="none"/>
                <w:u w:val="none"/>
                <w:vertAlign w:val="subscript"/>
              </w:rPr>
              <w:t>ⅰ</w:t>
            </w:r>
            <w:r>
              <w:rPr>
                <w:rFonts w:hint="eastAsia"/>
                <w:b w:val="0"/>
                <w:bCs w:val="0"/>
                <w:snapToGrid w:val="0"/>
                <w:color w:val="auto"/>
                <w:kern w:val="0"/>
                <w:sz w:val="24"/>
                <w:szCs w:val="24"/>
                <w:highlight w:val="none"/>
                <w:u w:val="none"/>
              </w:rPr>
              <w:t>一第ⅰ种能源的折标准煤系数。</w:t>
            </w:r>
            <w:r>
              <w:rPr>
                <w:rFonts w:hint="eastAsia"/>
                <w:b w:val="0"/>
                <w:bCs w:val="0"/>
                <w:snapToGrid w:val="0"/>
                <w:color w:val="auto"/>
                <w:kern w:val="0"/>
                <w:sz w:val="24"/>
                <w:szCs w:val="24"/>
                <w:highlight w:val="none"/>
                <w:u w:val="none"/>
                <w:lang w:val="en-US" w:eastAsia="zh-CN"/>
              </w:rPr>
              <w:t>其中水为</w:t>
            </w:r>
            <w:r>
              <w:rPr>
                <w:rFonts w:hint="default" w:ascii="Times New Roman" w:hAnsi="Times New Roman" w:eastAsia="宋体" w:cs="Times New Roman"/>
                <w:b w:val="0"/>
                <w:bCs w:val="0"/>
                <w:color w:val="auto"/>
                <w:sz w:val="24"/>
                <w:szCs w:val="24"/>
                <w:highlight w:val="none"/>
                <w:u w:val="none"/>
              </w:rPr>
              <w:t>0.2571</w:t>
            </w:r>
            <w:bookmarkStart w:id="28" w:name="OLE_LINK5"/>
            <w:r>
              <w:rPr>
                <w:rFonts w:hint="eastAsia" w:ascii="Times New Roman" w:hAnsi="Times New Roman" w:eastAsia="宋体" w:cs="Times New Roman"/>
                <w:b w:val="0"/>
                <w:bCs w:val="0"/>
                <w:color w:val="auto"/>
                <w:sz w:val="24"/>
                <w:szCs w:val="24"/>
                <w:highlight w:val="none"/>
                <w:u w:val="none"/>
                <w:lang w:val="en-US" w:eastAsia="zh-CN"/>
              </w:rPr>
              <w:t>kgce</w:t>
            </w:r>
            <w:bookmarkEnd w:id="28"/>
            <w:r>
              <w:rPr>
                <w:rFonts w:hint="eastAsia" w:ascii="Times New Roman" w:hAnsi="Times New Roman" w:eastAsia="宋体" w:cs="Times New Roman"/>
                <w:b w:val="0"/>
                <w:bCs w:val="0"/>
                <w:color w:val="auto"/>
                <w:sz w:val="24"/>
                <w:szCs w:val="24"/>
                <w:highlight w:val="none"/>
                <w:u w:val="none"/>
                <w:lang w:val="en-US" w:eastAsia="zh-CN"/>
              </w:rPr>
              <w:t>/t、电为0.1229kgce/（kw.h）</w:t>
            </w:r>
          </w:p>
          <w:p w14:paraId="6112C34D">
            <w:pPr>
              <w:snapToGrid w:val="0"/>
              <w:spacing w:line="360" w:lineRule="auto"/>
              <w:ind w:firstLine="480" w:firstLineChars="200"/>
              <w:rPr>
                <w:rFonts w:hint="eastAsia"/>
                <w:b w:val="0"/>
                <w:bCs w:val="0"/>
                <w:snapToGrid w:val="0"/>
                <w:color w:val="auto"/>
                <w:kern w:val="0"/>
                <w:sz w:val="24"/>
                <w:szCs w:val="24"/>
                <w:highlight w:val="none"/>
                <w:u w:val="none"/>
              </w:rPr>
            </w:pPr>
            <w:r>
              <w:rPr>
                <w:rFonts w:hint="eastAsia"/>
                <w:b w:val="0"/>
                <w:bCs w:val="0"/>
                <w:snapToGrid w:val="0"/>
                <w:color w:val="auto"/>
                <w:kern w:val="0"/>
                <w:sz w:val="24"/>
                <w:szCs w:val="24"/>
                <w:highlight w:val="none"/>
                <w:u w:val="none"/>
                <w:lang w:val="en-US" w:eastAsia="zh-CN"/>
              </w:rPr>
              <w:t>经企业核算，</w:t>
            </w:r>
            <w:r>
              <w:rPr>
                <w:rFonts w:hint="eastAsia"/>
                <w:b w:val="0"/>
                <w:bCs w:val="0"/>
                <w:snapToGrid w:val="0"/>
                <w:color w:val="auto"/>
                <w:kern w:val="0"/>
                <w:sz w:val="24"/>
                <w:szCs w:val="24"/>
                <w:highlight w:val="none"/>
                <w:u w:val="none"/>
              </w:rPr>
              <w:t>本</w:t>
            </w:r>
            <w:r>
              <w:rPr>
                <w:rFonts w:hint="eastAsia"/>
                <w:b w:val="0"/>
                <w:bCs w:val="0"/>
                <w:snapToGrid w:val="0"/>
                <w:color w:val="auto"/>
                <w:kern w:val="0"/>
                <w:sz w:val="24"/>
                <w:szCs w:val="24"/>
                <w:highlight w:val="none"/>
                <w:u w:val="none"/>
                <w:lang w:val="en-US" w:eastAsia="zh-CN"/>
              </w:rPr>
              <w:t>项目</w:t>
            </w:r>
            <w:r>
              <w:rPr>
                <w:rFonts w:hint="eastAsia"/>
                <w:b w:val="0"/>
                <w:bCs w:val="0"/>
                <w:snapToGrid w:val="0"/>
                <w:color w:val="auto"/>
                <w:kern w:val="0"/>
                <w:sz w:val="24"/>
                <w:szCs w:val="24"/>
                <w:highlight w:val="none"/>
                <w:u w:val="none"/>
              </w:rPr>
              <w:t>年使用电能为</w:t>
            </w:r>
            <w:r>
              <w:rPr>
                <w:rFonts w:hint="eastAsia"/>
                <w:b w:val="0"/>
                <w:bCs w:val="0"/>
                <w:snapToGrid w:val="0"/>
                <w:color w:val="auto"/>
                <w:kern w:val="0"/>
                <w:sz w:val="24"/>
                <w:szCs w:val="24"/>
                <w:highlight w:val="none"/>
                <w:u w:val="none"/>
                <w:lang w:val="en-US" w:eastAsia="zh-CN"/>
              </w:rPr>
              <w:t>5000</w:t>
            </w:r>
            <w:r>
              <w:rPr>
                <w:rFonts w:hint="eastAsia"/>
                <w:b w:val="0"/>
                <w:bCs w:val="0"/>
                <w:snapToGrid w:val="0"/>
                <w:color w:val="auto"/>
                <w:kern w:val="0"/>
                <w:sz w:val="24"/>
                <w:szCs w:val="24"/>
                <w:highlight w:val="none"/>
                <w:u w:val="none"/>
              </w:rPr>
              <w:t>万k</w:t>
            </w:r>
            <w:r>
              <w:rPr>
                <w:rFonts w:hint="eastAsia"/>
                <w:b w:val="0"/>
                <w:bCs w:val="0"/>
                <w:snapToGrid w:val="0"/>
                <w:color w:val="auto"/>
                <w:kern w:val="0"/>
                <w:sz w:val="24"/>
                <w:szCs w:val="24"/>
                <w:highlight w:val="none"/>
                <w:u w:val="none"/>
                <w:lang w:val="en-US" w:eastAsia="zh-CN"/>
              </w:rPr>
              <w:t>w</w:t>
            </w:r>
            <w:r>
              <w:rPr>
                <w:rFonts w:hint="eastAsia"/>
                <w:b w:val="0"/>
                <w:bCs w:val="0"/>
                <w:snapToGrid w:val="0"/>
                <w:color w:val="auto"/>
                <w:kern w:val="0"/>
                <w:sz w:val="24"/>
                <w:szCs w:val="24"/>
                <w:highlight w:val="none"/>
                <w:u w:val="none"/>
              </w:rPr>
              <w:t>h，年用水量为</w:t>
            </w:r>
            <w:r>
              <w:rPr>
                <w:rFonts w:hint="eastAsia"/>
                <w:b w:val="0"/>
                <w:bCs w:val="0"/>
                <w:snapToGrid w:val="0"/>
                <w:color w:val="auto"/>
                <w:kern w:val="0"/>
                <w:sz w:val="24"/>
                <w:szCs w:val="24"/>
                <w:highlight w:val="none"/>
                <w:u w:val="none"/>
                <w:lang w:val="en-US" w:eastAsia="zh-CN"/>
              </w:rPr>
              <w:t>3060</w:t>
            </w:r>
            <w:r>
              <w:rPr>
                <w:rFonts w:hint="eastAsia"/>
                <w:b w:val="0"/>
                <w:bCs w:val="0"/>
                <w:snapToGrid w:val="0"/>
                <w:color w:val="auto"/>
                <w:kern w:val="0"/>
                <w:sz w:val="24"/>
                <w:szCs w:val="24"/>
                <w:highlight w:val="none"/>
                <w:u w:val="none"/>
              </w:rPr>
              <w:t>m</w:t>
            </w:r>
            <w:r>
              <w:rPr>
                <w:rFonts w:hint="eastAsia"/>
                <w:b w:val="0"/>
                <w:bCs w:val="0"/>
                <w:snapToGrid w:val="0"/>
                <w:color w:val="auto"/>
                <w:kern w:val="0"/>
                <w:sz w:val="24"/>
                <w:szCs w:val="24"/>
                <w:highlight w:val="none"/>
                <w:u w:val="none"/>
                <w:vertAlign w:val="superscript"/>
              </w:rPr>
              <w:t>3</w:t>
            </w:r>
            <w:r>
              <w:rPr>
                <w:rFonts w:hint="eastAsia"/>
                <w:b w:val="0"/>
                <w:bCs w:val="0"/>
                <w:snapToGrid w:val="0"/>
                <w:color w:val="auto"/>
                <w:kern w:val="0"/>
                <w:sz w:val="24"/>
                <w:szCs w:val="24"/>
                <w:highlight w:val="none"/>
                <w:u w:val="none"/>
              </w:rPr>
              <w:t>。</w:t>
            </w:r>
            <w:r>
              <w:rPr>
                <w:rFonts w:hint="default" w:ascii="Times New Roman" w:hAnsi="Times New Roman" w:eastAsia="宋体" w:cs="Times New Roman"/>
                <w:b w:val="0"/>
                <w:bCs w:val="0"/>
                <w:color w:val="auto"/>
                <w:sz w:val="24"/>
                <w:szCs w:val="24"/>
                <w:highlight w:val="none"/>
                <w:u w:val="none"/>
              </w:rPr>
              <w:t>折算能耗为</w:t>
            </w:r>
            <w:r>
              <w:rPr>
                <w:rFonts w:hint="eastAsia" w:cs="Times New Roman"/>
                <w:b w:val="0"/>
                <w:bCs w:val="0"/>
                <w:color w:val="auto"/>
                <w:sz w:val="24"/>
                <w:szCs w:val="24"/>
                <w:highlight w:val="none"/>
                <w:u w:val="none"/>
                <w:lang w:val="en-US" w:eastAsia="zh-CN"/>
              </w:rPr>
              <w:t>6146</w:t>
            </w:r>
            <w:r>
              <w:rPr>
                <w:rFonts w:hint="default" w:ascii="Times New Roman" w:hAnsi="Times New Roman" w:eastAsia="宋体" w:cs="Times New Roman"/>
                <w:b w:val="0"/>
                <w:bCs w:val="0"/>
                <w:color w:val="auto"/>
                <w:sz w:val="24"/>
                <w:szCs w:val="24"/>
                <w:highlight w:val="none"/>
                <w:u w:val="none"/>
              </w:rPr>
              <w:t>吨标准煤，</w:t>
            </w:r>
            <w:r>
              <w:rPr>
                <w:rFonts w:hint="eastAsia" w:ascii="Times New Roman" w:hAnsi="Times New Roman" w:eastAsia="宋体" w:cs="Times New Roman"/>
                <w:b w:val="0"/>
                <w:bCs w:val="0"/>
                <w:color w:val="auto"/>
                <w:sz w:val="24"/>
                <w:szCs w:val="24"/>
                <w:highlight w:val="none"/>
                <w:u w:val="none"/>
                <w:lang w:val="en-US" w:eastAsia="zh-CN"/>
              </w:rPr>
              <w:t>远</w:t>
            </w:r>
            <w:r>
              <w:rPr>
                <w:rFonts w:hint="default" w:ascii="Times New Roman" w:hAnsi="Times New Roman" w:eastAsia="宋体" w:cs="Times New Roman"/>
                <w:b w:val="0"/>
                <w:bCs w:val="0"/>
                <w:color w:val="auto"/>
                <w:sz w:val="24"/>
                <w:szCs w:val="24"/>
                <w:highlight w:val="none"/>
                <w:u w:val="none"/>
              </w:rPr>
              <w:t>低于5万吨，因此该项目不属于《关于建立</w:t>
            </w:r>
            <w:r>
              <w:rPr>
                <w:rFonts w:hint="eastAsia" w:ascii="Times New Roman" w:hAnsi="Times New Roman" w:eastAsia="宋体" w:cs="Times New Roman"/>
                <w:b w:val="0"/>
                <w:bCs w:val="0"/>
                <w:color w:val="auto"/>
                <w:sz w:val="24"/>
                <w:szCs w:val="24"/>
                <w:highlight w:val="none"/>
                <w:u w:val="none"/>
                <w:lang w:eastAsia="zh-CN"/>
              </w:rPr>
              <w:t>“</w:t>
            </w:r>
            <w:r>
              <w:rPr>
                <w:rFonts w:hint="default" w:ascii="Times New Roman" w:hAnsi="Times New Roman" w:eastAsia="宋体" w:cs="Times New Roman"/>
                <w:b w:val="0"/>
                <w:bCs w:val="0"/>
                <w:color w:val="auto"/>
                <w:sz w:val="24"/>
                <w:szCs w:val="24"/>
                <w:highlight w:val="none"/>
                <w:u w:val="none"/>
              </w:rPr>
              <w:t>两高</w:t>
            </w:r>
            <w:r>
              <w:rPr>
                <w:rFonts w:hint="eastAsia" w:ascii="Times New Roman" w:hAnsi="Times New Roman" w:eastAsia="宋体" w:cs="Times New Roman"/>
                <w:b w:val="0"/>
                <w:bCs w:val="0"/>
                <w:color w:val="auto"/>
                <w:sz w:val="24"/>
                <w:szCs w:val="24"/>
                <w:highlight w:val="none"/>
                <w:u w:val="none"/>
                <w:lang w:eastAsia="zh-CN"/>
              </w:rPr>
              <w:t>”</w:t>
            </w:r>
            <w:r>
              <w:rPr>
                <w:rFonts w:hint="default" w:ascii="Times New Roman" w:hAnsi="Times New Roman" w:eastAsia="宋体" w:cs="Times New Roman"/>
                <w:b w:val="0"/>
                <w:bCs w:val="0"/>
                <w:color w:val="auto"/>
                <w:sz w:val="24"/>
                <w:szCs w:val="24"/>
                <w:highlight w:val="none"/>
                <w:u w:val="none"/>
              </w:rPr>
              <w:t>项目会商联审机制的通知》（豫发改环资【2021】977号）中</w:t>
            </w:r>
            <w:r>
              <w:rPr>
                <w:rFonts w:hint="eastAsia" w:ascii="Times New Roman" w:hAnsi="Times New Roman" w:eastAsia="宋体" w:cs="Times New Roman"/>
                <w:b w:val="0"/>
                <w:bCs w:val="0"/>
                <w:color w:val="auto"/>
                <w:sz w:val="24"/>
                <w:szCs w:val="24"/>
                <w:highlight w:val="none"/>
                <w:u w:val="none"/>
                <w:lang w:eastAsia="zh-CN"/>
              </w:rPr>
              <w:t>“</w:t>
            </w:r>
            <w:r>
              <w:rPr>
                <w:rFonts w:hint="default" w:ascii="Times New Roman" w:hAnsi="Times New Roman" w:eastAsia="宋体" w:cs="Times New Roman"/>
                <w:b w:val="0"/>
                <w:bCs w:val="0"/>
                <w:color w:val="auto"/>
                <w:sz w:val="24"/>
                <w:szCs w:val="24"/>
                <w:highlight w:val="none"/>
                <w:u w:val="none"/>
              </w:rPr>
              <w:t>两高</w:t>
            </w:r>
            <w:r>
              <w:rPr>
                <w:rFonts w:hint="eastAsia" w:ascii="Times New Roman" w:hAnsi="Times New Roman" w:eastAsia="宋体" w:cs="Times New Roman"/>
                <w:b w:val="0"/>
                <w:bCs w:val="0"/>
                <w:color w:val="auto"/>
                <w:sz w:val="24"/>
                <w:szCs w:val="24"/>
                <w:highlight w:val="none"/>
                <w:u w:val="none"/>
                <w:lang w:eastAsia="zh-CN"/>
              </w:rPr>
              <w:t>”</w:t>
            </w:r>
            <w:r>
              <w:rPr>
                <w:rFonts w:hint="default" w:ascii="Times New Roman" w:hAnsi="Times New Roman" w:eastAsia="宋体" w:cs="Times New Roman"/>
                <w:b w:val="0"/>
                <w:bCs w:val="0"/>
                <w:color w:val="auto"/>
                <w:sz w:val="24"/>
                <w:szCs w:val="24"/>
                <w:highlight w:val="none"/>
                <w:u w:val="none"/>
              </w:rPr>
              <w:t>项目。</w:t>
            </w:r>
          </w:p>
          <w:p w14:paraId="136ECF75">
            <w:pPr>
              <w:pStyle w:val="34"/>
              <w:adjustRightInd w:val="0"/>
              <w:snapToGrid w:val="0"/>
              <w:spacing w:before="0" w:beforeAutospacing="0" w:after="0" w:afterAutospacing="0" w:line="360" w:lineRule="auto"/>
              <w:ind w:firstLine="480" w:firstLineChars="200"/>
              <w:rPr>
                <w:rFonts w:ascii="Times New Roman" w:hAnsi="Times New Roman"/>
                <w:b w:val="0"/>
                <w:bCs w:val="0"/>
                <w:color w:val="auto"/>
              </w:rPr>
            </w:pPr>
            <w:r>
              <w:rPr>
                <w:rFonts w:hint="eastAsia" w:ascii="Times New Roman" w:hAnsi="Times New Roman"/>
                <w:b w:val="0"/>
                <w:bCs w:val="0"/>
                <w:color w:val="auto"/>
                <w:lang w:eastAsia="zh-CN"/>
              </w:rPr>
              <w:t>“</w:t>
            </w:r>
            <w:r>
              <w:rPr>
                <w:rFonts w:ascii="Times New Roman" w:hAnsi="Times New Roman"/>
                <w:b w:val="0"/>
                <w:bCs w:val="0"/>
                <w:color w:val="auto"/>
              </w:rPr>
              <w:t>两高</w:t>
            </w:r>
            <w:r>
              <w:rPr>
                <w:rFonts w:hint="eastAsia" w:ascii="Times New Roman" w:hAnsi="Times New Roman"/>
                <w:b w:val="0"/>
                <w:bCs w:val="0"/>
                <w:color w:val="auto"/>
                <w:lang w:eastAsia="zh-CN"/>
              </w:rPr>
              <w:t>”</w:t>
            </w:r>
            <w:r>
              <w:rPr>
                <w:rFonts w:ascii="Times New Roman" w:hAnsi="Times New Roman"/>
                <w:b w:val="0"/>
                <w:bCs w:val="0"/>
                <w:color w:val="auto"/>
              </w:rPr>
              <w:t>项目辨识分析内容见表</w:t>
            </w:r>
            <w:r>
              <w:rPr>
                <w:rFonts w:hint="eastAsia" w:ascii="Times New Roman" w:hAnsi="Times New Roman"/>
                <w:b w:val="0"/>
                <w:bCs w:val="0"/>
                <w:color w:val="auto"/>
              </w:rPr>
              <w:t>1</w:t>
            </w:r>
            <w:r>
              <w:rPr>
                <w:rFonts w:hint="eastAsia" w:ascii="Times New Roman" w:hAnsi="Times New Roman"/>
                <w:b w:val="0"/>
                <w:bCs w:val="0"/>
                <w:color w:val="auto"/>
                <w:lang w:val="en-US" w:eastAsia="zh-CN"/>
              </w:rPr>
              <w:t>-12</w:t>
            </w:r>
            <w:r>
              <w:rPr>
                <w:rFonts w:ascii="Times New Roman" w:hAnsi="Times New Roman"/>
                <w:b w:val="0"/>
                <w:bCs w:val="0"/>
                <w:color w:val="auto"/>
              </w:rPr>
              <w:t>。</w:t>
            </w:r>
          </w:p>
          <w:p w14:paraId="41C30A8B">
            <w:pPr>
              <w:pStyle w:val="34"/>
              <w:spacing w:before="0" w:beforeAutospacing="0" w:after="0" w:afterAutospacing="0" w:line="360" w:lineRule="auto"/>
              <w:jc w:val="center"/>
              <w:rPr>
                <w:rFonts w:ascii="Times New Roman" w:hAnsi="Times New Roman"/>
                <w:b/>
                <w:bCs/>
                <w:color w:val="auto"/>
              </w:rPr>
            </w:pPr>
            <w:r>
              <w:rPr>
                <w:rFonts w:ascii="Times New Roman" w:hAnsi="Times New Roman"/>
                <w:b/>
                <w:bCs/>
                <w:color w:val="auto"/>
              </w:rPr>
              <w:t>表1</w:t>
            </w:r>
            <w:r>
              <w:rPr>
                <w:rFonts w:hint="eastAsia" w:ascii="Times New Roman" w:hAnsi="Times New Roman"/>
                <w:b/>
                <w:bCs/>
                <w:color w:val="auto"/>
                <w:lang w:val="en-US" w:eastAsia="zh-CN"/>
              </w:rPr>
              <w:t xml:space="preserve">-12 </w:t>
            </w:r>
            <w:r>
              <w:rPr>
                <w:rFonts w:hint="eastAsia" w:ascii="Times New Roman" w:hAnsi="Times New Roman"/>
                <w:b/>
                <w:bCs/>
                <w:color w:val="auto"/>
              </w:rPr>
              <w:t xml:space="preserve">  </w:t>
            </w:r>
            <w:r>
              <w:rPr>
                <w:rFonts w:hint="eastAsia" w:ascii="Times New Roman" w:hAnsi="Times New Roman"/>
                <w:b/>
                <w:bCs/>
                <w:color w:val="auto"/>
                <w:lang w:eastAsia="zh-CN"/>
              </w:rPr>
              <w:t>“</w:t>
            </w:r>
            <w:r>
              <w:rPr>
                <w:rFonts w:ascii="Times New Roman" w:hAnsi="Times New Roman"/>
                <w:b/>
                <w:bCs/>
                <w:color w:val="auto"/>
              </w:rPr>
              <w:t>两高</w:t>
            </w:r>
            <w:r>
              <w:rPr>
                <w:rFonts w:hint="eastAsia" w:ascii="Times New Roman" w:hAnsi="Times New Roman"/>
                <w:b/>
                <w:bCs/>
                <w:color w:val="auto"/>
                <w:lang w:eastAsia="zh-CN"/>
              </w:rPr>
              <w:t>”</w:t>
            </w:r>
            <w:r>
              <w:rPr>
                <w:rFonts w:ascii="Times New Roman" w:hAnsi="Times New Roman"/>
                <w:b/>
                <w:bCs/>
                <w:color w:val="auto"/>
              </w:rPr>
              <w:t>项目辨识分析</w:t>
            </w:r>
          </w:p>
          <w:tbl>
            <w:tblPr>
              <w:tblStyle w:val="3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8"/>
              <w:gridCol w:w="3990"/>
              <w:gridCol w:w="1293"/>
            </w:tblGrid>
            <w:tr w14:paraId="3D5E4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pct"/>
                  <w:noWrap w:val="0"/>
                  <w:vAlign w:val="center"/>
                </w:tcPr>
                <w:p w14:paraId="7910ABFC">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文件名称</w:t>
                  </w:r>
                </w:p>
              </w:tc>
              <w:tc>
                <w:tcPr>
                  <w:tcW w:w="2881" w:type="pct"/>
                  <w:noWrap w:val="0"/>
                  <w:vAlign w:val="center"/>
                </w:tcPr>
                <w:p w14:paraId="1BCFA63B">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文件要求内容</w:t>
                  </w:r>
                </w:p>
              </w:tc>
              <w:tc>
                <w:tcPr>
                  <w:tcW w:w="934" w:type="pct"/>
                  <w:noWrap w:val="0"/>
                  <w:vAlign w:val="center"/>
                </w:tcPr>
                <w:p w14:paraId="02512DED">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w:t>
                  </w:r>
                </w:p>
              </w:tc>
            </w:tr>
            <w:tr w14:paraId="30D4A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pct"/>
                  <w:noWrap w:val="0"/>
                  <w:vAlign w:val="center"/>
                </w:tcPr>
                <w:p w14:paraId="473B73DB">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《河南省坚决遏制</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项目盲目发展行动方案的通知》（豫政办</w:t>
                  </w:r>
                  <w:r>
                    <w:rPr>
                      <w:rFonts w:hint="eastAsia"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rPr>
                    <w:t>2021</w:t>
                  </w:r>
                  <w:r>
                    <w:rPr>
                      <w:rFonts w:hint="eastAsia"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rPr>
                    <w:t>65号）</w:t>
                  </w:r>
                </w:p>
              </w:tc>
              <w:tc>
                <w:tcPr>
                  <w:tcW w:w="2881" w:type="pct"/>
                  <w:noWrap w:val="0"/>
                  <w:vAlign w:val="center"/>
                </w:tcPr>
                <w:p w14:paraId="2F918110">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明确</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项目类别。</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项目暂以煤电、石化、化工、煤化工、钢铁、焦化、建材、有色等行业年综合能源消费量1万吨标准煤及以上的项目为重点，项目范围根据国家规定和我省实际适时调整</w:t>
                  </w:r>
                </w:p>
              </w:tc>
              <w:tc>
                <w:tcPr>
                  <w:tcW w:w="934" w:type="pct"/>
                  <w:vMerge w:val="restart"/>
                  <w:noWrap w:val="0"/>
                  <w:vAlign w:val="center"/>
                </w:tcPr>
                <w:p w14:paraId="0E5D48EB">
                  <w:pPr>
                    <w:rPr>
                      <w:rFonts w:hint="default" w:eastAsia="宋体"/>
                      <w:b w:val="0"/>
                      <w:bCs w:val="0"/>
                      <w:color w:val="auto"/>
                      <w:kern w:val="2"/>
                      <w:sz w:val="21"/>
                      <w:szCs w:val="21"/>
                      <w:lang w:val="en-US" w:eastAsia="zh-CN" w:bidi="ar-SA"/>
                    </w:rPr>
                  </w:pPr>
                  <w:r>
                    <w:rPr>
                      <w:b w:val="0"/>
                      <w:bCs w:val="0"/>
                      <w:color w:val="auto"/>
                      <w:sz w:val="21"/>
                      <w:szCs w:val="21"/>
                      <w:highlight w:val="none"/>
                    </w:rPr>
                    <w:t>本项目行业类别非金属矿物制品业</w:t>
                  </w:r>
                  <w:r>
                    <w:rPr>
                      <w:rFonts w:hint="eastAsia"/>
                      <w:b w:val="0"/>
                      <w:bCs w:val="0"/>
                      <w:color w:val="auto"/>
                      <w:sz w:val="21"/>
                      <w:szCs w:val="21"/>
                      <w:highlight w:val="none"/>
                      <w:lang w:val="en-US" w:eastAsia="zh-CN"/>
                    </w:rPr>
                    <w:t>中的玻璃制品制造</w:t>
                  </w:r>
                  <w:r>
                    <w:rPr>
                      <w:b w:val="0"/>
                      <w:bCs w:val="0"/>
                      <w:color w:val="auto"/>
                      <w:sz w:val="21"/>
                      <w:szCs w:val="21"/>
                      <w:highlight w:val="none"/>
                    </w:rPr>
                    <w:t>，属于第一类中的</w:t>
                  </w:r>
                  <w:r>
                    <w:rPr>
                      <w:rFonts w:hint="eastAsia"/>
                      <w:b w:val="0"/>
                      <w:bCs w:val="0"/>
                      <w:color w:val="auto"/>
                      <w:sz w:val="21"/>
                      <w:szCs w:val="21"/>
                      <w:highlight w:val="none"/>
                      <w:lang w:val="en-US" w:eastAsia="zh-CN"/>
                    </w:rPr>
                    <w:t>建材</w:t>
                  </w:r>
                  <w:r>
                    <w:rPr>
                      <w:b w:val="0"/>
                      <w:bCs w:val="0"/>
                      <w:color w:val="auto"/>
                      <w:sz w:val="21"/>
                      <w:szCs w:val="21"/>
                      <w:highlight w:val="none"/>
                    </w:rPr>
                    <w:t>行业</w:t>
                  </w:r>
                  <w:r>
                    <w:rPr>
                      <w:rFonts w:hint="eastAsia"/>
                      <w:b w:val="0"/>
                      <w:bCs w:val="0"/>
                      <w:color w:val="auto"/>
                      <w:sz w:val="21"/>
                      <w:szCs w:val="21"/>
                      <w:highlight w:val="none"/>
                      <w:lang w:eastAsia="zh-CN"/>
                    </w:rPr>
                    <w:t>。</w:t>
                  </w:r>
                  <w:r>
                    <w:rPr>
                      <w:b w:val="0"/>
                      <w:bCs w:val="0"/>
                      <w:color w:val="auto"/>
                      <w:sz w:val="21"/>
                      <w:szCs w:val="21"/>
                      <w:highlight w:val="none"/>
                    </w:rPr>
                    <w:t>根据核算，本项目年综合能耗为</w:t>
                  </w:r>
                  <w:r>
                    <w:rPr>
                      <w:rFonts w:hint="eastAsia"/>
                      <w:b w:val="0"/>
                      <w:bCs w:val="0"/>
                      <w:color w:val="auto"/>
                      <w:sz w:val="21"/>
                      <w:szCs w:val="21"/>
                      <w:highlight w:val="none"/>
                      <w:lang w:val="en-US" w:eastAsia="zh-CN"/>
                    </w:rPr>
                    <w:t>6146</w:t>
                  </w:r>
                  <w:r>
                    <w:rPr>
                      <w:b w:val="0"/>
                      <w:bCs w:val="0"/>
                      <w:color w:val="auto"/>
                      <w:sz w:val="21"/>
                      <w:szCs w:val="21"/>
                      <w:highlight w:val="none"/>
                    </w:rPr>
                    <w:t>吨标准煤，远小于5万吨标准煤</w:t>
                  </w:r>
                  <w:r>
                    <w:rPr>
                      <w:rFonts w:hint="eastAsia"/>
                      <w:b w:val="0"/>
                      <w:bCs w:val="0"/>
                      <w:color w:val="auto"/>
                      <w:sz w:val="21"/>
                      <w:szCs w:val="21"/>
                      <w:highlight w:val="none"/>
                      <w:lang w:eastAsia="zh-CN"/>
                    </w:rPr>
                    <w:t>，</w:t>
                  </w:r>
                  <w:r>
                    <w:rPr>
                      <w:rFonts w:hint="eastAsia"/>
                      <w:b w:val="0"/>
                      <w:bCs w:val="0"/>
                      <w:color w:val="auto"/>
                      <w:sz w:val="21"/>
                      <w:szCs w:val="21"/>
                      <w:highlight w:val="none"/>
                      <w:lang w:val="en-US" w:eastAsia="zh-CN"/>
                    </w:rPr>
                    <w:t>不属于两高项目</w:t>
                  </w:r>
                </w:p>
              </w:tc>
            </w:tr>
            <w:tr w14:paraId="6FDE3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pct"/>
                  <w:noWrap w:val="0"/>
                  <w:vAlign w:val="center"/>
                </w:tcPr>
                <w:p w14:paraId="5B487369">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《河南省生态环境厅关于加强</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项目生态环境源头防控的实施意见》（豫环文</w:t>
                  </w:r>
                  <w:r>
                    <w:rPr>
                      <w:rFonts w:hint="eastAsia"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rPr>
                    <w:t>2021]100号）</w:t>
                  </w:r>
                </w:p>
              </w:tc>
              <w:tc>
                <w:tcPr>
                  <w:tcW w:w="2881" w:type="pct"/>
                  <w:noWrap w:val="0"/>
                  <w:vAlign w:val="center"/>
                </w:tcPr>
                <w:p w14:paraId="60EE1037">
                  <w:pPr>
                    <w:jc w:val="center"/>
                    <w:rPr>
                      <w:rFonts w:hint="default" w:ascii="Times New Roman" w:hAnsi="Times New Roman" w:eastAsia="宋体" w:cs="Times New Roman"/>
                      <w:b w:val="0"/>
                      <w:bCs w:val="0"/>
                      <w:color w:val="auto"/>
                      <w:sz w:val="21"/>
                      <w:szCs w:val="21"/>
                    </w:rPr>
                  </w:pP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范围目前确定为钢铁、铁合金、氧化铝、电解铝、铝用碳素、铜铅锌硅冶炼（含原生和再生冶炼）、水泥、石灰、建筑陶瓷、砖瓦（有烧结工序的）、耐火材料（有烧结工序的）、刚玉、平板玻璃、煤电、炼化、焦化、甲醇、氮肥、醋酸、氯碱、电石、沥青防水材料等22个行业投资项目中年综合能耗1万吨标准煤以上项目。后续，国家或我省对</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项目范围如有新规定，从其规定</w:t>
                  </w:r>
                </w:p>
              </w:tc>
              <w:tc>
                <w:tcPr>
                  <w:tcW w:w="934" w:type="pct"/>
                  <w:vMerge w:val="continue"/>
                  <w:noWrap w:val="0"/>
                  <w:vAlign w:val="center"/>
                </w:tcPr>
                <w:p w14:paraId="31FF805E">
                  <w:pPr>
                    <w:jc w:val="center"/>
                    <w:rPr>
                      <w:rFonts w:hint="default" w:ascii="Times New Roman" w:hAnsi="Times New Roman" w:eastAsia="宋体" w:cs="Times New Roman"/>
                      <w:b w:val="0"/>
                      <w:bCs w:val="0"/>
                      <w:color w:val="auto"/>
                      <w:sz w:val="21"/>
                      <w:szCs w:val="21"/>
                    </w:rPr>
                  </w:pPr>
                </w:p>
              </w:tc>
            </w:tr>
            <w:tr w14:paraId="5FD30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pct"/>
                  <w:noWrap w:val="0"/>
                  <w:vAlign w:val="center"/>
                </w:tcPr>
                <w:p w14:paraId="16B13AC1">
                  <w:pP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《关于印发河南省</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两高</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项目管理目录（2023年修订）的通知》（豫发改环资</w:t>
                  </w:r>
                  <w:r>
                    <w:rPr>
                      <w:rFonts w:hint="eastAsia"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rPr>
                    <w:t>2023</w:t>
                  </w:r>
                  <w:r>
                    <w:rPr>
                      <w:rFonts w:hint="eastAsia"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rPr>
                    <w:t>38号）</w:t>
                  </w:r>
                </w:p>
              </w:tc>
              <w:tc>
                <w:tcPr>
                  <w:tcW w:w="2881" w:type="pct"/>
                  <w:noWrap w:val="0"/>
                  <w:vAlign w:val="center"/>
                </w:tcPr>
                <w:p w14:paraId="7F6EFC5C">
                  <w:pP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第一类：煤电、石化、化工、煤化工、钢铁（不含短流程炼钢项目及钢铁压延加工项目）、焦化、建材（非金属矿物制品，不含耐火材料项目）、有色（不含铜、铅锌、铝、硅等有色金属再生冶炼和原生、再生有色金属压延加工项目）等8个行业年综合能耗量5万吨标准煤（等价值）及以上项目</w:t>
                  </w:r>
                </w:p>
              </w:tc>
              <w:tc>
                <w:tcPr>
                  <w:tcW w:w="934" w:type="pct"/>
                  <w:vMerge w:val="continue"/>
                  <w:noWrap w:val="0"/>
                  <w:vAlign w:val="center"/>
                </w:tcPr>
                <w:p w14:paraId="6DAB6E75">
                  <w:pPr>
                    <w:rPr>
                      <w:rFonts w:hint="default" w:ascii="Times New Roman" w:hAnsi="Times New Roman" w:eastAsia="宋体" w:cs="Times New Roman"/>
                      <w:b w:val="0"/>
                      <w:bCs w:val="0"/>
                      <w:color w:val="auto"/>
                      <w:sz w:val="21"/>
                      <w:szCs w:val="21"/>
                    </w:rPr>
                  </w:pPr>
                </w:p>
              </w:tc>
            </w:tr>
          </w:tbl>
          <w:p w14:paraId="3D712E58">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1B7A5161">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71914E2E">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26A7D8CB">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5D6455C7">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4305D2D5">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48DF4A28">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1866F90C">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6ECB1546">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60B40FAE">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6BCB8754">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1723C9CE">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555301BD">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21B7F629">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6D442078">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6E1BF5AC">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55349887">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748560FD">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35CF748A">
            <w:pPr>
              <w:pStyle w:val="21"/>
              <w:pageBreakBefore w:val="0"/>
              <w:kinsoku/>
              <w:wordWrap/>
              <w:overflowPunct/>
              <w:topLinePunct w:val="0"/>
              <w:bidi w:val="0"/>
              <w:adjustRightInd w:val="0"/>
              <w:snapToGrid w:val="0"/>
              <w:spacing w:beforeLines="0" w:afterLines="0" w:line="360" w:lineRule="auto"/>
              <w:textAlignment w:val="auto"/>
              <w:rPr>
                <w:rFonts w:hint="eastAsia" w:ascii="Times New Roman" w:hAnsi="Times New Roman" w:eastAsia="宋体" w:cs="Times New Roman"/>
                <w:b w:val="0"/>
                <w:bCs w:val="0"/>
                <w:snapToGrid w:val="0"/>
                <w:color w:val="0000FF"/>
                <w:kern w:val="0"/>
                <w:sz w:val="24"/>
                <w:szCs w:val="24"/>
                <w:highlight w:val="yellow"/>
                <w:lang w:val="en-US" w:eastAsia="zh-CN"/>
              </w:rPr>
            </w:pPr>
          </w:p>
          <w:p w14:paraId="11750C70">
            <w:pPr>
              <w:spacing w:line="360" w:lineRule="auto"/>
              <w:rPr>
                <w:rFonts w:hint="eastAsia" w:eastAsia="宋体"/>
                <w:b w:val="0"/>
                <w:bCs w:val="0"/>
                <w:color w:val="FF0000"/>
                <w:sz w:val="24"/>
                <w:lang w:eastAsia="zh-CN"/>
              </w:rPr>
            </w:pPr>
          </w:p>
        </w:tc>
      </w:tr>
    </w:tbl>
    <w:p w14:paraId="0ED1C20B">
      <w:pPr>
        <w:spacing w:line="360" w:lineRule="auto"/>
        <w:outlineLvl w:val="0"/>
        <w:rPr>
          <w:rFonts w:eastAsia="黑体"/>
          <w:b w:val="0"/>
          <w:bCs w:val="0"/>
          <w:color w:val="FF0000"/>
          <w:sz w:val="30"/>
        </w:rPr>
        <w:sectPr>
          <w:footerReference r:id="rId4"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14:paraId="061F5ABD">
      <w:pPr>
        <w:pStyle w:val="34"/>
        <w:jc w:val="center"/>
        <w:outlineLvl w:val="0"/>
        <w:rPr>
          <w:rFonts w:ascii="Times New Roman" w:hAnsi="Times New Roman" w:eastAsia="黑体"/>
          <w:b w:val="0"/>
          <w:bCs w:val="0"/>
          <w:snapToGrid w:val="0"/>
          <w:color w:val="auto"/>
          <w:sz w:val="30"/>
          <w:szCs w:val="30"/>
        </w:rPr>
      </w:pPr>
      <w:bookmarkStart w:id="29" w:name="_Toc7391"/>
      <w:r>
        <w:rPr>
          <w:rFonts w:ascii="Times New Roman" w:hAnsi="Times New Roman" w:eastAsia="黑体"/>
          <w:b w:val="0"/>
          <w:bCs w:val="0"/>
          <w:snapToGrid w:val="0"/>
          <w:color w:val="auto"/>
          <w:sz w:val="30"/>
          <w:szCs w:val="30"/>
        </w:rPr>
        <w:t>二、建设项目工程分析</w:t>
      </w:r>
      <w:bookmarkEnd w:id="29"/>
    </w:p>
    <w:tbl>
      <w:tblPr>
        <w:tblStyle w:val="3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06"/>
        <w:gridCol w:w="8454"/>
      </w:tblGrid>
      <w:tr w14:paraId="535C08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06" w:type="dxa"/>
            <w:noWrap w:val="0"/>
            <w:vAlign w:val="center"/>
          </w:tcPr>
          <w:p w14:paraId="0BE2C78B">
            <w:pPr>
              <w:pStyle w:val="34"/>
              <w:adjustRightInd w:val="0"/>
              <w:snapToGrid w:val="0"/>
              <w:spacing w:before="0" w:beforeAutospacing="0" w:after="0" w:afterAutospacing="0"/>
              <w:jc w:val="center"/>
              <w:rPr>
                <w:rFonts w:ascii="Times New Roman" w:hAnsi="Times New Roman"/>
                <w:b w:val="0"/>
                <w:bCs w:val="0"/>
                <w:color w:val="FF0000"/>
                <w:sz w:val="21"/>
                <w:szCs w:val="21"/>
              </w:rPr>
            </w:pPr>
            <w:r>
              <w:rPr>
                <w:rFonts w:ascii="Times New Roman" w:hAnsi="Times New Roman"/>
                <w:b w:val="0"/>
                <w:bCs w:val="0"/>
                <w:color w:val="auto"/>
                <w:sz w:val="21"/>
                <w:szCs w:val="21"/>
              </w:rPr>
              <w:t>建设内容</w:t>
            </w:r>
          </w:p>
        </w:tc>
        <w:tc>
          <w:tcPr>
            <w:tcW w:w="8454" w:type="dxa"/>
            <w:noWrap w:val="0"/>
            <w:vAlign w:val="top"/>
          </w:tcPr>
          <w:p w14:paraId="75A4C872">
            <w:pPr>
              <w:pStyle w:val="2"/>
              <w:rPr>
                <w:rFonts w:hint="default" w:ascii="Times New Roman" w:hAnsi="Times New Roman" w:eastAsia="宋体" w:cs="Times New Roman"/>
                <w:b/>
                <w:bCs/>
                <w:color w:val="000000"/>
                <w:lang w:val="en-US" w:eastAsia="zh-CN"/>
              </w:rPr>
            </w:pPr>
            <w:bookmarkStart w:id="30" w:name="_Toc22822"/>
            <w:bookmarkStart w:id="31" w:name="_Toc17453"/>
            <w:r>
              <w:rPr>
                <w:rFonts w:hint="default" w:ascii="Times New Roman" w:hAnsi="Times New Roman" w:eastAsia="宋体" w:cs="Times New Roman"/>
                <w:b/>
                <w:bCs/>
                <w:color w:val="000000"/>
                <w:lang w:val="en-US" w:eastAsia="zh-CN"/>
              </w:rPr>
              <w:t>1、</w:t>
            </w:r>
            <w:r>
              <w:rPr>
                <w:rFonts w:hint="eastAsia" w:ascii="Times New Roman" w:hAnsi="Times New Roman" w:eastAsia="宋体" w:cs="Times New Roman"/>
                <w:b/>
                <w:bCs/>
                <w:color w:val="000000"/>
                <w:lang w:val="en-US" w:eastAsia="zh-CN"/>
              </w:rPr>
              <w:t>项目</w:t>
            </w:r>
            <w:r>
              <w:rPr>
                <w:rFonts w:hint="default" w:ascii="Times New Roman" w:hAnsi="Times New Roman" w:eastAsia="宋体" w:cs="Times New Roman"/>
                <w:b/>
                <w:bCs/>
                <w:color w:val="000000"/>
                <w:lang w:val="en-US" w:eastAsia="zh-CN"/>
              </w:rPr>
              <w:t>概况</w:t>
            </w:r>
            <w:bookmarkEnd w:id="30"/>
            <w:bookmarkEnd w:id="31"/>
          </w:p>
          <w:p w14:paraId="63C90162">
            <w:pPr>
              <w:spacing w:line="360" w:lineRule="auto"/>
              <w:ind w:firstLine="480" w:firstLineChars="200"/>
              <w:rPr>
                <w:rFonts w:hint="eastAsia" w:cs="Times New Roman"/>
                <w:b w:val="0"/>
                <w:bCs w:val="0"/>
                <w:snapToGrid w:val="0"/>
                <w:color w:val="auto"/>
                <w:kern w:val="0"/>
                <w:sz w:val="24"/>
                <w:szCs w:val="24"/>
                <w:lang w:val="en-US" w:eastAsia="zh-CN"/>
              </w:rPr>
            </w:pPr>
            <w:r>
              <w:rPr>
                <w:rFonts w:hint="eastAsia" w:ascii="Times New Roman" w:hAnsi="Times New Roman" w:eastAsia="宋体" w:cs="Times New Roman"/>
                <w:b w:val="0"/>
                <w:bCs w:val="0"/>
                <w:snapToGrid w:val="0"/>
                <w:color w:val="auto"/>
                <w:kern w:val="0"/>
                <w:sz w:val="24"/>
                <w:szCs w:val="24"/>
                <w:lang w:val="en-US" w:eastAsia="zh-CN"/>
              </w:rPr>
              <w:t>河南中玻玻璃有限公司（以下简称“建设单位”）成立于 2012 年 8 月，位于周口市淮阳县产业集聚区工业中大道东侧，主要经营玻璃制品。现有工程为年产 30 万平方米节能 LOW-E 玻璃生产线建设项目、年产 30 万平方米安全结构玻璃加工中心技术改造项目和年产 100 万平方米超大 LOW-E 玻璃镀膜线技改项目</w:t>
            </w:r>
            <w:r>
              <w:rPr>
                <w:rFonts w:hint="eastAsia" w:cs="Times New Roman"/>
                <w:b w:val="0"/>
                <w:bCs w:val="0"/>
                <w:snapToGrid w:val="0"/>
                <w:color w:val="auto"/>
                <w:kern w:val="0"/>
                <w:sz w:val="24"/>
                <w:szCs w:val="24"/>
                <w:lang w:val="en-US" w:eastAsia="zh-CN"/>
              </w:rPr>
              <w:t>及年产5 万平方米环保彩色成像玻璃项目。</w:t>
            </w:r>
          </w:p>
          <w:p w14:paraId="0D6A7A90">
            <w:pPr>
              <w:spacing w:line="360" w:lineRule="auto"/>
              <w:ind w:firstLine="480" w:firstLineChars="200"/>
              <w:rPr>
                <w:rFonts w:hint="eastAsia" w:ascii="Times New Roman" w:hAnsi="Times New Roman" w:eastAsia="宋体" w:cs="Times New Roman"/>
                <w:b w:val="0"/>
                <w:bCs w:val="0"/>
                <w:snapToGrid w:val="0"/>
                <w:color w:val="auto"/>
                <w:kern w:val="0"/>
                <w:sz w:val="24"/>
                <w:szCs w:val="24"/>
                <w:lang w:val="en-US" w:eastAsia="zh-CN"/>
              </w:rPr>
            </w:pPr>
            <w:r>
              <w:rPr>
                <w:rFonts w:hint="eastAsia" w:ascii="Times New Roman" w:hAnsi="Times New Roman" w:eastAsia="宋体" w:cs="Times New Roman"/>
                <w:b w:val="0"/>
                <w:bCs w:val="0"/>
                <w:snapToGrid w:val="0"/>
                <w:color w:val="auto"/>
                <w:kern w:val="0"/>
                <w:sz w:val="24"/>
                <w:szCs w:val="24"/>
                <w:lang w:val="en-US" w:eastAsia="zh-CN"/>
              </w:rPr>
              <w:t>其中现有年产 30 万平方米节能 LOW-E 玻璃生产线建设项目环境影响报告表已于 2013 年 2 月 18 日通过了周口市环保局的审批，文号为周环审[2013]33 号 ，并于 2015 年 11 月 2 日通过周口市环境保护局验收，文号为周环验 2015 第【52】号；现有年产 30 万平方米安全结构玻璃加工中心技术 改造项目环境影响报告表已于 2020 年 08 月 12 日通过了周口市生态环境局的审批，文号为周环审[2020]343 号，并于 2022 年 3 月通过了验收；现有年产 100 万平方米超大 LOW-E 玻璃镀膜线技改项目环境影响报告表已于 2020 年 09 月 23 日通过了周口市生态环境局的审批，文号为周环审[2020]417 号，并于 2022 年 3 月通过了验收。</w:t>
            </w:r>
            <w:r>
              <w:rPr>
                <w:rFonts w:hint="eastAsia" w:cs="Times New Roman"/>
                <w:b w:val="0"/>
                <w:bCs w:val="0"/>
                <w:snapToGrid w:val="0"/>
                <w:color w:val="auto"/>
                <w:kern w:val="0"/>
                <w:sz w:val="24"/>
                <w:szCs w:val="24"/>
                <w:lang w:val="en-US" w:eastAsia="zh-CN"/>
              </w:rPr>
              <w:t>现有年产 5 万平方米环保彩色成像玻璃项目环境影响报告表已于 2020 年 12 月 28 日通过了周口市生态环境局的审批， 批复文号为周环审【2020】530号，</w:t>
            </w:r>
            <w:r>
              <w:rPr>
                <w:rFonts w:hint="eastAsia" w:ascii="Times New Roman" w:hAnsi="Times New Roman" w:eastAsia="宋体" w:cs="Times New Roman"/>
                <w:b w:val="0"/>
                <w:bCs w:val="0"/>
                <w:snapToGrid w:val="0"/>
                <w:color w:val="auto"/>
                <w:kern w:val="0"/>
                <w:sz w:val="24"/>
                <w:szCs w:val="24"/>
                <w:lang w:val="en-US" w:eastAsia="zh-CN"/>
              </w:rPr>
              <w:t>并于2022年3月通过了验收。排污许可证编号为91411626052290062H001R。</w:t>
            </w:r>
          </w:p>
          <w:p w14:paraId="2ACFB63F">
            <w:pPr>
              <w:spacing w:line="360" w:lineRule="auto"/>
              <w:ind w:firstLine="480" w:firstLineChars="200"/>
              <w:rPr>
                <w:rFonts w:hint="default" w:cs="Times New Roman"/>
                <w:b w:val="0"/>
                <w:bCs w:val="0"/>
                <w:snapToGrid w:val="0"/>
                <w:color w:val="auto"/>
                <w:kern w:val="0"/>
                <w:sz w:val="24"/>
                <w:szCs w:val="24"/>
                <w:lang w:val="en-US" w:eastAsia="zh-CN"/>
              </w:rPr>
            </w:pPr>
            <w:r>
              <w:rPr>
                <w:rFonts w:hint="eastAsia" w:ascii="Times New Roman" w:hAnsi="Times New Roman" w:eastAsia="宋体" w:cs="Times New Roman"/>
                <w:b w:val="0"/>
                <w:bCs w:val="0"/>
                <w:snapToGrid w:val="0"/>
                <w:color w:val="auto"/>
                <w:kern w:val="0"/>
                <w:sz w:val="24"/>
                <w:szCs w:val="24"/>
                <w:lang w:val="en-US" w:eastAsia="zh-CN"/>
              </w:rPr>
              <w:t>现有工程各项环保手续均已完善，目前均处于正常生产中。考虑到企业的发展前景，企业拟在现有生产规模的基础上进行扩建，但现有厂址场地面积已不满足扩建需求，因此企业拟重新租赁一块工业用地用于本次扩建项目的建设，该扩建项目用地位于周口市周口先进制造业开发区河南省周口市淮阳区产业集聚区（具体位于周口市淮阳区城关镇南三环南侧，规划工业二路西侧），该项目占用地面积223663平方米。</w:t>
            </w:r>
            <w:r>
              <w:rPr>
                <w:rFonts w:hint="eastAsia" w:cs="Times New Roman"/>
                <w:b w:val="0"/>
                <w:bCs w:val="0"/>
                <w:snapToGrid w:val="0"/>
                <w:color w:val="auto"/>
                <w:kern w:val="0"/>
                <w:sz w:val="24"/>
                <w:szCs w:val="24"/>
                <w:lang w:val="en-US" w:eastAsia="zh-CN"/>
              </w:rPr>
              <w:t>即为本项目，本</w:t>
            </w:r>
            <w:r>
              <w:rPr>
                <w:rFonts w:hint="eastAsia" w:ascii="Times New Roman" w:hAnsi="Times New Roman" w:eastAsia="宋体" w:cs="Times New Roman"/>
                <w:b w:val="0"/>
                <w:bCs w:val="0"/>
                <w:snapToGrid w:val="0"/>
                <w:color w:val="auto"/>
                <w:kern w:val="0"/>
                <w:sz w:val="24"/>
                <w:szCs w:val="24"/>
                <w:lang w:val="en-US" w:eastAsia="zh-CN"/>
              </w:rPr>
              <w:t>项目为异地扩建，与现有工程不存在依托关系</w:t>
            </w:r>
            <w:r>
              <w:rPr>
                <w:rFonts w:hint="eastAsia" w:cs="Times New Roman"/>
                <w:b w:val="0"/>
                <w:bCs w:val="0"/>
                <w:snapToGrid w:val="0"/>
                <w:color w:val="auto"/>
                <w:kern w:val="0"/>
                <w:sz w:val="24"/>
                <w:szCs w:val="24"/>
                <w:lang w:val="en-US" w:eastAsia="zh-CN"/>
              </w:rPr>
              <w:t>，新老厂区相距2.4km</w:t>
            </w:r>
            <w:r>
              <w:rPr>
                <w:rFonts w:hint="eastAsia" w:ascii="Times New Roman" w:hAnsi="Times New Roman" w:eastAsia="宋体" w:cs="Times New Roman"/>
                <w:b w:val="0"/>
                <w:bCs w:val="0"/>
                <w:snapToGrid w:val="0"/>
                <w:color w:val="auto"/>
                <w:kern w:val="0"/>
                <w:sz w:val="24"/>
                <w:szCs w:val="24"/>
                <w:lang w:val="en-US" w:eastAsia="zh-CN"/>
              </w:rPr>
              <w:t>。</w:t>
            </w:r>
          </w:p>
          <w:p w14:paraId="0D091395">
            <w:pPr>
              <w:spacing w:line="360" w:lineRule="auto"/>
              <w:ind w:firstLine="480" w:firstLineChars="200"/>
              <w:rPr>
                <w:rFonts w:hint="eastAsia" w:ascii="Times New Roman" w:hAnsi="Times New Roman" w:eastAsia="宋体" w:cs="Times New Roman"/>
                <w:b w:val="0"/>
                <w:bCs w:val="0"/>
                <w:snapToGrid w:val="0"/>
                <w:color w:val="000000"/>
                <w:kern w:val="0"/>
                <w:sz w:val="24"/>
                <w:szCs w:val="24"/>
                <w:lang w:val="en-US" w:eastAsia="zh-CN"/>
              </w:rPr>
            </w:pPr>
            <w:r>
              <w:rPr>
                <w:rFonts w:hint="eastAsia" w:ascii="Times New Roman" w:hAnsi="Times New Roman" w:eastAsia="宋体" w:cs="Times New Roman"/>
                <w:bCs/>
                <w:snapToGrid w:val="0"/>
                <w:color w:val="000000"/>
                <w:kern w:val="0"/>
                <w:sz w:val="24"/>
                <w:szCs w:val="24"/>
                <w:highlight w:val="none"/>
                <w:lang w:val="en-US" w:eastAsia="zh-CN"/>
              </w:rPr>
              <w:t>根据《中华人民共和国环境保护法》和《建设项目环境保护管理条例》等有关文件的规定，本项目需进行环境影响评价。根据《建设项目环境影响评价分类管理名录（2021年版）》，本项目属于“二十七、非金属矿物制品业  57、玻璃制品</w:t>
            </w:r>
            <w:r>
              <w:rPr>
                <w:rFonts w:hint="eastAsia" w:cs="Times New Roman"/>
                <w:bCs/>
                <w:snapToGrid w:val="0"/>
                <w:color w:val="000000"/>
                <w:kern w:val="0"/>
                <w:sz w:val="24"/>
                <w:szCs w:val="24"/>
                <w:highlight w:val="none"/>
                <w:lang w:val="en-US" w:eastAsia="zh-CN"/>
              </w:rPr>
              <w:t>304；玻璃制品</w:t>
            </w:r>
            <w:r>
              <w:rPr>
                <w:rFonts w:hint="eastAsia" w:ascii="Times New Roman" w:hAnsi="Times New Roman" w:eastAsia="宋体" w:cs="Times New Roman"/>
                <w:bCs/>
                <w:snapToGrid w:val="0"/>
                <w:color w:val="000000"/>
                <w:kern w:val="0"/>
                <w:sz w:val="24"/>
                <w:szCs w:val="24"/>
                <w:highlight w:val="none"/>
                <w:lang w:val="en-US" w:eastAsia="zh-CN"/>
              </w:rPr>
              <w:t>制造</w:t>
            </w:r>
            <w:r>
              <w:rPr>
                <w:rFonts w:hint="eastAsia" w:cs="Times New Roman"/>
                <w:bCs/>
                <w:snapToGrid w:val="0"/>
                <w:color w:val="000000"/>
                <w:kern w:val="0"/>
                <w:sz w:val="24"/>
                <w:szCs w:val="24"/>
                <w:highlight w:val="none"/>
                <w:lang w:val="en-US" w:eastAsia="zh-CN"/>
              </w:rPr>
              <w:t>305</w:t>
            </w:r>
            <w:r>
              <w:rPr>
                <w:rFonts w:hint="eastAsia" w:ascii="Times New Roman" w:hAnsi="Times New Roman" w:eastAsia="宋体" w:cs="Times New Roman"/>
                <w:bCs/>
                <w:snapToGrid w:val="0"/>
                <w:color w:val="000000"/>
                <w:kern w:val="0"/>
                <w:sz w:val="24"/>
                <w:szCs w:val="24"/>
                <w:highlight w:val="none"/>
                <w:lang w:val="en-US" w:eastAsia="zh-CN"/>
              </w:rPr>
              <w:t>”中的“</w:t>
            </w:r>
            <w:r>
              <w:rPr>
                <w:rFonts w:hint="eastAsia" w:cs="Times New Roman"/>
                <w:bCs/>
                <w:snapToGrid w:val="0"/>
                <w:color w:val="000000"/>
                <w:kern w:val="0"/>
                <w:sz w:val="24"/>
                <w:szCs w:val="24"/>
                <w:highlight w:val="none"/>
                <w:lang w:val="en-US" w:eastAsia="zh-CN"/>
              </w:rPr>
              <w:t>特种玻璃制造；</w:t>
            </w:r>
            <w:r>
              <w:rPr>
                <w:rFonts w:hint="eastAsia" w:ascii="Times New Roman" w:hAnsi="Times New Roman" w:eastAsia="宋体" w:cs="Times New Roman"/>
                <w:bCs/>
                <w:snapToGrid w:val="0"/>
                <w:color w:val="000000"/>
                <w:kern w:val="0"/>
                <w:sz w:val="24"/>
                <w:szCs w:val="24"/>
                <w:highlight w:val="none"/>
                <w:lang w:val="en-US" w:eastAsia="zh-CN"/>
              </w:rPr>
              <w:t>玻璃</w:t>
            </w:r>
            <w:r>
              <w:rPr>
                <w:rFonts w:hint="eastAsia" w:cs="Times New Roman"/>
                <w:bCs/>
                <w:snapToGrid w:val="0"/>
                <w:color w:val="000000"/>
                <w:kern w:val="0"/>
                <w:sz w:val="24"/>
                <w:szCs w:val="24"/>
                <w:highlight w:val="none"/>
                <w:lang w:val="en-US" w:eastAsia="zh-CN"/>
              </w:rPr>
              <w:t>制品</w:t>
            </w:r>
            <w:r>
              <w:rPr>
                <w:rFonts w:hint="eastAsia" w:ascii="Times New Roman" w:hAnsi="Times New Roman" w:eastAsia="宋体" w:cs="Times New Roman"/>
                <w:bCs/>
                <w:snapToGrid w:val="0"/>
                <w:color w:val="000000"/>
                <w:kern w:val="0"/>
                <w:sz w:val="24"/>
                <w:szCs w:val="24"/>
                <w:highlight w:val="none"/>
                <w:lang w:val="en-US" w:eastAsia="zh-CN"/>
              </w:rPr>
              <w:t>制造（电加热的除外；仅切割、打磨、成型的除外）”，本项目生产主要工艺为切割、磨边、中空、钢化、夹胶、彩打、镀膜等，本项目应编制环境影响报告表</w:t>
            </w:r>
            <w:r>
              <w:rPr>
                <w:rFonts w:hint="eastAsia" w:ascii="Times New Roman" w:hAnsi="Times New Roman" w:eastAsia="宋体" w:cs="Times New Roman"/>
                <w:b w:val="0"/>
                <w:bCs w:val="0"/>
                <w:snapToGrid w:val="0"/>
                <w:color w:val="000000"/>
                <w:kern w:val="0"/>
                <w:sz w:val="24"/>
                <w:szCs w:val="24"/>
                <w:lang w:val="en-US" w:eastAsia="zh-CN"/>
              </w:rPr>
              <w:t>。</w:t>
            </w:r>
          </w:p>
          <w:p w14:paraId="72622528">
            <w:pPr>
              <w:pStyle w:val="2"/>
              <w:rPr>
                <w:rFonts w:hint="default" w:ascii="Times New Roman" w:hAnsi="Times New Roman" w:eastAsia="宋体" w:cs="Times New Roman"/>
                <w:b/>
                <w:bCs/>
                <w:color w:val="000000"/>
                <w:lang w:val="en-US" w:eastAsia="zh-CN"/>
              </w:rPr>
            </w:pPr>
            <w:bookmarkStart w:id="32" w:name="_Toc22108"/>
            <w:bookmarkStart w:id="33" w:name="_Toc14458"/>
            <w:r>
              <w:rPr>
                <w:rFonts w:hint="eastAsia" w:ascii="Times New Roman" w:hAnsi="Times New Roman" w:eastAsia="宋体" w:cs="Times New Roman"/>
                <w:b/>
                <w:bCs/>
                <w:color w:val="000000"/>
                <w:lang w:val="en-US" w:eastAsia="zh-CN"/>
              </w:rPr>
              <w:t>2</w:t>
            </w:r>
            <w:r>
              <w:rPr>
                <w:rFonts w:hint="default" w:ascii="Times New Roman" w:hAnsi="Times New Roman" w:eastAsia="宋体" w:cs="Times New Roman"/>
                <w:b/>
                <w:bCs/>
                <w:color w:val="000000"/>
                <w:lang w:val="en-US" w:eastAsia="zh-CN"/>
              </w:rPr>
              <w:t>、厂址周围环境概况</w:t>
            </w:r>
            <w:bookmarkEnd w:id="32"/>
            <w:bookmarkEnd w:id="33"/>
          </w:p>
          <w:p w14:paraId="5F9D8DF4">
            <w:pPr>
              <w:spacing w:line="360" w:lineRule="auto"/>
              <w:ind w:firstLine="480" w:firstLineChars="200"/>
              <w:rPr>
                <w:b w:val="0"/>
                <w:bCs w:val="0"/>
                <w:color w:val="auto"/>
              </w:rPr>
            </w:pPr>
            <w:bookmarkStart w:id="34" w:name="OLE_LINK23"/>
            <w:bookmarkStart w:id="35" w:name="OLE_LINK24"/>
            <w:r>
              <w:rPr>
                <w:rFonts w:hint="eastAsia"/>
                <w:b w:val="0"/>
                <w:bCs w:val="0"/>
                <w:snapToGrid w:val="0"/>
                <w:color w:val="auto"/>
                <w:kern w:val="0"/>
                <w:sz w:val="24"/>
                <w:szCs w:val="24"/>
              </w:rPr>
              <w:t>本项目位于</w:t>
            </w:r>
            <w:r>
              <w:rPr>
                <w:rFonts w:hint="eastAsia" w:ascii="Times New Roman" w:hAnsi="Times New Roman" w:eastAsia="宋体" w:cs="Times New Roman"/>
                <w:b w:val="0"/>
                <w:bCs w:val="0"/>
                <w:snapToGrid w:val="0"/>
                <w:color w:val="auto"/>
                <w:kern w:val="0"/>
                <w:sz w:val="24"/>
                <w:szCs w:val="24"/>
                <w:lang w:val="en-US" w:eastAsia="zh-CN"/>
              </w:rPr>
              <w:t>周口市周口先进制造业开发区（具体位于周口市淮阳区城关镇南三环南侧，规划工业二路西侧）</w:t>
            </w:r>
            <w:r>
              <w:rPr>
                <w:rFonts w:hint="eastAsia"/>
                <w:b w:val="0"/>
                <w:bCs w:val="0"/>
                <w:snapToGrid w:val="0"/>
                <w:color w:val="auto"/>
                <w:kern w:val="0"/>
                <w:sz w:val="24"/>
                <w:szCs w:val="24"/>
              </w:rPr>
              <w:t>。项目厂址</w:t>
            </w:r>
            <w:r>
              <w:rPr>
                <w:rFonts w:hint="eastAsia"/>
                <w:b w:val="0"/>
                <w:bCs w:val="0"/>
                <w:snapToGrid w:val="0"/>
                <w:color w:val="auto"/>
                <w:kern w:val="0"/>
                <w:sz w:val="24"/>
                <w:szCs w:val="24"/>
                <w:lang w:val="en-US" w:eastAsia="zh-CN"/>
              </w:rPr>
              <w:t>周边企业主要为河南省华玖健康产业有限公司（主要生产饮料等）</w:t>
            </w:r>
            <w:r>
              <w:rPr>
                <w:rFonts w:hint="eastAsia"/>
                <w:b w:val="0"/>
                <w:bCs w:val="0"/>
                <w:snapToGrid w:val="0"/>
                <w:color w:val="auto"/>
                <w:kern w:val="0"/>
                <w:sz w:val="24"/>
                <w:szCs w:val="24"/>
              </w:rPr>
              <w:t>。项目厂址</w:t>
            </w:r>
            <w:r>
              <w:rPr>
                <w:rFonts w:hint="eastAsia"/>
                <w:b w:val="0"/>
                <w:bCs w:val="0"/>
                <w:snapToGrid w:val="0"/>
                <w:color w:val="auto"/>
                <w:kern w:val="0"/>
                <w:sz w:val="24"/>
                <w:szCs w:val="24"/>
                <w:lang w:val="en-US" w:eastAsia="zh-CN"/>
              </w:rPr>
              <w:t>周边500m范围内的</w:t>
            </w:r>
            <w:r>
              <w:rPr>
                <w:rFonts w:hint="eastAsia"/>
                <w:b w:val="0"/>
                <w:bCs w:val="0"/>
                <w:snapToGrid w:val="0"/>
                <w:color w:val="auto"/>
                <w:kern w:val="0"/>
                <w:sz w:val="24"/>
                <w:szCs w:val="24"/>
              </w:rPr>
              <w:t>敏感点</w:t>
            </w:r>
            <w:r>
              <w:rPr>
                <w:rFonts w:hint="eastAsia"/>
                <w:b w:val="0"/>
                <w:bCs w:val="0"/>
                <w:snapToGrid w:val="0"/>
                <w:color w:val="auto"/>
                <w:kern w:val="0"/>
                <w:sz w:val="24"/>
                <w:szCs w:val="24"/>
                <w:lang w:val="en-US" w:eastAsia="zh-CN"/>
              </w:rPr>
              <w:t>为项目南侧35m的焦岗村、东北侧400m的黄庄、东侧483m的彭老家村、西南侧411m的大童庄</w:t>
            </w:r>
            <w:r>
              <w:rPr>
                <w:rFonts w:hint="eastAsia"/>
                <w:b w:val="0"/>
                <w:bCs w:val="0"/>
                <w:snapToGrid w:val="0"/>
                <w:color w:val="auto"/>
                <w:kern w:val="0"/>
                <w:sz w:val="24"/>
                <w:szCs w:val="24"/>
              </w:rPr>
              <w:t>。项目周围环境概况见</w:t>
            </w:r>
            <w:r>
              <w:rPr>
                <w:rFonts w:hint="eastAsia"/>
                <w:b w:val="0"/>
                <w:bCs w:val="0"/>
                <w:snapToGrid w:val="0"/>
                <w:color w:val="auto"/>
                <w:kern w:val="0"/>
                <w:sz w:val="24"/>
                <w:szCs w:val="24"/>
                <w:highlight w:val="none"/>
              </w:rPr>
              <w:t>附图</w:t>
            </w:r>
            <w:r>
              <w:rPr>
                <w:rFonts w:hint="eastAsia"/>
                <w:b w:val="0"/>
                <w:bCs w:val="0"/>
                <w:snapToGrid w:val="0"/>
                <w:color w:val="auto"/>
                <w:kern w:val="0"/>
                <w:sz w:val="24"/>
                <w:szCs w:val="24"/>
                <w:highlight w:val="none"/>
                <w:lang w:val="en-US" w:eastAsia="zh-CN"/>
              </w:rPr>
              <w:t>二</w:t>
            </w:r>
            <w:r>
              <w:rPr>
                <w:rFonts w:hint="eastAsia"/>
                <w:b w:val="0"/>
                <w:bCs w:val="0"/>
                <w:snapToGrid w:val="0"/>
                <w:color w:val="auto"/>
                <w:kern w:val="0"/>
                <w:sz w:val="24"/>
                <w:szCs w:val="24"/>
                <w:highlight w:val="none"/>
              </w:rPr>
              <w:t>。</w:t>
            </w:r>
            <w:r>
              <w:rPr>
                <w:rFonts w:hint="eastAsia"/>
                <w:b w:val="0"/>
                <w:bCs w:val="0"/>
                <w:snapToGrid w:val="0"/>
                <w:color w:val="auto"/>
                <w:kern w:val="0"/>
                <w:sz w:val="24"/>
                <w:szCs w:val="24"/>
              </w:rPr>
              <w:t>根据现场调查，</w:t>
            </w:r>
            <w:r>
              <w:rPr>
                <w:rFonts w:hint="eastAsia"/>
                <w:b w:val="0"/>
                <w:bCs w:val="0"/>
                <w:snapToGrid w:val="0"/>
                <w:color w:val="auto"/>
                <w:kern w:val="0"/>
                <w:sz w:val="24"/>
                <w:szCs w:val="24"/>
                <w:lang w:val="en-US" w:eastAsia="zh-CN"/>
              </w:rPr>
              <w:t>目前项目</w:t>
            </w:r>
            <w:r>
              <w:rPr>
                <w:rFonts w:hint="eastAsia"/>
                <w:b w:val="0"/>
                <w:bCs w:val="0"/>
                <w:snapToGrid w:val="0"/>
                <w:color w:val="auto"/>
                <w:kern w:val="0"/>
                <w:sz w:val="24"/>
                <w:szCs w:val="24"/>
              </w:rPr>
              <w:t>尚未开始建设。</w:t>
            </w:r>
          </w:p>
          <w:bookmarkEnd w:id="34"/>
          <w:bookmarkEnd w:id="35"/>
          <w:p w14:paraId="181341B9">
            <w:pPr>
              <w:pStyle w:val="2"/>
              <w:rPr>
                <w:rFonts w:hint="eastAsia" w:ascii="Times New Roman" w:hAnsi="Times New Roman" w:eastAsia="宋体" w:cs="Times New Roman"/>
                <w:b/>
                <w:bCs/>
                <w:color w:val="000000"/>
                <w:lang w:val="en-US" w:eastAsia="zh-CN"/>
              </w:rPr>
            </w:pPr>
            <w:bookmarkStart w:id="36" w:name="_Toc30504"/>
            <w:bookmarkStart w:id="37" w:name="_Toc14197"/>
            <w:r>
              <w:rPr>
                <w:rFonts w:hint="eastAsia" w:ascii="Times New Roman" w:hAnsi="Times New Roman" w:eastAsia="宋体" w:cs="Times New Roman"/>
                <w:b/>
                <w:bCs/>
                <w:color w:val="000000"/>
                <w:lang w:val="en-US" w:eastAsia="zh-CN"/>
              </w:rPr>
              <w:t>3、建设内容</w:t>
            </w:r>
            <w:bookmarkEnd w:id="36"/>
            <w:bookmarkEnd w:id="37"/>
          </w:p>
          <w:p w14:paraId="15A98984">
            <w:pPr>
              <w:pStyle w:val="96"/>
              <w:ind w:firstLine="480"/>
              <w:rPr>
                <w:rFonts w:eastAsia="黑体"/>
                <w:b w:val="0"/>
                <w:bCs w:val="0"/>
                <w:color w:val="auto"/>
              </w:rPr>
            </w:pPr>
            <w:r>
              <w:rPr>
                <w:rFonts w:hint="eastAsia"/>
                <w:b w:val="0"/>
                <w:bCs w:val="0"/>
                <w:color w:val="auto"/>
                <w:lang w:val="zh-CN"/>
              </w:rPr>
              <w:t>本项目</w:t>
            </w:r>
            <w:r>
              <w:rPr>
                <w:b w:val="0"/>
                <w:bCs w:val="0"/>
                <w:color w:val="auto"/>
                <w:lang w:val="zh-CN"/>
              </w:rPr>
              <w:t>工程内容见表</w:t>
            </w:r>
            <w:r>
              <w:rPr>
                <w:rFonts w:hint="eastAsia"/>
                <w:b w:val="0"/>
                <w:bCs w:val="0"/>
                <w:color w:val="auto"/>
                <w:lang w:val="en-US" w:eastAsia="zh-CN"/>
              </w:rPr>
              <w:t>2-1</w:t>
            </w:r>
            <w:r>
              <w:rPr>
                <w:b w:val="0"/>
                <w:bCs w:val="0"/>
                <w:color w:val="auto"/>
                <w:lang w:val="zh-CN"/>
              </w:rPr>
              <w:t>。</w:t>
            </w:r>
          </w:p>
          <w:p w14:paraId="53335AC6">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表2-</w:t>
            </w:r>
            <w:r>
              <w:rPr>
                <w:rFonts w:hint="eastAsia" w:cs="Times New Roman"/>
                <w:b/>
                <w:bCs/>
                <w:snapToGrid w:val="0"/>
                <w:color w:val="auto"/>
                <w:kern w:val="0"/>
                <w:sz w:val="24"/>
                <w:szCs w:val="24"/>
                <w:lang w:val="en-US" w:eastAsia="zh-CN" w:bidi="ar-SA"/>
              </w:rPr>
              <w:t>1</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项目工程内容一览表</w:t>
            </w:r>
          </w:p>
          <w:tbl>
            <w:tblPr>
              <w:tblStyle w:val="39"/>
              <w:tblW w:w="4995"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933"/>
              <w:gridCol w:w="1176"/>
              <w:gridCol w:w="5073"/>
              <w:gridCol w:w="1028"/>
            </w:tblGrid>
            <w:tr w14:paraId="2CA437B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90" w:hRule="atLeast"/>
                <w:tblHeader/>
              </w:trPr>
              <w:tc>
                <w:tcPr>
                  <w:tcW w:w="568" w:type="pct"/>
                  <w:tcBorders>
                    <w:tl2br w:val="nil"/>
                    <w:tr2bl w:val="nil"/>
                  </w:tcBorders>
                  <w:noWrap w:val="0"/>
                  <w:vAlign w:val="center"/>
                </w:tcPr>
                <w:p w14:paraId="00FBFF22">
                  <w:pPr>
                    <w:adjustRightInd w:val="0"/>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项目</w:t>
                  </w:r>
                </w:p>
              </w:tc>
              <w:tc>
                <w:tcPr>
                  <w:tcW w:w="716" w:type="pct"/>
                  <w:tcBorders>
                    <w:tl2br w:val="nil"/>
                    <w:tr2bl w:val="nil"/>
                  </w:tcBorders>
                  <w:noWrap w:val="0"/>
                  <w:vAlign w:val="center"/>
                </w:tcPr>
                <w:p w14:paraId="20DC11FB">
                  <w:pPr>
                    <w:adjustRightInd w:val="0"/>
                    <w:snapToGrid w:val="0"/>
                    <w:spacing w:line="360" w:lineRule="exact"/>
                    <w:ind w:left="63" w:leftChars="30" w:right="63" w:rightChars="3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名称</w:t>
                  </w:r>
                </w:p>
              </w:tc>
              <w:tc>
                <w:tcPr>
                  <w:tcW w:w="3089" w:type="pct"/>
                  <w:tcBorders>
                    <w:tl2br w:val="nil"/>
                    <w:tr2bl w:val="nil"/>
                  </w:tcBorders>
                  <w:noWrap w:val="0"/>
                  <w:vAlign w:val="center"/>
                </w:tcPr>
                <w:p w14:paraId="4452BFFC">
                  <w:pPr>
                    <w:adjustRightInd w:val="0"/>
                    <w:snapToGrid w:val="0"/>
                    <w:spacing w:line="360" w:lineRule="exact"/>
                    <w:ind w:left="63" w:leftChars="30" w:right="63" w:rightChars="3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主要建设内容</w:t>
                  </w:r>
                </w:p>
              </w:tc>
              <w:tc>
                <w:tcPr>
                  <w:tcW w:w="626" w:type="pct"/>
                  <w:tcBorders>
                    <w:tl2br w:val="nil"/>
                    <w:tr2bl w:val="nil"/>
                  </w:tcBorders>
                  <w:noWrap w:val="0"/>
                  <w:vAlign w:val="center"/>
                </w:tcPr>
                <w:p w14:paraId="4AB57D87">
                  <w:pPr>
                    <w:adjustRightInd w:val="0"/>
                    <w:snapToGrid w:val="0"/>
                    <w:spacing w:line="360" w:lineRule="exact"/>
                    <w:ind w:left="63" w:leftChars="30" w:right="63" w:rightChars="3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备注</w:t>
                  </w:r>
                </w:p>
              </w:tc>
            </w:tr>
            <w:tr w14:paraId="59532C3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913" w:hRule="atLeast"/>
                <w:tblHeader/>
              </w:trPr>
              <w:tc>
                <w:tcPr>
                  <w:tcW w:w="568" w:type="pct"/>
                  <w:tcBorders>
                    <w:tl2br w:val="nil"/>
                    <w:tr2bl w:val="nil"/>
                  </w:tcBorders>
                  <w:noWrap w:val="0"/>
                  <w:vAlign w:val="center"/>
                </w:tcPr>
                <w:p w14:paraId="24CEF29C">
                  <w:pPr>
                    <w:adjustRightInd w:val="0"/>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主体工程</w:t>
                  </w:r>
                </w:p>
              </w:tc>
              <w:tc>
                <w:tcPr>
                  <w:tcW w:w="716" w:type="pct"/>
                  <w:tcBorders>
                    <w:tl2br w:val="nil"/>
                    <w:tr2bl w:val="nil"/>
                  </w:tcBorders>
                  <w:noWrap w:val="0"/>
                  <w:vAlign w:val="center"/>
                </w:tcPr>
                <w:p w14:paraId="7161F826">
                  <w:pPr>
                    <w:adjustRightInd w:val="0"/>
                    <w:snapToGrid w:val="0"/>
                    <w:spacing w:line="360" w:lineRule="exact"/>
                    <w:ind w:left="63" w:leftChars="30" w:right="63" w:rightChars="3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生产车间</w:t>
                  </w:r>
                </w:p>
              </w:tc>
              <w:tc>
                <w:tcPr>
                  <w:tcW w:w="3089" w:type="pct"/>
                  <w:tcBorders>
                    <w:tl2br w:val="nil"/>
                    <w:tr2bl w:val="nil"/>
                  </w:tcBorders>
                  <w:noWrap w:val="0"/>
                  <w:vAlign w:val="center"/>
                </w:tcPr>
                <w:p w14:paraId="1E47E287">
                  <w:pPr>
                    <w:adjustRightInd w:val="0"/>
                    <w:snapToGrid w:val="0"/>
                    <w:spacing w:line="360" w:lineRule="exact"/>
                    <w:ind w:left="63" w:leftChars="30" w:right="63" w:rightChars="30"/>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生产车间占地面积为15400m</w:t>
                  </w:r>
                  <w:r>
                    <w:rPr>
                      <w:rFonts w:hint="default" w:ascii="Times New Roman" w:hAnsi="Times New Roman" w:eastAsia="宋体" w:cs="Times New Roman"/>
                      <w:b w:val="0"/>
                      <w:bCs w:val="0"/>
                      <w:color w:val="auto"/>
                      <w:sz w:val="21"/>
                      <w:szCs w:val="21"/>
                      <w:highlight w:val="none"/>
                      <w:vertAlign w:val="superscript"/>
                      <w:lang w:val="en-US" w:eastAsia="zh-CN"/>
                    </w:rPr>
                    <w:t>2</w:t>
                  </w:r>
                  <w:r>
                    <w:rPr>
                      <w:rFonts w:hint="default" w:ascii="Times New Roman" w:hAnsi="Times New Roman" w:eastAsia="宋体" w:cs="Times New Roman"/>
                      <w:b w:val="0"/>
                      <w:bCs w:val="0"/>
                      <w:color w:val="auto"/>
                      <w:sz w:val="21"/>
                      <w:szCs w:val="21"/>
                      <w:highlight w:val="none"/>
                      <w:lang w:val="en-US" w:eastAsia="zh-CN"/>
                    </w:rPr>
                    <w:t>，内部进行分区，包括生产区（包含切割、磨边、中空、钢化、夹胶、彩打、镀膜等）、原料区及成品区等</w:t>
                  </w:r>
                </w:p>
              </w:tc>
              <w:tc>
                <w:tcPr>
                  <w:tcW w:w="626" w:type="pct"/>
                  <w:tcBorders>
                    <w:tl2br w:val="nil"/>
                    <w:tr2bl w:val="nil"/>
                  </w:tcBorders>
                  <w:noWrap w:val="0"/>
                  <w:vAlign w:val="center"/>
                </w:tcPr>
                <w:p w14:paraId="3E83725B">
                  <w:pPr>
                    <w:adjustRightInd w:val="0"/>
                    <w:snapToGrid w:val="0"/>
                    <w:spacing w:line="360" w:lineRule="exact"/>
                    <w:ind w:left="63" w:leftChars="30" w:right="63" w:rightChars="3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新建</w:t>
                  </w:r>
                </w:p>
              </w:tc>
            </w:tr>
            <w:tr w14:paraId="6CA953A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restart"/>
                  <w:tcBorders>
                    <w:tl2br w:val="nil"/>
                    <w:tr2bl w:val="nil"/>
                  </w:tcBorders>
                  <w:noWrap w:val="0"/>
                  <w:vAlign w:val="center"/>
                </w:tcPr>
                <w:p w14:paraId="19CB98FE">
                  <w:pPr>
                    <w:adjustRightInd w:val="0"/>
                    <w:snapToGrid w:val="0"/>
                    <w:spacing w:line="360" w:lineRule="exact"/>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储运工程</w:t>
                  </w:r>
                </w:p>
              </w:tc>
              <w:tc>
                <w:tcPr>
                  <w:tcW w:w="716" w:type="pct"/>
                  <w:tcBorders>
                    <w:tl2br w:val="nil"/>
                    <w:tr2bl w:val="nil"/>
                  </w:tcBorders>
                  <w:noWrap w:val="0"/>
                  <w:vAlign w:val="center"/>
                </w:tcPr>
                <w:p w14:paraId="6131ED6A">
                  <w:pPr>
                    <w:snapToGrid w:val="0"/>
                    <w:spacing w:line="360" w:lineRule="exact"/>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rPr>
                    <w:t>原料库</w:t>
                  </w:r>
                </w:p>
              </w:tc>
              <w:tc>
                <w:tcPr>
                  <w:tcW w:w="3089" w:type="pct"/>
                  <w:tcBorders>
                    <w:tl2br w:val="nil"/>
                    <w:tr2bl w:val="nil"/>
                  </w:tcBorders>
                  <w:noWrap w:val="0"/>
                  <w:vAlign w:val="center"/>
                </w:tcPr>
                <w:p w14:paraId="00584FD3">
                  <w:pPr>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位于</w:t>
                  </w:r>
                  <w:r>
                    <w:rPr>
                      <w:rFonts w:hint="default" w:ascii="Times New Roman" w:hAnsi="Times New Roman" w:eastAsia="宋体" w:cs="Times New Roman"/>
                      <w:b w:val="0"/>
                      <w:bCs w:val="0"/>
                      <w:color w:val="auto"/>
                      <w:sz w:val="21"/>
                      <w:szCs w:val="21"/>
                      <w:highlight w:val="none"/>
                      <w:lang w:val="en-US" w:eastAsia="zh-CN"/>
                    </w:rPr>
                    <w:t>生产车间内</w:t>
                  </w:r>
                  <w:r>
                    <w:rPr>
                      <w:rFonts w:hint="default" w:ascii="Times New Roman" w:hAnsi="Times New Roman" w:eastAsia="宋体" w:cs="Times New Roman"/>
                      <w:b w:val="0"/>
                      <w:bCs w:val="0"/>
                      <w:color w:val="auto"/>
                      <w:sz w:val="21"/>
                      <w:szCs w:val="21"/>
                      <w:highlight w:val="none"/>
                    </w:rPr>
                    <w:t>，面积</w:t>
                  </w:r>
                  <w:r>
                    <w:rPr>
                      <w:rFonts w:hint="default" w:ascii="Times New Roman" w:hAnsi="Times New Roman" w:eastAsia="宋体" w:cs="Times New Roman"/>
                      <w:b w:val="0"/>
                      <w:bCs w:val="0"/>
                      <w:color w:val="auto"/>
                      <w:sz w:val="21"/>
                      <w:szCs w:val="21"/>
                      <w:highlight w:val="none"/>
                      <w:lang w:val="en-US" w:eastAsia="zh-CN"/>
                    </w:rPr>
                    <w:t>1000</w:t>
                  </w:r>
                  <w:r>
                    <w:rPr>
                      <w:rFonts w:hint="default" w:ascii="Times New Roman" w:hAnsi="Times New Roman" w:eastAsia="宋体" w:cs="Times New Roman"/>
                      <w:b w:val="0"/>
                      <w:bCs w:val="0"/>
                      <w:color w:val="auto"/>
                      <w:sz w:val="21"/>
                      <w:szCs w:val="21"/>
                      <w:highlight w:val="none"/>
                    </w:rPr>
                    <w:t>m</w:t>
                  </w:r>
                  <w:r>
                    <w:rPr>
                      <w:rFonts w:hint="default" w:ascii="Times New Roman" w:hAnsi="Times New Roman" w:eastAsia="宋体" w:cs="Times New Roman"/>
                      <w:b w:val="0"/>
                      <w:bCs w:val="0"/>
                      <w:color w:val="auto"/>
                      <w:sz w:val="21"/>
                      <w:szCs w:val="21"/>
                      <w:highlight w:val="none"/>
                      <w:vertAlign w:val="superscript"/>
                    </w:rPr>
                    <w:t>2</w:t>
                  </w:r>
                </w:p>
              </w:tc>
              <w:tc>
                <w:tcPr>
                  <w:tcW w:w="626" w:type="pct"/>
                  <w:tcBorders>
                    <w:tl2br w:val="nil"/>
                    <w:tr2bl w:val="nil"/>
                  </w:tcBorders>
                  <w:noWrap w:val="0"/>
                  <w:vAlign w:val="center"/>
                </w:tcPr>
                <w:p w14:paraId="4E114FEE">
                  <w:pPr>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lang w:val="en-US" w:eastAsia="zh-CN"/>
                    </w:rPr>
                    <w:t>新建</w:t>
                  </w:r>
                </w:p>
              </w:tc>
            </w:tr>
            <w:tr w14:paraId="6831997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2CB6F59C">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6A007E2B">
                  <w:pPr>
                    <w:snapToGrid w:val="0"/>
                    <w:spacing w:line="360" w:lineRule="exact"/>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rPr>
                    <w:t>成品库</w:t>
                  </w:r>
                </w:p>
              </w:tc>
              <w:tc>
                <w:tcPr>
                  <w:tcW w:w="3089" w:type="pct"/>
                  <w:tcBorders>
                    <w:tl2br w:val="nil"/>
                    <w:tr2bl w:val="nil"/>
                  </w:tcBorders>
                  <w:noWrap w:val="0"/>
                  <w:vAlign w:val="center"/>
                </w:tcPr>
                <w:p w14:paraId="1AB4D1AE">
                  <w:pPr>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位于</w:t>
                  </w:r>
                  <w:r>
                    <w:rPr>
                      <w:rFonts w:hint="default" w:ascii="Times New Roman" w:hAnsi="Times New Roman" w:eastAsia="宋体" w:cs="Times New Roman"/>
                      <w:b w:val="0"/>
                      <w:bCs w:val="0"/>
                      <w:color w:val="auto"/>
                      <w:sz w:val="21"/>
                      <w:szCs w:val="21"/>
                      <w:highlight w:val="none"/>
                      <w:lang w:val="en-US" w:eastAsia="zh-CN"/>
                    </w:rPr>
                    <w:t>生产车间内</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1000</w:t>
                  </w:r>
                  <w:r>
                    <w:rPr>
                      <w:rFonts w:hint="default" w:ascii="Times New Roman" w:hAnsi="Times New Roman" w:eastAsia="宋体" w:cs="Times New Roman"/>
                      <w:b w:val="0"/>
                      <w:bCs w:val="0"/>
                      <w:color w:val="auto"/>
                      <w:sz w:val="21"/>
                      <w:szCs w:val="21"/>
                      <w:highlight w:val="none"/>
                    </w:rPr>
                    <w:t>m</w:t>
                  </w:r>
                  <w:r>
                    <w:rPr>
                      <w:rFonts w:hint="default" w:ascii="Times New Roman" w:hAnsi="Times New Roman" w:eastAsia="宋体" w:cs="Times New Roman"/>
                      <w:b w:val="0"/>
                      <w:bCs w:val="0"/>
                      <w:color w:val="auto"/>
                      <w:sz w:val="21"/>
                      <w:szCs w:val="21"/>
                      <w:highlight w:val="none"/>
                      <w:vertAlign w:val="superscript"/>
                    </w:rPr>
                    <w:t>2</w:t>
                  </w:r>
                </w:p>
              </w:tc>
              <w:tc>
                <w:tcPr>
                  <w:tcW w:w="626" w:type="pct"/>
                  <w:tcBorders>
                    <w:tl2br w:val="nil"/>
                    <w:tr2bl w:val="nil"/>
                  </w:tcBorders>
                  <w:noWrap w:val="0"/>
                  <w:vAlign w:val="center"/>
                </w:tcPr>
                <w:p w14:paraId="385B8FF8">
                  <w:pPr>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lang w:val="en-US" w:eastAsia="zh-CN"/>
                    </w:rPr>
                    <w:t>新建</w:t>
                  </w:r>
                </w:p>
              </w:tc>
            </w:tr>
            <w:tr w14:paraId="0688129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restart"/>
                  <w:tcBorders>
                    <w:tl2br w:val="nil"/>
                    <w:tr2bl w:val="nil"/>
                  </w:tcBorders>
                  <w:noWrap w:val="0"/>
                  <w:vAlign w:val="center"/>
                </w:tcPr>
                <w:p w14:paraId="0C29FE3B">
                  <w:pPr>
                    <w:adjustRightInd w:val="0"/>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辅助工程</w:t>
                  </w:r>
                </w:p>
              </w:tc>
              <w:tc>
                <w:tcPr>
                  <w:tcW w:w="716" w:type="pct"/>
                  <w:tcBorders>
                    <w:tl2br w:val="nil"/>
                    <w:tr2bl w:val="nil"/>
                  </w:tcBorders>
                  <w:noWrap w:val="0"/>
                  <w:vAlign w:val="center"/>
                </w:tcPr>
                <w:p w14:paraId="2EE26DAF">
                  <w:pPr>
                    <w:snapToGrid w:val="0"/>
                    <w:spacing w:line="360" w:lineRule="exact"/>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研发中心</w:t>
                  </w:r>
                </w:p>
              </w:tc>
              <w:tc>
                <w:tcPr>
                  <w:tcW w:w="3089" w:type="pct"/>
                  <w:tcBorders>
                    <w:tl2br w:val="nil"/>
                    <w:tr2bl w:val="nil"/>
                  </w:tcBorders>
                  <w:noWrap w:val="0"/>
                  <w:vAlign w:val="center"/>
                </w:tcPr>
                <w:p w14:paraId="24ADA77D">
                  <w:pPr>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占地面积为5788.07m</w:t>
                  </w:r>
                  <w:r>
                    <w:rPr>
                      <w:rFonts w:hint="default" w:ascii="Times New Roman" w:hAnsi="Times New Roman" w:eastAsia="宋体" w:cs="Times New Roman"/>
                      <w:b w:val="0"/>
                      <w:bCs w:val="0"/>
                      <w:color w:val="auto"/>
                      <w:sz w:val="21"/>
                      <w:szCs w:val="21"/>
                      <w:highlight w:val="none"/>
                      <w:vertAlign w:val="superscript"/>
                      <w:lang w:val="en-US" w:eastAsia="zh-CN"/>
                    </w:rPr>
                    <w:t>2</w:t>
                  </w:r>
                  <w:r>
                    <w:rPr>
                      <w:rFonts w:hint="default" w:ascii="Times New Roman" w:hAnsi="Times New Roman" w:eastAsia="宋体" w:cs="Times New Roman"/>
                      <w:b w:val="0"/>
                      <w:bCs w:val="0"/>
                      <w:color w:val="auto"/>
                      <w:sz w:val="21"/>
                      <w:szCs w:val="21"/>
                      <w:highlight w:val="none"/>
                      <w:lang w:val="en-US" w:eastAsia="zh-CN"/>
                    </w:rPr>
                    <w:t>，建设面积为5788.07m</w:t>
                  </w:r>
                  <w:r>
                    <w:rPr>
                      <w:rFonts w:hint="default" w:ascii="Times New Roman" w:hAnsi="Times New Roman" w:eastAsia="宋体" w:cs="Times New Roman"/>
                      <w:b w:val="0"/>
                      <w:bCs w:val="0"/>
                      <w:color w:val="auto"/>
                      <w:sz w:val="21"/>
                      <w:szCs w:val="21"/>
                      <w:highlight w:val="none"/>
                      <w:vertAlign w:val="superscript"/>
                      <w:lang w:val="en-US" w:eastAsia="zh-CN"/>
                    </w:rPr>
                    <w:t>2</w:t>
                  </w:r>
                </w:p>
              </w:tc>
              <w:tc>
                <w:tcPr>
                  <w:tcW w:w="626" w:type="pct"/>
                  <w:tcBorders>
                    <w:tl2br w:val="nil"/>
                    <w:tr2bl w:val="nil"/>
                  </w:tcBorders>
                  <w:noWrap w:val="0"/>
                  <w:vAlign w:val="center"/>
                </w:tcPr>
                <w:p w14:paraId="495B8106">
                  <w:pPr>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lang w:val="en-US" w:eastAsia="zh-CN"/>
                    </w:rPr>
                    <w:t>新建</w:t>
                  </w:r>
                </w:p>
              </w:tc>
            </w:tr>
            <w:tr w14:paraId="17323C4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02E54B0E">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3EFEC936">
                  <w:pPr>
                    <w:snapToGrid w:val="0"/>
                    <w:spacing w:line="360" w:lineRule="exact"/>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rPr>
                    <w:t>办公</w:t>
                  </w:r>
                  <w:r>
                    <w:rPr>
                      <w:rFonts w:hint="default" w:ascii="Times New Roman" w:hAnsi="Times New Roman" w:eastAsia="宋体" w:cs="Times New Roman"/>
                      <w:b w:val="0"/>
                      <w:bCs w:val="0"/>
                      <w:color w:val="auto"/>
                      <w:sz w:val="21"/>
                      <w:szCs w:val="21"/>
                      <w:lang w:val="en-US" w:eastAsia="zh-CN"/>
                    </w:rPr>
                    <w:t>楼</w:t>
                  </w:r>
                </w:p>
              </w:tc>
              <w:tc>
                <w:tcPr>
                  <w:tcW w:w="3089" w:type="pct"/>
                  <w:tcBorders>
                    <w:tl2br w:val="nil"/>
                    <w:tr2bl w:val="nil"/>
                  </w:tcBorders>
                  <w:noWrap w:val="0"/>
                  <w:vAlign w:val="center"/>
                </w:tcPr>
                <w:p w14:paraId="612D3C07">
                  <w:pPr>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占地面积为1147.49m</w:t>
                  </w:r>
                  <w:r>
                    <w:rPr>
                      <w:rFonts w:hint="default" w:ascii="Times New Roman" w:hAnsi="Times New Roman" w:eastAsia="宋体" w:cs="Times New Roman"/>
                      <w:b w:val="0"/>
                      <w:bCs w:val="0"/>
                      <w:color w:val="auto"/>
                      <w:sz w:val="21"/>
                      <w:szCs w:val="21"/>
                      <w:highlight w:val="none"/>
                      <w:vertAlign w:val="superscript"/>
                      <w:lang w:val="en-US" w:eastAsia="zh-CN"/>
                    </w:rPr>
                    <w:t>2</w:t>
                  </w:r>
                  <w:r>
                    <w:rPr>
                      <w:rFonts w:hint="default" w:ascii="Times New Roman" w:hAnsi="Times New Roman" w:eastAsia="宋体" w:cs="Times New Roman"/>
                      <w:b w:val="0"/>
                      <w:bCs w:val="0"/>
                      <w:color w:val="auto"/>
                      <w:sz w:val="21"/>
                      <w:szCs w:val="21"/>
                      <w:highlight w:val="none"/>
                      <w:lang w:val="en-US" w:eastAsia="zh-CN"/>
                    </w:rPr>
                    <w:t>，建设面积为5685.01m</w:t>
                  </w:r>
                  <w:r>
                    <w:rPr>
                      <w:rFonts w:hint="default" w:ascii="Times New Roman" w:hAnsi="Times New Roman" w:eastAsia="宋体" w:cs="Times New Roman"/>
                      <w:b w:val="0"/>
                      <w:bCs w:val="0"/>
                      <w:color w:val="auto"/>
                      <w:sz w:val="21"/>
                      <w:szCs w:val="21"/>
                      <w:highlight w:val="none"/>
                      <w:vertAlign w:val="superscript"/>
                      <w:lang w:val="en-US" w:eastAsia="zh-CN"/>
                    </w:rPr>
                    <w:t>2</w:t>
                  </w:r>
                </w:p>
              </w:tc>
              <w:tc>
                <w:tcPr>
                  <w:tcW w:w="626" w:type="pct"/>
                  <w:tcBorders>
                    <w:tl2br w:val="nil"/>
                    <w:tr2bl w:val="nil"/>
                  </w:tcBorders>
                  <w:noWrap w:val="0"/>
                  <w:vAlign w:val="center"/>
                </w:tcPr>
                <w:p w14:paraId="41AF1B6B">
                  <w:pPr>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z w:val="21"/>
                      <w:szCs w:val="21"/>
                      <w:lang w:val="en-US" w:eastAsia="zh-CN"/>
                    </w:rPr>
                    <w:t>新建</w:t>
                  </w:r>
                </w:p>
              </w:tc>
            </w:tr>
            <w:tr w14:paraId="21B91F5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restart"/>
                  <w:tcBorders>
                    <w:tl2br w:val="nil"/>
                    <w:tr2bl w:val="nil"/>
                  </w:tcBorders>
                  <w:noWrap w:val="0"/>
                  <w:vAlign w:val="center"/>
                </w:tcPr>
                <w:p w14:paraId="783E7449">
                  <w:pPr>
                    <w:adjustRightInd w:val="0"/>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公用工程</w:t>
                  </w:r>
                </w:p>
              </w:tc>
              <w:tc>
                <w:tcPr>
                  <w:tcW w:w="716" w:type="pct"/>
                  <w:tcBorders>
                    <w:tl2br w:val="nil"/>
                    <w:tr2bl w:val="nil"/>
                  </w:tcBorders>
                  <w:noWrap w:val="0"/>
                  <w:vAlign w:val="center"/>
                </w:tcPr>
                <w:p w14:paraId="2C1D9E54">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供水</w:t>
                  </w:r>
                </w:p>
              </w:tc>
              <w:tc>
                <w:tcPr>
                  <w:tcW w:w="3089" w:type="pct"/>
                  <w:tcBorders>
                    <w:tl2br w:val="nil"/>
                    <w:tr2bl w:val="nil"/>
                  </w:tcBorders>
                  <w:noWrap w:val="0"/>
                  <w:vAlign w:val="center"/>
                </w:tcPr>
                <w:p w14:paraId="5DE81157">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采用市政给水系统供水</w:t>
                  </w:r>
                </w:p>
              </w:tc>
              <w:tc>
                <w:tcPr>
                  <w:tcW w:w="626" w:type="pct"/>
                  <w:tcBorders>
                    <w:tl2br w:val="nil"/>
                    <w:tr2bl w:val="nil"/>
                  </w:tcBorders>
                  <w:noWrap w:val="0"/>
                  <w:vAlign w:val="center"/>
                </w:tcPr>
                <w:p w14:paraId="089A3D00">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w:t>
                  </w:r>
                </w:p>
              </w:tc>
            </w:tr>
            <w:tr w14:paraId="00DD333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460273B6">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4206659B">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供电</w:t>
                  </w:r>
                </w:p>
              </w:tc>
              <w:tc>
                <w:tcPr>
                  <w:tcW w:w="3089" w:type="pct"/>
                  <w:tcBorders>
                    <w:tl2br w:val="nil"/>
                    <w:tr2bl w:val="nil"/>
                  </w:tcBorders>
                  <w:noWrap w:val="0"/>
                  <w:vAlign w:val="center"/>
                </w:tcPr>
                <w:p w14:paraId="6699A1E7">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市政供电</w:t>
                  </w:r>
                </w:p>
              </w:tc>
              <w:tc>
                <w:tcPr>
                  <w:tcW w:w="626" w:type="pct"/>
                  <w:tcBorders>
                    <w:tl2br w:val="nil"/>
                    <w:tr2bl w:val="nil"/>
                  </w:tcBorders>
                  <w:noWrap w:val="0"/>
                  <w:vAlign w:val="center"/>
                </w:tcPr>
                <w:p w14:paraId="4E44DD5A">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w:t>
                  </w:r>
                </w:p>
              </w:tc>
            </w:tr>
            <w:tr w14:paraId="0B12DA0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3C258787">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53B752B3">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供暖</w:t>
                  </w:r>
                </w:p>
              </w:tc>
              <w:tc>
                <w:tcPr>
                  <w:tcW w:w="3089" w:type="pct"/>
                  <w:tcBorders>
                    <w:tl2br w:val="nil"/>
                    <w:tr2bl w:val="nil"/>
                  </w:tcBorders>
                  <w:noWrap w:val="0"/>
                  <w:vAlign w:val="center"/>
                </w:tcPr>
                <w:p w14:paraId="0A83ED48">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办公室采</w:t>
                  </w:r>
                  <w:r>
                    <w:rPr>
                      <w:rFonts w:hint="eastAsia" w:cs="Times New Roman"/>
                      <w:b w:val="0"/>
                      <w:bCs w:val="0"/>
                      <w:color w:val="auto"/>
                      <w:kern w:val="0"/>
                      <w:sz w:val="21"/>
                      <w:szCs w:val="21"/>
                      <w:lang w:val="en-US" w:eastAsia="zh-CN"/>
                    </w:rPr>
                    <w:t>用</w:t>
                  </w:r>
                  <w:r>
                    <w:rPr>
                      <w:rFonts w:hint="default" w:ascii="Times New Roman" w:hAnsi="Times New Roman" w:eastAsia="宋体" w:cs="Times New Roman"/>
                      <w:b w:val="0"/>
                      <w:bCs w:val="0"/>
                      <w:color w:val="auto"/>
                      <w:kern w:val="0"/>
                      <w:sz w:val="21"/>
                      <w:szCs w:val="21"/>
                    </w:rPr>
                    <w:t>空调供暖</w:t>
                  </w:r>
                </w:p>
              </w:tc>
              <w:tc>
                <w:tcPr>
                  <w:tcW w:w="626" w:type="pct"/>
                  <w:tcBorders>
                    <w:tl2br w:val="nil"/>
                    <w:tr2bl w:val="nil"/>
                  </w:tcBorders>
                  <w:noWrap w:val="0"/>
                  <w:vAlign w:val="center"/>
                </w:tcPr>
                <w:p w14:paraId="1D73F072">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w:t>
                  </w:r>
                </w:p>
              </w:tc>
            </w:tr>
            <w:tr w14:paraId="4E15978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90" w:hRule="atLeast"/>
              </w:trPr>
              <w:tc>
                <w:tcPr>
                  <w:tcW w:w="568" w:type="pct"/>
                  <w:vMerge w:val="restart"/>
                  <w:tcBorders>
                    <w:tl2br w:val="nil"/>
                    <w:tr2bl w:val="nil"/>
                  </w:tcBorders>
                  <w:noWrap w:val="0"/>
                  <w:vAlign w:val="center"/>
                </w:tcPr>
                <w:p w14:paraId="033AD9FB">
                  <w:pPr>
                    <w:adjustRightInd w:val="0"/>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环保工程</w:t>
                  </w:r>
                </w:p>
              </w:tc>
              <w:tc>
                <w:tcPr>
                  <w:tcW w:w="716" w:type="pct"/>
                  <w:vMerge w:val="restart"/>
                  <w:tcBorders>
                    <w:tl2br w:val="nil"/>
                    <w:tr2bl w:val="nil"/>
                  </w:tcBorders>
                  <w:noWrap w:val="0"/>
                  <w:vAlign w:val="center"/>
                </w:tcPr>
                <w:p w14:paraId="3AF61577">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38" w:name="_Toc5961"/>
                  <w:bookmarkStart w:id="39" w:name="_Toc26990"/>
                  <w:r>
                    <w:rPr>
                      <w:rFonts w:hint="default" w:ascii="Times New Roman" w:hAnsi="Times New Roman" w:eastAsia="宋体" w:cs="Times New Roman"/>
                      <w:b w:val="0"/>
                      <w:bCs w:val="0"/>
                      <w:color w:val="auto"/>
                      <w:sz w:val="21"/>
                      <w:szCs w:val="21"/>
                    </w:rPr>
                    <w:t>废气</w:t>
                  </w:r>
                  <w:bookmarkEnd w:id="38"/>
                  <w:bookmarkEnd w:id="39"/>
                </w:p>
              </w:tc>
              <w:tc>
                <w:tcPr>
                  <w:tcW w:w="3089" w:type="pct"/>
                  <w:tcBorders>
                    <w:tl2br w:val="nil"/>
                    <w:tr2bl w:val="nil"/>
                  </w:tcBorders>
                  <w:noWrap w:val="0"/>
                  <w:vAlign w:val="center"/>
                </w:tcPr>
                <w:p w14:paraId="7E2B98CC">
                  <w:pPr>
                    <w:adjustRightInd w:val="0"/>
                    <w:snapToGrid w:val="0"/>
                    <w:rPr>
                      <w:rFonts w:hint="default" w:ascii="Times New Roman" w:hAnsi="Times New Roman" w:eastAsia="宋体" w:cs="Times New Roman"/>
                      <w:b w:val="0"/>
                      <w:bCs w:val="0"/>
                      <w:color w:val="auto"/>
                      <w:kern w:val="0"/>
                      <w:sz w:val="21"/>
                      <w:szCs w:val="21"/>
                      <w:highlight w:val="yellow"/>
                      <w:u w:val="none"/>
                      <w:lang w:val="en-US" w:eastAsia="zh-CN"/>
                    </w:rPr>
                  </w:pPr>
                  <w:r>
                    <w:rPr>
                      <w:rFonts w:hint="default" w:ascii="Times New Roman" w:hAnsi="Times New Roman" w:eastAsia="宋体" w:cs="Times New Roman"/>
                      <w:bCs/>
                      <w:snapToGrid w:val="0"/>
                      <w:color w:val="auto"/>
                      <w:kern w:val="0"/>
                      <w:sz w:val="21"/>
                      <w:szCs w:val="21"/>
                      <w:lang w:val="en-US" w:eastAsia="zh-CN" w:bidi="ar-SA"/>
                    </w:rPr>
                    <w:t>彩色成像玻璃生产过程烘干固化工序有机废气：</w:t>
                  </w:r>
                  <w:r>
                    <w:rPr>
                      <w:rFonts w:hint="default" w:ascii="Times New Roman" w:hAnsi="Times New Roman" w:eastAsia="宋体" w:cs="Times New Roman"/>
                      <w:b w:val="0"/>
                      <w:bCs w:val="0"/>
                      <w:snapToGrid w:val="0"/>
                      <w:color w:val="auto"/>
                      <w:kern w:val="0"/>
                      <w:sz w:val="21"/>
                      <w:szCs w:val="21"/>
                      <w:lang w:val="en-US" w:eastAsia="zh-CN"/>
                    </w:rPr>
                    <w:t>彩打、固化整体密闭+1套两级活性炭吸附+</w:t>
                  </w:r>
                  <w:r>
                    <w:rPr>
                      <w:rFonts w:hint="default" w:ascii="Times New Roman" w:hAnsi="Times New Roman" w:eastAsia="宋体" w:cs="Times New Roman"/>
                      <w:b w:val="0"/>
                      <w:bCs w:val="0"/>
                      <w:i w:val="0"/>
                      <w:color w:val="auto"/>
                      <w:kern w:val="2"/>
                      <w:sz w:val="21"/>
                      <w:szCs w:val="21"/>
                      <w:u w:val="none"/>
                      <w:lang w:val="en-US" w:eastAsia="zh-CN" w:bidi="ar-SA"/>
                    </w:rPr>
                    <w:t>1根15m高排气筒DA001</w:t>
                  </w:r>
                </w:p>
              </w:tc>
              <w:tc>
                <w:tcPr>
                  <w:tcW w:w="626" w:type="pct"/>
                  <w:tcBorders>
                    <w:tl2br w:val="nil"/>
                    <w:tr2bl w:val="nil"/>
                  </w:tcBorders>
                  <w:noWrap w:val="0"/>
                  <w:vAlign w:val="center"/>
                </w:tcPr>
                <w:p w14:paraId="31BA0FC9">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40" w:name="_Toc1649"/>
                  <w:bookmarkStart w:id="41" w:name="_Toc17546"/>
                  <w:r>
                    <w:rPr>
                      <w:rFonts w:hint="default" w:ascii="Times New Roman" w:hAnsi="Times New Roman" w:eastAsia="宋体" w:cs="Times New Roman"/>
                      <w:b w:val="0"/>
                      <w:bCs w:val="0"/>
                      <w:color w:val="auto"/>
                      <w:sz w:val="21"/>
                      <w:szCs w:val="21"/>
                    </w:rPr>
                    <w:t>新建</w:t>
                  </w:r>
                  <w:bookmarkEnd w:id="40"/>
                  <w:bookmarkEnd w:id="41"/>
                </w:p>
              </w:tc>
            </w:tr>
            <w:tr w14:paraId="5ACE52C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90" w:hRule="atLeast"/>
              </w:trPr>
              <w:tc>
                <w:tcPr>
                  <w:tcW w:w="568" w:type="pct"/>
                  <w:vMerge w:val="continue"/>
                  <w:tcBorders>
                    <w:tl2br w:val="nil"/>
                    <w:tr2bl w:val="nil"/>
                  </w:tcBorders>
                  <w:noWrap w:val="0"/>
                  <w:vAlign w:val="center"/>
                </w:tcPr>
                <w:p w14:paraId="0499DF68">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vMerge w:val="continue"/>
                  <w:tcBorders>
                    <w:tl2br w:val="nil"/>
                    <w:tr2bl w:val="nil"/>
                  </w:tcBorders>
                  <w:noWrap w:val="0"/>
                  <w:vAlign w:val="center"/>
                </w:tcPr>
                <w:p w14:paraId="6FEC3226">
                  <w:pPr>
                    <w:pStyle w:val="114"/>
                    <w:snapToGrid w:val="0"/>
                    <w:spacing w:line="360" w:lineRule="exact"/>
                    <w:jc w:val="center"/>
                    <w:rPr>
                      <w:rFonts w:hint="default" w:ascii="Times New Roman" w:hAnsi="Times New Roman" w:eastAsia="宋体" w:cs="Times New Roman"/>
                      <w:b w:val="0"/>
                      <w:bCs w:val="0"/>
                      <w:color w:val="auto"/>
                      <w:sz w:val="21"/>
                      <w:szCs w:val="21"/>
                    </w:rPr>
                  </w:pPr>
                </w:p>
              </w:tc>
              <w:tc>
                <w:tcPr>
                  <w:tcW w:w="3089" w:type="pct"/>
                  <w:tcBorders>
                    <w:tl2br w:val="nil"/>
                    <w:tr2bl w:val="nil"/>
                  </w:tcBorders>
                  <w:noWrap w:val="0"/>
                  <w:vAlign w:val="center"/>
                </w:tcPr>
                <w:p w14:paraId="459A0557">
                  <w:pPr>
                    <w:adjustRightInd w:val="0"/>
                    <w:snapToGrid w:val="0"/>
                    <w:rPr>
                      <w:rFonts w:hint="default" w:ascii="Times New Roman" w:hAnsi="Times New Roman" w:eastAsia="宋体" w:cs="Times New Roman"/>
                      <w:b w:val="0"/>
                      <w:bCs w:val="0"/>
                      <w:color w:val="auto"/>
                      <w:sz w:val="21"/>
                      <w:szCs w:val="21"/>
                      <w:highlight w:val="yellow"/>
                      <w:u w:val="none"/>
                      <w:lang w:val="en-US"/>
                    </w:rPr>
                  </w:pPr>
                  <w:r>
                    <w:rPr>
                      <w:rFonts w:hint="default" w:ascii="Times New Roman" w:hAnsi="Times New Roman" w:eastAsia="宋体" w:cs="Times New Roman"/>
                      <w:bCs/>
                      <w:snapToGrid w:val="0"/>
                      <w:color w:val="auto"/>
                      <w:kern w:val="0"/>
                      <w:sz w:val="21"/>
                      <w:szCs w:val="21"/>
                      <w:lang w:val="en-US" w:eastAsia="zh-CN" w:bidi="ar-SA"/>
                    </w:rPr>
                    <w:t>中空玻璃生产过程涂胶固化工序有机废气：</w:t>
                  </w:r>
                  <w:r>
                    <w:rPr>
                      <w:rFonts w:hint="default" w:ascii="Times New Roman" w:hAnsi="Times New Roman" w:eastAsia="宋体" w:cs="Times New Roman"/>
                      <w:b w:val="0"/>
                      <w:bCs w:val="0"/>
                      <w:i w:val="0"/>
                      <w:color w:val="auto"/>
                      <w:kern w:val="2"/>
                      <w:sz w:val="21"/>
                      <w:szCs w:val="21"/>
                      <w:u w:val="none"/>
                      <w:lang w:val="en-US" w:eastAsia="zh-CN" w:bidi="ar-SA"/>
                    </w:rPr>
                    <w:t>集气罩集气收集+4套两级活性炭吸附装置+4根15m高排气筒（DA002、DA003、DA004、DA005）</w:t>
                  </w:r>
                </w:p>
              </w:tc>
              <w:tc>
                <w:tcPr>
                  <w:tcW w:w="626" w:type="pct"/>
                  <w:tcBorders>
                    <w:tl2br w:val="nil"/>
                    <w:tr2bl w:val="nil"/>
                  </w:tcBorders>
                  <w:noWrap w:val="0"/>
                  <w:vAlign w:val="center"/>
                </w:tcPr>
                <w:p w14:paraId="7FCE0294">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r w14:paraId="6FBD835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1301" w:hRule="atLeast"/>
              </w:trPr>
              <w:tc>
                <w:tcPr>
                  <w:tcW w:w="568" w:type="pct"/>
                  <w:vMerge w:val="continue"/>
                  <w:tcBorders>
                    <w:tl2br w:val="nil"/>
                    <w:tr2bl w:val="nil"/>
                  </w:tcBorders>
                  <w:noWrap w:val="0"/>
                  <w:vAlign w:val="center"/>
                </w:tcPr>
                <w:p w14:paraId="75017C80">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5BD50D77">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42" w:name="_Toc19868"/>
                  <w:bookmarkStart w:id="43" w:name="_Toc24128"/>
                  <w:r>
                    <w:rPr>
                      <w:rFonts w:hint="default" w:ascii="Times New Roman" w:hAnsi="Times New Roman" w:eastAsia="宋体" w:cs="Times New Roman"/>
                      <w:b w:val="0"/>
                      <w:bCs w:val="0"/>
                      <w:color w:val="auto"/>
                      <w:sz w:val="21"/>
                      <w:szCs w:val="21"/>
                    </w:rPr>
                    <w:t>废水</w:t>
                  </w:r>
                  <w:bookmarkEnd w:id="42"/>
                  <w:bookmarkEnd w:id="43"/>
                </w:p>
              </w:tc>
              <w:tc>
                <w:tcPr>
                  <w:tcW w:w="3089" w:type="pct"/>
                  <w:tcBorders>
                    <w:tl2br w:val="nil"/>
                    <w:tr2bl w:val="nil"/>
                  </w:tcBorders>
                  <w:noWrap w:val="0"/>
                  <w:vAlign w:val="center"/>
                </w:tcPr>
                <w:p w14:paraId="00EFE5A2">
                  <w:pPr>
                    <w:pStyle w:val="114"/>
                    <w:snapToGrid w:val="0"/>
                    <w:spacing w:line="240" w:lineRule="auto"/>
                    <w:jc w:val="center"/>
                    <w:rPr>
                      <w:rFonts w:hint="default" w:ascii="Times New Roman" w:hAnsi="Times New Roman" w:eastAsia="宋体" w:cs="Times New Roman"/>
                      <w:sz w:val="21"/>
                      <w:szCs w:val="21"/>
                    </w:rPr>
                  </w:pPr>
                  <w:bookmarkStart w:id="44" w:name="_Toc4775"/>
                  <w:bookmarkStart w:id="45" w:name="_Toc13163"/>
                  <w:r>
                    <w:rPr>
                      <w:rFonts w:hint="default" w:ascii="Times New Roman" w:hAnsi="Times New Roman" w:eastAsia="宋体" w:cs="Times New Roman"/>
                      <w:b w:val="0"/>
                      <w:bCs w:val="0"/>
                      <w:color w:val="auto"/>
                      <w:sz w:val="21"/>
                      <w:szCs w:val="21"/>
                      <w:highlight w:val="none"/>
                    </w:rPr>
                    <w:t>生活污水</w:t>
                  </w:r>
                  <w:r>
                    <w:rPr>
                      <w:rFonts w:hint="eastAsia" w:cs="Times New Roman"/>
                      <w:b w:val="0"/>
                      <w:bCs w:val="0"/>
                      <w:color w:val="auto"/>
                      <w:sz w:val="21"/>
                      <w:szCs w:val="21"/>
                      <w:highlight w:val="none"/>
                      <w:lang w:val="en-US" w:eastAsia="zh-CN"/>
                    </w:rPr>
                    <w:t>经</w:t>
                  </w:r>
                  <w:r>
                    <w:rPr>
                      <w:rFonts w:hint="default" w:ascii="Times New Roman" w:hAnsi="Times New Roman" w:eastAsia="宋体" w:cs="Times New Roman"/>
                      <w:b w:val="0"/>
                      <w:bCs w:val="0"/>
                      <w:color w:val="auto"/>
                      <w:sz w:val="21"/>
                      <w:szCs w:val="21"/>
                      <w:highlight w:val="none"/>
                    </w:rPr>
                    <w:t>化粪池</w:t>
                  </w:r>
                  <w:r>
                    <w:rPr>
                      <w:rFonts w:hint="default" w:ascii="Times New Roman" w:hAnsi="Times New Roman" w:eastAsia="宋体" w:cs="Times New Roman"/>
                      <w:b w:val="0"/>
                      <w:bCs w:val="0"/>
                      <w:snapToGrid w:val="0"/>
                      <w:color w:val="auto"/>
                      <w:kern w:val="0"/>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50</w:t>
                  </w:r>
                  <w:r>
                    <w:rPr>
                      <w:rFonts w:hint="default" w:ascii="Times New Roman" w:hAnsi="Times New Roman" w:eastAsia="宋体" w:cs="Times New Roman"/>
                      <w:b w:val="0"/>
                      <w:bCs w:val="0"/>
                      <w:color w:val="auto"/>
                      <w:sz w:val="21"/>
                      <w:szCs w:val="21"/>
                      <w:highlight w:val="none"/>
                    </w:rPr>
                    <w:t>m</w:t>
                  </w:r>
                  <w:r>
                    <w:rPr>
                      <w:rFonts w:hint="default" w:ascii="Times New Roman" w:hAnsi="Times New Roman" w:eastAsia="宋体" w:cs="Times New Roman"/>
                      <w:b w:val="0"/>
                      <w:bCs w:val="0"/>
                      <w:color w:val="auto"/>
                      <w:sz w:val="21"/>
                      <w:szCs w:val="21"/>
                      <w:highlight w:val="none"/>
                      <w:vertAlign w:val="superscript"/>
                    </w:rPr>
                    <w:t>3</w:t>
                  </w:r>
                  <w:r>
                    <w:rPr>
                      <w:rFonts w:hint="default" w:ascii="Times New Roman" w:hAnsi="Times New Roman" w:eastAsia="宋体" w:cs="Times New Roman"/>
                      <w:b w:val="0"/>
                      <w:bCs w:val="0"/>
                      <w:snapToGrid w:val="0"/>
                      <w:color w:val="auto"/>
                      <w:kern w:val="0"/>
                      <w:sz w:val="21"/>
                      <w:szCs w:val="21"/>
                      <w:highlight w:val="none"/>
                      <w:lang w:val="en-US" w:eastAsia="zh-CN"/>
                    </w:rPr>
                    <w:t>）</w:t>
                  </w:r>
                  <w:r>
                    <w:rPr>
                      <w:rFonts w:hint="default" w:ascii="Times New Roman" w:hAnsi="Times New Roman" w:eastAsia="宋体" w:cs="Times New Roman"/>
                      <w:b w:val="0"/>
                      <w:bCs w:val="0"/>
                      <w:color w:val="auto"/>
                      <w:sz w:val="21"/>
                      <w:szCs w:val="21"/>
                      <w:highlight w:val="none"/>
                    </w:rPr>
                    <w:t>处理</w:t>
                  </w:r>
                  <w:r>
                    <w:rPr>
                      <w:rFonts w:hint="default" w:ascii="Times New Roman" w:hAnsi="Times New Roman" w:eastAsia="宋体" w:cs="Times New Roman"/>
                      <w:b w:val="0"/>
                      <w:bCs w:val="0"/>
                      <w:color w:val="auto"/>
                      <w:sz w:val="21"/>
                      <w:szCs w:val="21"/>
                      <w:highlight w:val="none"/>
                      <w:lang w:val="en-US" w:eastAsia="zh-CN"/>
                    </w:rPr>
                    <w:t>后</w:t>
                  </w:r>
                  <w:r>
                    <w:rPr>
                      <w:rFonts w:hint="default" w:ascii="Times New Roman" w:hAnsi="Times New Roman" w:eastAsia="宋体" w:cs="Times New Roman"/>
                      <w:b w:val="0"/>
                      <w:bCs w:val="0"/>
                      <w:color w:val="auto"/>
                      <w:sz w:val="21"/>
                      <w:szCs w:val="21"/>
                      <w:highlight w:val="none"/>
                    </w:rPr>
                    <w:t>通过厂区总排口</w:t>
                  </w:r>
                  <w:r>
                    <w:rPr>
                      <w:rFonts w:hint="default" w:ascii="Times New Roman" w:hAnsi="Times New Roman" w:eastAsia="宋体" w:cs="Times New Roman"/>
                      <w:b w:val="0"/>
                      <w:bCs w:val="0"/>
                      <w:color w:val="auto"/>
                      <w:sz w:val="21"/>
                      <w:szCs w:val="21"/>
                      <w:highlight w:val="none"/>
                      <w:u w:val="none" w:color="auto"/>
                      <w:lang w:val="en-US" w:eastAsia="zh-CN"/>
                    </w:rPr>
                    <w:t>排入市政管网</w:t>
                  </w:r>
                  <w:r>
                    <w:rPr>
                      <w:rFonts w:hint="default" w:ascii="Times New Roman" w:hAnsi="Times New Roman" w:eastAsia="宋体" w:cs="Times New Roman"/>
                      <w:b w:val="0"/>
                      <w:bCs w:val="0"/>
                      <w:color w:val="auto"/>
                      <w:sz w:val="21"/>
                      <w:szCs w:val="21"/>
                      <w:highlight w:val="none"/>
                    </w:rPr>
                    <w:t>进入淮阳区第</w:t>
                  </w:r>
                  <w:r>
                    <w:rPr>
                      <w:rFonts w:hint="eastAsia" w:cs="Times New Roman"/>
                      <w:b w:val="0"/>
                      <w:bCs w:val="0"/>
                      <w:color w:val="auto"/>
                      <w:sz w:val="21"/>
                      <w:szCs w:val="21"/>
                      <w:highlight w:val="none"/>
                      <w:lang w:val="en-US" w:eastAsia="zh-CN"/>
                    </w:rPr>
                    <w:t>二</w:t>
                  </w:r>
                  <w:r>
                    <w:rPr>
                      <w:rFonts w:hint="default" w:ascii="Times New Roman" w:hAnsi="Times New Roman" w:eastAsia="宋体" w:cs="Times New Roman"/>
                      <w:b w:val="0"/>
                      <w:bCs w:val="0"/>
                      <w:color w:val="auto"/>
                      <w:sz w:val="21"/>
                      <w:szCs w:val="21"/>
                      <w:highlight w:val="none"/>
                    </w:rPr>
                    <w:t>污水处理厂进一步处理</w:t>
                  </w:r>
                  <w:r>
                    <w:rPr>
                      <w:rFonts w:hint="default" w:ascii="Times New Roman" w:hAnsi="Times New Roman" w:eastAsia="宋体" w:cs="Times New Roman"/>
                      <w:b w:val="0"/>
                      <w:bCs w:val="0"/>
                      <w:color w:val="auto"/>
                      <w:sz w:val="21"/>
                      <w:szCs w:val="21"/>
                      <w:highlight w:val="none"/>
                      <w:lang w:val="en-US" w:eastAsia="zh-CN"/>
                    </w:rPr>
                    <w:t>后排放；</w:t>
                  </w:r>
                  <w:r>
                    <w:rPr>
                      <w:rFonts w:hint="default"/>
                      <w:b w:val="0"/>
                      <w:bCs w:val="0"/>
                      <w:color w:val="auto"/>
                      <w:sz w:val="21"/>
                      <w:szCs w:val="21"/>
                      <w:lang w:val="en-US" w:eastAsia="zh-CN"/>
                    </w:rPr>
                    <w:t>玻璃原片清洗废水经循环水箱沉淀后回用于清洗玻璃原片；镀膜及夹胶、中空工序对应玻璃清洗废水经收集后回用于玻璃原片清洗用水；磨边废水经沉淀及过滤处理后回用于磨边；纯水制备系统排水收集后用于厂区洒水</w:t>
                  </w:r>
                  <w:r>
                    <w:rPr>
                      <w:rFonts w:hint="eastAsia"/>
                      <w:b w:val="0"/>
                      <w:bCs w:val="0"/>
                      <w:color w:val="auto"/>
                      <w:sz w:val="21"/>
                      <w:szCs w:val="21"/>
                      <w:lang w:val="en-US" w:eastAsia="zh-CN"/>
                    </w:rPr>
                    <w:t>，不外排</w:t>
                  </w:r>
                  <w:bookmarkEnd w:id="44"/>
                  <w:bookmarkEnd w:id="45"/>
                </w:p>
              </w:tc>
              <w:tc>
                <w:tcPr>
                  <w:tcW w:w="626" w:type="pct"/>
                  <w:tcBorders>
                    <w:tl2br w:val="nil"/>
                    <w:tr2bl w:val="nil"/>
                  </w:tcBorders>
                  <w:noWrap w:val="0"/>
                  <w:vAlign w:val="center"/>
                </w:tcPr>
                <w:p w14:paraId="5BCE5C8E">
                  <w:pPr>
                    <w:snapToGrid w:val="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rPr>
                    <w:t>新建</w:t>
                  </w:r>
                </w:p>
              </w:tc>
            </w:tr>
            <w:tr w14:paraId="326D779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051CD7AE">
                  <w:pPr>
                    <w:adjustRightInd w:val="0"/>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7、</w:t>
                  </w:r>
                </w:p>
              </w:tc>
              <w:tc>
                <w:tcPr>
                  <w:tcW w:w="716" w:type="pct"/>
                  <w:vMerge w:val="restart"/>
                  <w:tcBorders>
                    <w:tl2br w:val="nil"/>
                    <w:tr2bl w:val="nil"/>
                  </w:tcBorders>
                  <w:noWrap w:val="0"/>
                  <w:vAlign w:val="center"/>
                </w:tcPr>
                <w:p w14:paraId="6697F56E">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46" w:name="_Toc30932"/>
                  <w:bookmarkStart w:id="47" w:name="_Toc21620"/>
                  <w:r>
                    <w:rPr>
                      <w:rFonts w:hint="default" w:ascii="Times New Roman" w:hAnsi="Times New Roman" w:eastAsia="宋体" w:cs="Times New Roman"/>
                      <w:b w:val="0"/>
                      <w:bCs w:val="0"/>
                      <w:color w:val="auto"/>
                      <w:sz w:val="21"/>
                      <w:szCs w:val="21"/>
                    </w:rPr>
                    <w:t>一般固废</w:t>
                  </w:r>
                  <w:bookmarkEnd w:id="46"/>
                  <w:bookmarkEnd w:id="47"/>
                </w:p>
              </w:tc>
              <w:tc>
                <w:tcPr>
                  <w:tcW w:w="3089" w:type="pct"/>
                  <w:tcBorders>
                    <w:tl2br w:val="nil"/>
                    <w:tr2bl w:val="nil"/>
                  </w:tcBorders>
                  <w:noWrap w:val="0"/>
                  <w:vAlign w:val="center"/>
                </w:tcPr>
                <w:p w14:paraId="1591F953">
                  <w:pPr>
                    <w:jc w:val="center"/>
                    <w:rPr>
                      <w:rFonts w:hint="default" w:ascii="Times New Roman" w:hAnsi="Times New Roman" w:eastAsia="宋体" w:cs="Times New Roman"/>
                      <w:b w:val="0"/>
                      <w:bCs w:val="0"/>
                      <w:color w:val="auto"/>
                      <w:sz w:val="21"/>
                      <w:szCs w:val="21"/>
                      <w:highlight w:val="none"/>
                      <w:u w:val="single"/>
                    </w:rPr>
                  </w:pPr>
                  <w:r>
                    <w:rPr>
                      <w:rFonts w:hint="default" w:ascii="Times New Roman" w:hAnsi="Times New Roman" w:eastAsia="宋体" w:cs="Times New Roman"/>
                      <w:b w:val="0"/>
                      <w:bCs w:val="0"/>
                      <w:color w:val="auto"/>
                      <w:sz w:val="21"/>
                      <w:szCs w:val="21"/>
                      <w:highlight w:val="none"/>
                    </w:rPr>
                    <w:t>生活垃圾由环卫部门定期清运</w:t>
                  </w:r>
                </w:p>
              </w:tc>
              <w:tc>
                <w:tcPr>
                  <w:tcW w:w="626" w:type="pct"/>
                  <w:tcBorders>
                    <w:tl2br w:val="nil"/>
                    <w:tr2bl w:val="nil"/>
                  </w:tcBorders>
                  <w:noWrap w:val="0"/>
                  <w:vAlign w:val="center"/>
                </w:tcPr>
                <w:p w14:paraId="1C44583F">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r w14:paraId="75A5C02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3BDFC2BB">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vMerge w:val="continue"/>
                  <w:tcBorders>
                    <w:tl2br w:val="nil"/>
                    <w:tr2bl w:val="nil"/>
                  </w:tcBorders>
                  <w:noWrap w:val="0"/>
                  <w:vAlign w:val="center"/>
                </w:tcPr>
                <w:p w14:paraId="144C1276">
                  <w:pPr>
                    <w:pStyle w:val="114"/>
                    <w:snapToGrid w:val="0"/>
                    <w:spacing w:line="360" w:lineRule="exact"/>
                    <w:jc w:val="center"/>
                    <w:rPr>
                      <w:rFonts w:hint="default" w:ascii="Times New Roman" w:hAnsi="Times New Roman" w:eastAsia="宋体" w:cs="Times New Roman"/>
                      <w:b w:val="0"/>
                      <w:bCs w:val="0"/>
                      <w:color w:val="auto"/>
                      <w:sz w:val="21"/>
                      <w:szCs w:val="21"/>
                    </w:rPr>
                  </w:pPr>
                </w:p>
              </w:tc>
              <w:tc>
                <w:tcPr>
                  <w:tcW w:w="3089" w:type="pct"/>
                  <w:tcBorders>
                    <w:tl2br w:val="nil"/>
                    <w:tr2bl w:val="nil"/>
                  </w:tcBorders>
                  <w:noWrap w:val="0"/>
                  <w:vAlign w:val="center"/>
                </w:tcPr>
                <w:p w14:paraId="7A9D5F48">
                  <w:pPr>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1座10</w:t>
                  </w:r>
                  <w:r>
                    <w:rPr>
                      <w:rFonts w:hint="default" w:ascii="Times New Roman" w:hAnsi="Times New Roman" w:eastAsia="宋体" w:cs="Times New Roman"/>
                      <w:b w:val="0"/>
                      <w:bCs w:val="0"/>
                      <w:color w:val="auto"/>
                      <w:sz w:val="21"/>
                      <w:szCs w:val="21"/>
                      <w:highlight w:val="none"/>
                      <w:lang w:val="en-US" w:eastAsia="zh-CN"/>
                    </w:rPr>
                    <w:t>0</w:t>
                  </w:r>
                  <w:r>
                    <w:rPr>
                      <w:rFonts w:hint="default" w:ascii="Times New Roman" w:hAnsi="Times New Roman" w:eastAsia="宋体" w:cs="Times New Roman"/>
                      <w:b w:val="0"/>
                      <w:bCs w:val="0"/>
                      <w:color w:val="auto"/>
                      <w:sz w:val="21"/>
                      <w:szCs w:val="21"/>
                      <w:highlight w:val="none"/>
                    </w:rPr>
                    <w:t>m</w:t>
                  </w:r>
                  <w:r>
                    <w:rPr>
                      <w:rFonts w:hint="default" w:ascii="Times New Roman" w:hAnsi="Times New Roman" w:eastAsia="宋体" w:cs="Times New Roman"/>
                      <w:b w:val="0"/>
                      <w:bCs w:val="0"/>
                      <w:color w:val="auto"/>
                      <w:sz w:val="21"/>
                      <w:szCs w:val="21"/>
                      <w:highlight w:val="none"/>
                      <w:vertAlign w:val="superscript"/>
                    </w:rPr>
                    <w:t>2</w:t>
                  </w:r>
                  <w:r>
                    <w:rPr>
                      <w:rFonts w:hint="default" w:ascii="Times New Roman" w:hAnsi="Times New Roman" w:eastAsia="宋体" w:cs="Times New Roman"/>
                      <w:b w:val="0"/>
                      <w:bCs w:val="0"/>
                      <w:color w:val="auto"/>
                      <w:sz w:val="21"/>
                      <w:szCs w:val="21"/>
                      <w:highlight w:val="none"/>
                    </w:rPr>
                    <w:t>一般固废暂存间</w:t>
                  </w:r>
                </w:p>
              </w:tc>
              <w:tc>
                <w:tcPr>
                  <w:tcW w:w="626" w:type="pct"/>
                  <w:tcBorders>
                    <w:tl2br w:val="nil"/>
                    <w:tr2bl w:val="nil"/>
                  </w:tcBorders>
                  <w:noWrap w:val="0"/>
                  <w:vAlign w:val="center"/>
                </w:tcPr>
                <w:p w14:paraId="1F1A22DD">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r w14:paraId="305842A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29A3D7CD">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78915D10">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48" w:name="_Toc2504"/>
                  <w:bookmarkStart w:id="49" w:name="_Toc1843"/>
                  <w:r>
                    <w:rPr>
                      <w:rFonts w:hint="default" w:ascii="Times New Roman" w:hAnsi="Times New Roman" w:eastAsia="宋体" w:cs="Times New Roman"/>
                      <w:b w:val="0"/>
                      <w:bCs w:val="0"/>
                      <w:color w:val="auto"/>
                      <w:sz w:val="21"/>
                      <w:szCs w:val="21"/>
                    </w:rPr>
                    <w:t>危险废物</w:t>
                  </w:r>
                  <w:bookmarkEnd w:id="48"/>
                  <w:bookmarkEnd w:id="49"/>
                </w:p>
              </w:tc>
              <w:tc>
                <w:tcPr>
                  <w:tcW w:w="3089" w:type="pct"/>
                  <w:tcBorders>
                    <w:tl2br w:val="nil"/>
                    <w:tr2bl w:val="nil"/>
                  </w:tcBorders>
                  <w:noWrap w:val="0"/>
                  <w:vAlign w:val="center"/>
                </w:tcPr>
                <w:p w14:paraId="6D33C09F">
                  <w:pPr>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1座</w:t>
                  </w:r>
                  <w:r>
                    <w:rPr>
                      <w:rFonts w:hint="default" w:ascii="Times New Roman" w:hAnsi="Times New Roman" w:eastAsia="宋体" w:cs="Times New Roman"/>
                      <w:b w:val="0"/>
                      <w:bCs w:val="0"/>
                      <w:color w:val="auto"/>
                      <w:sz w:val="21"/>
                      <w:szCs w:val="21"/>
                      <w:highlight w:val="none"/>
                      <w:lang w:val="en-US" w:eastAsia="zh-CN"/>
                    </w:rPr>
                    <w:t>50</w:t>
                  </w:r>
                  <w:r>
                    <w:rPr>
                      <w:rFonts w:hint="default" w:ascii="Times New Roman" w:hAnsi="Times New Roman" w:eastAsia="宋体" w:cs="Times New Roman"/>
                      <w:b w:val="0"/>
                      <w:bCs w:val="0"/>
                      <w:color w:val="auto"/>
                      <w:sz w:val="21"/>
                      <w:szCs w:val="21"/>
                      <w:highlight w:val="none"/>
                    </w:rPr>
                    <w:t>m</w:t>
                  </w:r>
                  <w:r>
                    <w:rPr>
                      <w:rFonts w:hint="default" w:ascii="Times New Roman" w:hAnsi="Times New Roman" w:eastAsia="宋体" w:cs="Times New Roman"/>
                      <w:b w:val="0"/>
                      <w:bCs w:val="0"/>
                      <w:color w:val="auto"/>
                      <w:sz w:val="21"/>
                      <w:szCs w:val="21"/>
                      <w:highlight w:val="none"/>
                      <w:vertAlign w:val="superscript"/>
                    </w:rPr>
                    <w:t>2</w:t>
                  </w:r>
                  <w:r>
                    <w:rPr>
                      <w:rFonts w:hint="default" w:ascii="Times New Roman" w:hAnsi="Times New Roman" w:eastAsia="宋体" w:cs="Times New Roman"/>
                      <w:b w:val="0"/>
                      <w:bCs w:val="0"/>
                      <w:color w:val="auto"/>
                      <w:sz w:val="21"/>
                      <w:szCs w:val="21"/>
                      <w:highlight w:val="none"/>
                    </w:rPr>
                    <w:t>危废暂存间</w:t>
                  </w:r>
                </w:p>
              </w:tc>
              <w:tc>
                <w:tcPr>
                  <w:tcW w:w="626" w:type="pct"/>
                  <w:tcBorders>
                    <w:tl2br w:val="nil"/>
                    <w:tr2bl w:val="nil"/>
                  </w:tcBorders>
                  <w:noWrap w:val="0"/>
                  <w:vAlign w:val="center"/>
                </w:tcPr>
                <w:p w14:paraId="45133B7B">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r w14:paraId="3CCEB86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34ECAEC9">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61DEE9F6">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50" w:name="_Toc25491"/>
                  <w:bookmarkStart w:id="51" w:name="_Toc17843"/>
                  <w:r>
                    <w:rPr>
                      <w:rFonts w:hint="default" w:ascii="Times New Roman" w:hAnsi="Times New Roman" w:eastAsia="宋体" w:cs="Times New Roman"/>
                      <w:b w:val="0"/>
                      <w:bCs w:val="0"/>
                      <w:color w:val="auto"/>
                      <w:sz w:val="21"/>
                      <w:szCs w:val="21"/>
                    </w:rPr>
                    <w:t>噪声</w:t>
                  </w:r>
                  <w:bookmarkEnd w:id="50"/>
                  <w:bookmarkEnd w:id="51"/>
                </w:p>
              </w:tc>
              <w:tc>
                <w:tcPr>
                  <w:tcW w:w="3089" w:type="pct"/>
                  <w:tcBorders>
                    <w:tl2br w:val="nil"/>
                    <w:tr2bl w:val="nil"/>
                  </w:tcBorders>
                  <w:noWrap w:val="0"/>
                  <w:vAlign w:val="center"/>
                </w:tcPr>
                <w:p w14:paraId="5BE70F38">
                  <w:pPr>
                    <w:pStyle w:val="114"/>
                    <w:snapToGrid w:val="0"/>
                    <w:spacing w:line="360" w:lineRule="exact"/>
                    <w:jc w:val="center"/>
                    <w:rPr>
                      <w:rFonts w:hint="default" w:ascii="Times New Roman" w:hAnsi="Times New Roman" w:eastAsia="宋体" w:cs="Times New Roman"/>
                      <w:b w:val="0"/>
                      <w:bCs w:val="0"/>
                      <w:color w:val="auto"/>
                      <w:sz w:val="21"/>
                      <w:szCs w:val="21"/>
                      <w:highlight w:val="none"/>
                    </w:rPr>
                  </w:pPr>
                  <w:bookmarkStart w:id="52" w:name="_Toc2155"/>
                  <w:bookmarkStart w:id="53" w:name="_Toc24498"/>
                  <w:r>
                    <w:rPr>
                      <w:rFonts w:hint="default" w:ascii="Times New Roman" w:hAnsi="Times New Roman" w:eastAsia="宋体" w:cs="Times New Roman"/>
                      <w:b w:val="0"/>
                      <w:bCs w:val="0"/>
                      <w:color w:val="auto"/>
                      <w:sz w:val="21"/>
                      <w:szCs w:val="21"/>
                      <w:highlight w:val="none"/>
                    </w:rPr>
                    <w:t>车间隔声、基础减震、距离衰减</w:t>
                  </w:r>
                  <w:bookmarkEnd w:id="52"/>
                  <w:bookmarkEnd w:id="53"/>
                </w:p>
              </w:tc>
              <w:tc>
                <w:tcPr>
                  <w:tcW w:w="626" w:type="pct"/>
                  <w:tcBorders>
                    <w:tl2br w:val="nil"/>
                    <w:tr2bl w:val="nil"/>
                  </w:tcBorders>
                  <w:noWrap w:val="0"/>
                  <w:vAlign w:val="center"/>
                </w:tcPr>
                <w:p w14:paraId="00E343C7">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r w14:paraId="5EE7D15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340" w:hRule="atLeast"/>
              </w:trPr>
              <w:tc>
                <w:tcPr>
                  <w:tcW w:w="568" w:type="pct"/>
                  <w:vMerge w:val="continue"/>
                  <w:tcBorders>
                    <w:tl2br w:val="nil"/>
                    <w:tr2bl w:val="nil"/>
                  </w:tcBorders>
                  <w:noWrap w:val="0"/>
                  <w:vAlign w:val="center"/>
                </w:tcPr>
                <w:p w14:paraId="0162B614">
                  <w:pPr>
                    <w:adjustRightInd w:val="0"/>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24734A30">
                  <w:pPr>
                    <w:pStyle w:val="114"/>
                    <w:snapToGrid w:val="0"/>
                    <w:spacing w:line="360" w:lineRule="exact"/>
                    <w:jc w:val="center"/>
                    <w:rPr>
                      <w:rFonts w:hint="default" w:ascii="Times New Roman" w:hAnsi="Times New Roman" w:eastAsia="宋体" w:cs="Times New Roman"/>
                      <w:b w:val="0"/>
                      <w:bCs w:val="0"/>
                      <w:color w:val="auto"/>
                      <w:sz w:val="21"/>
                      <w:szCs w:val="21"/>
                    </w:rPr>
                  </w:pPr>
                  <w:bookmarkStart w:id="54" w:name="_Toc32335"/>
                  <w:bookmarkStart w:id="55" w:name="_Toc131"/>
                  <w:r>
                    <w:rPr>
                      <w:rFonts w:hint="default" w:ascii="Times New Roman" w:hAnsi="Times New Roman" w:eastAsia="宋体" w:cs="Times New Roman"/>
                      <w:b w:val="0"/>
                      <w:bCs w:val="0"/>
                      <w:color w:val="auto"/>
                      <w:sz w:val="21"/>
                      <w:szCs w:val="21"/>
                    </w:rPr>
                    <w:t>环境风险</w:t>
                  </w:r>
                  <w:bookmarkEnd w:id="54"/>
                  <w:bookmarkEnd w:id="55"/>
                </w:p>
              </w:tc>
              <w:tc>
                <w:tcPr>
                  <w:tcW w:w="3089" w:type="pct"/>
                  <w:tcBorders>
                    <w:tl2br w:val="nil"/>
                    <w:tr2bl w:val="nil"/>
                  </w:tcBorders>
                  <w:noWrap w:val="0"/>
                  <w:vAlign w:val="center"/>
                </w:tcPr>
                <w:p w14:paraId="5B23FA0D">
                  <w:pPr>
                    <w:pStyle w:val="114"/>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val="0"/>
                      <w:color w:val="auto"/>
                      <w:sz w:val="21"/>
                      <w:szCs w:val="21"/>
                      <w:highlight w:val="none"/>
                    </w:rPr>
                  </w:pPr>
                  <w:bookmarkStart w:id="56" w:name="_Toc30829"/>
                  <w:bookmarkStart w:id="57" w:name="_Toc2423"/>
                  <w:r>
                    <w:rPr>
                      <w:rFonts w:hint="default" w:ascii="Times New Roman" w:hAnsi="Times New Roman" w:eastAsia="宋体" w:cs="Times New Roman"/>
                      <w:b w:val="0"/>
                      <w:bCs w:val="0"/>
                      <w:color w:val="auto"/>
                      <w:sz w:val="21"/>
                      <w:szCs w:val="21"/>
                      <w:highlight w:val="none"/>
                    </w:rPr>
                    <w:t>危废暂存间内设置围堰</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并</w:t>
                  </w:r>
                  <w:r>
                    <w:rPr>
                      <w:rFonts w:hint="default" w:ascii="Times New Roman" w:hAnsi="Times New Roman" w:eastAsia="宋体" w:cs="Times New Roman"/>
                      <w:b w:val="0"/>
                      <w:bCs w:val="0"/>
                      <w:color w:val="auto"/>
                      <w:sz w:val="21"/>
                      <w:szCs w:val="21"/>
                      <w:highlight w:val="none"/>
                    </w:rPr>
                    <w:t>根据相关规定进行防腐防渗；生产线所在区域地面做硬化及防渗处理，内表面均采取防渗、防腐蚀的处理</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按要求配置相应的安全生产事件应急物资</w:t>
                  </w:r>
                  <w:bookmarkEnd w:id="56"/>
                  <w:bookmarkEnd w:id="57"/>
                </w:p>
              </w:tc>
              <w:tc>
                <w:tcPr>
                  <w:tcW w:w="626" w:type="pct"/>
                  <w:tcBorders>
                    <w:tl2br w:val="nil"/>
                    <w:tr2bl w:val="nil"/>
                  </w:tcBorders>
                  <w:noWrap w:val="0"/>
                  <w:vAlign w:val="center"/>
                </w:tcPr>
                <w:p w14:paraId="08235785">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r w14:paraId="2ED97EB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cantSplit/>
                <w:trHeight w:val="90" w:hRule="atLeast"/>
              </w:trPr>
              <w:tc>
                <w:tcPr>
                  <w:tcW w:w="568" w:type="pct"/>
                  <w:vMerge w:val="continue"/>
                  <w:tcBorders>
                    <w:tl2br w:val="nil"/>
                    <w:tr2bl w:val="nil"/>
                  </w:tcBorders>
                  <w:noWrap w:val="0"/>
                  <w:vAlign w:val="center"/>
                </w:tcPr>
                <w:p w14:paraId="164AE81D">
                  <w:pPr>
                    <w:pStyle w:val="114"/>
                    <w:snapToGrid w:val="0"/>
                    <w:spacing w:line="360" w:lineRule="exact"/>
                    <w:jc w:val="center"/>
                    <w:rPr>
                      <w:rFonts w:hint="default" w:ascii="Times New Roman" w:hAnsi="Times New Roman" w:eastAsia="宋体" w:cs="Times New Roman"/>
                      <w:b w:val="0"/>
                      <w:bCs w:val="0"/>
                      <w:color w:val="auto"/>
                      <w:sz w:val="21"/>
                      <w:szCs w:val="21"/>
                    </w:rPr>
                  </w:pPr>
                </w:p>
              </w:tc>
              <w:tc>
                <w:tcPr>
                  <w:tcW w:w="716" w:type="pct"/>
                  <w:tcBorders>
                    <w:tl2br w:val="nil"/>
                    <w:tr2bl w:val="nil"/>
                  </w:tcBorders>
                  <w:noWrap w:val="0"/>
                  <w:vAlign w:val="center"/>
                </w:tcPr>
                <w:p w14:paraId="73E5A3B7">
                  <w:pPr>
                    <w:pStyle w:val="114"/>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val="0"/>
                      <w:color w:val="auto"/>
                      <w:sz w:val="21"/>
                      <w:szCs w:val="21"/>
                    </w:rPr>
                  </w:pPr>
                  <w:bookmarkStart w:id="58" w:name="_Toc29925"/>
                  <w:bookmarkStart w:id="59" w:name="_Toc27544"/>
                  <w:r>
                    <w:rPr>
                      <w:rFonts w:hint="default" w:ascii="Times New Roman" w:hAnsi="Times New Roman" w:eastAsia="宋体" w:cs="Times New Roman"/>
                      <w:b w:val="0"/>
                      <w:bCs w:val="0"/>
                      <w:color w:val="auto"/>
                      <w:sz w:val="21"/>
                      <w:szCs w:val="21"/>
                    </w:rPr>
                    <w:t>地下水、土壤</w:t>
                  </w:r>
                  <w:bookmarkEnd w:id="58"/>
                  <w:bookmarkEnd w:id="59"/>
                </w:p>
              </w:tc>
              <w:tc>
                <w:tcPr>
                  <w:tcW w:w="3089" w:type="pct"/>
                  <w:tcBorders>
                    <w:tl2br w:val="nil"/>
                    <w:tr2bl w:val="nil"/>
                  </w:tcBorders>
                  <w:noWrap w:val="0"/>
                  <w:vAlign w:val="center"/>
                </w:tcPr>
                <w:p w14:paraId="2313779D">
                  <w:pPr>
                    <w:pStyle w:val="114"/>
                    <w:snapToGrid w:val="0"/>
                    <w:spacing w:line="360" w:lineRule="exact"/>
                    <w:jc w:val="center"/>
                    <w:rPr>
                      <w:rFonts w:hint="default" w:ascii="Times New Roman" w:hAnsi="Times New Roman" w:eastAsia="宋体" w:cs="Times New Roman"/>
                      <w:b w:val="0"/>
                      <w:bCs w:val="0"/>
                      <w:color w:val="auto"/>
                      <w:sz w:val="21"/>
                      <w:szCs w:val="21"/>
                      <w:highlight w:val="none"/>
                    </w:rPr>
                  </w:pPr>
                  <w:bookmarkStart w:id="60" w:name="_Toc20650"/>
                  <w:bookmarkStart w:id="61" w:name="_Toc1140"/>
                  <w:r>
                    <w:rPr>
                      <w:rFonts w:hint="default" w:ascii="Times New Roman" w:hAnsi="Times New Roman" w:eastAsia="宋体" w:cs="Times New Roman"/>
                      <w:b w:val="0"/>
                      <w:bCs w:val="0"/>
                      <w:color w:val="auto"/>
                      <w:sz w:val="21"/>
                      <w:szCs w:val="21"/>
                      <w:highlight w:val="none"/>
                    </w:rPr>
                    <w:t>厂区分区防渗</w:t>
                  </w:r>
                  <w:bookmarkEnd w:id="60"/>
                  <w:bookmarkEnd w:id="61"/>
                </w:p>
              </w:tc>
              <w:tc>
                <w:tcPr>
                  <w:tcW w:w="626" w:type="pct"/>
                  <w:tcBorders>
                    <w:tl2br w:val="nil"/>
                    <w:tr2bl w:val="nil"/>
                  </w:tcBorders>
                  <w:noWrap w:val="0"/>
                  <w:vAlign w:val="center"/>
                </w:tcPr>
                <w:p w14:paraId="7C6982AA">
                  <w:pPr>
                    <w:snapToGrid w:val="0"/>
                    <w:spacing w:line="36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新建</w:t>
                  </w:r>
                </w:p>
              </w:tc>
            </w:tr>
          </w:tbl>
          <w:p w14:paraId="01089903">
            <w:pPr>
              <w:pStyle w:val="2"/>
              <w:rPr>
                <w:rFonts w:hint="eastAsia" w:ascii="Times New Roman" w:hAnsi="Times New Roman" w:eastAsia="宋体" w:cs="Times New Roman"/>
                <w:b/>
                <w:bCs/>
                <w:color w:val="000000"/>
                <w:lang w:val="en-US" w:eastAsia="zh-CN"/>
              </w:rPr>
            </w:pPr>
            <w:bookmarkStart w:id="62" w:name="_Toc13969"/>
            <w:bookmarkStart w:id="63" w:name="_Toc14274"/>
            <w:r>
              <w:rPr>
                <w:rFonts w:hint="eastAsia" w:ascii="Times New Roman" w:hAnsi="Times New Roman" w:eastAsia="宋体" w:cs="Times New Roman"/>
                <w:b/>
                <w:bCs/>
                <w:color w:val="000000"/>
                <w:lang w:val="en-US" w:eastAsia="zh-CN"/>
              </w:rPr>
              <w:t>4、产品方案</w:t>
            </w:r>
            <w:bookmarkEnd w:id="62"/>
            <w:bookmarkEnd w:id="63"/>
          </w:p>
          <w:p w14:paraId="7F479E4A">
            <w:pPr>
              <w:pStyle w:val="96"/>
              <w:ind w:firstLine="480"/>
              <w:rPr>
                <w:b w:val="0"/>
                <w:bCs w:val="0"/>
                <w:color w:val="auto"/>
              </w:rPr>
            </w:pPr>
            <w:r>
              <w:rPr>
                <w:b w:val="0"/>
                <w:bCs w:val="0"/>
                <w:color w:val="auto"/>
              </w:rPr>
              <w:t>本</w:t>
            </w:r>
            <w:r>
              <w:rPr>
                <w:b w:val="0"/>
                <w:bCs w:val="0"/>
                <w:color w:val="auto"/>
                <w:lang w:val="zh-CN"/>
              </w:rPr>
              <w:t>项目产品方案见表</w:t>
            </w:r>
            <w:r>
              <w:rPr>
                <w:b w:val="0"/>
                <w:bCs w:val="0"/>
                <w:color w:val="auto"/>
              </w:rPr>
              <w:t>2-</w:t>
            </w:r>
            <w:r>
              <w:rPr>
                <w:rFonts w:hint="eastAsia"/>
                <w:b w:val="0"/>
                <w:bCs w:val="0"/>
                <w:color w:val="auto"/>
                <w:lang w:val="en-US" w:eastAsia="zh-CN"/>
              </w:rPr>
              <w:t>2、本项目建成后全厂产品方案见表2-3</w:t>
            </w:r>
            <w:r>
              <w:rPr>
                <w:b w:val="0"/>
                <w:bCs w:val="0"/>
                <w:color w:val="auto"/>
              </w:rPr>
              <w:t>。</w:t>
            </w:r>
          </w:p>
          <w:p w14:paraId="74C8935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cs="Times New Roman"/>
                <w:b w:val="0"/>
                <w:bCs w:val="0"/>
                <w:color w:val="000000"/>
                <w:lang w:val="en-US" w:eastAsia="zh-CN"/>
              </w:rPr>
            </w:pPr>
            <w:r>
              <w:rPr>
                <w:rFonts w:hint="default" w:ascii="Times New Roman" w:hAnsi="Times New Roman" w:eastAsia="宋体" w:cs="Times New Roman"/>
                <w:b/>
                <w:bCs/>
                <w:snapToGrid w:val="0"/>
                <w:color w:val="auto"/>
                <w:kern w:val="0"/>
                <w:sz w:val="24"/>
                <w:szCs w:val="24"/>
                <w:u w:val="none" w:color="auto"/>
                <w:lang w:val="en-US" w:eastAsia="zh-CN" w:bidi="ar-SA"/>
              </w:rPr>
              <w:t>表2-</w:t>
            </w:r>
            <w:r>
              <w:rPr>
                <w:rFonts w:hint="eastAsia" w:cs="Times New Roman"/>
                <w:b/>
                <w:bCs/>
                <w:snapToGrid w:val="0"/>
                <w:color w:val="auto"/>
                <w:kern w:val="0"/>
                <w:sz w:val="24"/>
                <w:szCs w:val="24"/>
                <w:u w:val="none" w:color="auto"/>
                <w:lang w:val="en-US" w:eastAsia="zh-CN" w:bidi="ar-SA"/>
              </w:rPr>
              <w:t>2</w:t>
            </w:r>
            <w:r>
              <w:rPr>
                <w:rFonts w:hint="default" w:ascii="Times New Roman" w:hAnsi="Times New Roman" w:eastAsia="宋体" w:cs="Times New Roman"/>
                <w:b/>
                <w:bCs/>
                <w:snapToGrid w:val="0"/>
                <w:color w:val="auto"/>
                <w:kern w:val="0"/>
                <w:sz w:val="24"/>
                <w:szCs w:val="24"/>
                <w:u w:val="none" w:color="auto"/>
                <w:lang w:val="en-US" w:eastAsia="zh-CN" w:bidi="ar-SA"/>
              </w:rPr>
              <w:t xml:space="preserve">   </w:t>
            </w:r>
            <w:r>
              <w:rPr>
                <w:rFonts w:hint="eastAsia" w:cs="Times New Roman"/>
                <w:b/>
                <w:bCs/>
                <w:snapToGrid w:val="0"/>
                <w:color w:val="auto"/>
                <w:kern w:val="0"/>
                <w:sz w:val="24"/>
                <w:szCs w:val="24"/>
                <w:u w:val="none" w:color="auto"/>
                <w:lang w:val="en-US" w:eastAsia="zh-CN" w:bidi="ar-SA"/>
              </w:rPr>
              <w:t xml:space="preserve">     </w:t>
            </w:r>
            <w:r>
              <w:rPr>
                <w:rFonts w:hint="default" w:ascii="Times New Roman" w:hAnsi="Times New Roman" w:eastAsia="宋体" w:cs="Times New Roman"/>
                <w:b/>
                <w:bCs/>
                <w:snapToGrid w:val="0"/>
                <w:color w:val="auto"/>
                <w:kern w:val="0"/>
                <w:sz w:val="24"/>
                <w:szCs w:val="24"/>
                <w:u w:val="none" w:color="auto"/>
                <w:lang w:val="en-US" w:eastAsia="zh-CN" w:bidi="ar-SA"/>
              </w:rPr>
              <w:t>项目产品方案</w:t>
            </w:r>
          </w:p>
          <w:tbl>
            <w:tblPr>
              <w:tblStyle w:val="39"/>
              <w:tblW w:w="4913"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459"/>
              <w:gridCol w:w="894"/>
              <w:gridCol w:w="1112"/>
              <w:gridCol w:w="2015"/>
              <w:gridCol w:w="963"/>
              <w:gridCol w:w="2631"/>
            </w:tblGrid>
            <w:tr w14:paraId="308362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84" w:hRule="atLeast"/>
              </w:trPr>
              <w:tc>
                <w:tcPr>
                  <w:tcW w:w="284" w:type="pct"/>
                  <w:tcBorders>
                    <w:tl2br w:val="nil"/>
                    <w:tr2bl w:val="nil"/>
                  </w:tcBorders>
                  <w:noWrap w:val="0"/>
                  <w:vAlign w:val="center"/>
                </w:tcPr>
                <w:p w14:paraId="6BC5E790">
                  <w:pPr>
                    <w:pStyle w:val="115"/>
                    <w:rPr>
                      <w:b w:val="0"/>
                      <w:bCs w:val="0"/>
                      <w:color w:val="auto"/>
                      <w:u w:val="none" w:color="auto"/>
                    </w:rPr>
                  </w:pPr>
                  <w:r>
                    <w:rPr>
                      <w:b w:val="0"/>
                      <w:bCs w:val="0"/>
                      <w:color w:val="auto"/>
                      <w:u w:val="none" w:color="auto"/>
                    </w:rPr>
                    <w:t>序号</w:t>
                  </w:r>
                </w:p>
              </w:tc>
              <w:tc>
                <w:tcPr>
                  <w:tcW w:w="553" w:type="pct"/>
                  <w:tcBorders>
                    <w:tl2br w:val="nil"/>
                    <w:tr2bl w:val="nil"/>
                  </w:tcBorders>
                  <w:noWrap w:val="0"/>
                  <w:vAlign w:val="center"/>
                </w:tcPr>
                <w:p w14:paraId="321CEF58">
                  <w:pPr>
                    <w:pStyle w:val="115"/>
                    <w:rPr>
                      <w:b w:val="0"/>
                      <w:bCs w:val="0"/>
                      <w:color w:val="auto"/>
                      <w:u w:val="none" w:color="auto"/>
                    </w:rPr>
                  </w:pPr>
                  <w:r>
                    <w:rPr>
                      <w:b w:val="0"/>
                      <w:bCs w:val="0"/>
                      <w:color w:val="auto"/>
                      <w:u w:val="none" w:color="auto"/>
                    </w:rPr>
                    <w:t>产品名称</w:t>
                  </w:r>
                </w:p>
              </w:tc>
              <w:tc>
                <w:tcPr>
                  <w:tcW w:w="1936" w:type="pct"/>
                  <w:gridSpan w:val="2"/>
                  <w:tcBorders>
                    <w:tl2br w:val="nil"/>
                    <w:tr2bl w:val="nil"/>
                  </w:tcBorders>
                  <w:noWrap w:val="0"/>
                  <w:vAlign w:val="center"/>
                </w:tcPr>
                <w:p w14:paraId="7F9FD0B4">
                  <w:pPr>
                    <w:pStyle w:val="115"/>
                    <w:rPr>
                      <w:rFonts w:hint="eastAsia" w:eastAsia="宋体"/>
                      <w:b w:val="0"/>
                      <w:bCs w:val="0"/>
                      <w:color w:val="auto"/>
                      <w:u w:val="none" w:color="auto"/>
                      <w:lang w:eastAsia="zh-CN"/>
                    </w:rPr>
                  </w:pPr>
                  <w:r>
                    <w:rPr>
                      <w:rFonts w:hint="eastAsia"/>
                      <w:b w:val="0"/>
                      <w:bCs w:val="0"/>
                      <w:color w:val="auto"/>
                      <w:u w:val="none" w:color="auto"/>
                      <w:lang w:val="en-US" w:eastAsia="zh-CN"/>
                    </w:rPr>
                    <w:t>年产</w:t>
                  </w:r>
                  <w:r>
                    <w:rPr>
                      <w:b w:val="0"/>
                      <w:bCs w:val="0"/>
                      <w:color w:val="auto"/>
                      <w:u w:val="none" w:color="auto"/>
                    </w:rPr>
                    <w:t>规模</w:t>
                  </w:r>
                </w:p>
              </w:tc>
              <w:tc>
                <w:tcPr>
                  <w:tcW w:w="596" w:type="pct"/>
                  <w:tcBorders>
                    <w:right w:val="single" w:color="auto" w:sz="4" w:space="0"/>
                    <w:tl2br w:val="nil"/>
                    <w:tr2bl w:val="nil"/>
                  </w:tcBorders>
                  <w:noWrap w:val="0"/>
                  <w:vAlign w:val="center"/>
                </w:tcPr>
                <w:p w14:paraId="623BBBAA">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规格</w:t>
                  </w:r>
                </w:p>
              </w:tc>
              <w:tc>
                <w:tcPr>
                  <w:tcW w:w="1629" w:type="pct"/>
                  <w:tcBorders>
                    <w:right w:val="single" w:color="auto" w:sz="4" w:space="0"/>
                    <w:tl2br w:val="nil"/>
                    <w:tr2bl w:val="nil"/>
                  </w:tcBorders>
                  <w:noWrap w:val="0"/>
                  <w:vAlign w:val="center"/>
                </w:tcPr>
                <w:p w14:paraId="332C2DAB">
                  <w:pPr>
                    <w:pStyle w:val="115"/>
                    <w:rPr>
                      <w:rFonts w:hint="default"/>
                      <w:b w:val="0"/>
                      <w:bCs w:val="0"/>
                      <w:color w:val="auto"/>
                      <w:u w:val="none" w:color="auto"/>
                      <w:lang w:val="en-US" w:eastAsia="zh-CN"/>
                    </w:rPr>
                  </w:pPr>
                  <w:r>
                    <w:rPr>
                      <w:rFonts w:hint="eastAsia"/>
                      <w:b w:val="0"/>
                      <w:bCs w:val="0"/>
                      <w:color w:val="auto"/>
                      <w:u w:val="none" w:color="auto"/>
                      <w:lang w:val="en-US" w:eastAsia="zh-CN"/>
                    </w:rPr>
                    <w:t>备注</w:t>
                  </w:r>
                </w:p>
              </w:tc>
            </w:tr>
            <w:tr w14:paraId="156D30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13" w:hRule="atLeast"/>
              </w:trPr>
              <w:tc>
                <w:tcPr>
                  <w:tcW w:w="284" w:type="pct"/>
                  <w:vMerge w:val="restart"/>
                  <w:tcBorders>
                    <w:tl2br w:val="nil"/>
                    <w:tr2bl w:val="nil"/>
                  </w:tcBorders>
                  <w:noWrap w:val="0"/>
                  <w:vAlign w:val="center"/>
                </w:tcPr>
                <w:p w14:paraId="6D7CFE79">
                  <w:pPr>
                    <w:pStyle w:val="115"/>
                    <w:rPr>
                      <w:b w:val="0"/>
                      <w:bCs w:val="0"/>
                      <w:color w:val="auto"/>
                      <w:u w:val="none" w:color="auto"/>
                    </w:rPr>
                  </w:pPr>
                  <w:r>
                    <w:rPr>
                      <w:b w:val="0"/>
                      <w:bCs w:val="0"/>
                      <w:color w:val="auto"/>
                      <w:u w:val="none" w:color="auto"/>
                    </w:rPr>
                    <w:t>1</w:t>
                  </w:r>
                </w:p>
              </w:tc>
              <w:tc>
                <w:tcPr>
                  <w:tcW w:w="553" w:type="pct"/>
                  <w:vMerge w:val="restart"/>
                  <w:tcBorders>
                    <w:tl2br w:val="nil"/>
                    <w:tr2bl w:val="nil"/>
                  </w:tcBorders>
                  <w:noWrap w:val="0"/>
                  <w:vAlign w:val="center"/>
                </w:tcPr>
                <w:p w14:paraId="7A5A203C">
                  <w:pPr>
                    <w:pStyle w:val="115"/>
                    <w:rPr>
                      <w:rFonts w:hint="eastAsia"/>
                      <w:b w:val="0"/>
                      <w:bCs w:val="0"/>
                      <w:color w:val="auto"/>
                      <w:u w:val="none" w:color="auto"/>
                      <w:lang w:val="en-US" w:eastAsia="zh-CN"/>
                    </w:rPr>
                  </w:pPr>
                  <w:r>
                    <w:rPr>
                      <w:rFonts w:hint="eastAsia"/>
                      <w:b w:val="0"/>
                      <w:bCs w:val="0"/>
                      <w:color w:val="auto"/>
                      <w:u w:val="none" w:color="auto"/>
                      <w:lang w:val="en-US" w:eastAsia="zh-CN"/>
                    </w:rPr>
                    <w:t>夹胶玻璃</w:t>
                  </w:r>
                </w:p>
              </w:tc>
              <w:tc>
                <w:tcPr>
                  <w:tcW w:w="688" w:type="pct"/>
                  <w:vMerge w:val="restart"/>
                  <w:tcBorders>
                    <w:tl2br w:val="nil"/>
                    <w:tr2bl w:val="nil"/>
                  </w:tcBorders>
                  <w:noWrap w:val="0"/>
                  <w:vAlign w:val="center"/>
                </w:tcPr>
                <w:p w14:paraId="6453F13E">
                  <w:pPr>
                    <w:pStyle w:val="115"/>
                    <w:jc w:val="center"/>
                    <w:rPr>
                      <w:rFonts w:hint="default" w:eastAsia="宋体"/>
                      <w:b w:val="0"/>
                      <w:bCs w:val="0"/>
                      <w:color w:val="auto"/>
                      <w:u w:val="none" w:color="auto"/>
                      <w:lang w:val="en-US" w:eastAsia="zh-CN"/>
                    </w:rPr>
                  </w:pPr>
                  <w:r>
                    <w:rPr>
                      <w:rFonts w:hint="eastAsia"/>
                      <w:b w:val="0"/>
                      <w:bCs w:val="0"/>
                      <w:color w:val="auto"/>
                      <w:u w:val="none" w:color="auto"/>
                      <w:lang w:val="en-US" w:eastAsia="zh-CN"/>
                    </w:rPr>
                    <w:t>40万平方米（单层130万平方米）</w:t>
                  </w:r>
                </w:p>
              </w:tc>
              <w:tc>
                <w:tcPr>
                  <w:tcW w:w="1247" w:type="pct"/>
                  <w:tcBorders>
                    <w:tl2br w:val="nil"/>
                    <w:tr2bl w:val="nil"/>
                  </w:tcBorders>
                  <w:noWrap w:val="0"/>
                  <w:vAlign w:val="center"/>
                </w:tcPr>
                <w:p w14:paraId="124BC11D">
                  <w:pPr>
                    <w:keepNext w:val="0"/>
                    <w:keepLines w:val="0"/>
                    <w:widowControl/>
                    <w:suppressLineNumbers w:val="0"/>
                    <w:jc w:val="center"/>
                    <w:textAlignment w:val="center"/>
                    <w:rPr>
                      <w:rFonts w:hint="default"/>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2</w:t>
                  </w:r>
                  <w:r>
                    <w:rPr>
                      <w:rFonts w:hint="eastAsia" w:ascii="宋体" w:hAnsi="宋体" w:eastAsia="宋体" w:cs="宋体"/>
                      <w:i w:val="0"/>
                      <w:iCs w:val="0"/>
                      <w:color w:val="000000"/>
                      <w:kern w:val="0"/>
                      <w:sz w:val="21"/>
                      <w:szCs w:val="21"/>
                      <w:u w:val="none"/>
                      <w:lang w:val="en-US" w:eastAsia="zh-CN" w:bidi="ar"/>
                    </w:rPr>
                    <w:t>层：</w:t>
                  </w:r>
                  <w:r>
                    <w:rPr>
                      <w:rStyle w:val="138"/>
                      <w:rFonts w:eastAsia="宋体"/>
                      <w:lang w:val="en-US" w:eastAsia="zh-CN" w:bidi="ar"/>
                    </w:rPr>
                    <w:t>20</w:t>
                  </w:r>
                  <w:r>
                    <w:rPr>
                      <w:rFonts w:hint="eastAsia" w:ascii="宋体" w:hAnsi="宋体" w:eastAsia="宋体" w:cs="宋体"/>
                      <w:i w:val="0"/>
                      <w:iCs w:val="0"/>
                      <w:color w:val="000000"/>
                      <w:kern w:val="0"/>
                      <w:sz w:val="21"/>
                      <w:szCs w:val="21"/>
                      <w:u w:val="none"/>
                      <w:lang w:val="en-US" w:eastAsia="zh-CN" w:bidi="ar"/>
                    </w:rPr>
                    <w:t>万平方米</w:t>
                  </w:r>
                </w:p>
              </w:tc>
              <w:tc>
                <w:tcPr>
                  <w:tcW w:w="596" w:type="pct"/>
                  <w:vMerge w:val="restart"/>
                  <w:tcBorders>
                    <w:right w:val="single" w:color="auto" w:sz="4" w:space="0"/>
                    <w:tl2br w:val="nil"/>
                    <w:tr2bl w:val="nil"/>
                  </w:tcBorders>
                  <w:noWrap w:val="0"/>
                  <w:vAlign w:val="center"/>
                </w:tcPr>
                <w:p w14:paraId="7C51045D">
                  <w:pPr>
                    <w:pStyle w:val="115"/>
                    <w:rPr>
                      <w:rFonts w:hint="default" w:eastAsia="宋体"/>
                      <w:b w:val="0"/>
                      <w:bCs w:val="0"/>
                      <w:color w:val="auto"/>
                      <w:u w:val="none" w:color="auto"/>
                      <w:lang w:val="en-US" w:eastAsia="zh-CN"/>
                    </w:rPr>
                  </w:pPr>
                  <w:r>
                    <w:rPr>
                      <w:rFonts w:hint="eastAsia"/>
                      <w:b w:val="0"/>
                      <w:bCs w:val="0"/>
                      <w:color w:val="auto"/>
                      <w:u w:val="none" w:color="auto"/>
                      <w:lang w:val="en-US" w:eastAsia="zh-CN"/>
                    </w:rPr>
                    <w:t>多层，2-6层</w:t>
                  </w:r>
                </w:p>
              </w:tc>
              <w:tc>
                <w:tcPr>
                  <w:tcW w:w="1629" w:type="pct"/>
                  <w:vMerge w:val="restart"/>
                  <w:tcBorders>
                    <w:right w:val="single" w:color="auto" w:sz="4" w:space="0"/>
                    <w:tl2br w:val="nil"/>
                    <w:tr2bl w:val="nil"/>
                  </w:tcBorders>
                  <w:noWrap w:val="0"/>
                  <w:vAlign w:val="center"/>
                </w:tcPr>
                <w:p w14:paraId="246F9DD5">
                  <w:pPr>
                    <w:pStyle w:val="115"/>
                    <w:rPr>
                      <w:rFonts w:hint="default"/>
                      <w:b w:val="0"/>
                      <w:bCs w:val="0"/>
                      <w:color w:val="auto"/>
                      <w:u w:val="none" w:color="auto"/>
                      <w:lang w:val="en-US" w:eastAsia="zh-CN"/>
                    </w:rPr>
                  </w:pPr>
                  <w:r>
                    <w:rPr>
                      <w:rFonts w:hint="eastAsia"/>
                      <w:b w:val="0"/>
                      <w:bCs w:val="0"/>
                      <w:color w:val="auto"/>
                      <w:u w:val="none" w:color="auto"/>
                      <w:lang w:val="en-US" w:eastAsia="zh-CN"/>
                    </w:rPr>
                    <w:t>实际生产量为150万平方米（按单层计），其中130万平方米作为产品外售，20万平方米用于生产中空玻璃</w:t>
                  </w:r>
                </w:p>
              </w:tc>
            </w:tr>
            <w:tr w14:paraId="03BF03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13" w:hRule="atLeast"/>
              </w:trPr>
              <w:tc>
                <w:tcPr>
                  <w:tcW w:w="284" w:type="pct"/>
                  <w:vMerge w:val="continue"/>
                  <w:tcBorders>
                    <w:tl2br w:val="nil"/>
                    <w:tr2bl w:val="nil"/>
                  </w:tcBorders>
                  <w:noWrap w:val="0"/>
                  <w:vAlign w:val="center"/>
                </w:tcPr>
                <w:p w14:paraId="0F10F593">
                  <w:pPr>
                    <w:pStyle w:val="115"/>
                    <w:jc w:val="both"/>
                  </w:pPr>
                </w:p>
              </w:tc>
              <w:tc>
                <w:tcPr>
                  <w:tcW w:w="553" w:type="pct"/>
                  <w:vMerge w:val="continue"/>
                  <w:tcBorders>
                    <w:tl2br w:val="nil"/>
                    <w:tr2bl w:val="nil"/>
                  </w:tcBorders>
                  <w:noWrap w:val="0"/>
                  <w:vAlign w:val="center"/>
                </w:tcPr>
                <w:p w14:paraId="21D3DEC7">
                  <w:pPr>
                    <w:pStyle w:val="115"/>
                    <w:jc w:val="both"/>
                  </w:pPr>
                </w:p>
              </w:tc>
              <w:tc>
                <w:tcPr>
                  <w:tcW w:w="688" w:type="pct"/>
                  <w:vMerge w:val="continue"/>
                  <w:tcBorders>
                    <w:tl2br w:val="nil"/>
                    <w:tr2bl w:val="nil"/>
                  </w:tcBorders>
                  <w:noWrap w:val="0"/>
                  <w:vAlign w:val="center"/>
                </w:tcPr>
                <w:p w14:paraId="0850B6A3">
                  <w:pPr>
                    <w:pStyle w:val="115"/>
                    <w:jc w:val="center"/>
                  </w:pPr>
                </w:p>
              </w:tc>
              <w:tc>
                <w:tcPr>
                  <w:tcW w:w="1247" w:type="pct"/>
                  <w:tcBorders>
                    <w:tl2br w:val="nil"/>
                    <w:tr2bl w:val="nil"/>
                  </w:tcBorders>
                  <w:noWrap w:val="0"/>
                  <w:vAlign w:val="center"/>
                </w:tcPr>
                <w:p w14:paraId="5E8273FA">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3</w:t>
                  </w:r>
                  <w:r>
                    <w:rPr>
                      <w:rStyle w:val="139"/>
                      <w:lang w:val="en-US" w:eastAsia="zh-CN" w:bidi="ar"/>
                    </w:rPr>
                    <w:t>层：</w:t>
                  </w:r>
                  <w:r>
                    <w:rPr>
                      <w:rStyle w:val="140"/>
                      <w:rFonts w:eastAsia="宋体"/>
                      <w:lang w:val="en-US" w:eastAsia="zh-CN" w:bidi="ar"/>
                    </w:rPr>
                    <w:t>5</w:t>
                  </w:r>
                  <w:r>
                    <w:rPr>
                      <w:rStyle w:val="139"/>
                      <w:lang w:val="en-US" w:eastAsia="zh-CN" w:bidi="ar"/>
                    </w:rPr>
                    <w:t>万平方米</w:t>
                  </w:r>
                </w:p>
              </w:tc>
              <w:tc>
                <w:tcPr>
                  <w:tcW w:w="596" w:type="pct"/>
                  <w:vMerge w:val="continue"/>
                  <w:tcBorders>
                    <w:right w:val="single" w:color="auto" w:sz="4" w:space="0"/>
                    <w:tl2br w:val="nil"/>
                    <w:tr2bl w:val="nil"/>
                  </w:tcBorders>
                  <w:noWrap w:val="0"/>
                  <w:vAlign w:val="center"/>
                </w:tcPr>
                <w:p w14:paraId="6564E552">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1D19A230">
                  <w:pPr>
                    <w:pStyle w:val="115"/>
                    <w:jc w:val="both"/>
                    <w:rPr>
                      <w:rFonts w:hint="eastAsia"/>
                      <w:b w:val="0"/>
                      <w:bCs w:val="0"/>
                      <w:color w:val="auto"/>
                      <w:u w:val="none" w:color="auto"/>
                      <w:lang w:val="en-US" w:eastAsia="zh-CN"/>
                    </w:rPr>
                  </w:pPr>
                </w:p>
              </w:tc>
            </w:tr>
            <w:tr w14:paraId="1FA73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13" w:hRule="atLeast"/>
              </w:trPr>
              <w:tc>
                <w:tcPr>
                  <w:tcW w:w="284" w:type="pct"/>
                  <w:vMerge w:val="continue"/>
                  <w:tcBorders>
                    <w:tl2br w:val="nil"/>
                    <w:tr2bl w:val="nil"/>
                  </w:tcBorders>
                  <w:noWrap w:val="0"/>
                  <w:vAlign w:val="center"/>
                </w:tcPr>
                <w:p w14:paraId="2238DD3B">
                  <w:pPr>
                    <w:pStyle w:val="115"/>
                    <w:jc w:val="both"/>
                    <w:rPr>
                      <w:rFonts w:hint="eastAsia"/>
                      <w:b w:val="0"/>
                      <w:bCs w:val="0"/>
                      <w:color w:val="auto"/>
                      <w:u w:val="none" w:color="auto"/>
                      <w:lang w:val="en-US" w:eastAsia="zh-CN"/>
                    </w:rPr>
                  </w:pPr>
                </w:p>
              </w:tc>
              <w:tc>
                <w:tcPr>
                  <w:tcW w:w="553" w:type="pct"/>
                  <w:vMerge w:val="continue"/>
                  <w:tcBorders>
                    <w:tl2br w:val="nil"/>
                    <w:tr2bl w:val="nil"/>
                  </w:tcBorders>
                  <w:noWrap w:val="0"/>
                  <w:vAlign w:val="center"/>
                </w:tcPr>
                <w:p w14:paraId="675DC576">
                  <w:pPr>
                    <w:pStyle w:val="115"/>
                    <w:jc w:val="both"/>
                    <w:rPr>
                      <w:rFonts w:hint="eastAsia"/>
                      <w:b w:val="0"/>
                      <w:bCs w:val="0"/>
                      <w:color w:val="auto"/>
                      <w:u w:val="none" w:color="auto"/>
                      <w:lang w:val="en-US" w:eastAsia="zh-CN"/>
                    </w:rPr>
                  </w:pPr>
                </w:p>
              </w:tc>
              <w:tc>
                <w:tcPr>
                  <w:tcW w:w="688" w:type="pct"/>
                  <w:vMerge w:val="continue"/>
                  <w:tcBorders>
                    <w:tl2br w:val="nil"/>
                    <w:tr2bl w:val="nil"/>
                  </w:tcBorders>
                  <w:noWrap w:val="0"/>
                  <w:vAlign w:val="center"/>
                </w:tcPr>
                <w:p w14:paraId="3020EE45">
                  <w:pPr>
                    <w:pStyle w:val="115"/>
                    <w:jc w:val="center"/>
                    <w:rPr>
                      <w:rFonts w:hint="eastAsia"/>
                      <w:b w:val="0"/>
                      <w:bCs w:val="0"/>
                      <w:color w:val="auto"/>
                      <w:u w:val="none" w:color="auto"/>
                      <w:lang w:val="en-US" w:eastAsia="zh-CN"/>
                    </w:rPr>
                  </w:pPr>
                </w:p>
              </w:tc>
              <w:tc>
                <w:tcPr>
                  <w:tcW w:w="1247" w:type="pct"/>
                  <w:tcBorders>
                    <w:tl2br w:val="nil"/>
                    <w:tr2bl w:val="nil"/>
                  </w:tcBorders>
                  <w:noWrap w:val="0"/>
                  <w:vAlign w:val="center"/>
                </w:tcPr>
                <w:p w14:paraId="6F224470">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4</w:t>
                  </w:r>
                  <w:r>
                    <w:rPr>
                      <w:rStyle w:val="139"/>
                      <w:lang w:val="en-US" w:eastAsia="zh-CN" w:bidi="ar"/>
                    </w:rPr>
                    <w:t>层：</w:t>
                  </w:r>
                  <w:r>
                    <w:rPr>
                      <w:rStyle w:val="140"/>
                      <w:rFonts w:eastAsia="宋体"/>
                      <w:lang w:val="en-US" w:eastAsia="zh-CN" w:bidi="ar"/>
                    </w:rPr>
                    <w:t>5</w:t>
                  </w:r>
                  <w:r>
                    <w:rPr>
                      <w:rStyle w:val="139"/>
                      <w:lang w:val="en-US" w:eastAsia="zh-CN" w:bidi="ar"/>
                    </w:rPr>
                    <w:t>万平方米</w:t>
                  </w:r>
                </w:p>
              </w:tc>
              <w:tc>
                <w:tcPr>
                  <w:tcW w:w="596" w:type="pct"/>
                  <w:vMerge w:val="continue"/>
                  <w:tcBorders>
                    <w:right w:val="single" w:color="auto" w:sz="4" w:space="0"/>
                    <w:tl2br w:val="nil"/>
                    <w:tr2bl w:val="nil"/>
                  </w:tcBorders>
                  <w:noWrap w:val="0"/>
                  <w:vAlign w:val="center"/>
                </w:tcPr>
                <w:p w14:paraId="032D784B">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51E4D873">
                  <w:pPr>
                    <w:pStyle w:val="115"/>
                    <w:jc w:val="both"/>
                    <w:rPr>
                      <w:rFonts w:hint="eastAsia"/>
                      <w:b w:val="0"/>
                      <w:bCs w:val="0"/>
                      <w:color w:val="auto"/>
                      <w:u w:val="none" w:color="auto"/>
                      <w:lang w:val="en-US" w:eastAsia="zh-CN"/>
                    </w:rPr>
                  </w:pPr>
                </w:p>
              </w:tc>
            </w:tr>
            <w:tr w14:paraId="26A1AF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13" w:hRule="atLeast"/>
              </w:trPr>
              <w:tc>
                <w:tcPr>
                  <w:tcW w:w="284" w:type="pct"/>
                  <w:vMerge w:val="continue"/>
                  <w:tcBorders>
                    <w:tl2br w:val="nil"/>
                    <w:tr2bl w:val="nil"/>
                  </w:tcBorders>
                  <w:noWrap w:val="0"/>
                  <w:vAlign w:val="center"/>
                </w:tcPr>
                <w:p w14:paraId="7819F9C5">
                  <w:pPr>
                    <w:pStyle w:val="115"/>
                    <w:jc w:val="both"/>
                    <w:rPr>
                      <w:rFonts w:hint="eastAsia"/>
                      <w:b w:val="0"/>
                      <w:bCs w:val="0"/>
                      <w:color w:val="auto"/>
                      <w:u w:val="none" w:color="auto"/>
                      <w:lang w:val="en-US" w:eastAsia="zh-CN"/>
                    </w:rPr>
                  </w:pPr>
                </w:p>
              </w:tc>
              <w:tc>
                <w:tcPr>
                  <w:tcW w:w="553" w:type="pct"/>
                  <w:vMerge w:val="continue"/>
                  <w:tcBorders>
                    <w:tl2br w:val="nil"/>
                    <w:tr2bl w:val="nil"/>
                  </w:tcBorders>
                  <w:noWrap w:val="0"/>
                  <w:vAlign w:val="center"/>
                </w:tcPr>
                <w:p w14:paraId="0D0B2F04">
                  <w:pPr>
                    <w:pStyle w:val="115"/>
                    <w:jc w:val="both"/>
                    <w:rPr>
                      <w:rFonts w:hint="eastAsia"/>
                      <w:b w:val="0"/>
                      <w:bCs w:val="0"/>
                      <w:color w:val="auto"/>
                      <w:u w:val="none" w:color="auto"/>
                      <w:lang w:val="en-US" w:eastAsia="zh-CN"/>
                    </w:rPr>
                  </w:pPr>
                </w:p>
              </w:tc>
              <w:tc>
                <w:tcPr>
                  <w:tcW w:w="688" w:type="pct"/>
                  <w:vMerge w:val="continue"/>
                  <w:tcBorders>
                    <w:tl2br w:val="nil"/>
                    <w:tr2bl w:val="nil"/>
                  </w:tcBorders>
                  <w:noWrap w:val="0"/>
                  <w:vAlign w:val="center"/>
                </w:tcPr>
                <w:p w14:paraId="14EC1E4F">
                  <w:pPr>
                    <w:pStyle w:val="115"/>
                    <w:jc w:val="center"/>
                    <w:rPr>
                      <w:rFonts w:hint="eastAsia"/>
                      <w:b w:val="0"/>
                      <w:bCs w:val="0"/>
                      <w:color w:val="auto"/>
                      <w:u w:val="none" w:color="auto"/>
                      <w:lang w:val="en-US" w:eastAsia="zh-CN"/>
                    </w:rPr>
                  </w:pPr>
                </w:p>
              </w:tc>
              <w:tc>
                <w:tcPr>
                  <w:tcW w:w="1247" w:type="pct"/>
                  <w:tcBorders>
                    <w:tl2br w:val="nil"/>
                    <w:tr2bl w:val="nil"/>
                  </w:tcBorders>
                  <w:noWrap w:val="0"/>
                  <w:vAlign w:val="center"/>
                </w:tcPr>
                <w:p w14:paraId="19AA93AC">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5</w:t>
                  </w:r>
                  <w:r>
                    <w:rPr>
                      <w:rStyle w:val="139"/>
                      <w:lang w:val="en-US" w:eastAsia="zh-CN" w:bidi="ar"/>
                    </w:rPr>
                    <w:t>层：</w:t>
                  </w:r>
                  <w:r>
                    <w:rPr>
                      <w:rStyle w:val="140"/>
                      <w:rFonts w:eastAsia="宋体"/>
                      <w:lang w:val="en-US" w:eastAsia="zh-CN" w:bidi="ar"/>
                    </w:rPr>
                    <w:t>5</w:t>
                  </w:r>
                  <w:r>
                    <w:rPr>
                      <w:rStyle w:val="139"/>
                      <w:lang w:val="en-US" w:eastAsia="zh-CN" w:bidi="ar"/>
                    </w:rPr>
                    <w:t>万平方米</w:t>
                  </w:r>
                </w:p>
              </w:tc>
              <w:tc>
                <w:tcPr>
                  <w:tcW w:w="596" w:type="pct"/>
                  <w:vMerge w:val="continue"/>
                  <w:tcBorders>
                    <w:right w:val="single" w:color="auto" w:sz="4" w:space="0"/>
                    <w:tl2br w:val="nil"/>
                    <w:tr2bl w:val="nil"/>
                  </w:tcBorders>
                  <w:noWrap w:val="0"/>
                  <w:vAlign w:val="center"/>
                </w:tcPr>
                <w:p w14:paraId="3E57ABEA">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04DD4701">
                  <w:pPr>
                    <w:pStyle w:val="115"/>
                    <w:jc w:val="both"/>
                    <w:rPr>
                      <w:rFonts w:hint="eastAsia"/>
                      <w:b w:val="0"/>
                      <w:bCs w:val="0"/>
                      <w:color w:val="auto"/>
                      <w:u w:val="none" w:color="auto"/>
                      <w:lang w:val="en-US" w:eastAsia="zh-CN"/>
                    </w:rPr>
                  </w:pPr>
                </w:p>
              </w:tc>
            </w:tr>
            <w:tr w14:paraId="37C5E9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13" w:hRule="atLeast"/>
              </w:trPr>
              <w:tc>
                <w:tcPr>
                  <w:tcW w:w="284" w:type="pct"/>
                  <w:vMerge w:val="continue"/>
                  <w:tcBorders>
                    <w:tl2br w:val="nil"/>
                    <w:tr2bl w:val="nil"/>
                  </w:tcBorders>
                  <w:noWrap w:val="0"/>
                  <w:vAlign w:val="center"/>
                </w:tcPr>
                <w:p w14:paraId="76230A29">
                  <w:pPr>
                    <w:pStyle w:val="115"/>
                    <w:jc w:val="both"/>
                    <w:rPr>
                      <w:rFonts w:hint="eastAsia"/>
                      <w:b w:val="0"/>
                      <w:bCs w:val="0"/>
                      <w:color w:val="auto"/>
                      <w:u w:val="none" w:color="auto"/>
                      <w:lang w:val="en-US" w:eastAsia="zh-CN"/>
                    </w:rPr>
                  </w:pPr>
                </w:p>
              </w:tc>
              <w:tc>
                <w:tcPr>
                  <w:tcW w:w="553" w:type="pct"/>
                  <w:vMerge w:val="continue"/>
                  <w:tcBorders>
                    <w:tl2br w:val="nil"/>
                    <w:tr2bl w:val="nil"/>
                  </w:tcBorders>
                  <w:noWrap w:val="0"/>
                  <w:vAlign w:val="center"/>
                </w:tcPr>
                <w:p w14:paraId="528EF833">
                  <w:pPr>
                    <w:pStyle w:val="115"/>
                    <w:jc w:val="both"/>
                    <w:rPr>
                      <w:rFonts w:hint="eastAsia"/>
                      <w:b w:val="0"/>
                      <w:bCs w:val="0"/>
                      <w:color w:val="auto"/>
                      <w:u w:val="none" w:color="auto"/>
                      <w:lang w:val="en-US" w:eastAsia="zh-CN"/>
                    </w:rPr>
                  </w:pPr>
                </w:p>
              </w:tc>
              <w:tc>
                <w:tcPr>
                  <w:tcW w:w="688" w:type="pct"/>
                  <w:vMerge w:val="continue"/>
                  <w:tcBorders>
                    <w:tl2br w:val="nil"/>
                    <w:tr2bl w:val="nil"/>
                  </w:tcBorders>
                  <w:noWrap w:val="0"/>
                  <w:vAlign w:val="center"/>
                </w:tcPr>
                <w:p w14:paraId="15B8D172">
                  <w:pPr>
                    <w:pStyle w:val="115"/>
                    <w:jc w:val="center"/>
                    <w:rPr>
                      <w:rFonts w:hint="eastAsia"/>
                      <w:b w:val="0"/>
                      <w:bCs w:val="0"/>
                      <w:color w:val="auto"/>
                      <w:u w:val="none" w:color="auto"/>
                      <w:lang w:val="en-US" w:eastAsia="zh-CN"/>
                    </w:rPr>
                  </w:pPr>
                </w:p>
              </w:tc>
              <w:tc>
                <w:tcPr>
                  <w:tcW w:w="1247" w:type="pct"/>
                  <w:tcBorders>
                    <w:tl2br w:val="nil"/>
                    <w:tr2bl w:val="nil"/>
                  </w:tcBorders>
                  <w:noWrap w:val="0"/>
                  <w:vAlign w:val="center"/>
                </w:tcPr>
                <w:p w14:paraId="570AC8EB">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6</w:t>
                  </w:r>
                  <w:r>
                    <w:rPr>
                      <w:rStyle w:val="139"/>
                      <w:lang w:val="en-US" w:eastAsia="zh-CN" w:bidi="ar"/>
                    </w:rPr>
                    <w:t>层：</w:t>
                  </w:r>
                  <w:r>
                    <w:rPr>
                      <w:rStyle w:val="140"/>
                      <w:rFonts w:eastAsia="宋体"/>
                      <w:lang w:val="en-US" w:eastAsia="zh-CN" w:bidi="ar"/>
                    </w:rPr>
                    <w:t>5</w:t>
                  </w:r>
                  <w:r>
                    <w:rPr>
                      <w:rStyle w:val="139"/>
                      <w:lang w:val="en-US" w:eastAsia="zh-CN" w:bidi="ar"/>
                    </w:rPr>
                    <w:t>万平方米</w:t>
                  </w:r>
                </w:p>
              </w:tc>
              <w:tc>
                <w:tcPr>
                  <w:tcW w:w="596" w:type="pct"/>
                  <w:vMerge w:val="continue"/>
                  <w:tcBorders>
                    <w:right w:val="single" w:color="auto" w:sz="4" w:space="0"/>
                    <w:tl2br w:val="nil"/>
                    <w:tr2bl w:val="nil"/>
                  </w:tcBorders>
                  <w:noWrap w:val="0"/>
                  <w:vAlign w:val="center"/>
                </w:tcPr>
                <w:p w14:paraId="3382EDC1">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6F5F40D8">
                  <w:pPr>
                    <w:pStyle w:val="115"/>
                    <w:jc w:val="both"/>
                    <w:rPr>
                      <w:rFonts w:hint="eastAsia"/>
                      <w:b w:val="0"/>
                      <w:bCs w:val="0"/>
                      <w:color w:val="auto"/>
                      <w:u w:val="none" w:color="auto"/>
                      <w:lang w:val="en-US" w:eastAsia="zh-CN"/>
                    </w:rPr>
                  </w:pPr>
                </w:p>
              </w:tc>
            </w:tr>
            <w:tr w14:paraId="372F90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4" w:hRule="atLeast"/>
              </w:trPr>
              <w:tc>
                <w:tcPr>
                  <w:tcW w:w="284" w:type="pct"/>
                  <w:vMerge w:val="restart"/>
                  <w:tcBorders>
                    <w:tl2br w:val="nil"/>
                    <w:tr2bl w:val="nil"/>
                  </w:tcBorders>
                  <w:shd w:val="clear" w:color="auto" w:fill="auto"/>
                  <w:noWrap w:val="0"/>
                  <w:vAlign w:val="center"/>
                </w:tcPr>
                <w:p w14:paraId="3451F558">
                  <w:pPr>
                    <w:pStyle w:val="115"/>
                    <w:rPr>
                      <w:rFonts w:ascii="Times New Roman" w:hAnsi="Times New Roman" w:eastAsia="宋体" w:cs="Times New Roman"/>
                      <w:b w:val="0"/>
                      <w:bCs w:val="0"/>
                      <w:color w:val="auto"/>
                      <w:sz w:val="21"/>
                      <w:u w:val="none" w:color="auto"/>
                      <w:lang w:val="en-US" w:eastAsia="zh-CN" w:bidi="ar-SA"/>
                    </w:rPr>
                  </w:pPr>
                  <w:r>
                    <w:rPr>
                      <w:b w:val="0"/>
                      <w:bCs w:val="0"/>
                      <w:color w:val="auto"/>
                      <w:u w:val="none" w:color="auto"/>
                    </w:rPr>
                    <w:t>2</w:t>
                  </w:r>
                </w:p>
              </w:tc>
              <w:tc>
                <w:tcPr>
                  <w:tcW w:w="553" w:type="pct"/>
                  <w:vMerge w:val="restart"/>
                  <w:tcBorders>
                    <w:tl2br w:val="nil"/>
                    <w:tr2bl w:val="nil"/>
                  </w:tcBorders>
                  <w:noWrap w:val="0"/>
                  <w:vAlign w:val="center"/>
                </w:tcPr>
                <w:p w14:paraId="1931F9FE">
                  <w:pPr>
                    <w:pStyle w:val="115"/>
                    <w:rPr>
                      <w:rFonts w:hint="eastAsia"/>
                      <w:b w:val="0"/>
                      <w:bCs w:val="0"/>
                      <w:color w:val="auto"/>
                      <w:u w:val="none" w:color="auto"/>
                      <w:lang w:val="en-US" w:eastAsia="zh-CN"/>
                    </w:rPr>
                  </w:pPr>
                  <w:r>
                    <w:rPr>
                      <w:rFonts w:hint="eastAsia"/>
                      <w:b w:val="0"/>
                      <w:bCs w:val="0"/>
                      <w:color w:val="auto"/>
                      <w:u w:val="none" w:color="auto"/>
                      <w:lang w:val="en-US" w:eastAsia="zh-CN"/>
                    </w:rPr>
                    <w:t>中空玻璃</w:t>
                  </w:r>
                </w:p>
              </w:tc>
              <w:tc>
                <w:tcPr>
                  <w:tcW w:w="688" w:type="pct"/>
                  <w:vMerge w:val="restart"/>
                  <w:tcBorders>
                    <w:tl2br w:val="nil"/>
                    <w:tr2bl w:val="nil"/>
                  </w:tcBorders>
                  <w:noWrap w:val="0"/>
                  <w:vAlign w:val="center"/>
                </w:tcPr>
                <w:p w14:paraId="313F6934">
                  <w:pPr>
                    <w:pStyle w:val="115"/>
                    <w:jc w:val="center"/>
                    <w:rPr>
                      <w:rFonts w:hint="default"/>
                      <w:b w:val="0"/>
                      <w:bCs w:val="0"/>
                      <w:color w:val="auto"/>
                      <w:u w:val="none" w:color="auto"/>
                      <w:lang w:val="en-US" w:eastAsia="zh-CN"/>
                    </w:rPr>
                  </w:pPr>
                  <w:r>
                    <w:rPr>
                      <w:rFonts w:hint="eastAsia"/>
                      <w:b w:val="0"/>
                      <w:bCs w:val="0"/>
                      <w:color w:val="auto"/>
                      <w:u w:val="none" w:color="auto"/>
                      <w:lang w:val="en-US" w:eastAsia="zh-CN"/>
                    </w:rPr>
                    <w:t>20万平方米（单层60万平方米）</w:t>
                  </w:r>
                </w:p>
              </w:tc>
              <w:tc>
                <w:tcPr>
                  <w:tcW w:w="1247" w:type="pct"/>
                  <w:tcBorders>
                    <w:tl2br w:val="nil"/>
                    <w:tr2bl w:val="nil"/>
                  </w:tcBorders>
                  <w:noWrap w:val="0"/>
                  <w:vAlign w:val="center"/>
                </w:tcPr>
                <w:p w14:paraId="6A3F39C2">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2</w:t>
                  </w:r>
                  <w:r>
                    <w:rPr>
                      <w:rFonts w:hint="eastAsia" w:ascii="宋体" w:hAnsi="宋体" w:eastAsia="宋体" w:cs="宋体"/>
                      <w:i w:val="0"/>
                      <w:iCs w:val="0"/>
                      <w:color w:val="000000"/>
                      <w:kern w:val="0"/>
                      <w:sz w:val="21"/>
                      <w:szCs w:val="21"/>
                      <w:u w:val="none"/>
                      <w:lang w:val="en-US" w:eastAsia="zh-CN" w:bidi="ar"/>
                    </w:rPr>
                    <w:t>层：</w:t>
                  </w:r>
                  <w:r>
                    <w:rPr>
                      <w:rFonts w:hint="default" w:ascii="Times New Roman" w:hAnsi="Times New Roman" w:eastAsia="宋体" w:cs="Times New Roman"/>
                      <w:i w:val="0"/>
                      <w:iCs w:val="0"/>
                      <w:color w:val="000000"/>
                      <w:kern w:val="0"/>
                      <w:sz w:val="21"/>
                      <w:szCs w:val="21"/>
                      <w:u w:val="none"/>
                      <w:lang w:val="en-US" w:eastAsia="zh-CN" w:bidi="ar"/>
                    </w:rPr>
                    <w:t>10</w:t>
                  </w:r>
                  <w:r>
                    <w:rPr>
                      <w:rFonts w:hint="eastAsia" w:ascii="宋体" w:hAnsi="宋体" w:eastAsia="宋体" w:cs="宋体"/>
                      <w:i w:val="0"/>
                      <w:iCs w:val="0"/>
                      <w:color w:val="000000"/>
                      <w:kern w:val="0"/>
                      <w:sz w:val="21"/>
                      <w:szCs w:val="21"/>
                      <w:u w:val="none"/>
                      <w:lang w:val="en-US" w:eastAsia="zh-CN" w:bidi="ar"/>
                    </w:rPr>
                    <w:t>万平方米</w:t>
                  </w:r>
                </w:p>
              </w:tc>
              <w:tc>
                <w:tcPr>
                  <w:tcW w:w="596" w:type="pct"/>
                  <w:vMerge w:val="restart"/>
                  <w:tcBorders>
                    <w:right w:val="single" w:color="auto" w:sz="4" w:space="0"/>
                    <w:tl2br w:val="nil"/>
                    <w:tr2bl w:val="nil"/>
                  </w:tcBorders>
                  <w:noWrap w:val="0"/>
                  <w:vAlign w:val="center"/>
                </w:tcPr>
                <w:p w14:paraId="394C70CB">
                  <w:pPr>
                    <w:pStyle w:val="115"/>
                    <w:rPr>
                      <w:rFonts w:hint="default"/>
                      <w:b w:val="0"/>
                      <w:bCs w:val="0"/>
                      <w:color w:val="auto"/>
                      <w:u w:val="none" w:color="auto"/>
                      <w:lang w:val="en-US" w:eastAsia="zh-CN"/>
                    </w:rPr>
                  </w:pPr>
                  <w:r>
                    <w:rPr>
                      <w:rFonts w:hint="eastAsia"/>
                      <w:b w:val="0"/>
                      <w:bCs w:val="0"/>
                      <w:color w:val="auto"/>
                      <w:u w:val="none" w:color="auto"/>
                      <w:lang w:val="en-US" w:eastAsia="zh-CN"/>
                    </w:rPr>
                    <w:t>多层，2-6层</w:t>
                  </w:r>
                </w:p>
              </w:tc>
              <w:tc>
                <w:tcPr>
                  <w:tcW w:w="1629" w:type="pct"/>
                  <w:vMerge w:val="restart"/>
                  <w:tcBorders>
                    <w:right w:val="single" w:color="auto" w:sz="4" w:space="0"/>
                    <w:tl2br w:val="nil"/>
                    <w:tr2bl w:val="nil"/>
                  </w:tcBorders>
                  <w:noWrap w:val="0"/>
                  <w:vAlign w:val="center"/>
                </w:tcPr>
                <w:p w14:paraId="6934833A">
                  <w:pPr>
                    <w:pStyle w:val="115"/>
                    <w:rPr>
                      <w:rFonts w:hint="default"/>
                      <w:b w:val="0"/>
                      <w:bCs w:val="0"/>
                      <w:color w:val="auto"/>
                      <w:u w:val="none" w:color="auto"/>
                      <w:lang w:val="en-US" w:eastAsia="zh-CN"/>
                    </w:rPr>
                  </w:pPr>
                  <w:r>
                    <w:rPr>
                      <w:rFonts w:hint="eastAsia"/>
                      <w:b w:val="0"/>
                      <w:bCs w:val="0"/>
                      <w:color w:val="auto"/>
                      <w:u w:val="none" w:color="auto"/>
                      <w:lang w:val="en-US" w:eastAsia="zh-CN"/>
                    </w:rPr>
                    <w:t>按单层合计，面积为60万平方米</w:t>
                  </w:r>
                </w:p>
              </w:tc>
            </w:tr>
            <w:tr w14:paraId="147147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4" w:hRule="atLeast"/>
              </w:trPr>
              <w:tc>
                <w:tcPr>
                  <w:tcW w:w="284" w:type="pct"/>
                  <w:vMerge w:val="continue"/>
                  <w:tcBorders>
                    <w:tl2br w:val="nil"/>
                    <w:tr2bl w:val="nil"/>
                  </w:tcBorders>
                  <w:shd w:val="clear" w:color="auto" w:fill="auto"/>
                  <w:noWrap w:val="0"/>
                  <w:vAlign w:val="center"/>
                </w:tcPr>
                <w:p w14:paraId="4CD35949">
                  <w:pPr>
                    <w:pStyle w:val="115"/>
                    <w:jc w:val="both"/>
                  </w:pPr>
                </w:p>
              </w:tc>
              <w:tc>
                <w:tcPr>
                  <w:tcW w:w="553" w:type="pct"/>
                  <w:vMerge w:val="continue"/>
                  <w:tcBorders>
                    <w:tl2br w:val="nil"/>
                    <w:tr2bl w:val="nil"/>
                  </w:tcBorders>
                  <w:noWrap w:val="0"/>
                  <w:vAlign w:val="center"/>
                </w:tcPr>
                <w:p w14:paraId="5E8C2E38">
                  <w:pPr>
                    <w:pStyle w:val="115"/>
                    <w:jc w:val="both"/>
                  </w:pPr>
                </w:p>
              </w:tc>
              <w:tc>
                <w:tcPr>
                  <w:tcW w:w="688" w:type="pct"/>
                  <w:vMerge w:val="continue"/>
                  <w:tcBorders>
                    <w:tl2br w:val="nil"/>
                    <w:tr2bl w:val="nil"/>
                  </w:tcBorders>
                  <w:noWrap w:val="0"/>
                  <w:vAlign w:val="center"/>
                </w:tcPr>
                <w:p w14:paraId="4ADA83ED">
                  <w:pPr>
                    <w:pStyle w:val="115"/>
                    <w:jc w:val="both"/>
                  </w:pPr>
                </w:p>
              </w:tc>
              <w:tc>
                <w:tcPr>
                  <w:tcW w:w="1247" w:type="pct"/>
                  <w:tcBorders>
                    <w:tl2br w:val="nil"/>
                    <w:tr2bl w:val="nil"/>
                  </w:tcBorders>
                  <w:noWrap w:val="0"/>
                  <w:vAlign w:val="center"/>
                </w:tcPr>
                <w:p w14:paraId="7A4C13F0">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3</w:t>
                  </w:r>
                  <w:r>
                    <w:rPr>
                      <w:rFonts w:hint="eastAsia" w:ascii="宋体" w:hAnsi="宋体" w:eastAsia="宋体" w:cs="宋体"/>
                      <w:i w:val="0"/>
                      <w:iCs w:val="0"/>
                      <w:color w:val="000000"/>
                      <w:kern w:val="0"/>
                      <w:sz w:val="21"/>
                      <w:szCs w:val="21"/>
                      <w:u w:val="none"/>
                      <w:lang w:val="en-US" w:eastAsia="zh-CN" w:bidi="ar"/>
                    </w:rPr>
                    <w:t>层：</w:t>
                  </w:r>
                  <w:r>
                    <w:rPr>
                      <w:rFonts w:hint="default" w:ascii="Times New Roman" w:hAnsi="Times New Roman" w:eastAsia="宋体" w:cs="Times New Roman"/>
                      <w:i w:val="0"/>
                      <w:iCs w:val="0"/>
                      <w:color w:val="000000"/>
                      <w:kern w:val="0"/>
                      <w:sz w:val="21"/>
                      <w:szCs w:val="21"/>
                      <w:u w:val="none"/>
                      <w:lang w:val="en-US" w:eastAsia="zh-CN" w:bidi="ar"/>
                    </w:rPr>
                    <w:t>4</w:t>
                  </w:r>
                  <w:r>
                    <w:rPr>
                      <w:rFonts w:hint="eastAsia" w:ascii="宋体" w:hAnsi="宋体" w:eastAsia="宋体" w:cs="宋体"/>
                      <w:i w:val="0"/>
                      <w:iCs w:val="0"/>
                      <w:color w:val="000000"/>
                      <w:kern w:val="0"/>
                      <w:sz w:val="21"/>
                      <w:szCs w:val="21"/>
                      <w:u w:val="none"/>
                      <w:lang w:val="en-US" w:eastAsia="zh-CN" w:bidi="ar"/>
                    </w:rPr>
                    <w:t>万平方米</w:t>
                  </w:r>
                </w:p>
              </w:tc>
              <w:tc>
                <w:tcPr>
                  <w:tcW w:w="596" w:type="pct"/>
                  <w:vMerge w:val="continue"/>
                  <w:tcBorders>
                    <w:right w:val="single" w:color="auto" w:sz="4" w:space="0"/>
                    <w:tl2br w:val="nil"/>
                    <w:tr2bl w:val="nil"/>
                  </w:tcBorders>
                  <w:noWrap w:val="0"/>
                  <w:vAlign w:val="center"/>
                </w:tcPr>
                <w:p w14:paraId="6055E695">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525437CA">
                  <w:pPr>
                    <w:pStyle w:val="115"/>
                    <w:jc w:val="both"/>
                    <w:rPr>
                      <w:rFonts w:hint="eastAsia"/>
                      <w:b w:val="0"/>
                      <w:bCs w:val="0"/>
                      <w:color w:val="auto"/>
                      <w:u w:val="none" w:color="auto"/>
                      <w:lang w:val="en-US" w:eastAsia="zh-CN"/>
                    </w:rPr>
                  </w:pPr>
                </w:p>
              </w:tc>
            </w:tr>
            <w:tr w14:paraId="565DCA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4" w:hRule="atLeast"/>
              </w:trPr>
              <w:tc>
                <w:tcPr>
                  <w:tcW w:w="284" w:type="pct"/>
                  <w:vMerge w:val="continue"/>
                  <w:tcBorders>
                    <w:tl2br w:val="nil"/>
                    <w:tr2bl w:val="nil"/>
                  </w:tcBorders>
                  <w:shd w:val="clear" w:color="auto" w:fill="auto"/>
                  <w:noWrap w:val="0"/>
                  <w:vAlign w:val="center"/>
                </w:tcPr>
                <w:p w14:paraId="053FF019">
                  <w:pPr>
                    <w:pStyle w:val="115"/>
                    <w:jc w:val="both"/>
                    <w:rPr>
                      <w:rFonts w:hint="eastAsia"/>
                      <w:b w:val="0"/>
                      <w:bCs w:val="0"/>
                      <w:color w:val="auto"/>
                      <w:u w:val="none" w:color="auto"/>
                      <w:lang w:val="en-US" w:eastAsia="zh-CN"/>
                    </w:rPr>
                  </w:pPr>
                </w:p>
              </w:tc>
              <w:tc>
                <w:tcPr>
                  <w:tcW w:w="553" w:type="pct"/>
                  <w:vMerge w:val="continue"/>
                  <w:tcBorders>
                    <w:tl2br w:val="nil"/>
                    <w:tr2bl w:val="nil"/>
                  </w:tcBorders>
                  <w:noWrap w:val="0"/>
                  <w:vAlign w:val="center"/>
                </w:tcPr>
                <w:p w14:paraId="3A3AF6A6">
                  <w:pPr>
                    <w:pStyle w:val="115"/>
                    <w:jc w:val="both"/>
                    <w:rPr>
                      <w:rFonts w:hint="eastAsia"/>
                      <w:b w:val="0"/>
                      <w:bCs w:val="0"/>
                      <w:color w:val="auto"/>
                      <w:u w:val="none" w:color="auto"/>
                      <w:lang w:val="en-US" w:eastAsia="zh-CN"/>
                    </w:rPr>
                  </w:pPr>
                </w:p>
              </w:tc>
              <w:tc>
                <w:tcPr>
                  <w:tcW w:w="688" w:type="pct"/>
                  <w:vMerge w:val="continue"/>
                  <w:tcBorders>
                    <w:tl2br w:val="nil"/>
                    <w:tr2bl w:val="nil"/>
                  </w:tcBorders>
                  <w:noWrap w:val="0"/>
                  <w:vAlign w:val="center"/>
                </w:tcPr>
                <w:p w14:paraId="51685116">
                  <w:pPr>
                    <w:pStyle w:val="115"/>
                    <w:jc w:val="both"/>
                    <w:rPr>
                      <w:rFonts w:hint="eastAsia"/>
                      <w:b w:val="0"/>
                      <w:bCs w:val="0"/>
                      <w:color w:val="auto"/>
                      <w:u w:val="none" w:color="auto"/>
                      <w:lang w:val="en-US" w:eastAsia="zh-CN"/>
                    </w:rPr>
                  </w:pPr>
                </w:p>
              </w:tc>
              <w:tc>
                <w:tcPr>
                  <w:tcW w:w="1247" w:type="pct"/>
                  <w:tcBorders>
                    <w:tl2br w:val="nil"/>
                    <w:tr2bl w:val="nil"/>
                  </w:tcBorders>
                  <w:noWrap w:val="0"/>
                  <w:vAlign w:val="center"/>
                </w:tcPr>
                <w:p w14:paraId="2163312B">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4</w:t>
                  </w:r>
                  <w:r>
                    <w:rPr>
                      <w:rFonts w:hint="eastAsia" w:ascii="宋体" w:hAnsi="宋体" w:eastAsia="宋体" w:cs="宋体"/>
                      <w:i w:val="0"/>
                      <w:iCs w:val="0"/>
                      <w:color w:val="000000"/>
                      <w:kern w:val="0"/>
                      <w:sz w:val="21"/>
                      <w:szCs w:val="21"/>
                      <w:u w:val="none"/>
                      <w:lang w:val="en-US" w:eastAsia="zh-CN" w:bidi="ar"/>
                    </w:rPr>
                    <w:t>层：</w:t>
                  </w:r>
                  <w:r>
                    <w:rPr>
                      <w:rFonts w:hint="default" w:ascii="Times New Roman" w:hAnsi="Times New Roman" w:eastAsia="宋体" w:cs="Times New Roman"/>
                      <w:i w:val="0"/>
                      <w:iCs w:val="0"/>
                      <w:color w:val="000000"/>
                      <w:kern w:val="0"/>
                      <w:sz w:val="21"/>
                      <w:szCs w:val="21"/>
                      <w:u w:val="none"/>
                      <w:lang w:val="en-US" w:eastAsia="zh-CN" w:bidi="ar"/>
                    </w:rPr>
                    <w:t>3</w:t>
                  </w:r>
                  <w:r>
                    <w:rPr>
                      <w:rFonts w:hint="eastAsia" w:ascii="宋体" w:hAnsi="宋体" w:eastAsia="宋体" w:cs="宋体"/>
                      <w:i w:val="0"/>
                      <w:iCs w:val="0"/>
                      <w:color w:val="000000"/>
                      <w:kern w:val="0"/>
                      <w:sz w:val="21"/>
                      <w:szCs w:val="21"/>
                      <w:u w:val="none"/>
                      <w:lang w:val="en-US" w:eastAsia="zh-CN" w:bidi="ar"/>
                    </w:rPr>
                    <w:t>万平方米</w:t>
                  </w:r>
                </w:p>
              </w:tc>
              <w:tc>
                <w:tcPr>
                  <w:tcW w:w="596" w:type="pct"/>
                  <w:vMerge w:val="continue"/>
                  <w:tcBorders>
                    <w:right w:val="single" w:color="auto" w:sz="4" w:space="0"/>
                    <w:tl2br w:val="nil"/>
                    <w:tr2bl w:val="nil"/>
                  </w:tcBorders>
                  <w:noWrap w:val="0"/>
                  <w:vAlign w:val="center"/>
                </w:tcPr>
                <w:p w14:paraId="4E05DD4B">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3D0B9018">
                  <w:pPr>
                    <w:pStyle w:val="115"/>
                    <w:jc w:val="both"/>
                    <w:rPr>
                      <w:rFonts w:hint="eastAsia"/>
                      <w:b w:val="0"/>
                      <w:bCs w:val="0"/>
                      <w:color w:val="auto"/>
                      <w:u w:val="none" w:color="auto"/>
                      <w:lang w:val="en-US" w:eastAsia="zh-CN"/>
                    </w:rPr>
                  </w:pPr>
                </w:p>
              </w:tc>
            </w:tr>
            <w:tr w14:paraId="03A9FB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4" w:hRule="atLeast"/>
              </w:trPr>
              <w:tc>
                <w:tcPr>
                  <w:tcW w:w="284" w:type="pct"/>
                  <w:vMerge w:val="continue"/>
                  <w:tcBorders>
                    <w:tl2br w:val="nil"/>
                    <w:tr2bl w:val="nil"/>
                  </w:tcBorders>
                  <w:shd w:val="clear" w:color="auto" w:fill="auto"/>
                  <w:noWrap w:val="0"/>
                  <w:vAlign w:val="center"/>
                </w:tcPr>
                <w:p w14:paraId="24DD6902">
                  <w:pPr>
                    <w:pStyle w:val="115"/>
                    <w:jc w:val="both"/>
                    <w:rPr>
                      <w:rFonts w:hint="eastAsia"/>
                      <w:b w:val="0"/>
                      <w:bCs w:val="0"/>
                      <w:color w:val="auto"/>
                      <w:u w:val="none" w:color="auto"/>
                      <w:lang w:val="en-US" w:eastAsia="zh-CN"/>
                    </w:rPr>
                  </w:pPr>
                </w:p>
              </w:tc>
              <w:tc>
                <w:tcPr>
                  <w:tcW w:w="553" w:type="pct"/>
                  <w:vMerge w:val="continue"/>
                  <w:tcBorders>
                    <w:tl2br w:val="nil"/>
                    <w:tr2bl w:val="nil"/>
                  </w:tcBorders>
                  <w:noWrap w:val="0"/>
                  <w:vAlign w:val="center"/>
                </w:tcPr>
                <w:p w14:paraId="33746852">
                  <w:pPr>
                    <w:pStyle w:val="115"/>
                    <w:jc w:val="both"/>
                    <w:rPr>
                      <w:rFonts w:hint="eastAsia"/>
                      <w:b w:val="0"/>
                      <w:bCs w:val="0"/>
                      <w:color w:val="auto"/>
                      <w:u w:val="none" w:color="auto"/>
                      <w:lang w:val="en-US" w:eastAsia="zh-CN"/>
                    </w:rPr>
                  </w:pPr>
                </w:p>
              </w:tc>
              <w:tc>
                <w:tcPr>
                  <w:tcW w:w="688" w:type="pct"/>
                  <w:vMerge w:val="continue"/>
                  <w:tcBorders>
                    <w:tl2br w:val="nil"/>
                    <w:tr2bl w:val="nil"/>
                  </w:tcBorders>
                  <w:noWrap w:val="0"/>
                  <w:vAlign w:val="center"/>
                </w:tcPr>
                <w:p w14:paraId="1ECDF3C7">
                  <w:pPr>
                    <w:pStyle w:val="115"/>
                    <w:jc w:val="both"/>
                    <w:rPr>
                      <w:rFonts w:hint="eastAsia"/>
                      <w:b w:val="0"/>
                      <w:bCs w:val="0"/>
                      <w:color w:val="auto"/>
                      <w:u w:val="none" w:color="auto"/>
                      <w:lang w:val="en-US" w:eastAsia="zh-CN"/>
                    </w:rPr>
                  </w:pPr>
                </w:p>
              </w:tc>
              <w:tc>
                <w:tcPr>
                  <w:tcW w:w="1247" w:type="pct"/>
                  <w:tcBorders>
                    <w:tl2br w:val="nil"/>
                    <w:tr2bl w:val="nil"/>
                  </w:tcBorders>
                  <w:noWrap w:val="0"/>
                  <w:vAlign w:val="center"/>
                </w:tcPr>
                <w:p w14:paraId="3C4963C7">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5</w:t>
                  </w:r>
                  <w:r>
                    <w:rPr>
                      <w:rFonts w:hint="eastAsia" w:ascii="宋体" w:hAnsi="宋体" w:eastAsia="宋体" w:cs="宋体"/>
                      <w:i w:val="0"/>
                      <w:iCs w:val="0"/>
                      <w:color w:val="000000"/>
                      <w:kern w:val="0"/>
                      <w:sz w:val="21"/>
                      <w:szCs w:val="21"/>
                      <w:u w:val="none"/>
                      <w:lang w:val="en-US" w:eastAsia="zh-CN" w:bidi="ar"/>
                    </w:rPr>
                    <w:t>层：</w:t>
                  </w:r>
                  <w:r>
                    <w:rPr>
                      <w:rFonts w:hint="default" w:ascii="Times New Roman" w:hAnsi="Times New Roman" w:eastAsia="宋体" w:cs="Times New Roman"/>
                      <w:i w:val="0"/>
                      <w:iCs w:val="0"/>
                      <w:color w:val="000000"/>
                      <w:kern w:val="0"/>
                      <w:sz w:val="21"/>
                      <w:szCs w:val="21"/>
                      <w:u w:val="none"/>
                      <w:lang w:val="en-US" w:eastAsia="zh-CN" w:bidi="ar"/>
                    </w:rPr>
                    <w:t>2</w:t>
                  </w:r>
                  <w:r>
                    <w:rPr>
                      <w:rFonts w:hint="eastAsia" w:ascii="宋体" w:hAnsi="宋体" w:eastAsia="宋体" w:cs="宋体"/>
                      <w:i w:val="0"/>
                      <w:iCs w:val="0"/>
                      <w:color w:val="000000"/>
                      <w:kern w:val="0"/>
                      <w:sz w:val="21"/>
                      <w:szCs w:val="21"/>
                      <w:u w:val="none"/>
                      <w:lang w:val="en-US" w:eastAsia="zh-CN" w:bidi="ar"/>
                    </w:rPr>
                    <w:t>万平方米</w:t>
                  </w:r>
                </w:p>
              </w:tc>
              <w:tc>
                <w:tcPr>
                  <w:tcW w:w="596" w:type="pct"/>
                  <w:vMerge w:val="continue"/>
                  <w:tcBorders>
                    <w:right w:val="single" w:color="auto" w:sz="4" w:space="0"/>
                    <w:tl2br w:val="nil"/>
                    <w:tr2bl w:val="nil"/>
                  </w:tcBorders>
                  <w:noWrap w:val="0"/>
                  <w:vAlign w:val="center"/>
                </w:tcPr>
                <w:p w14:paraId="3FA8FA8E">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12011770">
                  <w:pPr>
                    <w:pStyle w:val="115"/>
                    <w:jc w:val="both"/>
                    <w:rPr>
                      <w:rFonts w:hint="eastAsia"/>
                      <w:b w:val="0"/>
                      <w:bCs w:val="0"/>
                      <w:color w:val="auto"/>
                      <w:u w:val="none" w:color="auto"/>
                      <w:lang w:val="en-US" w:eastAsia="zh-CN"/>
                    </w:rPr>
                  </w:pPr>
                </w:p>
              </w:tc>
            </w:tr>
            <w:tr w14:paraId="74042F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4" w:hRule="atLeast"/>
              </w:trPr>
              <w:tc>
                <w:tcPr>
                  <w:tcW w:w="284" w:type="pct"/>
                  <w:vMerge w:val="continue"/>
                  <w:tcBorders>
                    <w:tl2br w:val="nil"/>
                    <w:tr2bl w:val="nil"/>
                  </w:tcBorders>
                  <w:shd w:val="clear" w:color="auto" w:fill="auto"/>
                  <w:noWrap w:val="0"/>
                  <w:vAlign w:val="center"/>
                </w:tcPr>
                <w:p w14:paraId="3625C6FB">
                  <w:pPr>
                    <w:pStyle w:val="115"/>
                    <w:jc w:val="both"/>
                    <w:rPr>
                      <w:rFonts w:hint="eastAsia"/>
                      <w:b w:val="0"/>
                      <w:bCs w:val="0"/>
                      <w:color w:val="auto"/>
                      <w:u w:val="none" w:color="auto"/>
                      <w:lang w:val="en-US" w:eastAsia="zh-CN"/>
                    </w:rPr>
                  </w:pPr>
                </w:p>
              </w:tc>
              <w:tc>
                <w:tcPr>
                  <w:tcW w:w="553" w:type="pct"/>
                  <w:vMerge w:val="continue"/>
                  <w:tcBorders>
                    <w:tl2br w:val="nil"/>
                    <w:tr2bl w:val="nil"/>
                  </w:tcBorders>
                  <w:noWrap w:val="0"/>
                  <w:vAlign w:val="center"/>
                </w:tcPr>
                <w:p w14:paraId="240FDF48">
                  <w:pPr>
                    <w:pStyle w:val="115"/>
                    <w:jc w:val="both"/>
                    <w:rPr>
                      <w:rFonts w:hint="eastAsia"/>
                      <w:b w:val="0"/>
                      <w:bCs w:val="0"/>
                      <w:color w:val="auto"/>
                      <w:u w:val="none" w:color="auto"/>
                      <w:lang w:val="en-US" w:eastAsia="zh-CN"/>
                    </w:rPr>
                  </w:pPr>
                </w:p>
              </w:tc>
              <w:tc>
                <w:tcPr>
                  <w:tcW w:w="688" w:type="pct"/>
                  <w:vMerge w:val="continue"/>
                  <w:tcBorders>
                    <w:tl2br w:val="nil"/>
                    <w:tr2bl w:val="nil"/>
                  </w:tcBorders>
                  <w:noWrap w:val="0"/>
                  <w:vAlign w:val="center"/>
                </w:tcPr>
                <w:p w14:paraId="3BFA7CD9">
                  <w:pPr>
                    <w:pStyle w:val="115"/>
                    <w:jc w:val="both"/>
                    <w:rPr>
                      <w:rFonts w:hint="eastAsia"/>
                      <w:b w:val="0"/>
                      <w:bCs w:val="0"/>
                      <w:color w:val="auto"/>
                      <w:u w:val="none" w:color="auto"/>
                      <w:lang w:val="en-US" w:eastAsia="zh-CN"/>
                    </w:rPr>
                  </w:pPr>
                </w:p>
              </w:tc>
              <w:tc>
                <w:tcPr>
                  <w:tcW w:w="1247" w:type="pct"/>
                  <w:tcBorders>
                    <w:tl2br w:val="nil"/>
                    <w:tr2bl w:val="nil"/>
                  </w:tcBorders>
                  <w:noWrap w:val="0"/>
                  <w:vAlign w:val="center"/>
                </w:tcPr>
                <w:p w14:paraId="6E6C8B67">
                  <w:pPr>
                    <w:keepNext w:val="0"/>
                    <w:keepLines w:val="0"/>
                    <w:widowControl/>
                    <w:suppressLineNumbers w:val="0"/>
                    <w:jc w:val="center"/>
                    <w:textAlignment w:val="center"/>
                    <w:rPr>
                      <w:rFonts w:hint="eastAsia"/>
                      <w:b w:val="0"/>
                      <w:bCs w:val="0"/>
                      <w:color w:val="auto"/>
                      <w:u w:val="none" w:color="auto"/>
                      <w:lang w:val="en-US" w:eastAsia="zh-CN"/>
                    </w:rPr>
                  </w:pPr>
                  <w:r>
                    <w:rPr>
                      <w:rFonts w:hint="default" w:ascii="Times New Roman" w:hAnsi="Times New Roman" w:eastAsia="宋体" w:cs="Times New Roman"/>
                      <w:i w:val="0"/>
                      <w:iCs w:val="0"/>
                      <w:color w:val="000000"/>
                      <w:kern w:val="0"/>
                      <w:sz w:val="21"/>
                      <w:szCs w:val="21"/>
                      <w:u w:val="none"/>
                      <w:lang w:val="en-US" w:eastAsia="zh-CN" w:bidi="ar"/>
                    </w:rPr>
                    <w:t>6</w:t>
                  </w:r>
                  <w:r>
                    <w:rPr>
                      <w:rFonts w:hint="eastAsia" w:ascii="宋体" w:hAnsi="宋体" w:eastAsia="宋体" w:cs="宋体"/>
                      <w:i w:val="0"/>
                      <w:iCs w:val="0"/>
                      <w:color w:val="000000"/>
                      <w:kern w:val="0"/>
                      <w:sz w:val="21"/>
                      <w:szCs w:val="21"/>
                      <w:u w:val="none"/>
                      <w:lang w:val="en-US" w:eastAsia="zh-CN" w:bidi="ar"/>
                    </w:rPr>
                    <w:t>层：</w:t>
                  </w:r>
                  <w:r>
                    <w:rPr>
                      <w:rFonts w:hint="default" w:ascii="Times New Roman" w:hAnsi="Times New Roman" w:eastAsia="宋体" w:cs="Times New Roman"/>
                      <w:i w:val="0"/>
                      <w:iCs w:val="0"/>
                      <w:color w:val="000000"/>
                      <w:kern w:val="0"/>
                      <w:sz w:val="21"/>
                      <w:szCs w:val="21"/>
                      <w:u w:val="none"/>
                      <w:lang w:val="en-US" w:eastAsia="zh-CN" w:bidi="ar"/>
                    </w:rPr>
                    <w:t>1</w:t>
                  </w:r>
                  <w:r>
                    <w:rPr>
                      <w:rFonts w:hint="eastAsia" w:ascii="宋体" w:hAnsi="宋体" w:eastAsia="宋体" w:cs="宋体"/>
                      <w:i w:val="0"/>
                      <w:iCs w:val="0"/>
                      <w:color w:val="000000"/>
                      <w:kern w:val="0"/>
                      <w:sz w:val="21"/>
                      <w:szCs w:val="21"/>
                      <w:u w:val="none"/>
                      <w:lang w:val="en-US" w:eastAsia="zh-CN" w:bidi="ar"/>
                    </w:rPr>
                    <w:t>万平方米</w:t>
                  </w:r>
                </w:p>
              </w:tc>
              <w:tc>
                <w:tcPr>
                  <w:tcW w:w="596" w:type="pct"/>
                  <w:vMerge w:val="continue"/>
                  <w:tcBorders>
                    <w:right w:val="single" w:color="auto" w:sz="4" w:space="0"/>
                    <w:tl2br w:val="nil"/>
                    <w:tr2bl w:val="nil"/>
                  </w:tcBorders>
                  <w:noWrap w:val="0"/>
                  <w:vAlign w:val="center"/>
                </w:tcPr>
                <w:p w14:paraId="1FEC3C74">
                  <w:pPr>
                    <w:pStyle w:val="115"/>
                    <w:jc w:val="both"/>
                    <w:rPr>
                      <w:rFonts w:hint="eastAsia"/>
                      <w:b w:val="0"/>
                      <w:bCs w:val="0"/>
                      <w:color w:val="auto"/>
                      <w:u w:val="none" w:color="auto"/>
                      <w:lang w:val="en-US" w:eastAsia="zh-CN"/>
                    </w:rPr>
                  </w:pPr>
                </w:p>
              </w:tc>
              <w:tc>
                <w:tcPr>
                  <w:tcW w:w="1629" w:type="pct"/>
                  <w:vMerge w:val="continue"/>
                  <w:tcBorders>
                    <w:right w:val="single" w:color="auto" w:sz="4" w:space="0"/>
                    <w:tl2br w:val="nil"/>
                    <w:tr2bl w:val="nil"/>
                  </w:tcBorders>
                  <w:noWrap w:val="0"/>
                  <w:vAlign w:val="center"/>
                </w:tcPr>
                <w:p w14:paraId="0D02AA9B">
                  <w:pPr>
                    <w:pStyle w:val="115"/>
                    <w:jc w:val="both"/>
                    <w:rPr>
                      <w:rFonts w:hint="eastAsia"/>
                      <w:b w:val="0"/>
                      <w:bCs w:val="0"/>
                      <w:color w:val="auto"/>
                      <w:u w:val="none" w:color="auto"/>
                      <w:lang w:val="en-US" w:eastAsia="zh-CN"/>
                    </w:rPr>
                  </w:pPr>
                </w:p>
              </w:tc>
            </w:tr>
            <w:tr w14:paraId="104680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97" w:hRule="atLeast"/>
              </w:trPr>
              <w:tc>
                <w:tcPr>
                  <w:tcW w:w="284" w:type="pct"/>
                  <w:tcBorders>
                    <w:tl2br w:val="nil"/>
                    <w:tr2bl w:val="nil"/>
                  </w:tcBorders>
                  <w:shd w:val="clear" w:color="auto" w:fill="auto"/>
                  <w:noWrap w:val="0"/>
                  <w:vAlign w:val="center"/>
                </w:tcPr>
                <w:p w14:paraId="4F4D722B">
                  <w:pPr>
                    <w:pStyle w:val="115"/>
                    <w:rPr>
                      <w:rFonts w:hint="eastAsia" w:ascii="Times New Roman" w:hAnsi="Times New Roman" w:eastAsia="宋体" w:cs="Times New Roman"/>
                      <w:b w:val="0"/>
                      <w:bCs w:val="0"/>
                      <w:color w:val="auto"/>
                      <w:sz w:val="21"/>
                      <w:u w:val="none" w:color="auto"/>
                      <w:lang w:val="en-US" w:eastAsia="zh-CN" w:bidi="ar-SA"/>
                    </w:rPr>
                  </w:pPr>
                  <w:r>
                    <w:rPr>
                      <w:rFonts w:hint="eastAsia"/>
                      <w:b w:val="0"/>
                      <w:bCs w:val="0"/>
                      <w:color w:val="auto"/>
                      <w:u w:val="none" w:color="auto"/>
                      <w:lang w:val="en-US" w:eastAsia="zh-CN"/>
                    </w:rPr>
                    <w:t>3</w:t>
                  </w:r>
                </w:p>
              </w:tc>
              <w:tc>
                <w:tcPr>
                  <w:tcW w:w="553" w:type="pct"/>
                  <w:tcBorders>
                    <w:tl2br w:val="nil"/>
                    <w:tr2bl w:val="nil"/>
                  </w:tcBorders>
                  <w:noWrap w:val="0"/>
                  <w:vAlign w:val="center"/>
                </w:tcPr>
                <w:p w14:paraId="40D4DF4A">
                  <w:pPr>
                    <w:pStyle w:val="115"/>
                    <w:rPr>
                      <w:rFonts w:hint="eastAsia"/>
                      <w:b w:val="0"/>
                      <w:bCs w:val="0"/>
                      <w:color w:val="auto"/>
                      <w:u w:val="none" w:color="auto"/>
                      <w:lang w:val="en-US" w:eastAsia="zh-CN"/>
                    </w:rPr>
                  </w:pPr>
                  <w:r>
                    <w:rPr>
                      <w:rFonts w:hint="eastAsia"/>
                      <w:b w:val="0"/>
                      <w:bCs w:val="0"/>
                      <w:color w:val="auto"/>
                      <w:u w:val="none" w:color="auto"/>
                      <w:lang w:val="en-US" w:eastAsia="zh-CN"/>
                    </w:rPr>
                    <w:t>LOW-E镀膜玻璃</w:t>
                  </w:r>
                </w:p>
              </w:tc>
              <w:tc>
                <w:tcPr>
                  <w:tcW w:w="1936" w:type="pct"/>
                  <w:gridSpan w:val="2"/>
                  <w:tcBorders>
                    <w:tl2br w:val="nil"/>
                    <w:tr2bl w:val="nil"/>
                  </w:tcBorders>
                  <w:noWrap w:val="0"/>
                  <w:vAlign w:val="center"/>
                </w:tcPr>
                <w:p w14:paraId="68B9071E">
                  <w:pPr>
                    <w:pStyle w:val="115"/>
                    <w:rPr>
                      <w:rFonts w:hint="default" w:eastAsia="宋体"/>
                      <w:b w:val="0"/>
                      <w:bCs w:val="0"/>
                      <w:color w:val="auto"/>
                      <w:u w:val="none" w:color="auto"/>
                      <w:lang w:val="en-US" w:eastAsia="zh-CN"/>
                    </w:rPr>
                  </w:pPr>
                  <w:r>
                    <w:rPr>
                      <w:rFonts w:hint="eastAsia"/>
                      <w:b w:val="0"/>
                      <w:bCs w:val="0"/>
                      <w:color w:val="auto"/>
                      <w:u w:val="none" w:color="auto"/>
                      <w:lang w:val="en-US" w:eastAsia="zh-CN"/>
                    </w:rPr>
                    <w:t>100万平方米</w:t>
                  </w:r>
                </w:p>
              </w:tc>
              <w:tc>
                <w:tcPr>
                  <w:tcW w:w="596" w:type="pct"/>
                  <w:tcBorders>
                    <w:right w:val="single" w:color="auto" w:sz="4" w:space="0"/>
                    <w:tl2br w:val="nil"/>
                    <w:tr2bl w:val="nil"/>
                  </w:tcBorders>
                  <w:noWrap w:val="0"/>
                  <w:vAlign w:val="center"/>
                </w:tcPr>
                <w:p w14:paraId="0455BA50">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单层</w:t>
                  </w:r>
                </w:p>
              </w:tc>
              <w:tc>
                <w:tcPr>
                  <w:tcW w:w="1629" w:type="pct"/>
                  <w:tcBorders>
                    <w:right w:val="single" w:color="auto" w:sz="4" w:space="0"/>
                    <w:tl2br w:val="nil"/>
                    <w:tr2bl w:val="nil"/>
                  </w:tcBorders>
                  <w:noWrap w:val="0"/>
                  <w:vAlign w:val="center"/>
                </w:tcPr>
                <w:p w14:paraId="6570F94B">
                  <w:pPr>
                    <w:pStyle w:val="115"/>
                    <w:rPr>
                      <w:rFonts w:hint="default"/>
                      <w:b w:val="0"/>
                      <w:bCs w:val="0"/>
                      <w:color w:val="auto"/>
                      <w:u w:val="none" w:color="auto"/>
                      <w:lang w:val="en-US" w:eastAsia="zh-CN"/>
                    </w:rPr>
                  </w:pPr>
                  <w:r>
                    <w:rPr>
                      <w:rFonts w:hint="eastAsia"/>
                      <w:b w:val="0"/>
                      <w:bCs w:val="0"/>
                      <w:color w:val="auto"/>
                      <w:u w:val="none" w:color="auto"/>
                      <w:lang w:val="en-US" w:eastAsia="zh-CN"/>
                    </w:rPr>
                    <w:t>实际生产量为150万平方米，其中100万平方米作为产品外售，30万平方米用于生产夹胶玻璃，20万平方米用于生产中空玻璃</w:t>
                  </w:r>
                </w:p>
              </w:tc>
            </w:tr>
            <w:tr w14:paraId="1F8CF1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97" w:hRule="atLeast"/>
              </w:trPr>
              <w:tc>
                <w:tcPr>
                  <w:tcW w:w="284" w:type="pct"/>
                  <w:tcBorders>
                    <w:tl2br w:val="nil"/>
                    <w:tr2bl w:val="nil"/>
                  </w:tcBorders>
                  <w:noWrap w:val="0"/>
                  <w:vAlign w:val="center"/>
                </w:tcPr>
                <w:p w14:paraId="45EED4A3">
                  <w:pPr>
                    <w:pStyle w:val="115"/>
                    <w:rPr>
                      <w:rFonts w:hint="default"/>
                      <w:b w:val="0"/>
                      <w:bCs w:val="0"/>
                      <w:color w:val="auto"/>
                      <w:u w:val="none" w:color="auto"/>
                      <w:lang w:val="en-US" w:eastAsia="zh-CN"/>
                    </w:rPr>
                  </w:pPr>
                  <w:r>
                    <w:rPr>
                      <w:rFonts w:hint="eastAsia"/>
                      <w:b w:val="0"/>
                      <w:bCs w:val="0"/>
                      <w:color w:val="auto"/>
                      <w:u w:val="none" w:color="auto"/>
                      <w:lang w:val="en-US" w:eastAsia="zh-CN"/>
                    </w:rPr>
                    <w:t>4</w:t>
                  </w:r>
                </w:p>
              </w:tc>
              <w:tc>
                <w:tcPr>
                  <w:tcW w:w="553" w:type="pct"/>
                  <w:tcBorders>
                    <w:tl2br w:val="nil"/>
                    <w:tr2bl w:val="nil"/>
                  </w:tcBorders>
                  <w:noWrap w:val="0"/>
                  <w:vAlign w:val="center"/>
                </w:tcPr>
                <w:p w14:paraId="668F9B74">
                  <w:pPr>
                    <w:pStyle w:val="115"/>
                    <w:rPr>
                      <w:rFonts w:hint="default"/>
                      <w:b w:val="0"/>
                      <w:bCs w:val="0"/>
                      <w:color w:val="auto"/>
                      <w:u w:val="none" w:color="auto"/>
                      <w:lang w:val="en-US" w:eastAsia="zh-CN"/>
                    </w:rPr>
                  </w:pPr>
                  <w:r>
                    <w:rPr>
                      <w:rFonts w:hint="eastAsia"/>
                      <w:b w:val="0"/>
                      <w:bCs w:val="0"/>
                      <w:color w:val="auto"/>
                      <w:u w:val="none" w:color="auto"/>
                      <w:lang w:val="en-US" w:eastAsia="zh-CN"/>
                    </w:rPr>
                    <w:t>彩色成像钢化玻璃</w:t>
                  </w:r>
                </w:p>
              </w:tc>
              <w:tc>
                <w:tcPr>
                  <w:tcW w:w="1936" w:type="pct"/>
                  <w:gridSpan w:val="2"/>
                  <w:tcBorders>
                    <w:tl2br w:val="nil"/>
                    <w:tr2bl w:val="nil"/>
                  </w:tcBorders>
                  <w:noWrap w:val="0"/>
                  <w:vAlign w:val="center"/>
                </w:tcPr>
                <w:p w14:paraId="604B1095">
                  <w:pPr>
                    <w:pStyle w:val="115"/>
                    <w:rPr>
                      <w:rFonts w:hint="default" w:eastAsia="宋体"/>
                      <w:b w:val="0"/>
                      <w:bCs w:val="0"/>
                      <w:color w:val="auto"/>
                      <w:u w:val="none" w:color="auto"/>
                      <w:lang w:val="en-US" w:eastAsia="zh-CN"/>
                    </w:rPr>
                  </w:pPr>
                  <w:r>
                    <w:rPr>
                      <w:rFonts w:hint="eastAsia"/>
                      <w:b w:val="0"/>
                      <w:bCs w:val="0"/>
                      <w:color w:val="auto"/>
                      <w:u w:val="none" w:color="auto"/>
                      <w:lang w:val="en-US" w:eastAsia="zh-CN"/>
                    </w:rPr>
                    <w:t>10万平方米</w:t>
                  </w:r>
                </w:p>
              </w:tc>
              <w:tc>
                <w:tcPr>
                  <w:tcW w:w="596" w:type="pct"/>
                  <w:tcBorders>
                    <w:right w:val="single" w:color="auto" w:sz="4" w:space="0"/>
                    <w:tl2br w:val="nil"/>
                    <w:tr2bl w:val="nil"/>
                  </w:tcBorders>
                  <w:noWrap w:val="0"/>
                  <w:vAlign w:val="center"/>
                </w:tcPr>
                <w:p w14:paraId="0E513FD9">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单层</w:t>
                  </w:r>
                </w:p>
              </w:tc>
              <w:tc>
                <w:tcPr>
                  <w:tcW w:w="1629" w:type="pct"/>
                  <w:tcBorders>
                    <w:right w:val="single" w:color="auto" w:sz="4" w:space="0"/>
                    <w:tl2br w:val="nil"/>
                    <w:tr2bl w:val="nil"/>
                  </w:tcBorders>
                  <w:noWrap w:val="0"/>
                  <w:vAlign w:val="center"/>
                </w:tcPr>
                <w:p w14:paraId="72E3A741">
                  <w:pPr>
                    <w:pStyle w:val="115"/>
                    <w:rPr>
                      <w:rFonts w:hint="default"/>
                      <w:b w:val="0"/>
                      <w:bCs w:val="0"/>
                      <w:color w:val="auto"/>
                      <w:u w:val="none" w:color="auto"/>
                      <w:lang w:val="en-US" w:eastAsia="zh-CN"/>
                    </w:rPr>
                  </w:pPr>
                  <w:r>
                    <w:rPr>
                      <w:rFonts w:hint="eastAsia"/>
                      <w:b w:val="0"/>
                      <w:bCs w:val="0"/>
                      <w:color w:val="auto"/>
                      <w:u w:val="none" w:color="auto"/>
                      <w:lang w:val="en-US" w:eastAsia="zh-CN"/>
                    </w:rPr>
                    <w:t>实际生产量为15万平方米，其中10万平方米作为产品外售，5万平方米用于生产夹胶玻璃</w:t>
                  </w:r>
                </w:p>
              </w:tc>
            </w:tr>
            <w:tr w14:paraId="029E54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97" w:hRule="atLeast"/>
              </w:trPr>
              <w:tc>
                <w:tcPr>
                  <w:tcW w:w="837" w:type="pct"/>
                  <w:gridSpan w:val="2"/>
                  <w:tcBorders>
                    <w:tl2br w:val="nil"/>
                    <w:tr2bl w:val="nil"/>
                  </w:tcBorders>
                  <w:noWrap w:val="0"/>
                  <w:vAlign w:val="center"/>
                </w:tcPr>
                <w:p w14:paraId="4CD26176">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合计</w:t>
                  </w:r>
                </w:p>
              </w:tc>
              <w:tc>
                <w:tcPr>
                  <w:tcW w:w="4162" w:type="pct"/>
                  <w:gridSpan w:val="4"/>
                  <w:tcBorders>
                    <w:right w:val="single" w:color="auto" w:sz="4" w:space="0"/>
                    <w:tl2br w:val="nil"/>
                    <w:tr2bl w:val="nil"/>
                  </w:tcBorders>
                  <w:noWrap w:val="0"/>
                  <w:vAlign w:val="center"/>
                </w:tcPr>
                <w:p w14:paraId="257242C5">
                  <w:pPr>
                    <w:pStyle w:val="115"/>
                    <w:rPr>
                      <w:rFonts w:hint="default"/>
                      <w:b w:val="0"/>
                      <w:bCs w:val="0"/>
                      <w:color w:val="auto"/>
                      <w:u w:val="none" w:color="auto"/>
                      <w:lang w:val="en-US" w:eastAsia="zh-CN"/>
                    </w:rPr>
                  </w:pPr>
                  <w:r>
                    <w:rPr>
                      <w:rFonts w:hint="eastAsia"/>
                      <w:b w:val="0"/>
                      <w:bCs w:val="0"/>
                      <w:color w:val="auto"/>
                      <w:u w:val="none" w:color="auto"/>
                      <w:lang w:val="en-US" w:eastAsia="zh-CN"/>
                    </w:rPr>
                    <w:t>最终产品为300万平方米（以单层计）</w:t>
                  </w:r>
                </w:p>
              </w:tc>
            </w:tr>
          </w:tbl>
          <w:p w14:paraId="28670E0D">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u w:val="none" w:color="auto"/>
                <w:lang w:val="en-US" w:eastAsia="zh-CN" w:bidi="ar-SA"/>
              </w:rPr>
            </w:pPr>
            <w:r>
              <w:rPr>
                <w:rFonts w:hint="eastAsia" w:ascii="Times New Roman" w:hAnsi="Times New Roman" w:eastAsia="宋体" w:cs="Times New Roman"/>
                <w:b/>
                <w:bCs/>
                <w:snapToGrid w:val="0"/>
                <w:color w:val="auto"/>
                <w:kern w:val="0"/>
                <w:sz w:val="24"/>
                <w:szCs w:val="24"/>
                <w:u w:val="none" w:color="auto"/>
                <w:lang w:val="en-US" w:eastAsia="zh-CN" w:bidi="ar-SA"/>
              </w:rPr>
              <w:t xml:space="preserve">表2-3    </w:t>
            </w:r>
            <w:r>
              <w:rPr>
                <w:rFonts w:hint="eastAsia" w:cs="Times New Roman"/>
                <w:b/>
                <w:bCs/>
                <w:snapToGrid w:val="0"/>
                <w:color w:val="auto"/>
                <w:kern w:val="0"/>
                <w:sz w:val="24"/>
                <w:szCs w:val="24"/>
                <w:u w:val="none" w:color="auto"/>
                <w:lang w:val="en-US" w:eastAsia="zh-CN" w:bidi="ar-SA"/>
              </w:rPr>
              <w:t xml:space="preserve">  </w:t>
            </w:r>
            <w:r>
              <w:rPr>
                <w:rFonts w:hint="eastAsia" w:ascii="Times New Roman" w:hAnsi="Times New Roman" w:eastAsia="宋体" w:cs="Times New Roman"/>
                <w:b/>
                <w:bCs/>
                <w:snapToGrid w:val="0"/>
                <w:color w:val="auto"/>
                <w:kern w:val="0"/>
                <w:sz w:val="24"/>
                <w:szCs w:val="24"/>
                <w:u w:val="none" w:color="auto"/>
                <w:lang w:val="en-US" w:eastAsia="zh-CN" w:bidi="ar-SA"/>
              </w:rPr>
              <w:t xml:space="preserve"> 本项目建成后全厂产品方案一览表</w:t>
            </w:r>
          </w:p>
          <w:tbl>
            <w:tblPr>
              <w:tblStyle w:val="3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4"/>
              <w:gridCol w:w="1696"/>
              <w:gridCol w:w="2023"/>
              <w:gridCol w:w="1749"/>
              <w:gridCol w:w="2013"/>
            </w:tblGrid>
            <w:tr w14:paraId="546FA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452" w:type="pct"/>
                  <w:vMerge w:val="restart"/>
                  <w:noWrap w:val="0"/>
                  <w:tcMar>
                    <w:top w:w="57" w:type="dxa"/>
                    <w:bottom w:w="57" w:type="dxa"/>
                  </w:tcMar>
                  <w:vAlign w:val="center"/>
                </w:tcPr>
                <w:p w14:paraId="3863997D">
                  <w:pPr>
                    <w:snapToGrid w:val="0"/>
                    <w:jc w:val="center"/>
                    <w:rPr>
                      <w:rFonts w:hint="default" w:ascii="Times New Roman" w:hAnsi="Times New Roman" w:cs="Times New Roman"/>
                      <w:b w:val="0"/>
                      <w:bCs w:val="0"/>
                      <w:sz w:val="21"/>
                      <w:szCs w:val="21"/>
                    </w:rPr>
                  </w:pPr>
                  <w:r>
                    <w:rPr>
                      <w:rFonts w:hint="default" w:ascii="Times New Roman" w:hAnsi="Times New Roman" w:cs="Times New Roman"/>
                      <w:b w:val="0"/>
                      <w:bCs w:val="0"/>
                      <w:sz w:val="21"/>
                      <w:szCs w:val="21"/>
                    </w:rPr>
                    <w:t>序号</w:t>
                  </w:r>
                </w:p>
              </w:tc>
              <w:tc>
                <w:tcPr>
                  <w:tcW w:w="1031" w:type="pct"/>
                  <w:vMerge w:val="restart"/>
                  <w:noWrap w:val="0"/>
                  <w:tcMar>
                    <w:top w:w="57" w:type="dxa"/>
                    <w:bottom w:w="57" w:type="dxa"/>
                  </w:tcMar>
                  <w:vAlign w:val="center"/>
                </w:tcPr>
                <w:p w14:paraId="5819708A">
                  <w:pPr>
                    <w:snapToGrid w:val="0"/>
                    <w:jc w:val="center"/>
                    <w:rPr>
                      <w:rFonts w:hint="default" w:ascii="Times New Roman" w:hAnsi="Times New Roman" w:cs="Times New Roman"/>
                      <w:b w:val="0"/>
                      <w:bCs w:val="0"/>
                      <w:sz w:val="21"/>
                      <w:szCs w:val="21"/>
                    </w:rPr>
                  </w:pPr>
                  <w:r>
                    <w:rPr>
                      <w:rFonts w:hint="default" w:ascii="Times New Roman" w:hAnsi="Times New Roman" w:cs="Times New Roman"/>
                      <w:b w:val="0"/>
                      <w:bCs w:val="0"/>
                      <w:sz w:val="21"/>
                      <w:szCs w:val="21"/>
                    </w:rPr>
                    <w:t>产品名称</w:t>
                  </w:r>
                </w:p>
              </w:tc>
              <w:tc>
                <w:tcPr>
                  <w:tcW w:w="1229" w:type="pct"/>
                  <w:noWrap w:val="0"/>
                  <w:tcMar>
                    <w:top w:w="57" w:type="dxa"/>
                    <w:bottom w:w="57" w:type="dxa"/>
                  </w:tcMar>
                  <w:vAlign w:val="center"/>
                </w:tcPr>
                <w:p w14:paraId="5188DC2F">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现有工程</w:t>
                  </w:r>
                </w:p>
              </w:tc>
              <w:tc>
                <w:tcPr>
                  <w:tcW w:w="1063" w:type="pct"/>
                  <w:noWrap w:val="0"/>
                  <w:tcMar>
                    <w:top w:w="57" w:type="dxa"/>
                    <w:bottom w:w="57" w:type="dxa"/>
                  </w:tcMar>
                  <w:vAlign w:val="center"/>
                </w:tcPr>
                <w:p w14:paraId="50120716">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eastAsia="宋体" w:cs="Times New Roman"/>
                      <w:b w:val="0"/>
                      <w:bCs w:val="0"/>
                      <w:sz w:val="21"/>
                      <w:szCs w:val="21"/>
                      <w:lang w:val="en-US" w:eastAsia="zh-CN"/>
                    </w:rPr>
                    <w:t>本项目</w:t>
                  </w:r>
                </w:p>
              </w:tc>
              <w:tc>
                <w:tcPr>
                  <w:tcW w:w="1223" w:type="pct"/>
                  <w:noWrap w:val="0"/>
                  <w:tcMar>
                    <w:top w:w="57" w:type="dxa"/>
                    <w:bottom w:w="57" w:type="dxa"/>
                  </w:tcMar>
                  <w:vAlign w:val="center"/>
                </w:tcPr>
                <w:p w14:paraId="3BAD3072">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eastAsia="宋体" w:cs="Times New Roman"/>
                      <w:b w:val="0"/>
                      <w:bCs w:val="0"/>
                      <w:sz w:val="21"/>
                      <w:szCs w:val="21"/>
                      <w:lang w:val="en-US" w:eastAsia="zh-CN"/>
                    </w:rPr>
                    <w:t>全厂</w:t>
                  </w:r>
                </w:p>
              </w:tc>
            </w:tr>
            <w:tr w14:paraId="665ED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452" w:type="pct"/>
                  <w:vMerge w:val="continue"/>
                  <w:noWrap w:val="0"/>
                  <w:tcMar>
                    <w:top w:w="57" w:type="dxa"/>
                    <w:bottom w:w="57" w:type="dxa"/>
                  </w:tcMar>
                  <w:vAlign w:val="center"/>
                </w:tcPr>
                <w:p w14:paraId="7E1B8A92">
                  <w:pPr>
                    <w:snapToGrid w:val="0"/>
                    <w:jc w:val="center"/>
                    <w:rPr>
                      <w:rFonts w:hint="default" w:ascii="Times New Roman" w:hAnsi="Times New Roman" w:cs="Times New Roman"/>
                      <w:b w:val="0"/>
                      <w:bCs w:val="0"/>
                      <w:sz w:val="21"/>
                      <w:szCs w:val="21"/>
                    </w:rPr>
                  </w:pPr>
                </w:p>
              </w:tc>
              <w:tc>
                <w:tcPr>
                  <w:tcW w:w="1031" w:type="pct"/>
                  <w:vMerge w:val="continue"/>
                  <w:noWrap w:val="0"/>
                  <w:tcMar>
                    <w:top w:w="57" w:type="dxa"/>
                    <w:bottom w:w="57" w:type="dxa"/>
                  </w:tcMar>
                  <w:vAlign w:val="center"/>
                </w:tcPr>
                <w:p w14:paraId="04D4CD51">
                  <w:pPr>
                    <w:snapToGrid w:val="0"/>
                    <w:jc w:val="center"/>
                    <w:rPr>
                      <w:rFonts w:hint="default" w:ascii="Times New Roman" w:hAnsi="Times New Roman" w:cs="Times New Roman"/>
                      <w:b w:val="0"/>
                      <w:bCs w:val="0"/>
                      <w:sz w:val="21"/>
                      <w:szCs w:val="21"/>
                    </w:rPr>
                  </w:pPr>
                </w:p>
              </w:tc>
              <w:tc>
                <w:tcPr>
                  <w:tcW w:w="1229" w:type="pct"/>
                  <w:noWrap w:val="0"/>
                  <w:tcMar>
                    <w:top w:w="57" w:type="dxa"/>
                    <w:bottom w:w="57" w:type="dxa"/>
                  </w:tcMar>
                  <w:vAlign w:val="center"/>
                </w:tcPr>
                <w:p w14:paraId="11C7F913">
                  <w:pPr>
                    <w:snapToGrid w:val="0"/>
                    <w:jc w:val="center"/>
                    <w:rPr>
                      <w:rFonts w:hint="eastAsia" w:ascii="Times New Roman" w:hAnsi="Times New Roman" w:eastAsia="宋体" w:cs="Times New Roman"/>
                      <w:b w:val="0"/>
                      <w:bCs w:val="0"/>
                      <w:sz w:val="21"/>
                      <w:szCs w:val="21"/>
                      <w:lang w:eastAsia="zh-CN"/>
                    </w:rPr>
                  </w:pPr>
                  <w:r>
                    <w:rPr>
                      <w:rFonts w:hint="default" w:ascii="Times New Roman" w:hAnsi="Times New Roman" w:cs="Times New Roman"/>
                      <w:b w:val="0"/>
                      <w:bCs w:val="0"/>
                      <w:sz w:val="21"/>
                      <w:szCs w:val="21"/>
                    </w:rPr>
                    <w:t>年产量</w:t>
                  </w:r>
                </w:p>
              </w:tc>
              <w:tc>
                <w:tcPr>
                  <w:tcW w:w="1063" w:type="pct"/>
                  <w:noWrap w:val="0"/>
                  <w:tcMar>
                    <w:top w:w="57" w:type="dxa"/>
                    <w:bottom w:w="57" w:type="dxa"/>
                  </w:tcMar>
                  <w:vAlign w:val="center"/>
                </w:tcPr>
                <w:p w14:paraId="0141BDD9">
                  <w:pPr>
                    <w:snapToGrid w:val="0"/>
                    <w:jc w:val="center"/>
                    <w:rPr>
                      <w:rFonts w:hint="eastAsia" w:ascii="Times New Roman" w:hAnsi="Times New Roman" w:cs="Times New Roman"/>
                      <w:b w:val="0"/>
                      <w:bCs w:val="0"/>
                      <w:sz w:val="21"/>
                      <w:szCs w:val="21"/>
                      <w:lang w:val="en-US" w:eastAsia="zh-CN"/>
                    </w:rPr>
                  </w:pPr>
                  <w:r>
                    <w:rPr>
                      <w:rFonts w:hint="default" w:ascii="Times New Roman" w:hAnsi="Times New Roman" w:cs="Times New Roman"/>
                      <w:b w:val="0"/>
                      <w:bCs w:val="0"/>
                      <w:sz w:val="21"/>
                      <w:szCs w:val="21"/>
                    </w:rPr>
                    <w:t>年产量</w:t>
                  </w:r>
                </w:p>
              </w:tc>
              <w:tc>
                <w:tcPr>
                  <w:tcW w:w="1223" w:type="pct"/>
                  <w:noWrap w:val="0"/>
                  <w:tcMar>
                    <w:top w:w="57" w:type="dxa"/>
                    <w:bottom w:w="57" w:type="dxa"/>
                  </w:tcMar>
                  <w:vAlign w:val="center"/>
                </w:tcPr>
                <w:p w14:paraId="3BC3BC36">
                  <w:pPr>
                    <w:snapToGrid w:val="0"/>
                    <w:jc w:val="center"/>
                    <w:rPr>
                      <w:rFonts w:hint="eastAsia" w:ascii="Times New Roman" w:hAnsi="Times New Roman" w:cs="Times New Roman"/>
                      <w:b w:val="0"/>
                      <w:bCs w:val="0"/>
                      <w:sz w:val="21"/>
                      <w:szCs w:val="21"/>
                      <w:lang w:val="en-US" w:eastAsia="zh-CN"/>
                    </w:rPr>
                  </w:pPr>
                  <w:r>
                    <w:rPr>
                      <w:rFonts w:hint="default" w:ascii="Times New Roman" w:hAnsi="Times New Roman" w:cs="Times New Roman"/>
                      <w:b w:val="0"/>
                      <w:bCs w:val="0"/>
                      <w:sz w:val="21"/>
                      <w:szCs w:val="21"/>
                    </w:rPr>
                    <w:t>年产量</w:t>
                  </w:r>
                </w:p>
              </w:tc>
            </w:tr>
            <w:tr w14:paraId="0E354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452" w:type="pct"/>
                  <w:shd w:val="clear" w:color="auto" w:fill="auto"/>
                  <w:noWrap w:val="0"/>
                  <w:tcMar>
                    <w:top w:w="57" w:type="dxa"/>
                    <w:bottom w:w="57" w:type="dxa"/>
                  </w:tcMar>
                  <w:vAlign w:val="center"/>
                </w:tcPr>
                <w:p w14:paraId="0C10A6DB">
                  <w:pPr>
                    <w:snapToGrid w:val="0"/>
                    <w:jc w:val="center"/>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cs="Times New Roman"/>
                      <w:b w:val="0"/>
                      <w:bCs w:val="0"/>
                      <w:sz w:val="21"/>
                      <w:szCs w:val="21"/>
                    </w:rPr>
                    <w:t>1</w:t>
                  </w:r>
                </w:p>
              </w:tc>
              <w:tc>
                <w:tcPr>
                  <w:tcW w:w="1031" w:type="pct"/>
                  <w:noWrap w:val="0"/>
                  <w:tcMar>
                    <w:top w:w="57" w:type="dxa"/>
                    <w:bottom w:w="57" w:type="dxa"/>
                  </w:tcMar>
                  <w:vAlign w:val="center"/>
                </w:tcPr>
                <w:p w14:paraId="6706834B">
                  <w:pPr>
                    <w:snapToGrid w:val="0"/>
                    <w:jc w:val="center"/>
                    <w:rPr>
                      <w:rFonts w:hint="default" w:ascii="Times New Roman" w:hAnsi="Times New Roman" w:cs="Times New Roman"/>
                      <w:b w:val="0"/>
                      <w:bCs w:val="0"/>
                      <w:sz w:val="21"/>
                      <w:szCs w:val="21"/>
                    </w:rPr>
                  </w:pPr>
                  <w:r>
                    <w:rPr>
                      <w:rFonts w:hint="default" w:ascii="Times New Roman" w:hAnsi="Times New Roman" w:cs="Times New Roman"/>
                      <w:b w:val="0"/>
                      <w:bCs w:val="0"/>
                      <w:sz w:val="21"/>
                      <w:szCs w:val="21"/>
                      <w:lang w:val="en-US" w:eastAsia="zh-CN"/>
                    </w:rPr>
                    <w:t>节能LOW-E 玻璃</w:t>
                  </w:r>
                  <w:r>
                    <w:rPr>
                      <w:rFonts w:hint="eastAsia" w:cs="Times New Roman"/>
                      <w:b w:val="0"/>
                      <w:bCs w:val="0"/>
                      <w:sz w:val="21"/>
                      <w:szCs w:val="21"/>
                      <w:lang w:val="en-US" w:eastAsia="zh-CN"/>
                    </w:rPr>
                    <w:t>（钢化玻璃）</w:t>
                  </w:r>
                </w:p>
              </w:tc>
              <w:tc>
                <w:tcPr>
                  <w:tcW w:w="1229" w:type="pct"/>
                  <w:noWrap w:val="0"/>
                  <w:tcMar>
                    <w:top w:w="57" w:type="dxa"/>
                    <w:bottom w:w="57" w:type="dxa"/>
                  </w:tcMar>
                  <w:vAlign w:val="center"/>
                </w:tcPr>
                <w:p w14:paraId="43E5E9C3">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30万平方米（双层）</w:t>
                  </w:r>
                </w:p>
              </w:tc>
              <w:tc>
                <w:tcPr>
                  <w:tcW w:w="1063" w:type="pct"/>
                  <w:noWrap w:val="0"/>
                  <w:tcMar>
                    <w:top w:w="57" w:type="dxa"/>
                    <w:bottom w:w="57" w:type="dxa"/>
                  </w:tcMar>
                  <w:vAlign w:val="center"/>
                </w:tcPr>
                <w:p w14:paraId="0FE47E08">
                  <w:pPr>
                    <w:snapToGrid w:val="0"/>
                    <w:jc w:val="center"/>
                    <w:rPr>
                      <w:rFonts w:hint="eastAsia"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w:t>
                  </w:r>
                </w:p>
              </w:tc>
              <w:tc>
                <w:tcPr>
                  <w:tcW w:w="1223" w:type="pct"/>
                  <w:noWrap w:val="0"/>
                  <w:tcMar>
                    <w:top w:w="57" w:type="dxa"/>
                    <w:bottom w:w="57" w:type="dxa"/>
                  </w:tcMar>
                  <w:vAlign w:val="center"/>
                </w:tcPr>
                <w:p w14:paraId="7813975E">
                  <w:pPr>
                    <w:snapToGrid w:val="0"/>
                    <w:jc w:val="center"/>
                    <w:rPr>
                      <w:rFonts w:hint="default" w:ascii="Times New Roman" w:hAnsi="Times New Roman" w:cs="Times New Roman"/>
                      <w:b w:val="0"/>
                      <w:bCs w:val="0"/>
                      <w:sz w:val="21"/>
                      <w:szCs w:val="21"/>
                    </w:rPr>
                  </w:pPr>
                  <w:r>
                    <w:rPr>
                      <w:rFonts w:hint="eastAsia" w:ascii="Times New Roman" w:hAnsi="Times New Roman" w:cs="Times New Roman"/>
                      <w:b w:val="0"/>
                      <w:bCs w:val="0"/>
                      <w:sz w:val="21"/>
                      <w:szCs w:val="21"/>
                      <w:lang w:val="en-US" w:eastAsia="zh-CN"/>
                    </w:rPr>
                    <w:t>30万平方米（双层）</w:t>
                  </w:r>
                </w:p>
              </w:tc>
            </w:tr>
            <w:tr w14:paraId="24435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452" w:type="pct"/>
                  <w:shd w:val="clear" w:color="auto" w:fill="auto"/>
                  <w:noWrap w:val="0"/>
                  <w:tcMar>
                    <w:top w:w="57" w:type="dxa"/>
                    <w:bottom w:w="57" w:type="dxa"/>
                  </w:tcMar>
                  <w:vAlign w:val="center"/>
                </w:tcPr>
                <w:p w14:paraId="5E17AF7F">
                  <w:pPr>
                    <w:snapToGrid w:val="0"/>
                    <w:jc w:val="center"/>
                    <w:rPr>
                      <w:rFonts w:hint="default" w:ascii="Times New Roman" w:hAnsi="Times New Roman" w:eastAsia="宋体" w:cs="Times New Roman"/>
                      <w:b w:val="0"/>
                      <w:bCs w:val="0"/>
                      <w:kern w:val="2"/>
                      <w:sz w:val="21"/>
                      <w:szCs w:val="21"/>
                      <w:lang w:val="en-US" w:eastAsia="zh-CN" w:bidi="ar-SA"/>
                    </w:rPr>
                  </w:pPr>
                  <w:r>
                    <w:rPr>
                      <w:rFonts w:hint="eastAsia" w:ascii="Times New Roman" w:hAnsi="Times New Roman" w:cs="Times New Roman"/>
                      <w:b w:val="0"/>
                      <w:bCs w:val="0"/>
                      <w:sz w:val="21"/>
                      <w:szCs w:val="21"/>
                      <w:lang w:val="en-US" w:eastAsia="zh-CN"/>
                    </w:rPr>
                    <w:t>2</w:t>
                  </w:r>
                </w:p>
              </w:tc>
              <w:tc>
                <w:tcPr>
                  <w:tcW w:w="1031" w:type="pct"/>
                  <w:noWrap w:val="0"/>
                  <w:tcMar>
                    <w:top w:w="57" w:type="dxa"/>
                    <w:bottom w:w="57" w:type="dxa"/>
                  </w:tcMar>
                  <w:vAlign w:val="center"/>
                </w:tcPr>
                <w:p w14:paraId="0EF404C0">
                  <w:pPr>
                    <w:pStyle w:val="115"/>
                    <w:rPr>
                      <w:rFonts w:hint="default" w:ascii="Times New Roman" w:hAnsi="Times New Roman" w:cs="Times New Roman"/>
                      <w:b w:val="0"/>
                      <w:bCs w:val="0"/>
                      <w:sz w:val="21"/>
                      <w:szCs w:val="21"/>
                    </w:rPr>
                  </w:pPr>
                  <w:r>
                    <w:rPr>
                      <w:rFonts w:hint="eastAsia"/>
                      <w:b w:val="0"/>
                      <w:bCs w:val="0"/>
                      <w:color w:val="auto"/>
                      <w:u w:val="none" w:color="auto"/>
                      <w:lang w:val="en-US" w:eastAsia="zh-CN"/>
                    </w:rPr>
                    <w:t>夹胶玻璃</w:t>
                  </w:r>
                </w:p>
              </w:tc>
              <w:tc>
                <w:tcPr>
                  <w:tcW w:w="1229" w:type="pct"/>
                  <w:noWrap w:val="0"/>
                  <w:tcMar>
                    <w:top w:w="57" w:type="dxa"/>
                    <w:bottom w:w="57" w:type="dxa"/>
                  </w:tcMar>
                  <w:vAlign w:val="center"/>
                </w:tcPr>
                <w:p w14:paraId="65DC5706">
                  <w:pPr>
                    <w:snapToGrid w:val="0"/>
                    <w:jc w:val="center"/>
                    <w:rPr>
                      <w:rFonts w:hint="default" w:ascii="Times New Roman" w:hAnsi="Times New Roman" w:eastAsia="宋体" w:cs="Times New Roman"/>
                      <w:b w:val="0"/>
                      <w:bCs w:val="0"/>
                      <w:sz w:val="21"/>
                      <w:szCs w:val="21"/>
                      <w:highlight w:val="none"/>
                      <w:lang w:val="en-US" w:eastAsia="zh-CN"/>
                    </w:rPr>
                  </w:pPr>
                  <w:r>
                    <w:rPr>
                      <w:rFonts w:hint="eastAsia" w:ascii="Times New Roman" w:hAnsi="Times New Roman" w:cs="Times New Roman"/>
                      <w:b w:val="0"/>
                      <w:bCs w:val="0"/>
                      <w:sz w:val="21"/>
                      <w:szCs w:val="21"/>
                      <w:highlight w:val="none"/>
                      <w:lang w:val="en-US" w:eastAsia="zh-CN"/>
                    </w:rPr>
                    <w:t>20万平方米（多层，2-6层）</w:t>
                  </w:r>
                </w:p>
              </w:tc>
              <w:tc>
                <w:tcPr>
                  <w:tcW w:w="1063" w:type="pct"/>
                  <w:noWrap w:val="0"/>
                  <w:tcMar>
                    <w:top w:w="57" w:type="dxa"/>
                    <w:bottom w:w="57" w:type="dxa"/>
                  </w:tcMar>
                  <w:vAlign w:val="center"/>
                </w:tcPr>
                <w:p w14:paraId="7C366536">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40万平方米</w:t>
                  </w:r>
                  <w:r>
                    <w:rPr>
                      <w:rFonts w:hint="eastAsia" w:ascii="Times New Roman" w:hAnsi="Times New Roman" w:cs="Times New Roman"/>
                      <w:b w:val="0"/>
                      <w:bCs w:val="0"/>
                      <w:sz w:val="21"/>
                      <w:szCs w:val="21"/>
                      <w:highlight w:val="none"/>
                      <w:lang w:val="en-US" w:eastAsia="zh-CN"/>
                    </w:rPr>
                    <w:t>（多层，2-6层）</w:t>
                  </w:r>
                </w:p>
              </w:tc>
              <w:tc>
                <w:tcPr>
                  <w:tcW w:w="1223" w:type="pct"/>
                  <w:noWrap w:val="0"/>
                  <w:tcMar>
                    <w:top w:w="57" w:type="dxa"/>
                    <w:bottom w:w="57" w:type="dxa"/>
                  </w:tcMar>
                  <w:vAlign w:val="center"/>
                </w:tcPr>
                <w:p w14:paraId="05052772">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60万平方米</w:t>
                  </w:r>
                  <w:r>
                    <w:rPr>
                      <w:rFonts w:hint="eastAsia" w:ascii="Times New Roman" w:hAnsi="Times New Roman" w:cs="Times New Roman"/>
                      <w:b w:val="0"/>
                      <w:bCs w:val="0"/>
                      <w:sz w:val="21"/>
                      <w:szCs w:val="21"/>
                      <w:highlight w:val="none"/>
                      <w:lang w:val="en-US" w:eastAsia="zh-CN"/>
                    </w:rPr>
                    <w:t>（多层，2-6层）</w:t>
                  </w:r>
                </w:p>
              </w:tc>
            </w:tr>
            <w:tr w14:paraId="71D8C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452" w:type="pct"/>
                  <w:shd w:val="clear" w:color="auto" w:fill="auto"/>
                  <w:noWrap w:val="0"/>
                  <w:tcMar>
                    <w:top w:w="57" w:type="dxa"/>
                    <w:bottom w:w="57" w:type="dxa"/>
                  </w:tcMar>
                  <w:vAlign w:val="center"/>
                </w:tcPr>
                <w:p w14:paraId="1694DC8D">
                  <w:pPr>
                    <w:snapToGrid w:val="0"/>
                    <w:jc w:val="center"/>
                    <w:rPr>
                      <w:rFonts w:hint="eastAsia" w:ascii="Times New Roman" w:hAnsi="Times New Roman" w:eastAsia="宋体" w:cs="Times New Roman"/>
                      <w:b w:val="0"/>
                      <w:bCs w:val="0"/>
                      <w:kern w:val="2"/>
                      <w:sz w:val="21"/>
                      <w:szCs w:val="21"/>
                      <w:lang w:val="en-US" w:eastAsia="zh-CN" w:bidi="ar-SA"/>
                    </w:rPr>
                  </w:pPr>
                  <w:r>
                    <w:rPr>
                      <w:rFonts w:hint="eastAsia" w:ascii="Times New Roman" w:hAnsi="Times New Roman" w:cs="Times New Roman"/>
                      <w:b w:val="0"/>
                      <w:bCs w:val="0"/>
                      <w:sz w:val="21"/>
                      <w:szCs w:val="21"/>
                      <w:lang w:val="en-US" w:eastAsia="zh-CN"/>
                    </w:rPr>
                    <w:t>3</w:t>
                  </w:r>
                </w:p>
              </w:tc>
              <w:tc>
                <w:tcPr>
                  <w:tcW w:w="1031" w:type="pct"/>
                  <w:noWrap w:val="0"/>
                  <w:tcMar>
                    <w:top w:w="57" w:type="dxa"/>
                    <w:bottom w:w="57" w:type="dxa"/>
                  </w:tcMar>
                  <w:vAlign w:val="center"/>
                </w:tcPr>
                <w:p w14:paraId="5FBC4524">
                  <w:pPr>
                    <w:pStyle w:val="115"/>
                    <w:rPr>
                      <w:rFonts w:hint="default" w:ascii="Times New Roman" w:hAnsi="Times New Roman" w:cs="Times New Roman"/>
                      <w:b w:val="0"/>
                      <w:bCs w:val="0"/>
                      <w:sz w:val="21"/>
                      <w:szCs w:val="21"/>
                      <w:lang w:val="en-US" w:eastAsia="zh-CN"/>
                    </w:rPr>
                  </w:pPr>
                  <w:r>
                    <w:rPr>
                      <w:rFonts w:hint="eastAsia"/>
                      <w:b w:val="0"/>
                      <w:bCs w:val="0"/>
                      <w:color w:val="auto"/>
                      <w:u w:val="none" w:color="auto"/>
                      <w:lang w:val="en-US" w:eastAsia="zh-CN"/>
                    </w:rPr>
                    <w:t>中空玻璃</w:t>
                  </w:r>
                </w:p>
              </w:tc>
              <w:tc>
                <w:tcPr>
                  <w:tcW w:w="1229" w:type="pct"/>
                  <w:noWrap w:val="0"/>
                  <w:tcMar>
                    <w:top w:w="57" w:type="dxa"/>
                    <w:bottom w:w="57" w:type="dxa"/>
                  </w:tcMar>
                  <w:vAlign w:val="center"/>
                </w:tcPr>
                <w:p w14:paraId="6B1A4D5B">
                  <w:pPr>
                    <w:snapToGrid w:val="0"/>
                    <w:jc w:val="center"/>
                    <w:rPr>
                      <w:rFonts w:hint="default" w:ascii="Times New Roman" w:hAnsi="Times New Roman" w:cs="Times New Roman"/>
                      <w:b w:val="0"/>
                      <w:bCs w:val="0"/>
                      <w:sz w:val="21"/>
                      <w:szCs w:val="21"/>
                      <w:highlight w:val="none"/>
                      <w:lang w:val="en-US" w:eastAsia="zh-CN"/>
                    </w:rPr>
                  </w:pPr>
                  <w:r>
                    <w:rPr>
                      <w:rFonts w:hint="eastAsia" w:ascii="Times New Roman" w:hAnsi="Times New Roman" w:cs="Times New Roman"/>
                      <w:b w:val="0"/>
                      <w:bCs w:val="0"/>
                      <w:sz w:val="21"/>
                      <w:szCs w:val="21"/>
                      <w:highlight w:val="none"/>
                      <w:lang w:val="en-US" w:eastAsia="zh-CN"/>
                    </w:rPr>
                    <w:t>10万平方米（多层，2-6层）</w:t>
                  </w:r>
                </w:p>
              </w:tc>
              <w:tc>
                <w:tcPr>
                  <w:tcW w:w="1063" w:type="pct"/>
                  <w:noWrap w:val="0"/>
                  <w:tcMar>
                    <w:top w:w="57" w:type="dxa"/>
                    <w:bottom w:w="57" w:type="dxa"/>
                  </w:tcMar>
                  <w:vAlign w:val="center"/>
                </w:tcPr>
                <w:p w14:paraId="7BF1C439">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20万平方米</w:t>
                  </w:r>
                  <w:r>
                    <w:rPr>
                      <w:rFonts w:hint="eastAsia" w:ascii="Times New Roman" w:hAnsi="Times New Roman" w:cs="Times New Roman"/>
                      <w:b w:val="0"/>
                      <w:bCs w:val="0"/>
                      <w:sz w:val="21"/>
                      <w:szCs w:val="21"/>
                      <w:highlight w:val="none"/>
                      <w:lang w:val="en-US" w:eastAsia="zh-CN"/>
                    </w:rPr>
                    <w:t>（多层，2-6层）</w:t>
                  </w:r>
                </w:p>
              </w:tc>
              <w:tc>
                <w:tcPr>
                  <w:tcW w:w="1223" w:type="pct"/>
                  <w:noWrap w:val="0"/>
                  <w:tcMar>
                    <w:top w:w="57" w:type="dxa"/>
                    <w:bottom w:w="57" w:type="dxa"/>
                  </w:tcMar>
                  <w:vAlign w:val="center"/>
                </w:tcPr>
                <w:p w14:paraId="140932EA">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lang w:val="en-US" w:eastAsia="zh-CN"/>
                    </w:rPr>
                    <w:t>30万平方米</w:t>
                  </w:r>
                  <w:r>
                    <w:rPr>
                      <w:rFonts w:hint="eastAsia" w:ascii="Times New Roman" w:hAnsi="Times New Roman" w:cs="Times New Roman"/>
                      <w:b w:val="0"/>
                      <w:bCs w:val="0"/>
                      <w:sz w:val="21"/>
                      <w:szCs w:val="21"/>
                      <w:highlight w:val="none"/>
                      <w:lang w:val="en-US" w:eastAsia="zh-CN"/>
                    </w:rPr>
                    <w:t>（多层，2-6层）</w:t>
                  </w:r>
                </w:p>
              </w:tc>
            </w:tr>
            <w:tr w14:paraId="2872C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452" w:type="pct"/>
                  <w:shd w:val="clear" w:color="auto" w:fill="auto"/>
                  <w:noWrap w:val="0"/>
                  <w:tcMar>
                    <w:top w:w="57" w:type="dxa"/>
                    <w:bottom w:w="57" w:type="dxa"/>
                  </w:tcMar>
                  <w:vAlign w:val="center"/>
                </w:tcPr>
                <w:p w14:paraId="41603D1F">
                  <w:pPr>
                    <w:snapToGrid w:val="0"/>
                    <w:jc w:val="center"/>
                    <w:rPr>
                      <w:rFonts w:hint="eastAsia" w:ascii="Times New Roman" w:hAnsi="Times New Roman" w:eastAsia="宋体" w:cs="Times New Roman"/>
                      <w:b w:val="0"/>
                      <w:bCs w:val="0"/>
                      <w:kern w:val="2"/>
                      <w:sz w:val="21"/>
                      <w:szCs w:val="21"/>
                      <w:lang w:val="en-US" w:eastAsia="zh-CN" w:bidi="ar-SA"/>
                    </w:rPr>
                  </w:pPr>
                  <w:r>
                    <w:rPr>
                      <w:rFonts w:hint="eastAsia" w:ascii="Times New Roman" w:hAnsi="Times New Roman" w:cs="Times New Roman"/>
                      <w:b w:val="0"/>
                      <w:bCs w:val="0"/>
                      <w:sz w:val="21"/>
                      <w:szCs w:val="21"/>
                      <w:lang w:val="en-US" w:eastAsia="zh-CN"/>
                    </w:rPr>
                    <w:t>4</w:t>
                  </w:r>
                </w:p>
              </w:tc>
              <w:tc>
                <w:tcPr>
                  <w:tcW w:w="1031" w:type="pct"/>
                  <w:noWrap w:val="0"/>
                  <w:tcMar>
                    <w:top w:w="57" w:type="dxa"/>
                    <w:bottom w:w="57" w:type="dxa"/>
                  </w:tcMar>
                  <w:vAlign w:val="center"/>
                </w:tcPr>
                <w:p w14:paraId="59DF85C5">
                  <w:pPr>
                    <w:pStyle w:val="115"/>
                    <w:rPr>
                      <w:rFonts w:hint="default" w:ascii="Times New Roman" w:hAnsi="Times New Roman" w:cs="Times New Roman"/>
                      <w:b w:val="0"/>
                      <w:bCs w:val="0"/>
                      <w:sz w:val="21"/>
                      <w:szCs w:val="21"/>
                      <w:lang w:val="en-US" w:eastAsia="zh-CN"/>
                    </w:rPr>
                  </w:pPr>
                  <w:r>
                    <w:rPr>
                      <w:rFonts w:hint="eastAsia"/>
                      <w:b w:val="0"/>
                      <w:bCs w:val="0"/>
                      <w:color w:val="auto"/>
                      <w:u w:val="none" w:color="auto"/>
                      <w:lang w:val="en-US" w:eastAsia="zh-CN"/>
                    </w:rPr>
                    <w:t>LOW-E镀膜玻璃</w:t>
                  </w:r>
                </w:p>
              </w:tc>
              <w:tc>
                <w:tcPr>
                  <w:tcW w:w="1229" w:type="pct"/>
                  <w:noWrap w:val="0"/>
                  <w:tcMar>
                    <w:top w:w="57" w:type="dxa"/>
                    <w:bottom w:w="57" w:type="dxa"/>
                  </w:tcMar>
                  <w:vAlign w:val="center"/>
                </w:tcPr>
                <w:p w14:paraId="499A9AA1">
                  <w:pPr>
                    <w:snapToGrid w:val="0"/>
                    <w:jc w:val="center"/>
                    <w:rPr>
                      <w:rFonts w:hint="default" w:ascii="Times New Roman" w:hAnsi="Times New Roman" w:cs="Times New Roman"/>
                      <w:b w:val="0"/>
                      <w:bCs w:val="0"/>
                      <w:sz w:val="21"/>
                      <w:szCs w:val="21"/>
                      <w:highlight w:val="none"/>
                      <w:lang w:val="en-US" w:eastAsia="zh-CN"/>
                    </w:rPr>
                  </w:pPr>
                  <w:r>
                    <w:rPr>
                      <w:rFonts w:hint="eastAsia" w:ascii="Times New Roman" w:hAnsi="Times New Roman" w:cs="Times New Roman"/>
                      <w:b w:val="0"/>
                      <w:bCs w:val="0"/>
                      <w:sz w:val="21"/>
                      <w:szCs w:val="21"/>
                      <w:highlight w:val="none"/>
                      <w:lang w:val="en-US" w:eastAsia="zh-CN"/>
                    </w:rPr>
                    <w:t>100万平方米</w:t>
                  </w:r>
                  <w:r>
                    <w:rPr>
                      <w:rFonts w:hint="eastAsia" w:ascii="Times New Roman" w:hAnsi="Times New Roman" w:cs="Times New Roman"/>
                      <w:b w:val="0"/>
                      <w:bCs w:val="0"/>
                      <w:sz w:val="21"/>
                      <w:szCs w:val="21"/>
                      <w:lang w:val="en-US" w:eastAsia="zh-CN"/>
                    </w:rPr>
                    <w:t>（单层）</w:t>
                  </w:r>
                </w:p>
              </w:tc>
              <w:tc>
                <w:tcPr>
                  <w:tcW w:w="1063" w:type="pct"/>
                  <w:noWrap w:val="0"/>
                  <w:tcMar>
                    <w:top w:w="57" w:type="dxa"/>
                    <w:bottom w:w="57" w:type="dxa"/>
                  </w:tcMar>
                  <w:vAlign w:val="center"/>
                </w:tcPr>
                <w:p w14:paraId="1E2D6ACE">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highlight w:val="none"/>
                      <w:lang w:val="en-US" w:eastAsia="zh-CN"/>
                    </w:rPr>
                    <w:t>100万平方米</w:t>
                  </w:r>
                  <w:r>
                    <w:rPr>
                      <w:rFonts w:hint="eastAsia" w:ascii="Times New Roman" w:hAnsi="Times New Roman" w:cs="Times New Roman"/>
                      <w:b w:val="0"/>
                      <w:bCs w:val="0"/>
                      <w:sz w:val="21"/>
                      <w:szCs w:val="21"/>
                      <w:lang w:val="en-US" w:eastAsia="zh-CN"/>
                    </w:rPr>
                    <w:t>（单层）</w:t>
                  </w:r>
                </w:p>
              </w:tc>
              <w:tc>
                <w:tcPr>
                  <w:tcW w:w="1223" w:type="pct"/>
                  <w:noWrap w:val="0"/>
                  <w:tcMar>
                    <w:top w:w="57" w:type="dxa"/>
                    <w:bottom w:w="57" w:type="dxa"/>
                  </w:tcMar>
                  <w:vAlign w:val="center"/>
                </w:tcPr>
                <w:p w14:paraId="3FCB39D5">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highlight w:val="none"/>
                      <w:lang w:val="en-US" w:eastAsia="zh-CN"/>
                    </w:rPr>
                    <w:t>200万平方米</w:t>
                  </w:r>
                  <w:r>
                    <w:rPr>
                      <w:rFonts w:hint="eastAsia" w:ascii="Times New Roman" w:hAnsi="Times New Roman" w:cs="Times New Roman"/>
                      <w:b w:val="0"/>
                      <w:bCs w:val="0"/>
                      <w:sz w:val="21"/>
                      <w:szCs w:val="21"/>
                      <w:lang w:val="en-US" w:eastAsia="zh-CN"/>
                    </w:rPr>
                    <w:t>（单层）</w:t>
                  </w:r>
                </w:p>
              </w:tc>
            </w:tr>
            <w:tr w14:paraId="3A444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452" w:type="pct"/>
                  <w:noWrap w:val="0"/>
                  <w:tcMar>
                    <w:top w:w="57" w:type="dxa"/>
                    <w:bottom w:w="57" w:type="dxa"/>
                  </w:tcMar>
                  <w:vAlign w:val="center"/>
                </w:tcPr>
                <w:p w14:paraId="68CD43D5">
                  <w:pPr>
                    <w:snapToGrid w:val="0"/>
                    <w:jc w:val="center"/>
                    <w:rPr>
                      <w:rFonts w:hint="default" w:ascii="Times New Roman" w:hAnsi="Times New Roman" w:cs="Times New Roman"/>
                      <w:b w:val="0"/>
                      <w:bCs w:val="0"/>
                      <w:sz w:val="21"/>
                      <w:szCs w:val="21"/>
                      <w:lang w:val="en-US" w:eastAsia="zh-CN"/>
                    </w:rPr>
                  </w:pPr>
                  <w:r>
                    <w:rPr>
                      <w:rFonts w:hint="eastAsia" w:ascii="Times New Roman" w:hAnsi="Times New Roman" w:cs="Times New Roman"/>
                      <w:b w:val="0"/>
                      <w:bCs w:val="0"/>
                      <w:sz w:val="21"/>
                      <w:szCs w:val="21"/>
                      <w:lang w:val="en-US" w:eastAsia="zh-CN"/>
                    </w:rPr>
                    <w:t>5</w:t>
                  </w:r>
                </w:p>
              </w:tc>
              <w:tc>
                <w:tcPr>
                  <w:tcW w:w="1031" w:type="pct"/>
                  <w:noWrap w:val="0"/>
                  <w:tcMar>
                    <w:top w:w="57" w:type="dxa"/>
                    <w:bottom w:w="57" w:type="dxa"/>
                  </w:tcMar>
                  <w:vAlign w:val="center"/>
                </w:tcPr>
                <w:p w14:paraId="24B692A4">
                  <w:pPr>
                    <w:pStyle w:val="115"/>
                    <w:rPr>
                      <w:rFonts w:hint="default" w:ascii="Times New Roman" w:hAnsi="Times New Roman" w:cs="Times New Roman"/>
                      <w:b w:val="0"/>
                      <w:bCs w:val="0"/>
                      <w:sz w:val="21"/>
                      <w:szCs w:val="21"/>
                      <w:lang w:val="en-US" w:eastAsia="zh-CN"/>
                    </w:rPr>
                  </w:pPr>
                  <w:r>
                    <w:rPr>
                      <w:rFonts w:hint="eastAsia"/>
                      <w:b w:val="0"/>
                      <w:bCs w:val="0"/>
                      <w:color w:val="auto"/>
                      <w:u w:val="none" w:color="auto"/>
                      <w:lang w:val="en-US" w:eastAsia="zh-CN"/>
                    </w:rPr>
                    <w:t>彩色成像钢化玻璃</w:t>
                  </w:r>
                </w:p>
              </w:tc>
              <w:tc>
                <w:tcPr>
                  <w:tcW w:w="1229" w:type="pct"/>
                  <w:noWrap w:val="0"/>
                  <w:tcMar>
                    <w:top w:w="57" w:type="dxa"/>
                    <w:bottom w:w="57" w:type="dxa"/>
                  </w:tcMar>
                  <w:vAlign w:val="center"/>
                </w:tcPr>
                <w:p w14:paraId="23AEBF72">
                  <w:pPr>
                    <w:snapToGrid w:val="0"/>
                    <w:jc w:val="center"/>
                    <w:rPr>
                      <w:rFonts w:hint="default" w:ascii="Times New Roman" w:hAnsi="Times New Roman" w:cs="Times New Roman"/>
                      <w:b w:val="0"/>
                      <w:bCs w:val="0"/>
                      <w:sz w:val="21"/>
                      <w:szCs w:val="21"/>
                      <w:highlight w:val="none"/>
                      <w:lang w:val="en-US" w:eastAsia="zh-CN"/>
                    </w:rPr>
                  </w:pPr>
                  <w:r>
                    <w:rPr>
                      <w:rFonts w:hint="eastAsia" w:ascii="Times New Roman" w:hAnsi="Times New Roman" w:cs="Times New Roman"/>
                      <w:b w:val="0"/>
                      <w:bCs w:val="0"/>
                      <w:sz w:val="21"/>
                      <w:szCs w:val="21"/>
                      <w:highlight w:val="none"/>
                      <w:lang w:val="en-US" w:eastAsia="zh-CN"/>
                    </w:rPr>
                    <w:t>5万平方米（1万单层，4万双层）</w:t>
                  </w:r>
                </w:p>
              </w:tc>
              <w:tc>
                <w:tcPr>
                  <w:tcW w:w="1063" w:type="pct"/>
                  <w:noWrap w:val="0"/>
                  <w:tcMar>
                    <w:top w:w="57" w:type="dxa"/>
                    <w:bottom w:w="57" w:type="dxa"/>
                  </w:tcMar>
                  <w:vAlign w:val="center"/>
                </w:tcPr>
                <w:p w14:paraId="5FA3FA09">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highlight w:val="none"/>
                      <w:lang w:val="en-US" w:eastAsia="zh-CN"/>
                    </w:rPr>
                    <w:t>10万平方米（单层）</w:t>
                  </w:r>
                </w:p>
              </w:tc>
              <w:tc>
                <w:tcPr>
                  <w:tcW w:w="1223" w:type="pct"/>
                  <w:noWrap w:val="0"/>
                  <w:tcMar>
                    <w:top w:w="57" w:type="dxa"/>
                    <w:bottom w:w="57" w:type="dxa"/>
                  </w:tcMar>
                  <w:vAlign w:val="center"/>
                </w:tcPr>
                <w:p w14:paraId="696B73D0">
                  <w:pPr>
                    <w:snapToGrid w:val="0"/>
                    <w:jc w:val="center"/>
                    <w:rPr>
                      <w:rFonts w:hint="default" w:ascii="Times New Roman" w:hAnsi="Times New Roman" w:eastAsia="宋体" w:cs="Times New Roman"/>
                      <w:b w:val="0"/>
                      <w:bCs w:val="0"/>
                      <w:sz w:val="21"/>
                      <w:szCs w:val="21"/>
                      <w:lang w:val="en-US" w:eastAsia="zh-CN"/>
                    </w:rPr>
                  </w:pPr>
                  <w:r>
                    <w:rPr>
                      <w:rFonts w:hint="eastAsia" w:ascii="Times New Roman" w:hAnsi="Times New Roman" w:cs="Times New Roman"/>
                      <w:b w:val="0"/>
                      <w:bCs w:val="0"/>
                      <w:sz w:val="21"/>
                      <w:szCs w:val="21"/>
                      <w:highlight w:val="none"/>
                      <w:lang w:val="en-US" w:eastAsia="zh-CN"/>
                    </w:rPr>
                    <w:t>15万平方米（11万单层，4层双层）</w:t>
                  </w:r>
                </w:p>
              </w:tc>
            </w:tr>
          </w:tbl>
          <w:p w14:paraId="6C039EC7">
            <w:pPr>
              <w:pStyle w:val="2"/>
              <w:rPr>
                <w:rFonts w:hint="eastAsia" w:ascii="Times New Roman" w:hAnsi="Times New Roman" w:eastAsia="宋体" w:cs="Times New Roman"/>
                <w:b/>
                <w:bCs/>
                <w:color w:val="000000"/>
                <w:lang w:val="en-US" w:eastAsia="zh-CN"/>
              </w:rPr>
            </w:pPr>
            <w:bookmarkStart w:id="64" w:name="_Toc28371"/>
            <w:bookmarkStart w:id="65" w:name="_Toc21890"/>
            <w:r>
              <w:rPr>
                <w:rFonts w:hint="eastAsia" w:ascii="Times New Roman" w:hAnsi="Times New Roman" w:eastAsia="宋体" w:cs="Times New Roman"/>
                <w:b/>
                <w:bCs/>
                <w:color w:val="000000"/>
                <w:lang w:val="en-US" w:eastAsia="zh-CN"/>
              </w:rPr>
              <w:t>5、主要生产设备</w:t>
            </w:r>
            <w:bookmarkEnd w:id="64"/>
            <w:bookmarkEnd w:id="65"/>
          </w:p>
          <w:p w14:paraId="5AF85EAC">
            <w:pPr>
              <w:pStyle w:val="96"/>
              <w:ind w:firstLine="480"/>
              <w:rPr>
                <w:b w:val="0"/>
                <w:bCs w:val="0"/>
                <w:color w:val="auto"/>
              </w:rPr>
            </w:pPr>
            <w:r>
              <w:rPr>
                <w:b w:val="0"/>
                <w:bCs w:val="0"/>
                <w:color w:val="auto"/>
              </w:rPr>
              <w:t>本</w:t>
            </w:r>
            <w:r>
              <w:rPr>
                <w:b w:val="0"/>
                <w:bCs w:val="0"/>
                <w:color w:val="auto"/>
                <w:lang w:val="zh-CN"/>
              </w:rPr>
              <w:t>项目主要生产设备一览表见表</w:t>
            </w:r>
            <w:r>
              <w:rPr>
                <w:b w:val="0"/>
                <w:bCs w:val="0"/>
                <w:color w:val="auto"/>
              </w:rPr>
              <w:t>2-</w:t>
            </w:r>
            <w:r>
              <w:rPr>
                <w:rFonts w:hint="eastAsia"/>
                <w:b w:val="0"/>
                <w:bCs w:val="0"/>
                <w:color w:val="auto"/>
                <w:lang w:val="en-US" w:eastAsia="zh-CN"/>
              </w:rPr>
              <w:t>4</w:t>
            </w:r>
            <w:r>
              <w:rPr>
                <w:b w:val="0"/>
                <w:bCs w:val="0"/>
                <w:color w:val="auto"/>
              </w:rPr>
              <w:t>。</w:t>
            </w:r>
          </w:p>
          <w:p w14:paraId="7E72AA14">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u w:val="none" w:color="auto"/>
                <w:lang w:val="en-US" w:eastAsia="zh-CN" w:bidi="ar-SA"/>
              </w:rPr>
            </w:pPr>
            <w:r>
              <w:rPr>
                <w:rFonts w:hint="default" w:ascii="Times New Roman" w:hAnsi="Times New Roman" w:eastAsia="宋体" w:cs="Times New Roman"/>
                <w:b/>
                <w:bCs/>
                <w:snapToGrid w:val="0"/>
                <w:color w:val="auto"/>
                <w:kern w:val="0"/>
                <w:sz w:val="24"/>
                <w:szCs w:val="24"/>
                <w:u w:val="none" w:color="auto"/>
                <w:lang w:val="en-US" w:eastAsia="zh-CN" w:bidi="ar-SA"/>
              </w:rPr>
              <w:t>表2-</w:t>
            </w:r>
            <w:r>
              <w:rPr>
                <w:rFonts w:hint="eastAsia" w:cs="Times New Roman"/>
                <w:b/>
                <w:bCs/>
                <w:snapToGrid w:val="0"/>
                <w:color w:val="auto"/>
                <w:kern w:val="0"/>
                <w:sz w:val="24"/>
                <w:szCs w:val="24"/>
                <w:u w:val="none" w:color="auto"/>
                <w:lang w:val="en-US" w:eastAsia="zh-CN" w:bidi="ar-SA"/>
              </w:rPr>
              <w:t>4</w:t>
            </w:r>
            <w:r>
              <w:rPr>
                <w:rFonts w:hint="default" w:ascii="Times New Roman" w:hAnsi="Times New Roman" w:eastAsia="宋体" w:cs="Times New Roman"/>
                <w:b/>
                <w:bCs/>
                <w:snapToGrid w:val="0"/>
                <w:color w:val="auto"/>
                <w:kern w:val="0"/>
                <w:sz w:val="24"/>
                <w:szCs w:val="24"/>
                <w:u w:val="none" w:color="auto"/>
                <w:lang w:val="en-US" w:eastAsia="zh-CN" w:bidi="ar-SA"/>
              </w:rPr>
              <w:t xml:space="preserve">  </w:t>
            </w:r>
            <w:r>
              <w:rPr>
                <w:rFonts w:hint="eastAsia" w:cs="Times New Roman"/>
                <w:b/>
                <w:bCs/>
                <w:snapToGrid w:val="0"/>
                <w:color w:val="auto"/>
                <w:kern w:val="0"/>
                <w:sz w:val="24"/>
                <w:szCs w:val="24"/>
                <w:u w:val="none" w:color="auto"/>
                <w:lang w:val="en-US" w:eastAsia="zh-CN" w:bidi="ar-SA"/>
              </w:rPr>
              <w:t xml:space="preserve"> </w:t>
            </w:r>
            <w:r>
              <w:rPr>
                <w:rFonts w:hint="default" w:ascii="Times New Roman" w:hAnsi="Times New Roman" w:eastAsia="宋体" w:cs="Times New Roman"/>
                <w:b/>
                <w:bCs/>
                <w:snapToGrid w:val="0"/>
                <w:color w:val="auto"/>
                <w:kern w:val="0"/>
                <w:sz w:val="24"/>
                <w:szCs w:val="24"/>
                <w:u w:val="none" w:color="auto"/>
                <w:lang w:val="en-US" w:eastAsia="zh-CN" w:bidi="ar-SA"/>
              </w:rPr>
              <w:t xml:space="preserve"> 本项目主要生产设备一览表</w:t>
            </w:r>
          </w:p>
          <w:tbl>
            <w:tblPr>
              <w:tblStyle w:val="39"/>
              <w:tblW w:w="827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6"/>
              <w:gridCol w:w="1317"/>
              <w:gridCol w:w="744"/>
              <w:gridCol w:w="729"/>
              <w:gridCol w:w="4182"/>
            </w:tblGrid>
            <w:tr w14:paraId="17D7E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43C0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设备名称</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33B3D">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型号/功率</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5647F">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数量</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AA34B">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单位</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57DE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备注</w:t>
                  </w:r>
                </w:p>
              </w:tc>
            </w:tr>
            <w:tr w14:paraId="0C163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5FE1E">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切割机</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359D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45KW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40CBE">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3FBC2">
                  <w:pPr>
                    <w:jc w:val="center"/>
                    <w:rPr>
                      <w:rFonts w:hint="default" w:ascii="Times New Roman" w:hAnsi="Times New Roman" w:eastAsia="宋体" w:cs="Times New Roman"/>
                      <w:i w:val="0"/>
                      <w:iCs w:val="0"/>
                      <w:color w:val="000000"/>
                      <w:sz w:val="21"/>
                      <w:szCs w:val="21"/>
                      <w:u w:val="none"/>
                      <w:lang w:val="en-US" w:eastAsia="zh-CN"/>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88AB1">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用于玻璃原片裁切</w:t>
                  </w:r>
                </w:p>
              </w:tc>
            </w:tr>
            <w:tr w14:paraId="02037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5543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磨边机</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99F5E">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2437C">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16</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8F720">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99295">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用于玻璃磨边</w:t>
                  </w:r>
                </w:p>
              </w:tc>
            </w:tr>
            <w:tr w14:paraId="7C83B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154F6">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钻孔机</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59CCD">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35KW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AF14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157F0">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9A2DF">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用于玻璃孔缺</w:t>
                  </w:r>
                </w:p>
              </w:tc>
            </w:tr>
            <w:tr w14:paraId="52364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E5DCC">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钢化炉</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EEB9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4500KW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D680E">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D1700">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0D055">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用于生产钢化玻璃半成品</w:t>
                  </w:r>
                </w:p>
              </w:tc>
            </w:tr>
            <w:tr w14:paraId="27B3E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D729F">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钢化炉</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00091">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3000KW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75DB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504E1">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D8F1F">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用于生产钢化玻璃半成品</w:t>
                  </w:r>
                </w:p>
              </w:tc>
            </w:tr>
            <w:tr w14:paraId="1C37A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B4AA3">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清洗机</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80C7E">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JD-3300</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B29C6">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10</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2CAEC">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36781">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用于玻璃清洗，主要为自来水清洗</w:t>
                  </w:r>
                </w:p>
              </w:tc>
            </w:tr>
            <w:tr w14:paraId="1B83C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AA89B">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彩打线</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2EBB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2DCF4">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B8D83">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43609">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用于玻璃彩打成像、烘干固化，配套数字喷墨设备及12米100℃高温隧道</w:t>
                  </w:r>
                </w:p>
              </w:tc>
            </w:tr>
            <w:tr w14:paraId="6C9BD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5495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清洗机</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092BB">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JD-3600</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8192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cs="Times New Roman"/>
                      <w:i w:val="0"/>
                      <w:iCs w:val="0"/>
                      <w:color w:val="000000"/>
                      <w:kern w:val="0"/>
                      <w:sz w:val="21"/>
                      <w:szCs w:val="21"/>
                      <w:u w:val="none"/>
                      <w:lang w:val="en-US" w:eastAsia="zh-CN" w:bidi="ar"/>
                    </w:rPr>
                    <w:t>7</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FA1DA">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27207">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主要为纯水清洗，包括镀膜前的纯水清洗、夹胶及中空前的纯水清洗</w:t>
                  </w:r>
                </w:p>
              </w:tc>
            </w:tr>
            <w:tr w14:paraId="2F0A6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9E1E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夹胶线</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B7B33">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0EA49">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CA649">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00EB0">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主要用于生产夹胶玻璃，包含夹胶合片、固化、检测等工序</w:t>
                  </w:r>
                </w:p>
              </w:tc>
            </w:tr>
            <w:tr w14:paraId="73BEA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0EE50">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均质炉</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A4F41">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1000KW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B7A10">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6EE32">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AE51C">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用于钢化后玻璃的均质，均质的目的主要是减少玻璃中张应力区出现的硫化镍晶体，从而防止因晶体转变而导致的自爆现象</w:t>
                  </w:r>
                </w:p>
              </w:tc>
            </w:tr>
            <w:tr w14:paraId="34947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35DE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镀膜线</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C506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1500KW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FE1E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B5BE9">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B5437">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用于生产镀膜玻璃，包含镀膜、检验等工序</w:t>
                  </w:r>
                </w:p>
              </w:tc>
            </w:tr>
            <w:tr w14:paraId="1ED9D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62685">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中空线</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EB19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150KW</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4868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AFA46">
                  <w:pPr>
                    <w:jc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73020">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用于生产中空玻璃，包含分子筛填充，合片、板压、涂胶固化、检验等工序</w:t>
                  </w:r>
                </w:p>
              </w:tc>
            </w:tr>
            <w:tr w14:paraId="7432D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8" w:hRule="atLeast"/>
                <w:jc w:val="center"/>
              </w:trPr>
              <w:tc>
                <w:tcPr>
                  <w:tcW w:w="7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A2537">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bookmarkStart w:id="66" w:name="_Toc18286"/>
                  <w:bookmarkStart w:id="67" w:name="_Toc342"/>
                  <w:r>
                    <w:rPr>
                      <w:rFonts w:hint="eastAsia" w:cs="Times New Roman"/>
                      <w:i w:val="0"/>
                      <w:iCs w:val="0"/>
                      <w:color w:val="000000"/>
                      <w:kern w:val="0"/>
                      <w:sz w:val="21"/>
                      <w:szCs w:val="21"/>
                      <w:u w:val="none"/>
                      <w:lang w:val="en-US" w:eastAsia="zh-CN" w:bidi="ar"/>
                    </w:rPr>
                    <w:t>纯水制备系统</w:t>
                  </w:r>
                </w:p>
              </w:tc>
              <w:tc>
                <w:tcPr>
                  <w:tcW w:w="7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F897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B2D4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1</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8332D">
                  <w:pPr>
                    <w:jc w:val="center"/>
                    <w:rPr>
                      <w:rFonts w:hint="default" w:ascii="Times New Roman" w:hAnsi="Times New Roman" w:eastAsia="宋体"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台</w:t>
                  </w:r>
                </w:p>
              </w:tc>
              <w:tc>
                <w:tcPr>
                  <w:tcW w:w="2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F8531">
                  <w:pPr>
                    <w:jc w:val="center"/>
                    <w:rPr>
                      <w:rFonts w:hint="default" w:cs="Times New Roman"/>
                      <w:i w:val="0"/>
                      <w:iCs w:val="0"/>
                      <w:color w:val="000000"/>
                      <w:sz w:val="21"/>
                      <w:szCs w:val="21"/>
                      <w:u w:val="none"/>
                      <w:lang w:val="en-US" w:eastAsia="zh-CN"/>
                    </w:rPr>
                  </w:pPr>
                  <w:r>
                    <w:rPr>
                      <w:rFonts w:hint="eastAsia" w:cs="Times New Roman"/>
                      <w:i w:val="0"/>
                      <w:iCs w:val="0"/>
                      <w:color w:val="000000"/>
                      <w:sz w:val="21"/>
                      <w:szCs w:val="21"/>
                      <w:u w:val="none"/>
                      <w:lang w:val="en-US" w:eastAsia="zh-CN"/>
                    </w:rPr>
                    <w:t>用于生产纯水</w:t>
                  </w:r>
                </w:p>
              </w:tc>
            </w:tr>
          </w:tbl>
          <w:p w14:paraId="65D1E1E4">
            <w:pPr>
              <w:pStyle w:val="2"/>
              <w:rPr>
                <w:rFonts w:hint="eastAsia" w:ascii="Times New Roman" w:hAnsi="Times New Roman" w:eastAsia="宋体" w:cs="Times New Roman"/>
                <w:b/>
                <w:bCs/>
                <w:color w:val="000000"/>
                <w:lang w:val="en-US" w:eastAsia="zh-CN"/>
              </w:rPr>
            </w:pPr>
            <w:r>
              <w:rPr>
                <w:rFonts w:hint="eastAsia" w:ascii="Times New Roman" w:hAnsi="Times New Roman" w:eastAsia="宋体" w:cs="Times New Roman"/>
                <w:b/>
                <w:bCs/>
                <w:color w:val="000000"/>
                <w:lang w:val="en-US" w:eastAsia="zh-CN"/>
              </w:rPr>
              <w:t>6、原辅材料及能源消耗</w:t>
            </w:r>
            <w:bookmarkEnd w:id="66"/>
            <w:bookmarkEnd w:id="67"/>
          </w:p>
          <w:p w14:paraId="286EC0B0">
            <w:pPr>
              <w:pStyle w:val="19"/>
              <w:spacing w:before="0" w:after="0" w:line="360" w:lineRule="auto"/>
              <w:ind w:firstLine="480" w:firstLineChars="200"/>
              <w:rPr>
                <w:b w:val="0"/>
                <w:bCs w:val="0"/>
                <w:color w:val="auto"/>
                <w:sz w:val="24"/>
              </w:rPr>
            </w:pPr>
            <w:r>
              <w:rPr>
                <w:b w:val="0"/>
                <w:bCs w:val="0"/>
                <w:color w:val="auto"/>
                <w:sz w:val="24"/>
              </w:rPr>
              <w:t>本项目主要原辅材料消耗见表2-</w:t>
            </w:r>
            <w:r>
              <w:rPr>
                <w:rFonts w:hint="eastAsia"/>
                <w:b w:val="0"/>
                <w:bCs w:val="0"/>
                <w:color w:val="auto"/>
                <w:sz w:val="24"/>
                <w:lang w:val="en-US" w:eastAsia="zh-CN"/>
              </w:rPr>
              <w:t>5，本项目建成后全厂主要原辅材料消耗见表2-6</w:t>
            </w:r>
            <w:r>
              <w:rPr>
                <w:b w:val="0"/>
                <w:bCs w:val="0"/>
                <w:color w:val="auto"/>
                <w:sz w:val="24"/>
              </w:rPr>
              <w:t>。</w:t>
            </w:r>
          </w:p>
          <w:p w14:paraId="365A612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u w:val="none"/>
                <w:lang w:val="en-US" w:eastAsia="zh-CN" w:bidi="ar-SA"/>
              </w:rPr>
            </w:pPr>
            <w:r>
              <w:rPr>
                <w:rFonts w:hint="default" w:ascii="Times New Roman" w:hAnsi="Times New Roman" w:eastAsia="宋体" w:cs="Times New Roman"/>
                <w:b/>
                <w:bCs/>
                <w:snapToGrid w:val="0"/>
                <w:color w:val="auto"/>
                <w:kern w:val="0"/>
                <w:sz w:val="24"/>
                <w:szCs w:val="24"/>
                <w:u w:val="none"/>
                <w:lang w:val="en-US" w:eastAsia="zh-CN" w:bidi="ar-SA"/>
              </w:rPr>
              <w:t>表2-</w:t>
            </w:r>
            <w:r>
              <w:rPr>
                <w:rFonts w:hint="eastAsia" w:cs="Times New Roman"/>
                <w:b/>
                <w:bCs/>
                <w:snapToGrid w:val="0"/>
                <w:color w:val="auto"/>
                <w:kern w:val="0"/>
                <w:sz w:val="24"/>
                <w:szCs w:val="24"/>
                <w:u w:val="none"/>
                <w:lang w:val="en-US" w:eastAsia="zh-CN" w:bidi="ar-SA"/>
              </w:rPr>
              <w:t xml:space="preserve">5  </w:t>
            </w:r>
            <w:r>
              <w:rPr>
                <w:rFonts w:hint="default" w:ascii="Times New Roman" w:hAnsi="Times New Roman" w:eastAsia="宋体" w:cs="Times New Roman"/>
                <w:b/>
                <w:bCs/>
                <w:snapToGrid w:val="0"/>
                <w:color w:val="auto"/>
                <w:kern w:val="0"/>
                <w:sz w:val="24"/>
                <w:szCs w:val="24"/>
                <w:u w:val="none"/>
                <w:lang w:val="en-US" w:eastAsia="zh-CN" w:bidi="ar-SA"/>
              </w:rPr>
              <w:t xml:space="preserve">   项目主要原辅材料一览表</w:t>
            </w:r>
          </w:p>
          <w:tbl>
            <w:tblPr>
              <w:tblStyle w:val="39"/>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31"/>
              <w:gridCol w:w="1300"/>
              <w:gridCol w:w="2450"/>
              <w:gridCol w:w="3157"/>
            </w:tblGrid>
            <w:tr w14:paraId="74EAE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7DCD3">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名称</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0DB5C">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年消耗量</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E0659">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主要化学成分</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2C63F">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备注</w:t>
                  </w:r>
                </w:p>
              </w:tc>
            </w:tr>
            <w:tr w14:paraId="42D7C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1"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8F651">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玻璃原片</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2E3E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316万</w:t>
                  </w:r>
                  <w:r>
                    <w:rPr>
                      <w:rStyle w:val="137"/>
                      <w:rFonts w:hint="default" w:ascii="Times New Roman" w:hAnsi="Times New Roman" w:eastAsia="宋体" w:cs="Times New Roman"/>
                      <w:sz w:val="21"/>
                      <w:szCs w:val="21"/>
                      <w:lang w:val="en-US" w:eastAsia="zh-CN" w:bidi="ar"/>
                    </w:rPr>
                    <w:t>m</w:t>
                  </w:r>
                  <w:r>
                    <w:rPr>
                      <w:rStyle w:val="137"/>
                      <w:rFonts w:hint="default" w:ascii="Times New Roman" w:hAnsi="Times New Roman" w:eastAsia="宋体" w:cs="Times New Roman"/>
                      <w:sz w:val="21"/>
                      <w:szCs w:val="21"/>
                      <w:vertAlign w:val="superscript"/>
                      <w:lang w:val="en-US" w:eastAsia="zh-CN" w:bidi="ar"/>
                    </w:rPr>
                    <w:t>2</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C3B92">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r>
                    <w:rPr>
                      <w:rFonts w:hint="default" w:ascii="Times New Roman" w:hAnsi="Times New Roman" w:eastAsia="宋体" w:cs="Times New Roman"/>
                      <w:i w:val="0"/>
                      <w:iCs w:val="0"/>
                      <w:color w:val="000000"/>
                      <w:sz w:val="21"/>
                      <w:szCs w:val="21"/>
                      <w:u w:val="none"/>
                      <w:lang w:val="en-US" w:eastAsia="zh-CN"/>
                    </w:rPr>
                    <w:t>SiO</w:t>
                  </w:r>
                  <w:r>
                    <w:rPr>
                      <w:rFonts w:hint="default" w:ascii="Times New Roman" w:hAnsi="Times New Roman" w:eastAsia="宋体" w:cs="Times New Roman"/>
                      <w:i w:val="0"/>
                      <w:iCs w:val="0"/>
                      <w:color w:val="000000"/>
                      <w:sz w:val="21"/>
                      <w:szCs w:val="21"/>
                      <w:u w:val="none"/>
                      <w:vertAlign w:val="subscript"/>
                      <w:lang w:val="en-US" w:eastAsia="zh-CN"/>
                    </w:rPr>
                    <w:t>2</w:t>
                  </w:r>
                  <w:r>
                    <w:rPr>
                      <w:rFonts w:hint="default" w:ascii="Times New Roman" w:hAnsi="Times New Roman" w:eastAsia="宋体" w:cs="Times New Roman"/>
                      <w:i w:val="0"/>
                      <w:iCs w:val="0"/>
                      <w:color w:val="000000"/>
                      <w:sz w:val="21"/>
                      <w:szCs w:val="21"/>
                      <w:u w:val="none"/>
                      <w:lang w:val="en-US" w:eastAsia="zh-CN"/>
                    </w:rPr>
                    <w:t>、Al</w:t>
                  </w:r>
                  <w:r>
                    <w:rPr>
                      <w:rFonts w:hint="default" w:ascii="Times New Roman" w:hAnsi="Times New Roman" w:eastAsia="宋体" w:cs="Times New Roman"/>
                      <w:i w:val="0"/>
                      <w:iCs w:val="0"/>
                      <w:color w:val="000000"/>
                      <w:sz w:val="21"/>
                      <w:szCs w:val="21"/>
                      <w:u w:val="none"/>
                      <w:vertAlign w:val="subscript"/>
                      <w:lang w:val="en-US" w:eastAsia="zh-CN"/>
                    </w:rPr>
                    <w:t>2</w:t>
                  </w:r>
                  <w:r>
                    <w:rPr>
                      <w:rFonts w:hint="default" w:ascii="Times New Roman" w:hAnsi="Times New Roman" w:eastAsia="宋体" w:cs="Times New Roman"/>
                      <w:i w:val="0"/>
                      <w:iCs w:val="0"/>
                      <w:color w:val="000000"/>
                      <w:sz w:val="21"/>
                      <w:szCs w:val="21"/>
                      <w:u w:val="none"/>
                      <w:lang w:val="en-US" w:eastAsia="zh-CN"/>
                    </w:rPr>
                    <w:t>O</w:t>
                  </w:r>
                  <w:r>
                    <w:rPr>
                      <w:rFonts w:hint="default" w:ascii="Times New Roman" w:hAnsi="Times New Roman" w:eastAsia="宋体" w:cs="Times New Roman"/>
                      <w:i w:val="0"/>
                      <w:iCs w:val="0"/>
                      <w:color w:val="000000"/>
                      <w:sz w:val="21"/>
                      <w:szCs w:val="21"/>
                      <w:u w:val="none"/>
                      <w:vertAlign w:val="subscript"/>
                      <w:lang w:val="en-US" w:eastAsia="zh-CN"/>
                    </w:rPr>
                    <w:t>3</w:t>
                  </w:r>
                  <w:r>
                    <w:rPr>
                      <w:rFonts w:hint="default" w:ascii="Times New Roman" w:hAnsi="Times New Roman" w:eastAsia="宋体" w:cs="Times New Roman"/>
                      <w:i w:val="0"/>
                      <w:iCs w:val="0"/>
                      <w:color w:val="000000"/>
                      <w:sz w:val="21"/>
                      <w:szCs w:val="21"/>
                      <w:u w:val="none"/>
                      <w:lang w:val="en-US" w:eastAsia="zh-CN"/>
                    </w:rPr>
                    <w:t>、Fe</w:t>
                  </w:r>
                  <w:r>
                    <w:rPr>
                      <w:rFonts w:hint="default" w:ascii="Times New Roman" w:hAnsi="Times New Roman" w:eastAsia="宋体" w:cs="Times New Roman"/>
                      <w:i w:val="0"/>
                      <w:iCs w:val="0"/>
                      <w:color w:val="000000"/>
                      <w:sz w:val="21"/>
                      <w:szCs w:val="21"/>
                      <w:u w:val="none"/>
                      <w:vertAlign w:val="subscript"/>
                      <w:lang w:val="en-US" w:eastAsia="zh-CN"/>
                    </w:rPr>
                    <w:t>2</w:t>
                  </w:r>
                  <w:r>
                    <w:rPr>
                      <w:rFonts w:hint="default" w:ascii="Times New Roman" w:hAnsi="Times New Roman" w:eastAsia="宋体" w:cs="Times New Roman"/>
                      <w:i w:val="0"/>
                      <w:iCs w:val="0"/>
                      <w:color w:val="000000"/>
                      <w:sz w:val="21"/>
                      <w:szCs w:val="21"/>
                      <w:u w:val="none"/>
                      <w:lang w:val="en-US" w:eastAsia="zh-CN"/>
                    </w:rPr>
                    <w:t>O</w:t>
                  </w:r>
                  <w:r>
                    <w:rPr>
                      <w:rFonts w:hint="default" w:ascii="Times New Roman" w:hAnsi="Times New Roman" w:eastAsia="宋体" w:cs="Times New Roman"/>
                      <w:i w:val="0"/>
                      <w:iCs w:val="0"/>
                      <w:color w:val="000000"/>
                      <w:sz w:val="21"/>
                      <w:szCs w:val="21"/>
                      <w:u w:val="none"/>
                      <w:vertAlign w:val="subscript"/>
                      <w:lang w:val="en-US" w:eastAsia="zh-CN"/>
                    </w:rPr>
                    <w:t>3</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68180">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外购</w:t>
                  </w:r>
                </w:p>
              </w:tc>
            </w:tr>
            <w:tr w14:paraId="7DAE6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29DA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PVB胶片</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C740B">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eastAsia" w:cs="Times New Roman"/>
                      <w:i w:val="0"/>
                      <w:iCs w:val="0"/>
                      <w:color w:val="000000"/>
                      <w:kern w:val="0"/>
                      <w:sz w:val="21"/>
                      <w:szCs w:val="21"/>
                      <w:u w:val="none"/>
                      <w:lang w:val="en-US" w:eastAsia="zh-CN" w:bidi="ar"/>
                    </w:rPr>
                    <w:t>2</w:t>
                  </w:r>
                  <w:r>
                    <w:rPr>
                      <w:rFonts w:hint="default" w:ascii="Times New Roman" w:hAnsi="Times New Roman" w:eastAsia="宋体" w:cs="Times New Roman"/>
                      <w:i w:val="0"/>
                      <w:iCs w:val="0"/>
                      <w:color w:val="000000"/>
                      <w:kern w:val="0"/>
                      <w:sz w:val="21"/>
                      <w:szCs w:val="21"/>
                      <w:u w:val="none"/>
                      <w:lang w:val="en-US" w:eastAsia="zh-CN" w:bidi="ar"/>
                    </w:rPr>
                    <w:t>50万</w:t>
                  </w:r>
                  <w:r>
                    <w:rPr>
                      <w:rStyle w:val="137"/>
                      <w:rFonts w:hint="default" w:ascii="Times New Roman" w:hAnsi="Times New Roman" w:eastAsia="宋体" w:cs="Times New Roman"/>
                      <w:sz w:val="21"/>
                      <w:szCs w:val="21"/>
                      <w:lang w:val="en-US" w:eastAsia="zh-CN" w:bidi="ar"/>
                    </w:rPr>
                    <w:t>m</w:t>
                  </w:r>
                  <w:r>
                    <w:rPr>
                      <w:rStyle w:val="137"/>
                      <w:rFonts w:hint="default" w:ascii="Times New Roman" w:hAnsi="Times New Roman" w:eastAsia="宋体" w:cs="Times New Roman"/>
                      <w:sz w:val="21"/>
                      <w:szCs w:val="21"/>
                      <w:vertAlign w:val="superscript"/>
                      <w:lang w:val="en-US" w:eastAsia="zh-CN" w:bidi="ar"/>
                    </w:rPr>
                    <w:t>2</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1E6C4">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高密度聚乙烯</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6DD6A">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，用于夹胶玻璃的生产</w:t>
                  </w:r>
                </w:p>
              </w:tc>
            </w:tr>
            <w:tr w14:paraId="28F5C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5"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46841">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丁基胶</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91AF4">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12.5t/a</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AA43B">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sz w:val="21"/>
                      <w:szCs w:val="21"/>
                      <w:u w:val="none"/>
                    </w:rPr>
                  </w:pPr>
                  <w:r>
                    <w:rPr>
                      <w:rFonts w:hint="default" w:ascii="Times New Roman" w:hAnsi="Times New Roman" w:eastAsia="宋体" w:cs="Times New Roman"/>
                      <w:b w:val="0"/>
                      <w:bCs w:val="0"/>
                      <w:i w:val="0"/>
                      <w:iCs w:val="0"/>
                      <w:color w:val="000000"/>
                      <w:sz w:val="21"/>
                      <w:szCs w:val="21"/>
                      <w:u w:val="none"/>
                      <w:lang w:val="en-US" w:eastAsia="zh-CN"/>
                    </w:rPr>
                    <w:t>异丁烯和异戊二烯的共聚物</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C0DE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，用于中空玻璃的生产</w:t>
                  </w:r>
                </w:p>
              </w:tc>
            </w:tr>
            <w:tr w14:paraId="1BF60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49B68">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硅酮密封胶</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6473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eastAsia" w:cs="Times New Roman"/>
                      <w:i w:val="0"/>
                      <w:iCs w:val="0"/>
                      <w:color w:val="000000"/>
                      <w:kern w:val="0"/>
                      <w:sz w:val="21"/>
                      <w:szCs w:val="21"/>
                      <w:u w:val="none"/>
                      <w:lang w:val="en-US" w:eastAsia="zh-CN" w:bidi="ar"/>
                    </w:rPr>
                    <w:t>60</w:t>
                  </w:r>
                  <w:r>
                    <w:rPr>
                      <w:rFonts w:hint="default" w:ascii="Times New Roman" w:hAnsi="Times New Roman" w:eastAsia="宋体" w:cs="Times New Roman"/>
                      <w:i w:val="0"/>
                      <w:iCs w:val="0"/>
                      <w:color w:val="000000"/>
                      <w:kern w:val="0"/>
                      <w:sz w:val="21"/>
                      <w:szCs w:val="21"/>
                      <w:u w:val="none"/>
                      <w:lang w:val="en-US" w:eastAsia="zh-CN" w:bidi="ar"/>
                    </w:rPr>
                    <w:t>t/a</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77BAC">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sz w:val="21"/>
                      <w:szCs w:val="21"/>
                      <w:u w:val="none"/>
                      <w:lang w:val="en-US" w:eastAsia="zh-CN"/>
                    </w:rPr>
                    <w:t>双组分硅酮结构密封胶</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E3CF4">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，用于中空玻璃的生产</w:t>
                  </w:r>
                </w:p>
              </w:tc>
            </w:tr>
            <w:tr w14:paraId="03CC1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8"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FC616">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干燥剂</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0995B">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10t/a</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557C7">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硫酸钙、氯化钙</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F5B3F">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，用于中空玻璃的生产</w:t>
                  </w:r>
                </w:p>
              </w:tc>
            </w:tr>
            <w:tr w14:paraId="5F36E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B79AF">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铝条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ABD00">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110000m</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986CE">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Al</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72DA5">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，用于中空玻璃的生产</w:t>
                  </w:r>
                </w:p>
              </w:tc>
            </w:tr>
            <w:tr w14:paraId="0CB49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44A7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铝框</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B6B5C">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10万个</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7375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CF75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，用于中空玻璃的生产</w:t>
                  </w:r>
                </w:p>
              </w:tc>
            </w:tr>
            <w:tr w14:paraId="66AED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4"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A355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环保</w:t>
                  </w:r>
                  <w:r>
                    <w:rPr>
                      <w:rFonts w:hint="default" w:ascii="Times New Roman" w:hAnsi="Times New Roman" w:eastAsia="宋体" w:cs="Times New Roman"/>
                      <w:i w:val="0"/>
                      <w:iCs w:val="0"/>
                      <w:color w:val="000000"/>
                      <w:kern w:val="0"/>
                      <w:sz w:val="21"/>
                      <w:szCs w:val="21"/>
                      <w:u w:val="none"/>
                      <w:lang w:val="en-US" w:eastAsia="zh-CN" w:bidi="ar"/>
                    </w:rPr>
                    <w:t>墨水</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D95C7">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2.5t</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BB9D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无机颜料、无机釉料、二丙二醇甲醚醋酸酯、丙二醇甲醚醋酸酯、助剂、丙烯酸酯低聚物</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361A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，用于彩打成像工序</w:t>
                  </w:r>
                </w:p>
              </w:tc>
            </w:tr>
            <w:tr w14:paraId="4EDA2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FB65D">
                  <w:pPr>
                    <w:keepNext w:val="0"/>
                    <w:keepLines w:val="0"/>
                    <w:widowControl/>
                    <w:suppressLineNumbers w:val="0"/>
                    <w:jc w:val="center"/>
                    <w:textAlignment w:val="center"/>
                    <w:rPr>
                      <w:rFonts w:hint="default" w:cs="Times New Roman"/>
                      <w:i w:val="0"/>
                      <w:iCs w:val="0"/>
                      <w:color w:val="000000"/>
                      <w:kern w:val="0"/>
                      <w:sz w:val="21"/>
                      <w:szCs w:val="21"/>
                      <w:u w:val="none"/>
                      <w:lang w:val="en-US" w:eastAsia="zh-CN" w:bidi="ar"/>
                    </w:rPr>
                  </w:pPr>
                  <w:r>
                    <w:rPr>
                      <w:rFonts w:hint="default" w:cs="Times New Roman"/>
                      <w:i w:val="0"/>
                      <w:iCs w:val="0"/>
                      <w:color w:val="000000"/>
                      <w:kern w:val="0"/>
                      <w:sz w:val="21"/>
                      <w:szCs w:val="21"/>
                      <w:u w:val="none"/>
                      <w:lang w:val="en-US" w:eastAsia="zh-CN" w:bidi="ar"/>
                    </w:rPr>
                    <w:t>锡</w:t>
                  </w:r>
                  <w:r>
                    <w:rPr>
                      <w:rFonts w:hint="default" w:ascii="Times New Roman" w:hAnsi="Times New Roman" w:eastAsia="宋体" w:cs="Times New Roman"/>
                      <w:i w:val="0"/>
                      <w:iCs w:val="0"/>
                      <w:color w:val="000000"/>
                      <w:kern w:val="0"/>
                      <w:sz w:val="21"/>
                      <w:szCs w:val="21"/>
                      <w:u w:val="none"/>
                      <w:lang w:val="en-US" w:eastAsia="zh-CN" w:bidi="ar"/>
                    </w:rPr>
                    <w:t>靶</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AC30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1.2t</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A38A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cs="Times New Roman"/>
                      <w:i w:val="0"/>
                      <w:iCs w:val="0"/>
                      <w:color w:val="000000"/>
                      <w:kern w:val="0"/>
                      <w:sz w:val="21"/>
                      <w:szCs w:val="21"/>
                      <w:u w:val="none"/>
                      <w:lang w:val="en-US" w:eastAsia="zh-CN" w:bidi="ar"/>
                    </w:rPr>
                    <w:t>锡</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896D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，用于生产镀膜玻璃</w:t>
                  </w:r>
                </w:p>
              </w:tc>
            </w:tr>
            <w:tr w14:paraId="007B3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2DA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银靶</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82B7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1.2t</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CD28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银</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6AD1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，用于生产镀膜玻璃</w:t>
                  </w:r>
                </w:p>
              </w:tc>
            </w:tr>
            <w:tr w14:paraId="475BF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81E3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铝硅靶</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4D8F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3t</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3D747">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铝、SiO</w:t>
                  </w:r>
                  <w:r>
                    <w:rPr>
                      <w:rFonts w:hint="default" w:ascii="Times New Roman" w:hAnsi="Times New Roman" w:eastAsia="宋体" w:cs="Times New Roman"/>
                      <w:i w:val="0"/>
                      <w:iCs w:val="0"/>
                      <w:color w:val="000000"/>
                      <w:kern w:val="0"/>
                      <w:sz w:val="21"/>
                      <w:szCs w:val="21"/>
                      <w:u w:val="none"/>
                      <w:vertAlign w:val="subscript"/>
                      <w:lang w:val="en-US" w:eastAsia="zh-CN" w:bidi="ar"/>
                    </w:rPr>
                    <w:t>2</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BF86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，用于生产镀膜玻璃</w:t>
                  </w:r>
                </w:p>
              </w:tc>
            </w:tr>
            <w:tr w14:paraId="673A8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14EF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镍铬靶</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A126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0.21t</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88A1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镍、铬</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9DA2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，用于生产镀膜玻璃</w:t>
                  </w:r>
                </w:p>
              </w:tc>
            </w:tr>
            <w:tr w14:paraId="709DE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3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0223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Ar</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52CD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13.5t</w:t>
                  </w:r>
                </w:p>
              </w:tc>
              <w:tc>
                <w:tcPr>
                  <w:tcW w:w="2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2B52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Ar</w:t>
                  </w:r>
                </w:p>
              </w:tc>
              <w:tc>
                <w:tcPr>
                  <w:tcW w:w="31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EC99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外购</w:t>
                  </w:r>
                  <w:r>
                    <w:rPr>
                      <w:rFonts w:hint="eastAsia" w:cs="Times New Roman"/>
                      <w:i w:val="0"/>
                      <w:iCs w:val="0"/>
                      <w:color w:val="000000"/>
                      <w:kern w:val="0"/>
                      <w:sz w:val="21"/>
                      <w:szCs w:val="21"/>
                      <w:u w:val="none"/>
                      <w:lang w:val="en-US" w:eastAsia="zh-CN" w:bidi="ar"/>
                    </w:rPr>
                    <w:t>，用于生产镀膜玻璃</w:t>
                  </w:r>
                </w:p>
              </w:tc>
            </w:tr>
          </w:tbl>
          <w:p w14:paraId="17EE217B">
            <w:pPr>
              <w:pStyle w:val="96"/>
              <w:numPr>
                <w:ilvl w:val="0"/>
                <w:numId w:val="3"/>
              </w:numPr>
              <w:ind w:left="0" w:leftChars="0" w:firstLine="480" w:firstLineChars="200"/>
              <w:rPr>
                <w:b w:val="0"/>
                <w:bCs w:val="0"/>
                <w:color w:val="auto"/>
                <w:sz w:val="24"/>
                <w:szCs w:val="24"/>
              </w:rPr>
            </w:pPr>
            <w:r>
              <w:rPr>
                <w:rFonts w:hint="default" w:ascii="Times New Roman" w:hAnsi="Times New Roman" w:eastAsia="宋体" w:cs="Times New Roman"/>
                <w:i w:val="0"/>
                <w:iCs w:val="0"/>
                <w:color w:val="000000"/>
                <w:kern w:val="0"/>
                <w:sz w:val="24"/>
                <w:szCs w:val="24"/>
                <w:u w:val="none"/>
                <w:lang w:val="en-US" w:eastAsia="zh-CN" w:bidi="ar"/>
              </w:rPr>
              <w:t>PVB胶片</w:t>
            </w:r>
            <w:r>
              <w:rPr>
                <w:b w:val="0"/>
                <w:bCs w:val="0"/>
                <w:color w:val="auto"/>
                <w:sz w:val="24"/>
                <w:szCs w:val="24"/>
              </w:rPr>
              <w:t>：</w:t>
            </w:r>
            <w:r>
              <w:rPr>
                <w:rFonts w:hint="eastAsia"/>
                <w:b w:val="0"/>
                <w:bCs w:val="0"/>
                <w:color w:val="auto"/>
                <w:sz w:val="24"/>
                <w:szCs w:val="24"/>
                <w:lang w:val="en-US" w:eastAsia="zh-CN"/>
              </w:rPr>
              <w:t>胶片为高密度聚乙烯，高密度聚乙烯是一种结晶度高、非极性的热塑性树脂。 原态</w:t>
            </w:r>
            <w:r>
              <w:rPr>
                <w:rFonts w:hint="default"/>
                <w:b w:val="0"/>
                <w:bCs w:val="0"/>
                <w:color w:val="auto"/>
                <w:sz w:val="24"/>
                <w:szCs w:val="24"/>
                <w:lang w:val="en-US" w:eastAsia="zh-CN"/>
              </w:rPr>
              <w:t>HDPE</w:t>
            </w:r>
            <w:r>
              <w:rPr>
                <w:rFonts w:hint="eastAsia"/>
                <w:b w:val="0"/>
                <w:bCs w:val="0"/>
                <w:color w:val="auto"/>
                <w:sz w:val="24"/>
                <w:szCs w:val="24"/>
                <w:lang w:val="en-US" w:eastAsia="zh-CN"/>
              </w:rPr>
              <w:t>的外表呈乳白色，在微薄截面呈一定程度的半透明状。高密度聚乙烯为无毒、无味、无臭的白色颗粒，熔点约为</w:t>
            </w:r>
            <w:r>
              <w:rPr>
                <w:rFonts w:hint="default"/>
                <w:b w:val="0"/>
                <w:bCs w:val="0"/>
                <w:color w:val="auto"/>
                <w:sz w:val="24"/>
                <w:szCs w:val="24"/>
                <w:lang w:val="en-US" w:eastAsia="zh-CN"/>
              </w:rPr>
              <w:t>130℃</w:t>
            </w:r>
            <w:r>
              <w:rPr>
                <w:rFonts w:hint="eastAsia"/>
                <w:b w:val="0"/>
                <w:bCs w:val="0"/>
                <w:color w:val="auto"/>
                <w:sz w:val="24"/>
                <w:szCs w:val="24"/>
                <w:lang w:val="en-US" w:eastAsia="zh-CN"/>
              </w:rPr>
              <w:t>，相对密度为</w:t>
            </w:r>
            <w:r>
              <w:rPr>
                <w:rFonts w:hint="default"/>
                <w:b w:val="0"/>
                <w:bCs w:val="0"/>
                <w:color w:val="auto"/>
                <w:sz w:val="24"/>
                <w:szCs w:val="24"/>
                <w:lang w:val="en-US" w:eastAsia="zh-CN"/>
              </w:rPr>
              <w:t>0.941~0.960</w:t>
            </w:r>
            <w:r>
              <w:rPr>
                <w:rFonts w:hint="eastAsia"/>
                <w:b w:val="0"/>
                <w:bCs w:val="0"/>
                <w:color w:val="auto"/>
                <w:sz w:val="24"/>
                <w:szCs w:val="24"/>
                <w:lang w:val="en-US" w:eastAsia="zh-CN"/>
              </w:rPr>
              <w:t xml:space="preserve">。它具 有良好的耐热性和耐寒性，化学稳定性好，还具有较高的刚性和韧性，机械强度好。 介电性能，耐环境应力开裂性亦较好。熔化温度 </w:t>
            </w:r>
            <w:r>
              <w:rPr>
                <w:rFonts w:hint="default"/>
                <w:b w:val="0"/>
                <w:bCs w:val="0"/>
                <w:color w:val="auto"/>
                <w:sz w:val="24"/>
                <w:szCs w:val="24"/>
                <w:lang w:val="en-US" w:eastAsia="zh-CN"/>
              </w:rPr>
              <w:t>220~260℃</w:t>
            </w:r>
            <w:r>
              <w:rPr>
                <w:b w:val="0"/>
                <w:bCs w:val="0"/>
                <w:color w:val="auto"/>
                <w:sz w:val="24"/>
                <w:szCs w:val="24"/>
              </w:rPr>
              <w:t>。</w:t>
            </w:r>
          </w:p>
          <w:p w14:paraId="22735F4A">
            <w:pPr>
              <w:pStyle w:val="96"/>
              <w:numPr>
                <w:ilvl w:val="0"/>
                <w:numId w:val="3"/>
              </w:numPr>
              <w:ind w:left="0" w:leftChars="0" w:firstLine="480" w:firstLineChars="200"/>
              <w:rPr>
                <w:b w:val="0"/>
                <w:bCs w:val="0"/>
                <w:color w:val="auto"/>
              </w:rPr>
            </w:pPr>
            <w:r>
              <w:rPr>
                <w:rFonts w:hint="eastAsia"/>
                <w:b w:val="0"/>
                <w:bCs w:val="0"/>
                <w:color w:val="auto"/>
                <w:lang w:val="en-US" w:eastAsia="zh-CN"/>
              </w:rPr>
              <w:t>丁基胶</w:t>
            </w:r>
            <w:r>
              <w:rPr>
                <w:b w:val="0"/>
                <w:bCs w:val="0"/>
                <w:color w:val="auto"/>
              </w:rPr>
              <w:t>：</w:t>
            </w:r>
            <w:r>
              <w:rPr>
                <w:rFonts w:hint="eastAsia"/>
                <w:b w:val="0"/>
                <w:bCs w:val="0"/>
                <w:color w:val="auto"/>
                <w:lang w:val="en-US" w:eastAsia="zh-CN"/>
              </w:rPr>
              <w:t>丁基胶是异丁烯和异戊二烯的共聚物，属于热塑类中空玻璃胶，在中空玻璃生产中起第一道密封作用。丁基胶是一种以聚异丁烯橡胶为基料的单组份、无溶剂、 不出雾、不硫化、具有永久塑性的中空玻璃第一道密封胶，属于环保产品。丁基橡胶的最大特点是气密性好。它还能耐热、耐臭氧、耐老化、耐化学药剂，并有吸震、电绝缘性能。它的主要用途是制作各种轮胎的内胎、无内轮胎的气密性、各种密封垫圈，在化学工业中盛放腐蚀性液体容器的衬里、管道和输送带，农业上用作防水材料。</w:t>
            </w:r>
          </w:p>
          <w:p w14:paraId="54ABC2F7">
            <w:pPr>
              <w:pStyle w:val="96"/>
              <w:numPr>
                <w:ilvl w:val="0"/>
                <w:numId w:val="3"/>
              </w:numPr>
              <w:ind w:left="0" w:leftChars="0" w:firstLine="480" w:firstLineChars="200"/>
              <w:rPr>
                <w:b w:val="0"/>
                <w:bCs w:val="0"/>
                <w:color w:val="auto"/>
              </w:rPr>
            </w:pPr>
            <w:r>
              <w:rPr>
                <w:rFonts w:hint="eastAsia" w:ascii="宋体" w:hAnsi="宋体" w:cs="宋体"/>
                <w:b w:val="0"/>
                <w:bCs w:val="0"/>
                <w:color w:val="auto"/>
                <w:lang w:val="en-US" w:eastAsia="zh-CN"/>
              </w:rPr>
              <w:t>硅酮密封胶：主要为双组分硅酮结构密封胶，由A、B两组分组成。A组分主要为α,ω- 二羟基聚二甲基硅氧烷、碳酸钙、白炭黑、硅油、偶联剂及助剂；B组分主要为多烷氧基硅烷交联剂、有机锡催化剂、硅烷偶联剂及填料。两组分按规定比例混合后室温固化，形成弹性结构密封体</w:t>
            </w:r>
            <w:r>
              <w:rPr>
                <w:rFonts w:hint="eastAsia"/>
                <w:b w:val="0"/>
                <w:bCs w:val="0"/>
                <w:color w:val="auto"/>
                <w:lang w:val="en-US" w:eastAsia="zh-CN"/>
              </w:rPr>
              <w:t>。</w:t>
            </w:r>
          </w:p>
          <w:p w14:paraId="178C33C7">
            <w:pPr>
              <w:pStyle w:val="96"/>
              <w:numPr>
                <w:ilvl w:val="0"/>
                <w:numId w:val="3"/>
              </w:numPr>
              <w:ind w:left="0" w:leftChars="0" w:firstLine="480" w:firstLineChars="200"/>
              <w:rPr>
                <w:rFonts w:hint="eastAsia"/>
                <w:b w:val="0"/>
                <w:bCs w:val="0"/>
                <w:color w:val="auto"/>
                <w:lang w:val="en-US" w:eastAsia="zh-CN"/>
              </w:rPr>
            </w:pPr>
            <w:r>
              <w:rPr>
                <w:rFonts w:hint="eastAsia"/>
                <w:b w:val="0"/>
                <w:bCs w:val="0"/>
                <w:color w:val="auto"/>
                <w:lang w:val="en-US" w:eastAsia="zh-CN"/>
              </w:rPr>
              <w:t xml:space="preserve">分子筛干燥剂：本项目使用 </w:t>
            </w:r>
            <w:r>
              <w:rPr>
                <w:rFonts w:hint="default"/>
                <w:b w:val="0"/>
                <w:bCs w:val="0"/>
                <w:color w:val="auto"/>
                <w:lang w:val="en-US" w:eastAsia="zh-CN"/>
              </w:rPr>
              <w:t xml:space="preserve">3A </w:t>
            </w:r>
            <w:r>
              <w:rPr>
                <w:rFonts w:hint="eastAsia"/>
                <w:b w:val="0"/>
                <w:bCs w:val="0"/>
                <w:color w:val="auto"/>
                <w:lang w:val="en-US" w:eastAsia="zh-CN"/>
              </w:rPr>
              <w:t>和</w:t>
            </w:r>
            <w:r>
              <w:rPr>
                <w:rFonts w:hint="default"/>
                <w:b w:val="0"/>
                <w:bCs w:val="0"/>
                <w:color w:val="auto"/>
                <w:lang w:val="en-US" w:eastAsia="zh-CN"/>
              </w:rPr>
              <w:t xml:space="preserve">13X </w:t>
            </w:r>
            <w:r>
              <w:rPr>
                <w:rFonts w:hint="eastAsia"/>
                <w:b w:val="0"/>
                <w:bCs w:val="0"/>
                <w:color w:val="auto"/>
                <w:lang w:val="en-US" w:eastAsia="zh-CN"/>
              </w:rPr>
              <w:t xml:space="preserve">型的混合分子筛干燥剂，中空玻璃里的干燥剂的主要作用有两个，一是吸附包括中空玻璃合片时密封在空气层内的湿气以及在中空玻璃整个寿命期内进入空气层的湿气；二是由于 </w:t>
            </w:r>
            <w:r>
              <w:rPr>
                <w:rFonts w:hint="default"/>
                <w:b w:val="0"/>
                <w:bCs w:val="0"/>
                <w:color w:val="auto"/>
                <w:lang w:val="en-US" w:eastAsia="zh-CN"/>
              </w:rPr>
              <w:t xml:space="preserve">13X </w:t>
            </w:r>
            <w:r>
              <w:rPr>
                <w:rFonts w:hint="eastAsia"/>
                <w:b w:val="0"/>
                <w:bCs w:val="0"/>
                <w:color w:val="auto"/>
                <w:lang w:val="en-US" w:eastAsia="zh-CN"/>
              </w:rPr>
              <w:t>型分子筛干燥剂比表面大， 可以通过物理吸附吸附密封在中空玻璃内的有机溶剂，这些有机溶剂是生产中空玻璃时由某些密封胶，油漆或机械油所带来的。</w:t>
            </w:r>
          </w:p>
          <w:p w14:paraId="7D9D54D3">
            <w:pPr>
              <w:pStyle w:val="96"/>
              <w:numPr>
                <w:ilvl w:val="0"/>
                <w:numId w:val="3"/>
              </w:numPr>
              <w:ind w:left="0" w:leftChars="0" w:firstLine="480" w:firstLineChars="200"/>
              <w:rPr>
                <w:rFonts w:hint="eastAsia"/>
                <w:b w:val="0"/>
                <w:bCs w:val="0"/>
                <w:color w:val="auto"/>
                <w:lang w:val="en-US" w:eastAsia="zh-CN"/>
              </w:rPr>
            </w:pPr>
            <w:r>
              <w:rPr>
                <w:rFonts w:hint="eastAsia"/>
                <w:b w:val="0"/>
                <w:bCs w:val="0"/>
                <w:color w:val="auto"/>
                <w:lang w:val="en-US" w:eastAsia="zh-CN"/>
              </w:rPr>
              <w:t>环保黑水：根据厂家提供的化学品安全技术说明书（见附件）可知，本项目使用的环保黑水主要为玻璃喷墨墨水，成分包含无机颜料（10.0~30.0%）、无机釉料（20.0~40.0%）、二丙二醇甲醚醋酸酯（1.0~8.0%）、丙二醇甲醚醋酸酯（1.0~2.0%）、助剂（5.0~15.0%）、丙烯酸酯低聚物（3.0~8.0%）。</w:t>
            </w:r>
          </w:p>
          <w:p w14:paraId="7093142C">
            <w:pPr>
              <w:pStyle w:val="96"/>
              <w:ind w:firstLine="480"/>
              <w:rPr>
                <w:rFonts w:hint="default" w:ascii="宋体" w:hAnsi="宋体" w:eastAsia="宋体" w:cs="宋体"/>
                <w:b w:val="0"/>
                <w:bCs w:val="0"/>
                <w:color w:val="auto"/>
                <w:sz w:val="24"/>
                <w:szCs w:val="24"/>
                <w:lang w:val="en-US" w:eastAsia="zh-CN"/>
              </w:rPr>
            </w:pPr>
            <w:r>
              <w:rPr>
                <w:rFonts w:hint="eastAsia"/>
                <w:b w:val="0"/>
                <w:bCs w:val="0"/>
                <w:color w:val="auto"/>
                <w:lang w:val="en-US" w:eastAsia="zh-CN"/>
              </w:rPr>
              <w:t>二丙二醇甲醚醋酸酯：分子式：CH</w:t>
            </w:r>
            <w:r>
              <w:rPr>
                <w:rFonts w:hint="eastAsia"/>
                <w:b w:val="0"/>
                <w:bCs w:val="0"/>
                <w:color w:val="auto"/>
                <w:vertAlign w:val="subscript"/>
                <w:lang w:val="en-US" w:eastAsia="zh-CN"/>
              </w:rPr>
              <w:t>3</w:t>
            </w:r>
            <w:r>
              <w:rPr>
                <w:rFonts w:hint="eastAsia"/>
                <w:b w:val="0"/>
                <w:bCs w:val="0"/>
                <w:color w:val="auto"/>
                <w:lang w:val="en-US" w:eastAsia="zh-CN"/>
              </w:rPr>
              <w:t xml:space="preserve"> (OCH</w:t>
            </w:r>
            <w:r>
              <w:rPr>
                <w:rFonts w:hint="eastAsia"/>
                <w:b w:val="0"/>
                <w:bCs w:val="0"/>
                <w:color w:val="auto"/>
                <w:vertAlign w:val="subscript"/>
                <w:lang w:val="en-US" w:eastAsia="zh-CN"/>
              </w:rPr>
              <w:t>2</w:t>
            </w:r>
            <w:r>
              <w:rPr>
                <w:rFonts w:hint="eastAsia"/>
                <w:b w:val="0"/>
                <w:bCs w:val="0"/>
                <w:color w:val="auto"/>
                <w:lang w:val="en-US" w:eastAsia="zh-CN"/>
              </w:rPr>
              <w:t>CHCH</w:t>
            </w:r>
            <w:r>
              <w:rPr>
                <w:rFonts w:hint="eastAsia"/>
                <w:b w:val="0"/>
                <w:bCs w:val="0"/>
                <w:color w:val="auto"/>
                <w:vertAlign w:val="subscript"/>
                <w:lang w:val="en-US" w:eastAsia="zh-CN"/>
              </w:rPr>
              <w:t>3</w:t>
            </w:r>
            <w:r>
              <w:rPr>
                <w:rFonts w:hint="eastAsia"/>
                <w:b w:val="0"/>
                <w:bCs w:val="0"/>
                <w:color w:val="auto"/>
                <w:lang w:val="en-US" w:eastAsia="zh-CN"/>
              </w:rPr>
              <w:t>)</w:t>
            </w:r>
            <w:r>
              <w:rPr>
                <w:rFonts w:hint="eastAsia"/>
                <w:b w:val="0"/>
                <w:bCs w:val="0"/>
                <w:color w:val="auto"/>
                <w:vertAlign w:val="subscript"/>
                <w:lang w:val="en-US" w:eastAsia="zh-CN"/>
              </w:rPr>
              <w:t>2</w:t>
            </w:r>
            <w:r>
              <w:rPr>
                <w:rFonts w:hint="eastAsia"/>
                <w:b w:val="0"/>
                <w:bCs w:val="0"/>
                <w:color w:val="auto"/>
                <w:lang w:val="en-US" w:eastAsia="zh-CN"/>
              </w:rPr>
              <w:t xml:space="preserve"> OOCCH</w:t>
            </w:r>
            <w:r>
              <w:rPr>
                <w:rFonts w:hint="eastAsia"/>
                <w:b w:val="0"/>
                <w:bCs w:val="0"/>
                <w:color w:val="auto"/>
                <w:vertAlign w:val="subscript"/>
                <w:lang w:val="en-US" w:eastAsia="zh-CN"/>
              </w:rPr>
              <w:t>3</w:t>
            </w:r>
            <w:r>
              <w:rPr>
                <w:rFonts w:hint="eastAsia"/>
                <w:b w:val="0"/>
                <w:bCs w:val="0"/>
                <w:color w:val="auto"/>
                <w:lang w:val="en-US" w:eastAsia="zh-CN"/>
              </w:rPr>
              <w:t>，</w:t>
            </w:r>
            <w:r>
              <w:rPr>
                <w:rFonts w:hint="eastAsia" w:ascii="宋体" w:hAnsi="宋体" w:eastAsia="宋体" w:cs="宋体"/>
                <w:i w:val="0"/>
                <w:iCs w:val="0"/>
                <w:caps w:val="0"/>
                <w:color w:val="auto"/>
                <w:spacing w:val="0"/>
                <w:sz w:val="24"/>
                <w:szCs w:val="24"/>
                <w:shd w:val="clear" w:fill="FFFFFF"/>
              </w:rPr>
              <w:t>无色、透明、低毒、有轻微</w:t>
            </w:r>
            <w:r>
              <w:rPr>
                <w:rFonts w:hint="eastAsia" w:ascii="宋体" w:hAnsi="宋体" w:eastAsia="宋体" w:cs="宋体"/>
                <w:i w:val="0"/>
                <w:iCs w:val="0"/>
                <w:caps w:val="0"/>
                <w:color w:val="auto"/>
                <w:spacing w:val="0"/>
                <w:sz w:val="24"/>
                <w:szCs w:val="24"/>
                <w:u w:val="none"/>
                <w:shd w:val="clear" w:fill="FFFFFF"/>
              </w:rPr>
              <w:fldChar w:fldCharType="begin"/>
            </w:r>
            <w:r>
              <w:rPr>
                <w:rFonts w:hint="eastAsia" w:ascii="宋体" w:hAnsi="宋体" w:eastAsia="宋体" w:cs="宋体"/>
                <w:i w:val="0"/>
                <w:iCs w:val="0"/>
                <w:caps w:val="0"/>
                <w:color w:val="auto"/>
                <w:spacing w:val="0"/>
                <w:sz w:val="24"/>
                <w:szCs w:val="24"/>
                <w:u w:val="none"/>
                <w:shd w:val="clear" w:fill="FFFFFF"/>
              </w:rPr>
              <w:instrText xml:space="preserve"> HYPERLINK "https://baike.so.com/doc/1396101-1475990.html" \t "https://baike.so.com/doc/_blank" </w:instrText>
            </w:r>
            <w:r>
              <w:rPr>
                <w:rFonts w:hint="eastAsia" w:ascii="宋体" w:hAnsi="宋体" w:eastAsia="宋体" w:cs="宋体"/>
                <w:i w:val="0"/>
                <w:iCs w:val="0"/>
                <w:caps w:val="0"/>
                <w:color w:val="auto"/>
                <w:spacing w:val="0"/>
                <w:sz w:val="24"/>
                <w:szCs w:val="24"/>
                <w:u w:val="none"/>
                <w:shd w:val="clear" w:fill="FFFFFF"/>
              </w:rPr>
              <w:fldChar w:fldCharType="separate"/>
            </w:r>
            <w:r>
              <w:rPr>
                <w:rStyle w:val="46"/>
                <w:rFonts w:hint="eastAsia" w:ascii="宋体" w:hAnsi="宋体" w:eastAsia="宋体" w:cs="宋体"/>
                <w:i w:val="0"/>
                <w:iCs w:val="0"/>
                <w:caps w:val="0"/>
                <w:color w:val="auto"/>
                <w:spacing w:val="0"/>
                <w:sz w:val="24"/>
                <w:szCs w:val="24"/>
                <w:u w:val="none"/>
                <w:shd w:val="clear" w:fill="FFFFFF"/>
              </w:rPr>
              <w:t>醚</w:t>
            </w:r>
            <w:r>
              <w:rPr>
                <w:rFonts w:hint="eastAsia" w:ascii="宋体" w:hAnsi="宋体" w:eastAsia="宋体" w:cs="宋体"/>
                <w:i w:val="0"/>
                <w:iCs w:val="0"/>
                <w:caps w:val="0"/>
                <w:color w:val="auto"/>
                <w:spacing w:val="0"/>
                <w:sz w:val="24"/>
                <w:szCs w:val="24"/>
                <w:u w:val="none"/>
                <w:shd w:val="clear" w:fill="FFFFFF"/>
              </w:rPr>
              <w:fldChar w:fldCharType="end"/>
            </w:r>
            <w:r>
              <w:rPr>
                <w:rFonts w:hint="eastAsia" w:ascii="宋体" w:hAnsi="宋体" w:eastAsia="宋体" w:cs="宋体"/>
                <w:i w:val="0"/>
                <w:iCs w:val="0"/>
                <w:caps w:val="0"/>
                <w:color w:val="auto"/>
                <w:spacing w:val="0"/>
                <w:sz w:val="24"/>
                <w:szCs w:val="24"/>
                <w:shd w:val="clear" w:fill="FFFFFF"/>
              </w:rPr>
              <w:t>类气味的可燃液体。它的粘度低，溶解力强，适中的蒸发速率和良好的偶联。对大多数的树脂如:</w:t>
            </w:r>
            <w:r>
              <w:rPr>
                <w:rFonts w:hint="eastAsia" w:ascii="宋体" w:hAnsi="宋体" w:eastAsia="宋体" w:cs="宋体"/>
                <w:i w:val="0"/>
                <w:iCs w:val="0"/>
                <w:caps w:val="0"/>
                <w:color w:val="auto"/>
                <w:spacing w:val="0"/>
                <w:sz w:val="24"/>
                <w:szCs w:val="24"/>
                <w:u w:val="none"/>
                <w:shd w:val="clear" w:fill="FFFFFF"/>
              </w:rPr>
              <w:fldChar w:fldCharType="begin"/>
            </w:r>
            <w:r>
              <w:rPr>
                <w:rFonts w:hint="eastAsia" w:ascii="宋体" w:hAnsi="宋体" w:eastAsia="宋体" w:cs="宋体"/>
                <w:i w:val="0"/>
                <w:iCs w:val="0"/>
                <w:caps w:val="0"/>
                <w:color w:val="auto"/>
                <w:spacing w:val="0"/>
                <w:sz w:val="24"/>
                <w:szCs w:val="24"/>
                <w:u w:val="none"/>
                <w:shd w:val="clear" w:fill="FFFFFF"/>
              </w:rPr>
              <w:instrText xml:space="preserve"> HYPERLINK "https://baike.so.com/doc/5411392-5649499.html" \t "https://baike.so.com/doc/_blank" </w:instrText>
            </w:r>
            <w:r>
              <w:rPr>
                <w:rFonts w:hint="eastAsia" w:ascii="宋体" w:hAnsi="宋体" w:eastAsia="宋体" w:cs="宋体"/>
                <w:i w:val="0"/>
                <w:iCs w:val="0"/>
                <w:caps w:val="0"/>
                <w:color w:val="auto"/>
                <w:spacing w:val="0"/>
                <w:sz w:val="24"/>
                <w:szCs w:val="24"/>
                <w:u w:val="none"/>
                <w:shd w:val="clear" w:fill="FFFFFF"/>
              </w:rPr>
              <w:fldChar w:fldCharType="separate"/>
            </w:r>
            <w:r>
              <w:rPr>
                <w:rStyle w:val="46"/>
                <w:rFonts w:hint="eastAsia" w:ascii="宋体" w:hAnsi="宋体" w:eastAsia="宋体" w:cs="宋体"/>
                <w:i w:val="0"/>
                <w:iCs w:val="0"/>
                <w:caps w:val="0"/>
                <w:color w:val="auto"/>
                <w:spacing w:val="0"/>
                <w:sz w:val="24"/>
                <w:szCs w:val="24"/>
                <w:u w:val="none"/>
                <w:shd w:val="clear" w:fill="FFFFFF"/>
              </w:rPr>
              <w:t>丙烯酸树脂</w:t>
            </w:r>
            <w:r>
              <w:rPr>
                <w:rFonts w:hint="eastAsia" w:ascii="宋体" w:hAnsi="宋体" w:eastAsia="宋体" w:cs="宋体"/>
                <w:i w:val="0"/>
                <w:iCs w:val="0"/>
                <w:caps w:val="0"/>
                <w:color w:val="auto"/>
                <w:spacing w:val="0"/>
                <w:sz w:val="24"/>
                <w:szCs w:val="24"/>
                <w:u w:val="none"/>
                <w:shd w:val="clear" w:fill="FFFFFF"/>
              </w:rPr>
              <w:fldChar w:fldCharType="end"/>
            </w:r>
            <w:r>
              <w:rPr>
                <w:rFonts w:hint="eastAsia" w:ascii="宋体" w:hAnsi="宋体" w:eastAsia="宋体" w:cs="宋体"/>
                <w:i w:val="0"/>
                <w:iCs w:val="0"/>
                <w:caps w:val="0"/>
                <w:color w:val="auto"/>
                <w:spacing w:val="0"/>
                <w:sz w:val="24"/>
                <w:szCs w:val="24"/>
                <w:shd w:val="clear" w:fill="FFFFFF"/>
              </w:rPr>
              <w:t>，</w:t>
            </w:r>
            <w:r>
              <w:rPr>
                <w:rFonts w:hint="eastAsia" w:ascii="宋体" w:hAnsi="宋体" w:eastAsia="宋体" w:cs="宋体"/>
                <w:i w:val="0"/>
                <w:iCs w:val="0"/>
                <w:caps w:val="0"/>
                <w:color w:val="auto"/>
                <w:spacing w:val="0"/>
                <w:sz w:val="24"/>
                <w:szCs w:val="24"/>
                <w:u w:val="none"/>
                <w:shd w:val="clear" w:fill="FFFFFF"/>
              </w:rPr>
              <w:fldChar w:fldCharType="begin"/>
            </w:r>
            <w:r>
              <w:rPr>
                <w:rFonts w:hint="eastAsia" w:ascii="宋体" w:hAnsi="宋体" w:eastAsia="宋体" w:cs="宋体"/>
                <w:i w:val="0"/>
                <w:iCs w:val="0"/>
                <w:caps w:val="0"/>
                <w:color w:val="auto"/>
                <w:spacing w:val="0"/>
                <w:sz w:val="24"/>
                <w:szCs w:val="24"/>
                <w:u w:val="none"/>
                <w:shd w:val="clear" w:fill="FFFFFF"/>
              </w:rPr>
              <w:instrText xml:space="preserve"> HYPERLINK "https://baike.so.com/doc/995574-1052438.html" \t "https://baike.so.com/doc/_blank" </w:instrText>
            </w:r>
            <w:r>
              <w:rPr>
                <w:rFonts w:hint="eastAsia" w:ascii="宋体" w:hAnsi="宋体" w:eastAsia="宋体" w:cs="宋体"/>
                <w:i w:val="0"/>
                <w:iCs w:val="0"/>
                <w:caps w:val="0"/>
                <w:color w:val="auto"/>
                <w:spacing w:val="0"/>
                <w:sz w:val="24"/>
                <w:szCs w:val="24"/>
                <w:u w:val="none"/>
                <w:shd w:val="clear" w:fill="FFFFFF"/>
              </w:rPr>
              <w:fldChar w:fldCharType="separate"/>
            </w:r>
            <w:r>
              <w:rPr>
                <w:rStyle w:val="46"/>
                <w:rFonts w:hint="eastAsia" w:ascii="宋体" w:hAnsi="宋体" w:eastAsia="宋体" w:cs="宋体"/>
                <w:i w:val="0"/>
                <w:iCs w:val="0"/>
                <w:caps w:val="0"/>
                <w:color w:val="auto"/>
                <w:spacing w:val="0"/>
                <w:sz w:val="24"/>
                <w:szCs w:val="24"/>
                <w:u w:val="none"/>
                <w:shd w:val="clear" w:fill="FFFFFF"/>
              </w:rPr>
              <w:t>环氧树脂</w:t>
            </w:r>
            <w:r>
              <w:rPr>
                <w:rFonts w:hint="eastAsia" w:ascii="宋体" w:hAnsi="宋体" w:eastAsia="宋体" w:cs="宋体"/>
                <w:i w:val="0"/>
                <w:iCs w:val="0"/>
                <w:caps w:val="0"/>
                <w:color w:val="auto"/>
                <w:spacing w:val="0"/>
                <w:sz w:val="24"/>
                <w:szCs w:val="24"/>
                <w:u w:val="none"/>
                <w:shd w:val="clear" w:fill="FFFFFF"/>
              </w:rPr>
              <w:fldChar w:fldCharType="end"/>
            </w:r>
            <w:r>
              <w:rPr>
                <w:rFonts w:hint="eastAsia" w:ascii="宋体" w:hAnsi="宋体" w:eastAsia="宋体" w:cs="宋体"/>
                <w:i w:val="0"/>
                <w:iCs w:val="0"/>
                <w:caps w:val="0"/>
                <w:color w:val="auto"/>
                <w:spacing w:val="0"/>
                <w:sz w:val="24"/>
                <w:szCs w:val="24"/>
                <w:shd w:val="clear" w:fill="FFFFFF"/>
              </w:rPr>
              <w:t>，</w:t>
            </w:r>
            <w:r>
              <w:rPr>
                <w:rFonts w:hint="eastAsia" w:ascii="宋体" w:hAnsi="宋体" w:eastAsia="宋体" w:cs="宋体"/>
                <w:i w:val="0"/>
                <w:iCs w:val="0"/>
                <w:caps w:val="0"/>
                <w:color w:val="auto"/>
                <w:spacing w:val="0"/>
                <w:sz w:val="24"/>
                <w:szCs w:val="24"/>
                <w:u w:val="none"/>
                <w:shd w:val="clear" w:fill="FFFFFF"/>
              </w:rPr>
              <w:fldChar w:fldCharType="begin"/>
            </w:r>
            <w:r>
              <w:rPr>
                <w:rFonts w:hint="eastAsia" w:ascii="宋体" w:hAnsi="宋体" w:eastAsia="宋体" w:cs="宋体"/>
                <w:i w:val="0"/>
                <w:iCs w:val="0"/>
                <w:caps w:val="0"/>
                <w:color w:val="auto"/>
                <w:spacing w:val="0"/>
                <w:sz w:val="24"/>
                <w:szCs w:val="24"/>
                <w:u w:val="none"/>
                <w:shd w:val="clear" w:fill="FFFFFF"/>
              </w:rPr>
              <w:instrText xml:space="preserve"> HYPERLINK "https://baike.so.com/doc/588175-622637.html" \t "https://baike.so.com/doc/_blank" </w:instrText>
            </w:r>
            <w:r>
              <w:rPr>
                <w:rFonts w:hint="eastAsia" w:ascii="宋体" w:hAnsi="宋体" w:eastAsia="宋体" w:cs="宋体"/>
                <w:i w:val="0"/>
                <w:iCs w:val="0"/>
                <w:caps w:val="0"/>
                <w:color w:val="auto"/>
                <w:spacing w:val="0"/>
                <w:sz w:val="24"/>
                <w:szCs w:val="24"/>
                <w:u w:val="none"/>
                <w:shd w:val="clear" w:fill="FFFFFF"/>
              </w:rPr>
              <w:fldChar w:fldCharType="separate"/>
            </w:r>
            <w:r>
              <w:rPr>
                <w:rStyle w:val="46"/>
                <w:rFonts w:hint="eastAsia" w:ascii="宋体" w:hAnsi="宋体" w:eastAsia="宋体" w:cs="宋体"/>
                <w:i w:val="0"/>
                <w:iCs w:val="0"/>
                <w:caps w:val="0"/>
                <w:color w:val="auto"/>
                <w:spacing w:val="0"/>
                <w:sz w:val="24"/>
                <w:szCs w:val="24"/>
                <w:u w:val="none"/>
                <w:shd w:val="clear" w:fill="FFFFFF"/>
              </w:rPr>
              <w:t>醇酸树脂</w:t>
            </w:r>
            <w:r>
              <w:rPr>
                <w:rFonts w:hint="eastAsia" w:ascii="宋体" w:hAnsi="宋体" w:eastAsia="宋体" w:cs="宋体"/>
                <w:i w:val="0"/>
                <w:iCs w:val="0"/>
                <w:caps w:val="0"/>
                <w:color w:val="auto"/>
                <w:spacing w:val="0"/>
                <w:sz w:val="24"/>
                <w:szCs w:val="24"/>
                <w:u w:val="none"/>
                <w:shd w:val="clear" w:fill="FFFFFF"/>
              </w:rPr>
              <w:fldChar w:fldCharType="end"/>
            </w:r>
            <w:r>
              <w:rPr>
                <w:rFonts w:hint="eastAsia" w:ascii="宋体" w:hAnsi="宋体" w:eastAsia="宋体" w:cs="宋体"/>
                <w:i w:val="0"/>
                <w:iCs w:val="0"/>
                <w:caps w:val="0"/>
                <w:color w:val="auto"/>
                <w:spacing w:val="0"/>
                <w:sz w:val="24"/>
                <w:szCs w:val="24"/>
                <w:shd w:val="clear" w:fill="FFFFFF"/>
              </w:rPr>
              <w:t>和聚酯树脂等有良好的溶解性能</w:t>
            </w:r>
            <w:r>
              <w:rPr>
                <w:rFonts w:hint="eastAsia" w:ascii="宋体" w:hAnsi="宋体" w:eastAsia="宋体" w:cs="宋体"/>
                <w:i w:val="0"/>
                <w:iCs w:val="0"/>
                <w:caps w:val="0"/>
                <w:color w:val="auto"/>
                <w:spacing w:val="0"/>
                <w:sz w:val="24"/>
                <w:szCs w:val="24"/>
                <w:shd w:val="clear" w:fill="FFFFFF"/>
                <w:lang w:val="en-US" w:eastAsia="zh-CN"/>
              </w:rPr>
              <w:t>。</w:t>
            </w:r>
          </w:p>
          <w:p w14:paraId="7187CF20">
            <w:pPr>
              <w:pStyle w:val="96"/>
              <w:ind w:firstLine="480"/>
              <w:rPr>
                <w:rFonts w:hint="eastAsia" w:ascii="Times New Roman" w:hAnsi="Times New Roman" w:eastAsia="宋体" w:cs="Times New Roman"/>
                <w:b/>
                <w:bCs/>
                <w:snapToGrid w:val="0"/>
                <w:color w:val="auto"/>
                <w:kern w:val="0"/>
                <w:sz w:val="24"/>
                <w:szCs w:val="24"/>
                <w:lang w:val="en-US" w:eastAsia="zh-CN" w:bidi="ar-SA"/>
              </w:rPr>
            </w:pPr>
            <w:r>
              <w:rPr>
                <w:rFonts w:hint="eastAsia"/>
                <w:b w:val="0"/>
                <w:bCs w:val="0"/>
                <w:color w:val="auto"/>
                <w:lang w:val="en-US" w:eastAsia="zh-CN"/>
              </w:rPr>
              <w:t>丙二醇甲醚醋酸酯（PMA)，也叫丙二醇单甲醚乙酸酯，</w:t>
            </w:r>
            <w:r>
              <w:rPr>
                <w:rFonts w:hint="eastAsia"/>
                <w:b w:val="0"/>
                <w:bCs w:val="0"/>
                <w:color w:val="auto"/>
                <w:lang w:val="en-US" w:eastAsia="zh-CN"/>
              </w:rPr>
              <w:fldChar w:fldCharType="begin"/>
            </w:r>
            <w:r>
              <w:rPr>
                <w:rFonts w:hint="eastAsia"/>
                <w:b w:val="0"/>
                <w:bCs w:val="0"/>
                <w:color w:val="auto"/>
                <w:lang w:val="en-US" w:eastAsia="zh-CN"/>
              </w:rPr>
              <w:instrText xml:space="preserve"> HYPERLINK "https://baike.so.com/doc/6746773.html" \t "https://baike.so.com/doc/_blank" </w:instrText>
            </w:r>
            <w:r>
              <w:rPr>
                <w:rFonts w:hint="eastAsia"/>
                <w:b w:val="0"/>
                <w:bCs w:val="0"/>
                <w:color w:val="auto"/>
                <w:lang w:val="en-US" w:eastAsia="zh-CN"/>
              </w:rPr>
              <w:fldChar w:fldCharType="separate"/>
            </w:r>
            <w:r>
              <w:rPr>
                <w:rFonts w:hint="eastAsia"/>
                <w:b w:val="0"/>
                <w:bCs w:val="0"/>
                <w:color w:val="auto"/>
                <w:lang w:val="en-US" w:eastAsia="zh-CN"/>
              </w:rPr>
              <w:t>分子式</w:t>
            </w:r>
            <w:r>
              <w:rPr>
                <w:rFonts w:hint="eastAsia"/>
                <w:b w:val="0"/>
                <w:bCs w:val="0"/>
                <w:color w:val="auto"/>
                <w:lang w:val="en-US" w:eastAsia="zh-CN"/>
              </w:rPr>
              <w:fldChar w:fldCharType="end"/>
            </w:r>
            <w:r>
              <w:rPr>
                <w:rFonts w:hint="eastAsia"/>
                <w:b w:val="0"/>
                <w:bCs w:val="0"/>
                <w:color w:val="auto"/>
                <w:lang w:val="en-US" w:eastAsia="zh-CN"/>
              </w:rPr>
              <w:t>为C</w:t>
            </w:r>
            <w:r>
              <w:rPr>
                <w:rFonts w:hint="eastAsia"/>
                <w:b w:val="0"/>
                <w:bCs w:val="0"/>
                <w:color w:val="auto"/>
                <w:vertAlign w:val="subscript"/>
                <w:lang w:val="en-US" w:eastAsia="zh-CN"/>
              </w:rPr>
              <w:t>6</w:t>
            </w:r>
            <w:r>
              <w:rPr>
                <w:rFonts w:hint="eastAsia"/>
                <w:b w:val="0"/>
                <w:bCs w:val="0"/>
                <w:color w:val="auto"/>
                <w:lang w:val="en-US" w:eastAsia="zh-CN"/>
              </w:rPr>
              <w:t>H</w:t>
            </w:r>
            <w:r>
              <w:rPr>
                <w:rFonts w:hint="eastAsia"/>
                <w:b w:val="0"/>
                <w:bCs w:val="0"/>
                <w:color w:val="auto"/>
                <w:vertAlign w:val="subscript"/>
                <w:lang w:val="en-US" w:eastAsia="zh-CN"/>
              </w:rPr>
              <w:t>12</w:t>
            </w:r>
            <w:r>
              <w:rPr>
                <w:rFonts w:hint="eastAsia"/>
                <w:b w:val="0"/>
                <w:bCs w:val="0"/>
                <w:color w:val="auto"/>
                <w:lang w:val="en-US" w:eastAsia="zh-CN"/>
              </w:rPr>
              <w:t>O</w:t>
            </w:r>
            <w:r>
              <w:rPr>
                <w:rFonts w:hint="eastAsia"/>
                <w:b w:val="0"/>
                <w:bCs w:val="0"/>
                <w:color w:val="auto"/>
                <w:vertAlign w:val="subscript"/>
                <w:lang w:val="en-US" w:eastAsia="zh-CN"/>
              </w:rPr>
              <w:t>3</w:t>
            </w:r>
            <w:r>
              <w:rPr>
                <w:rFonts w:hint="eastAsia"/>
                <w:b w:val="0"/>
                <w:bCs w:val="0"/>
                <w:color w:val="auto"/>
                <w:lang w:val="en-US" w:eastAsia="zh-CN"/>
              </w:rPr>
              <w:t>，是一种具有多官能团的非公害溶剂。主要用于油墨、油漆、墨水、纺织染料、纺织油剂的溶剂，也可用于</w:t>
            </w:r>
            <w:r>
              <w:rPr>
                <w:rFonts w:hint="eastAsia"/>
                <w:b w:val="0"/>
                <w:bCs w:val="0"/>
                <w:color w:val="auto"/>
                <w:lang w:val="en-US" w:eastAsia="zh-CN"/>
              </w:rPr>
              <w:fldChar w:fldCharType="begin"/>
            </w:r>
            <w:r>
              <w:rPr>
                <w:rFonts w:hint="eastAsia"/>
                <w:b w:val="0"/>
                <w:bCs w:val="0"/>
                <w:color w:val="auto"/>
                <w:lang w:val="en-US" w:eastAsia="zh-CN"/>
              </w:rPr>
              <w:instrText xml:space="preserve"> HYPERLINK "https://baike.so.com/doc/846790.html" \t "https://baike.so.com/doc/_blank" </w:instrText>
            </w:r>
            <w:r>
              <w:rPr>
                <w:rFonts w:hint="eastAsia"/>
                <w:b w:val="0"/>
                <w:bCs w:val="0"/>
                <w:color w:val="auto"/>
                <w:lang w:val="en-US" w:eastAsia="zh-CN"/>
              </w:rPr>
              <w:fldChar w:fldCharType="separate"/>
            </w:r>
            <w:r>
              <w:rPr>
                <w:rFonts w:hint="eastAsia"/>
                <w:b w:val="0"/>
                <w:bCs w:val="0"/>
                <w:color w:val="auto"/>
                <w:lang w:val="en-US" w:eastAsia="zh-CN"/>
              </w:rPr>
              <w:t>液晶显示器</w:t>
            </w:r>
            <w:r>
              <w:rPr>
                <w:rFonts w:hint="eastAsia"/>
                <w:b w:val="0"/>
                <w:bCs w:val="0"/>
                <w:color w:val="auto"/>
                <w:lang w:val="en-US" w:eastAsia="zh-CN"/>
              </w:rPr>
              <w:fldChar w:fldCharType="end"/>
            </w:r>
            <w:r>
              <w:rPr>
                <w:rFonts w:hint="eastAsia"/>
                <w:b w:val="0"/>
                <w:bCs w:val="0"/>
                <w:color w:val="auto"/>
                <w:lang w:val="en-US" w:eastAsia="zh-CN"/>
              </w:rPr>
              <w:t>生产中的</w:t>
            </w:r>
            <w:r>
              <w:rPr>
                <w:rFonts w:hint="eastAsia"/>
                <w:b w:val="0"/>
                <w:bCs w:val="0"/>
                <w:color w:val="auto"/>
                <w:lang w:val="en-US" w:eastAsia="zh-CN"/>
              </w:rPr>
              <w:fldChar w:fldCharType="begin"/>
            </w:r>
            <w:r>
              <w:rPr>
                <w:rFonts w:hint="eastAsia"/>
                <w:b w:val="0"/>
                <w:bCs w:val="0"/>
                <w:color w:val="auto"/>
                <w:lang w:val="en-US" w:eastAsia="zh-CN"/>
              </w:rPr>
              <w:instrText xml:space="preserve"> HYPERLINK "https://baike.so.com/doc/5569311.html" \t "https://baike.so.com/doc/_blank" </w:instrText>
            </w:r>
            <w:r>
              <w:rPr>
                <w:rFonts w:hint="eastAsia"/>
                <w:b w:val="0"/>
                <w:bCs w:val="0"/>
                <w:color w:val="auto"/>
                <w:lang w:val="en-US" w:eastAsia="zh-CN"/>
              </w:rPr>
              <w:fldChar w:fldCharType="separate"/>
            </w:r>
            <w:r>
              <w:rPr>
                <w:rFonts w:hint="eastAsia"/>
                <w:b w:val="0"/>
                <w:bCs w:val="0"/>
                <w:color w:val="auto"/>
                <w:lang w:val="en-US" w:eastAsia="zh-CN"/>
              </w:rPr>
              <w:t>清洗剂</w:t>
            </w:r>
            <w:r>
              <w:rPr>
                <w:rFonts w:hint="eastAsia"/>
                <w:b w:val="0"/>
                <w:bCs w:val="0"/>
                <w:color w:val="auto"/>
                <w:lang w:val="en-US" w:eastAsia="zh-CN"/>
              </w:rPr>
              <w:fldChar w:fldCharType="end"/>
            </w:r>
            <w:r>
              <w:rPr>
                <w:rFonts w:hint="eastAsia"/>
                <w:b w:val="0"/>
                <w:bCs w:val="0"/>
                <w:color w:val="auto"/>
                <w:lang w:val="en-US" w:eastAsia="zh-CN"/>
              </w:rPr>
              <w:t>。是性能优良的低毒高级工业溶剂，对极性和非极性的物质均有很强的溶解能力，适用于高档涂料、油墨各种聚合物的溶剂，包括氨基甲基酸酯、乙烯基、聚酯、纤维素醋酸酯、醇酸树脂、丙烯酸树脂、环氧树脂及硝化纤维素等。其中。丙二醇甲醚丙酸酯是涂料、油墨中最好的溶剂，适用于不饱和聚酯、聚氨酯类树脂、丙烯酸树脂、环氧树脂等。</w:t>
            </w:r>
          </w:p>
          <w:p w14:paraId="731B7AF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表2-6      本项目建成后全厂主要原辅材料消耗表</w:t>
            </w: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85" w:type="dxa"/>
                <w:left w:w="79" w:type="dxa"/>
                <w:bottom w:w="85" w:type="dxa"/>
                <w:right w:w="79" w:type="dxa"/>
              </w:tblCellMar>
            </w:tblPr>
            <w:tblGrid>
              <w:gridCol w:w="770"/>
              <w:gridCol w:w="1512"/>
              <w:gridCol w:w="1829"/>
              <w:gridCol w:w="1371"/>
              <w:gridCol w:w="1371"/>
              <w:gridCol w:w="1371"/>
            </w:tblGrid>
            <w:tr w14:paraId="43E87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rPr>
                <w:trHeight w:val="578" w:hRule="atLeast"/>
              </w:trPr>
              <w:tc>
                <w:tcPr>
                  <w:tcW w:w="770" w:type="dxa"/>
                  <w:vAlign w:val="center"/>
                </w:tcPr>
                <w:p w14:paraId="4C8B95D8">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序号</w:t>
                  </w:r>
                </w:p>
              </w:tc>
              <w:tc>
                <w:tcPr>
                  <w:tcW w:w="1512" w:type="dxa"/>
                  <w:vAlign w:val="center"/>
                </w:tcPr>
                <w:p w14:paraId="2EA0E8D1">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原辅材料</w:t>
                  </w:r>
                </w:p>
              </w:tc>
              <w:tc>
                <w:tcPr>
                  <w:tcW w:w="1829" w:type="dxa"/>
                  <w:vAlign w:val="center"/>
                </w:tcPr>
                <w:p w14:paraId="11CE92D3">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现有工程（老厂区）消耗量</w:t>
                  </w:r>
                </w:p>
              </w:tc>
              <w:tc>
                <w:tcPr>
                  <w:tcW w:w="1371" w:type="dxa"/>
                  <w:vAlign w:val="center"/>
                </w:tcPr>
                <w:p w14:paraId="4A1350E3">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本项目（新厂区）消耗量</w:t>
                  </w:r>
                </w:p>
              </w:tc>
              <w:tc>
                <w:tcPr>
                  <w:tcW w:w="1371" w:type="dxa"/>
                  <w:vAlign w:val="center"/>
                </w:tcPr>
                <w:p w14:paraId="0EA51490">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全厂合计量</w:t>
                  </w:r>
                </w:p>
              </w:tc>
              <w:tc>
                <w:tcPr>
                  <w:tcW w:w="1371" w:type="dxa"/>
                  <w:vAlign w:val="center"/>
                </w:tcPr>
                <w:p w14:paraId="690D090A">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变化情况</w:t>
                  </w:r>
                </w:p>
              </w:tc>
            </w:tr>
            <w:tr w14:paraId="4303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rPr>
                <w:trHeight w:val="302" w:hRule="atLeast"/>
              </w:trPr>
              <w:tc>
                <w:tcPr>
                  <w:tcW w:w="770" w:type="dxa"/>
                  <w:vAlign w:val="center"/>
                </w:tcPr>
                <w:p w14:paraId="0BF89B13">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w:t>
                  </w:r>
                </w:p>
              </w:tc>
              <w:tc>
                <w:tcPr>
                  <w:tcW w:w="1512" w:type="dxa"/>
                  <w:vAlign w:val="center"/>
                </w:tcPr>
                <w:p w14:paraId="36765853">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玻璃原片</w:t>
                  </w:r>
                </w:p>
              </w:tc>
              <w:tc>
                <w:tcPr>
                  <w:tcW w:w="1829" w:type="dxa"/>
                  <w:vAlign w:val="center"/>
                </w:tcPr>
                <w:p w14:paraId="61AD1DC0">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208.7万m</w:t>
                  </w:r>
                  <w:r>
                    <w:rPr>
                      <w:rFonts w:hint="eastAsia" w:cs="Times New Roman"/>
                      <w:b w:val="0"/>
                      <w:bCs w:val="0"/>
                      <w:color w:val="auto"/>
                      <w:sz w:val="21"/>
                      <w:szCs w:val="21"/>
                      <w:vertAlign w:val="superscript"/>
                      <w:lang w:val="en-US" w:eastAsia="zh-CN" w:bidi="ar"/>
                    </w:rPr>
                    <w:t>2</w:t>
                  </w:r>
                </w:p>
              </w:tc>
              <w:tc>
                <w:tcPr>
                  <w:tcW w:w="1371" w:type="dxa"/>
                  <w:vAlign w:val="center"/>
                </w:tcPr>
                <w:p w14:paraId="761B2FB4">
                  <w:pPr>
                    <w:jc w:val="center"/>
                    <w:rPr>
                      <w:rFonts w:hint="eastAsia" w:cs="Times New Roman"/>
                      <w:b w:val="0"/>
                      <w:bCs w:val="0"/>
                      <w:color w:val="auto"/>
                      <w:sz w:val="21"/>
                      <w:szCs w:val="21"/>
                      <w:vertAlign w:val="baseli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3</w:t>
                  </w:r>
                  <w:r>
                    <w:rPr>
                      <w:rFonts w:hint="eastAsia" w:cs="Times New Roman"/>
                      <w:i w:val="0"/>
                      <w:iCs w:val="0"/>
                      <w:color w:val="000000"/>
                      <w:kern w:val="0"/>
                      <w:sz w:val="21"/>
                      <w:szCs w:val="21"/>
                      <w:u w:val="none"/>
                      <w:lang w:val="en-US" w:eastAsia="zh-CN" w:bidi="ar"/>
                    </w:rPr>
                    <w:t>16</w:t>
                  </w:r>
                  <w:r>
                    <w:rPr>
                      <w:rFonts w:hint="default" w:ascii="Times New Roman" w:hAnsi="Times New Roman" w:eastAsia="宋体" w:cs="Times New Roman"/>
                      <w:i w:val="0"/>
                      <w:iCs w:val="0"/>
                      <w:color w:val="000000"/>
                      <w:kern w:val="0"/>
                      <w:sz w:val="21"/>
                      <w:szCs w:val="21"/>
                      <w:u w:val="none"/>
                      <w:lang w:val="en-US" w:eastAsia="zh-CN" w:bidi="ar"/>
                    </w:rPr>
                    <w:t>万</w:t>
                  </w:r>
                  <w:r>
                    <w:rPr>
                      <w:rStyle w:val="137"/>
                      <w:rFonts w:hint="eastAsia" w:ascii="Times New Roman" w:hAnsi="Times New Roman" w:cs="Times New Roman"/>
                      <w:sz w:val="21"/>
                      <w:szCs w:val="21"/>
                      <w:lang w:val="en-US" w:eastAsia="zh-CN" w:bidi="ar"/>
                    </w:rPr>
                    <w:t>m</w:t>
                  </w:r>
                  <w:r>
                    <w:rPr>
                      <w:rStyle w:val="137"/>
                      <w:rFonts w:hint="eastAsia" w:ascii="Times New Roman" w:hAnsi="Times New Roman" w:cs="Times New Roman"/>
                      <w:sz w:val="21"/>
                      <w:szCs w:val="21"/>
                      <w:vertAlign w:val="superscript"/>
                      <w:lang w:val="en-US" w:eastAsia="zh-CN" w:bidi="ar"/>
                    </w:rPr>
                    <w:t>2</w:t>
                  </w:r>
                </w:p>
              </w:tc>
              <w:tc>
                <w:tcPr>
                  <w:tcW w:w="1371" w:type="dxa"/>
                  <w:vAlign w:val="center"/>
                </w:tcPr>
                <w:p w14:paraId="62319E29">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524.7</w:t>
                  </w:r>
                  <w:r>
                    <w:rPr>
                      <w:rFonts w:hint="default" w:ascii="Times New Roman" w:hAnsi="Times New Roman" w:eastAsia="宋体" w:cs="Times New Roman"/>
                      <w:i w:val="0"/>
                      <w:iCs w:val="0"/>
                      <w:color w:val="000000"/>
                      <w:kern w:val="0"/>
                      <w:sz w:val="21"/>
                      <w:szCs w:val="21"/>
                      <w:u w:val="none"/>
                      <w:lang w:val="en-US" w:eastAsia="zh-CN" w:bidi="ar"/>
                    </w:rPr>
                    <w:t>万</w:t>
                  </w:r>
                  <w:r>
                    <w:rPr>
                      <w:rStyle w:val="137"/>
                      <w:rFonts w:hint="eastAsia" w:ascii="Times New Roman" w:hAnsi="Times New Roman" w:cs="Times New Roman"/>
                      <w:sz w:val="21"/>
                      <w:szCs w:val="21"/>
                      <w:lang w:val="en-US" w:eastAsia="zh-CN" w:bidi="ar"/>
                    </w:rPr>
                    <w:t>m</w:t>
                  </w:r>
                  <w:r>
                    <w:rPr>
                      <w:rStyle w:val="137"/>
                      <w:rFonts w:hint="eastAsia" w:ascii="Times New Roman" w:hAnsi="Times New Roman" w:cs="Times New Roman"/>
                      <w:sz w:val="21"/>
                      <w:szCs w:val="21"/>
                      <w:vertAlign w:val="superscript"/>
                      <w:lang w:val="en-US" w:eastAsia="zh-CN" w:bidi="ar"/>
                    </w:rPr>
                    <w:t>2</w:t>
                  </w:r>
                </w:p>
              </w:tc>
              <w:tc>
                <w:tcPr>
                  <w:tcW w:w="1371" w:type="dxa"/>
                  <w:vAlign w:val="center"/>
                </w:tcPr>
                <w:p w14:paraId="24BEEDBD">
                  <w:pPr>
                    <w:jc w:val="center"/>
                    <w:rPr>
                      <w:rFonts w:hint="eastAsia" w:cs="Times New Roman"/>
                      <w:b w:val="0"/>
                      <w:bCs w:val="0"/>
                      <w:color w:val="auto"/>
                      <w:sz w:val="21"/>
                      <w:szCs w:val="21"/>
                      <w:vertAlign w:val="baseline"/>
                      <w:lang w:val="en-US" w:eastAsia="zh-CN" w:bidi="ar"/>
                    </w:rPr>
                  </w:pPr>
                  <w:r>
                    <w:rPr>
                      <w:rFonts w:hint="eastAsia" w:ascii="Times New Roman" w:hAnsi="Times New Roman" w:cs="Times New Roman"/>
                      <w:i w:val="0"/>
                      <w:iCs w:val="0"/>
                      <w:color w:val="000000"/>
                      <w:kern w:val="0"/>
                      <w:sz w:val="21"/>
                      <w:szCs w:val="21"/>
                      <w:u w:val="none"/>
                      <w:lang w:val="en-US" w:eastAsia="zh-CN" w:bidi="ar"/>
                    </w:rPr>
                    <w:t>+</w:t>
                  </w:r>
                  <w:r>
                    <w:rPr>
                      <w:rFonts w:hint="default" w:ascii="Times New Roman" w:hAnsi="Times New Roman" w:eastAsia="宋体" w:cs="Times New Roman"/>
                      <w:i w:val="0"/>
                      <w:iCs w:val="0"/>
                      <w:color w:val="000000"/>
                      <w:kern w:val="0"/>
                      <w:sz w:val="21"/>
                      <w:szCs w:val="21"/>
                      <w:u w:val="none"/>
                      <w:lang w:val="en-US" w:eastAsia="zh-CN" w:bidi="ar"/>
                    </w:rPr>
                    <w:t>3</w:t>
                  </w:r>
                  <w:r>
                    <w:rPr>
                      <w:rFonts w:hint="eastAsia" w:cs="Times New Roman"/>
                      <w:i w:val="0"/>
                      <w:iCs w:val="0"/>
                      <w:color w:val="000000"/>
                      <w:kern w:val="0"/>
                      <w:sz w:val="21"/>
                      <w:szCs w:val="21"/>
                      <w:u w:val="none"/>
                      <w:lang w:val="en-US" w:eastAsia="zh-CN" w:bidi="ar"/>
                    </w:rPr>
                    <w:t>16</w:t>
                  </w:r>
                  <w:r>
                    <w:rPr>
                      <w:rFonts w:hint="default" w:ascii="Times New Roman" w:hAnsi="Times New Roman" w:eastAsia="宋体" w:cs="Times New Roman"/>
                      <w:i w:val="0"/>
                      <w:iCs w:val="0"/>
                      <w:color w:val="000000"/>
                      <w:kern w:val="0"/>
                      <w:sz w:val="21"/>
                      <w:szCs w:val="21"/>
                      <w:u w:val="none"/>
                      <w:lang w:val="en-US" w:eastAsia="zh-CN" w:bidi="ar"/>
                    </w:rPr>
                    <w:t>万</w:t>
                  </w:r>
                  <w:r>
                    <w:rPr>
                      <w:rStyle w:val="137"/>
                      <w:rFonts w:hint="eastAsia" w:ascii="Times New Roman" w:hAnsi="Times New Roman" w:cs="Times New Roman"/>
                      <w:sz w:val="21"/>
                      <w:szCs w:val="21"/>
                      <w:lang w:val="en-US" w:eastAsia="zh-CN" w:bidi="ar"/>
                    </w:rPr>
                    <w:t>m</w:t>
                  </w:r>
                  <w:r>
                    <w:rPr>
                      <w:rStyle w:val="137"/>
                      <w:rFonts w:hint="eastAsia" w:ascii="Times New Roman" w:hAnsi="Times New Roman" w:cs="Times New Roman"/>
                      <w:sz w:val="21"/>
                      <w:szCs w:val="21"/>
                      <w:vertAlign w:val="superscript"/>
                      <w:lang w:val="en-US" w:eastAsia="zh-CN" w:bidi="ar"/>
                    </w:rPr>
                    <w:t>2</w:t>
                  </w:r>
                </w:p>
              </w:tc>
            </w:tr>
            <w:tr w14:paraId="59530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rPr>
                <w:trHeight w:val="202" w:hRule="atLeast"/>
              </w:trPr>
              <w:tc>
                <w:tcPr>
                  <w:tcW w:w="770" w:type="dxa"/>
                  <w:vAlign w:val="center"/>
                </w:tcPr>
                <w:p w14:paraId="0B86B65C">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w:t>
                  </w:r>
                </w:p>
              </w:tc>
              <w:tc>
                <w:tcPr>
                  <w:tcW w:w="1512" w:type="dxa"/>
                  <w:vAlign w:val="center"/>
                </w:tcPr>
                <w:p w14:paraId="103E8840">
                  <w:pPr>
                    <w:keepNext w:val="0"/>
                    <w:keepLines w:val="0"/>
                    <w:widowControl/>
                    <w:suppressLineNumbers w:val="0"/>
                    <w:jc w:val="center"/>
                    <w:rPr>
                      <w:rFonts w:hint="eastAsia" w:cs="Times New Roman"/>
                      <w:b w:val="0"/>
                      <w:bCs w:val="0"/>
                      <w:color w:val="auto"/>
                      <w:sz w:val="21"/>
                      <w:szCs w:val="21"/>
                      <w:vertAlign w:val="baseline"/>
                      <w:lang w:val="en-US" w:eastAsia="zh-CN" w:bidi="ar"/>
                    </w:rPr>
                  </w:pPr>
                  <w:r>
                    <w:rPr>
                      <w:rFonts w:hint="eastAsia" w:ascii="宋体" w:hAnsi="宋体" w:eastAsia="宋体" w:cs="宋体"/>
                      <w:color w:val="000000"/>
                      <w:kern w:val="0"/>
                      <w:sz w:val="21"/>
                      <w:szCs w:val="21"/>
                      <w:lang w:val="en-US" w:eastAsia="zh-CN" w:bidi="ar"/>
                    </w:rPr>
                    <w:t>镀膜玻璃</w:t>
                  </w:r>
                </w:p>
              </w:tc>
              <w:tc>
                <w:tcPr>
                  <w:tcW w:w="1829" w:type="dxa"/>
                  <w:vAlign w:val="center"/>
                </w:tcPr>
                <w:p w14:paraId="073A2DC0">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15万m</w:t>
                  </w:r>
                  <w:r>
                    <w:rPr>
                      <w:rFonts w:hint="eastAsia" w:cs="Times New Roman"/>
                      <w:b w:val="0"/>
                      <w:bCs w:val="0"/>
                      <w:color w:val="auto"/>
                      <w:sz w:val="21"/>
                      <w:szCs w:val="21"/>
                      <w:vertAlign w:val="superscript"/>
                      <w:lang w:val="en-US" w:eastAsia="zh-CN" w:bidi="ar"/>
                    </w:rPr>
                    <w:t>2</w:t>
                  </w:r>
                </w:p>
              </w:tc>
              <w:tc>
                <w:tcPr>
                  <w:tcW w:w="1371" w:type="dxa"/>
                  <w:vAlign w:val="center"/>
                </w:tcPr>
                <w:p w14:paraId="4B10F702">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0</w:t>
                  </w:r>
                </w:p>
              </w:tc>
              <w:tc>
                <w:tcPr>
                  <w:tcW w:w="1371" w:type="dxa"/>
                  <w:vAlign w:val="center"/>
                </w:tcPr>
                <w:p w14:paraId="216DD3C4">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15万m</w:t>
                  </w:r>
                  <w:r>
                    <w:rPr>
                      <w:rFonts w:hint="eastAsia" w:cs="Times New Roman"/>
                      <w:b w:val="0"/>
                      <w:bCs w:val="0"/>
                      <w:color w:val="auto"/>
                      <w:sz w:val="21"/>
                      <w:szCs w:val="21"/>
                      <w:vertAlign w:val="superscript"/>
                      <w:lang w:val="en-US" w:eastAsia="zh-CN" w:bidi="ar"/>
                    </w:rPr>
                    <w:t>2</w:t>
                  </w:r>
                </w:p>
              </w:tc>
              <w:tc>
                <w:tcPr>
                  <w:tcW w:w="1371" w:type="dxa"/>
                  <w:vAlign w:val="center"/>
                </w:tcPr>
                <w:p w14:paraId="2AAF646E">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0</w:t>
                  </w:r>
                </w:p>
              </w:tc>
            </w:tr>
            <w:tr w14:paraId="77D2E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vAlign w:val="center"/>
                </w:tcPr>
                <w:p w14:paraId="4BEECFA2">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3</w:t>
                  </w:r>
                </w:p>
              </w:tc>
              <w:tc>
                <w:tcPr>
                  <w:tcW w:w="1512" w:type="dxa"/>
                  <w:vAlign w:val="center"/>
                </w:tcPr>
                <w:p w14:paraId="7BA48DA5">
                  <w:pPr>
                    <w:keepNext w:val="0"/>
                    <w:keepLines w:val="0"/>
                    <w:widowControl/>
                    <w:suppressLineNumbers w:val="0"/>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PVB 胶片</w:t>
                  </w:r>
                </w:p>
              </w:tc>
              <w:tc>
                <w:tcPr>
                  <w:tcW w:w="1829" w:type="dxa"/>
                  <w:vAlign w:val="center"/>
                </w:tcPr>
                <w:p w14:paraId="6898E875">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160万m</w:t>
                  </w:r>
                  <w:r>
                    <w:rPr>
                      <w:rFonts w:hint="eastAsia" w:cs="Times New Roman"/>
                      <w:b w:val="0"/>
                      <w:bCs w:val="0"/>
                      <w:color w:val="auto"/>
                      <w:sz w:val="21"/>
                      <w:szCs w:val="21"/>
                      <w:vertAlign w:val="superscript"/>
                      <w:lang w:val="en-US" w:eastAsia="zh-CN" w:bidi="ar"/>
                    </w:rPr>
                    <w:t>2</w:t>
                  </w:r>
                </w:p>
              </w:tc>
              <w:tc>
                <w:tcPr>
                  <w:tcW w:w="1371" w:type="dxa"/>
                  <w:vAlign w:val="center"/>
                </w:tcPr>
                <w:p w14:paraId="68190E0B">
                  <w:pPr>
                    <w:jc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2</w:t>
                  </w:r>
                  <w:r>
                    <w:rPr>
                      <w:rFonts w:hint="default" w:ascii="Times New Roman" w:hAnsi="Times New Roman" w:eastAsia="宋体" w:cs="Times New Roman"/>
                      <w:i w:val="0"/>
                      <w:iCs w:val="0"/>
                      <w:color w:val="000000"/>
                      <w:kern w:val="0"/>
                      <w:sz w:val="21"/>
                      <w:szCs w:val="21"/>
                      <w:u w:val="none"/>
                      <w:lang w:val="en-US" w:eastAsia="zh-CN" w:bidi="ar"/>
                    </w:rPr>
                    <w:t>50万</w:t>
                  </w:r>
                  <w:r>
                    <w:rPr>
                      <w:rStyle w:val="137"/>
                      <w:rFonts w:hint="eastAsia" w:ascii="Times New Roman" w:hAnsi="Times New Roman" w:cs="Times New Roman"/>
                      <w:sz w:val="21"/>
                      <w:szCs w:val="21"/>
                      <w:lang w:val="en-US" w:eastAsia="zh-CN" w:bidi="ar"/>
                    </w:rPr>
                    <w:t>m</w:t>
                  </w:r>
                  <w:r>
                    <w:rPr>
                      <w:rStyle w:val="137"/>
                      <w:rFonts w:hint="eastAsia" w:ascii="Times New Roman" w:hAnsi="Times New Roman" w:cs="Times New Roman"/>
                      <w:sz w:val="21"/>
                      <w:szCs w:val="21"/>
                      <w:vertAlign w:val="superscript"/>
                      <w:lang w:val="en-US" w:eastAsia="zh-CN" w:bidi="ar"/>
                    </w:rPr>
                    <w:t>2</w:t>
                  </w:r>
                </w:p>
              </w:tc>
              <w:tc>
                <w:tcPr>
                  <w:tcW w:w="1371" w:type="dxa"/>
                  <w:vAlign w:val="center"/>
                </w:tcPr>
                <w:p w14:paraId="3B63A267">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410万m</w:t>
                  </w:r>
                  <w:r>
                    <w:rPr>
                      <w:rFonts w:hint="eastAsia" w:cs="Times New Roman"/>
                      <w:b w:val="0"/>
                      <w:bCs w:val="0"/>
                      <w:color w:val="auto"/>
                      <w:sz w:val="21"/>
                      <w:szCs w:val="21"/>
                      <w:vertAlign w:val="superscript"/>
                      <w:lang w:val="en-US" w:eastAsia="zh-CN" w:bidi="ar"/>
                    </w:rPr>
                    <w:t>2</w:t>
                  </w:r>
                </w:p>
              </w:tc>
              <w:tc>
                <w:tcPr>
                  <w:tcW w:w="1371" w:type="dxa"/>
                  <w:vAlign w:val="center"/>
                </w:tcPr>
                <w:p w14:paraId="541982B0">
                  <w:pPr>
                    <w:jc w:val="center"/>
                    <w:rPr>
                      <w:rFonts w:hint="eastAsia" w:cs="Times New Roman"/>
                      <w:b w:val="0"/>
                      <w:bCs w:val="0"/>
                      <w:color w:val="auto"/>
                      <w:sz w:val="21"/>
                      <w:szCs w:val="21"/>
                      <w:vertAlign w:val="baseline"/>
                      <w:lang w:val="en-US" w:eastAsia="zh-CN" w:bidi="ar"/>
                    </w:rPr>
                  </w:pPr>
                  <w:r>
                    <w:rPr>
                      <w:rFonts w:hint="eastAsia" w:ascii="Times New Roman" w:hAnsi="Times New Roman" w:cs="Times New Roman"/>
                      <w:i w:val="0"/>
                      <w:iCs w:val="0"/>
                      <w:color w:val="000000"/>
                      <w:kern w:val="0"/>
                      <w:sz w:val="21"/>
                      <w:szCs w:val="21"/>
                      <w:u w:val="none"/>
                      <w:lang w:val="en-US" w:eastAsia="zh-CN" w:bidi="ar"/>
                    </w:rPr>
                    <w:t>+</w:t>
                  </w:r>
                  <w:r>
                    <w:rPr>
                      <w:rFonts w:hint="eastAsia" w:cs="Times New Roman"/>
                      <w:i w:val="0"/>
                      <w:iCs w:val="0"/>
                      <w:color w:val="000000"/>
                      <w:kern w:val="0"/>
                      <w:sz w:val="21"/>
                      <w:szCs w:val="21"/>
                      <w:u w:val="none"/>
                      <w:lang w:val="en-US" w:eastAsia="zh-CN" w:bidi="ar"/>
                    </w:rPr>
                    <w:t>2</w:t>
                  </w:r>
                  <w:r>
                    <w:rPr>
                      <w:rFonts w:hint="default" w:ascii="Times New Roman" w:hAnsi="Times New Roman" w:eastAsia="宋体" w:cs="Times New Roman"/>
                      <w:i w:val="0"/>
                      <w:iCs w:val="0"/>
                      <w:color w:val="000000"/>
                      <w:kern w:val="0"/>
                      <w:sz w:val="21"/>
                      <w:szCs w:val="21"/>
                      <w:u w:val="none"/>
                      <w:lang w:val="en-US" w:eastAsia="zh-CN" w:bidi="ar"/>
                    </w:rPr>
                    <w:t>50万</w:t>
                  </w:r>
                  <w:r>
                    <w:rPr>
                      <w:rStyle w:val="137"/>
                      <w:rFonts w:hint="eastAsia" w:ascii="Times New Roman" w:hAnsi="Times New Roman" w:cs="Times New Roman"/>
                      <w:sz w:val="21"/>
                      <w:szCs w:val="21"/>
                      <w:lang w:val="en-US" w:eastAsia="zh-CN" w:bidi="ar"/>
                    </w:rPr>
                    <w:t>m</w:t>
                  </w:r>
                  <w:r>
                    <w:rPr>
                      <w:rStyle w:val="137"/>
                      <w:rFonts w:hint="eastAsia" w:ascii="Times New Roman" w:hAnsi="Times New Roman" w:cs="Times New Roman"/>
                      <w:sz w:val="21"/>
                      <w:szCs w:val="21"/>
                      <w:vertAlign w:val="superscript"/>
                      <w:lang w:val="en-US" w:eastAsia="zh-CN" w:bidi="ar"/>
                    </w:rPr>
                    <w:t>2</w:t>
                  </w:r>
                </w:p>
              </w:tc>
            </w:tr>
            <w:tr w14:paraId="2ABA4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vAlign w:val="center"/>
                </w:tcPr>
                <w:p w14:paraId="2C92132D">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4</w:t>
                  </w:r>
                </w:p>
              </w:tc>
              <w:tc>
                <w:tcPr>
                  <w:tcW w:w="1512" w:type="dxa"/>
                  <w:vAlign w:val="center"/>
                </w:tcPr>
                <w:p w14:paraId="5C8B2AB6">
                  <w:pPr>
                    <w:keepNext w:val="0"/>
                    <w:keepLines w:val="0"/>
                    <w:widowControl/>
                    <w:suppressLineNumbers w:val="0"/>
                    <w:jc w:val="center"/>
                    <w:rPr>
                      <w:rFonts w:hint="eastAsia" w:cs="Times New Roman"/>
                      <w:b w:val="0"/>
                      <w:bCs w:val="0"/>
                      <w:color w:val="auto"/>
                      <w:sz w:val="21"/>
                      <w:szCs w:val="21"/>
                      <w:vertAlign w:val="baseline"/>
                      <w:lang w:val="en-US" w:eastAsia="zh-CN" w:bidi="ar"/>
                    </w:rPr>
                  </w:pPr>
                  <w:r>
                    <w:rPr>
                      <w:rFonts w:hint="eastAsia" w:ascii="宋体" w:hAnsi="宋体" w:eastAsia="宋体" w:cs="宋体"/>
                      <w:color w:val="000000"/>
                      <w:kern w:val="0"/>
                      <w:sz w:val="21"/>
                      <w:szCs w:val="21"/>
                      <w:lang w:val="en-US" w:eastAsia="zh-CN" w:bidi="ar"/>
                    </w:rPr>
                    <w:t>硅酮胶</w:t>
                  </w:r>
                </w:p>
              </w:tc>
              <w:tc>
                <w:tcPr>
                  <w:tcW w:w="1829" w:type="dxa"/>
                  <w:vAlign w:val="center"/>
                </w:tcPr>
                <w:p w14:paraId="5484847E">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30t</w:t>
                  </w:r>
                </w:p>
              </w:tc>
              <w:tc>
                <w:tcPr>
                  <w:tcW w:w="1371" w:type="dxa"/>
                  <w:vAlign w:val="center"/>
                </w:tcPr>
                <w:p w14:paraId="308FB365">
                  <w:pPr>
                    <w:jc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60</w:t>
                  </w:r>
                  <w:r>
                    <w:rPr>
                      <w:rFonts w:hint="default" w:ascii="Times New Roman" w:hAnsi="Times New Roman" w:eastAsia="宋体" w:cs="Times New Roman"/>
                      <w:i w:val="0"/>
                      <w:iCs w:val="0"/>
                      <w:color w:val="000000"/>
                      <w:kern w:val="0"/>
                      <w:sz w:val="21"/>
                      <w:szCs w:val="21"/>
                      <w:u w:val="none"/>
                      <w:lang w:val="en-US" w:eastAsia="zh-CN" w:bidi="ar"/>
                    </w:rPr>
                    <w:t>t/a</w:t>
                  </w:r>
                </w:p>
              </w:tc>
              <w:tc>
                <w:tcPr>
                  <w:tcW w:w="1371" w:type="dxa"/>
                  <w:vAlign w:val="center"/>
                </w:tcPr>
                <w:p w14:paraId="5C6C1001">
                  <w:pPr>
                    <w:jc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9</w:t>
                  </w:r>
                  <w:r>
                    <w:rPr>
                      <w:rFonts w:hint="default" w:ascii="Times New Roman" w:hAnsi="Times New Roman" w:eastAsia="宋体" w:cs="Times New Roman"/>
                      <w:i w:val="0"/>
                      <w:iCs w:val="0"/>
                      <w:color w:val="000000"/>
                      <w:kern w:val="0"/>
                      <w:sz w:val="21"/>
                      <w:szCs w:val="21"/>
                      <w:u w:val="none"/>
                      <w:lang w:val="en-US" w:eastAsia="zh-CN" w:bidi="ar"/>
                    </w:rPr>
                    <w:t>0t/a</w:t>
                  </w:r>
                </w:p>
              </w:tc>
              <w:tc>
                <w:tcPr>
                  <w:tcW w:w="1371" w:type="dxa"/>
                  <w:vAlign w:val="center"/>
                </w:tcPr>
                <w:p w14:paraId="7DA39B0C">
                  <w:pPr>
                    <w:jc w:val="center"/>
                    <w:rPr>
                      <w:rFonts w:hint="eastAsia" w:cs="Times New Roman"/>
                      <w:b w:val="0"/>
                      <w:bCs w:val="0"/>
                      <w:color w:val="auto"/>
                      <w:sz w:val="21"/>
                      <w:szCs w:val="21"/>
                      <w:vertAlign w:val="baseline"/>
                      <w:lang w:val="en-US" w:eastAsia="zh-CN" w:bidi="ar"/>
                    </w:rPr>
                  </w:pPr>
                  <w:r>
                    <w:rPr>
                      <w:rFonts w:hint="eastAsia" w:ascii="Times New Roman" w:hAnsi="Times New Roman" w:cs="Times New Roman"/>
                      <w:i w:val="0"/>
                      <w:iCs w:val="0"/>
                      <w:color w:val="000000"/>
                      <w:kern w:val="0"/>
                      <w:sz w:val="21"/>
                      <w:szCs w:val="21"/>
                      <w:u w:val="none"/>
                      <w:lang w:val="en-US" w:eastAsia="zh-CN" w:bidi="ar"/>
                    </w:rPr>
                    <w:t>+</w:t>
                  </w:r>
                  <w:r>
                    <w:rPr>
                      <w:rFonts w:hint="eastAsia" w:cs="Times New Roman"/>
                      <w:i w:val="0"/>
                      <w:iCs w:val="0"/>
                      <w:color w:val="000000"/>
                      <w:kern w:val="0"/>
                      <w:sz w:val="21"/>
                      <w:szCs w:val="21"/>
                      <w:u w:val="none"/>
                      <w:lang w:val="en-US" w:eastAsia="zh-CN" w:bidi="ar"/>
                    </w:rPr>
                    <w:t>6</w:t>
                  </w:r>
                  <w:r>
                    <w:rPr>
                      <w:rFonts w:hint="default" w:ascii="Times New Roman" w:hAnsi="Times New Roman" w:eastAsia="宋体" w:cs="Times New Roman"/>
                      <w:i w:val="0"/>
                      <w:iCs w:val="0"/>
                      <w:color w:val="000000"/>
                      <w:kern w:val="0"/>
                      <w:sz w:val="21"/>
                      <w:szCs w:val="21"/>
                      <w:u w:val="none"/>
                      <w:lang w:val="en-US" w:eastAsia="zh-CN" w:bidi="ar"/>
                    </w:rPr>
                    <w:t>0t/a</w:t>
                  </w:r>
                </w:p>
              </w:tc>
            </w:tr>
            <w:tr w14:paraId="7AB89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vAlign w:val="center"/>
                </w:tcPr>
                <w:p w14:paraId="460C4567">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5</w:t>
                  </w:r>
                </w:p>
              </w:tc>
              <w:tc>
                <w:tcPr>
                  <w:tcW w:w="1512" w:type="dxa"/>
                  <w:vAlign w:val="center"/>
                </w:tcPr>
                <w:p w14:paraId="30245D41">
                  <w:pPr>
                    <w:keepNext w:val="0"/>
                    <w:keepLines w:val="0"/>
                    <w:widowControl/>
                    <w:suppressLineNumbers w:val="0"/>
                    <w:jc w:val="center"/>
                    <w:rPr>
                      <w:rFonts w:hint="eastAsia" w:cs="Times New Roman"/>
                      <w:b w:val="0"/>
                      <w:bCs w:val="0"/>
                      <w:color w:val="auto"/>
                      <w:sz w:val="21"/>
                      <w:szCs w:val="21"/>
                      <w:vertAlign w:val="baseline"/>
                      <w:lang w:val="en-US" w:eastAsia="zh-CN" w:bidi="ar"/>
                    </w:rPr>
                  </w:pPr>
                  <w:r>
                    <w:rPr>
                      <w:rFonts w:hint="eastAsia" w:ascii="宋体" w:hAnsi="宋体" w:eastAsia="宋体" w:cs="宋体"/>
                      <w:color w:val="000000"/>
                      <w:kern w:val="0"/>
                      <w:sz w:val="21"/>
                      <w:szCs w:val="21"/>
                      <w:lang w:val="en-US" w:eastAsia="zh-CN" w:bidi="ar"/>
                    </w:rPr>
                    <w:t>丁基胶</w:t>
                  </w:r>
                </w:p>
              </w:tc>
              <w:tc>
                <w:tcPr>
                  <w:tcW w:w="1829" w:type="dxa"/>
                  <w:vAlign w:val="center"/>
                </w:tcPr>
                <w:p w14:paraId="70799E8B">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6.25t</w:t>
                  </w:r>
                </w:p>
              </w:tc>
              <w:tc>
                <w:tcPr>
                  <w:tcW w:w="1371" w:type="dxa"/>
                  <w:vAlign w:val="center"/>
                </w:tcPr>
                <w:p w14:paraId="60CA059B">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12.5t</w:t>
                  </w:r>
                </w:p>
              </w:tc>
              <w:tc>
                <w:tcPr>
                  <w:tcW w:w="1371" w:type="dxa"/>
                  <w:vAlign w:val="center"/>
                </w:tcPr>
                <w:p w14:paraId="338F1BF0">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18.75t</w:t>
                  </w:r>
                </w:p>
              </w:tc>
              <w:tc>
                <w:tcPr>
                  <w:tcW w:w="1371" w:type="dxa"/>
                  <w:vAlign w:val="center"/>
                </w:tcPr>
                <w:p w14:paraId="031EA12C">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+12.5t</w:t>
                  </w:r>
                </w:p>
              </w:tc>
            </w:tr>
            <w:tr w14:paraId="2009C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vAlign w:val="center"/>
                </w:tcPr>
                <w:p w14:paraId="45036E01">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6</w:t>
                  </w:r>
                </w:p>
              </w:tc>
              <w:tc>
                <w:tcPr>
                  <w:tcW w:w="1512" w:type="dxa"/>
                  <w:vAlign w:val="center"/>
                </w:tcPr>
                <w:p w14:paraId="0A65EA99">
                  <w:pPr>
                    <w:keepNext w:val="0"/>
                    <w:keepLines w:val="0"/>
                    <w:widowControl/>
                    <w:suppressLineNumbers w:val="0"/>
                    <w:jc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干燥剂</w:t>
                  </w:r>
                </w:p>
              </w:tc>
              <w:tc>
                <w:tcPr>
                  <w:tcW w:w="1829" w:type="dxa"/>
                  <w:vAlign w:val="center"/>
                </w:tcPr>
                <w:p w14:paraId="369885E5">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5t</w:t>
                  </w:r>
                </w:p>
              </w:tc>
              <w:tc>
                <w:tcPr>
                  <w:tcW w:w="1371" w:type="dxa"/>
                  <w:vAlign w:val="center"/>
                </w:tcPr>
                <w:p w14:paraId="28FD8C4D">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10t</w:t>
                  </w:r>
                </w:p>
              </w:tc>
              <w:tc>
                <w:tcPr>
                  <w:tcW w:w="1371" w:type="dxa"/>
                  <w:vAlign w:val="center"/>
                </w:tcPr>
                <w:p w14:paraId="10A742CB">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15t</w:t>
                  </w:r>
                </w:p>
              </w:tc>
              <w:tc>
                <w:tcPr>
                  <w:tcW w:w="1371" w:type="dxa"/>
                  <w:vAlign w:val="center"/>
                </w:tcPr>
                <w:p w14:paraId="451B5E2F">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+10t</w:t>
                  </w:r>
                </w:p>
              </w:tc>
            </w:tr>
            <w:tr w14:paraId="16253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vAlign w:val="center"/>
                </w:tcPr>
                <w:p w14:paraId="1449919C">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7</w:t>
                  </w:r>
                </w:p>
              </w:tc>
              <w:tc>
                <w:tcPr>
                  <w:tcW w:w="1512" w:type="dxa"/>
                  <w:vAlign w:val="center"/>
                </w:tcPr>
                <w:p w14:paraId="4343FA18">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铝条</w:t>
                  </w:r>
                </w:p>
              </w:tc>
              <w:tc>
                <w:tcPr>
                  <w:tcW w:w="1829" w:type="dxa"/>
                  <w:vAlign w:val="center"/>
                </w:tcPr>
                <w:p w14:paraId="103C1389">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55000m</w:t>
                  </w:r>
                </w:p>
              </w:tc>
              <w:tc>
                <w:tcPr>
                  <w:tcW w:w="1371" w:type="dxa"/>
                  <w:vAlign w:val="center"/>
                </w:tcPr>
                <w:p w14:paraId="33DF4569">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110000m</w:t>
                  </w:r>
                </w:p>
              </w:tc>
              <w:tc>
                <w:tcPr>
                  <w:tcW w:w="1371" w:type="dxa"/>
                  <w:vAlign w:val="center"/>
                </w:tcPr>
                <w:p w14:paraId="55D906D4">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165000m</w:t>
                  </w:r>
                </w:p>
              </w:tc>
              <w:tc>
                <w:tcPr>
                  <w:tcW w:w="1371" w:type="dxa"/>
                  <w:vAlign w:val="center"/>
                </w:tcPr>
                <w:p w14:paraId="336C18F5">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+110000m</w:t>
                  </w:r>
                </w:p>
              </w:tc>
            </w:tr>
            <w:tr w14:paraId="690C2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42438B86">
                  <w:pPr>
                    <w:jc w:val="center"/>
                    <w:rPr>
                      <w:rFonts w:hint="eastAsia"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8</w:t>
                  </w:r>
                </w:p>
              </w:tc>
              <w:tc>
                <w:tcPr>
                  <w:tcW w:w="1512" w:type="dxa"/>
                  <w:vAlign w:val="center"/>
                </w:tcPr>
                <w:p w14:paraId="2255CB83">
                  <w:pPr>
                    <w:keepNext w:val="0"/>
                    <w:keepLines w:val="0"/>
                    <w:widowControl/>
                    <w:suppressLineNumbers w:val="0"/>
                    <w:jc w:val="center"/>
                    <w:rPr>
                      <w:rFonts w:hint="default" w:ascii="宋体" w:hAnsi="宋体" w:eastAsia="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铝框</w:t>
                  </w:r>
                </w:p>
              </w:tc>
              <w:tc>
                <w:tcPr>
                  <w:tcW w:w="1829" w:type="dxa"/>
                  <w:vAlign w:val="center"/>
                </w:tcPr>
                <w:p w14:paraId="322B46F1">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5万个</w:t>
                  </w:r>
                </w:p>
              </w:tc>
              <w:tc>
                <w:tcPr>
                  <w:tcW w:w="1371" w:type="dxa"/>
                  <w:vAlign w:val="center"/>
                </w:tcPr>
                <w:p w14:paraId="6000EB78">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10万个</w:t>
                  </w:r>
                </w:p>
              </w:tc>
              <w:tc>
                <w:tcPr>
                  <w:tcW w:w="1371" w:type="dxa"/>
                  <w:vAlign w:val="center"/>
                </w:tcPr>
                <w:p w14:paraId="589BFA0C">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15万个</w:t>
                  </w:r>
                </w:p>
              </w:tc>
              <w:tc>
                <w:tcPr>
                  <w:tcW w:w="1371" w:type="dxa"/>
                  <w:vAlign w:val="center"/>
                </w:tcPr>
                <w:p w14:paraId="4FBC9FBC">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+10万个</w:t>
                  </w:r>
                </w:p>
              </w:tc>
            </w:tr>
            <w:tr w14:paraId="53EA8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3950197E">
                  <w:pPr>
                    <w:jc w:val="center"/>
                    <w:rPr>
                      <w:rFonts w:hint="eastAsia"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9</w:t>
                  </w:r>
                </w:p>
              </w:tc>
              <w:tc>
                <w:tcPr>
                  <w:tcW w:w="1512" w:type="dxa"/>
                  <w:shd w:val="clear" w:color="auto" w:fill="auto"/>
                  <w:vAlign w:val="center"/>
                </w:tcPr>
                <w:p w14:paraId="1C4A00E2">
                  <w:pPr>
                    <w:keepNext w:val="0"/>
                    <w:keepLines w:val="0"/>
                    <w:widowControl/>
                    <w:suppressLineNumbers w:val="0"/>
                    <w:jc w:val="center"/>
                    <w:textAlignment w:val="center"/>
                    <w:rPr>
                      <w:rFonts w:hint="eastAsia" w:ascii="Times New Roman" w:hAnsi="Times New Roman" w:eastAsia="宋体" w:cs="Times New Roman"/>
                      <w:i w:val="0"/>
                      <w:iCs w:val="0"/>
                      <w:color w:val="000000"/>
                      <w:kern w:val="0"/>
                      <w:sz w:val="21"/>
                      <w:szCs w:val="21"/>
                      <w:u w:val="none"/>
                      <w:lang w:val="en-US" w:eastAsia="zh-CN" w:bidi="ar"/>
                    </w:rPr>
                  </w:pPr>
                  <w:r>
                    <w:rPr>
                      <w:rFonts w:hint="default" w:cs="Times New Roman"/>
                      <w:i w:val="0"/>
                      <w:iCs w:val="0"/>
                      <w:color w:val="000000"/>
                      <w:kern w:val="0"/>
                      <w:sz w:val="21"/>
                      <w:szCs w:val="21"/>
                      <w:u w:val="none"/>
                      <w:lang w:val="en-US" w:eastAsia="zh-CN" w:bidi="ar"/>
                    </w:rPr>
                    <w:t>锡</w:t>
                  </w:r>
                  <w:r>
                    <w:rPr>
                      <w:rFonts w:hint="default" w:ascii="Times New Roman" w:hAnsi="Times New Roman" w:eastAsia="宋体" w:cs="Times New Roman"/>
                      <w:i w:val="0"/>
                      <w:iCs w:val="0"/>
                      <w:color w:val="000000"/>
                      <w:kern w:val="0"/>
                      <w:sz w:val="21"/>
                      <w:szCs w:val="21"/>
                      <w:u w:val="none"/>
                      <w:lang w:val="en-US" w:eastAsia="zh-CN" w:bidi="ar"/>
                    </w:rPr>
                    <w:t>靶</w:t>
                  </w:r>
                </w:p>
              </w:tc>
              <w:tc>
                <w:tcPr>
                  <w:tcW w:w="1829" w:type="dxa"/>
                  <w:shd w:val="clear" w:color="auto" w:fill="auto"/>
                  <w:vAlign w:val="center"/>
                </w:tcPr>
                <w:p w14:paraId="7D8D63A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cs="Times New Roman"/>
                      <w:i w:val="0"/>
                      <w:iCs w:val="0"/>
                      <w:color w:val="000000"/>
                      <w:kern w:val="0"/>
                      <w:sz w:val="21"/>
                      <w:szCs w:val="21"/>
                      <w:u w:val="none"/>
                      <w:lang w:val="en-US" w:eastAsia="zh-CN" w:bidi="ar"/>
                    </w:rPr>
                    <w:t>0.8t</w:t>
                  </w:r>
                </w:p>
              </w:tc>
              <w:tc>
                <w:tcPr>
                  <w:tcW w:w="1371" w:type="dxa"/>
                  <w:vAlign w:val="center"/>
                </w:tcPr>
                <w:p w14:paraId="13E2FDA6">
                  <w:pPr>
                    <w:jc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1.2t</w:t>
                  </w:r>
                </w:p>
              </w:tc>
              <w:tc>
                <w:tcPr>
                  <w:tcW w:w="1371" w:type="dxa"/>
                  <w:vAlign w:val="center"/>
                </w:tcPr>
                <w:p w14:paraId="7A928F5F">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2.0t</w:t>
                  </w:r>
                </w:p>
              </w:tc>
              <w:tc>
                <w:tcPr>
                  <w:tcW w:w="1371" w:type="dxa"/>
                  <w:vAlign w:val="center"/>
                </w:tcPr>
                <w:p w14:paraId="4C9F7EBD">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+1.2t</w:t>
                  </w:r>
                </w:p>
              </w:tc>
            </w:tr>
            <w:tr w14:paraId="3626F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7DFE13AF">
                  <w:pPr>
                    <w:jc w:val="center"/>
                    <w:rPr>
                      <w:rFonts w:hint="default"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10</w:t>
                  </w:r>
                </w:p>
              </w:tc>
              <w:tc>
                <w:tcPr>
                  <w:tcW w:w="1512" w:type="dxa"/>
                  <w:vAlign w:val="center"/>
                </w:tcPr>
                <w:p w14:paraId="74E4AC48">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bidi="ar"/>
                    </w:rPr>
                  </w:pPr>
                  <w:r>
                    <w:rPr>
                      <w:rFonts w:hint="eastAsia" w:cs="Times New Roman"/>
                      <w:i w:val="0"/>
                      <w:iCs w:val="0"/>
                      <w:color w:val="000000"/>
                      <w:kern w:val="0"/>
                      <w:sz w:val="21"/>
                      <w:szCs w:val="21"/>
                      <w:u w:val="none"/>
                      <w:lang w:val="en-US" w:eastAsia="zh-CN" w:bidi="ar"/>
                    </w:rPr>
                    <w:t>银靶</w:t>
                  </w:r>
                </w:p>
              </w:tc>
              <w:tc>
                <w:tcPr>
                  <w:tcW w:w="1829" w:type="dxa"/>
                  <w:vAlign w:val="center"/>
                </w:tcPr>
                <w:p w14:paraId="08C17E50">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0.8t</w:t>
                  </w:r>
                </w:p>
              </w:tc>
              <w:tc>
                <w:tcPr>
                  <w:tcW w:w="1371" w:type="dxa"/>
                  <w:vAlign w:val="center"/>
                </w:tcPr>
                <w:p w14:paraId="24A167EE">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1.2t</w:t>
                  </w:r>
                </w:p>
              </w:tc>
              <w:tc>
                <w:tcPr>
                  <w:tcW w:w="1371" w:type="dxa"/>
                  <w:vAlign w:val="center"/>
                </w:tcPr>
                <w:p w14:paraId="1C866919">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2.0t</w:t>
                  </w:r>
                </w:p>
              </w:tc>
              <w:tc>
                <w:tcPr>
                  <w:tcW w:w="1371" w:type="dxa"/>
                  <w:vAlign w:val="center"/>
                </w:tcPr>
                <w:p w14:paraId="47587F2A">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+1.2t</w:t>
                  </w:r>
                </w:p>
              </w:tc>
            </w:tr>
            <w:tr w14:paraId="763F0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23275AC0">
                  <w:pPr>
                    <w:jc w:val="center"/>
                    <w:rPr>
                      <w:rFonts w:hint="default"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11</w:t>
                  </w:r>
                </w:p>
              </w:tc>
              <w:tc>
                <w:tcPr>
                  <w:tcW w:w="1512" w:type="dxa"/>
                  <w:vAlign w:val="center"/>
                </w:tcPr>
                <w:p w14:paraId="1545FCCC">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bidi="ar"/>
                    </w:rPr>
                  </w:pPr>
                  <w:r>
                    <w:rPr>
                      <w:rFonts w:hint="eastAsia" w:cs="Times New Roman"/>
                      <w:i w:val="0"/>
                      <w:iCs w:val="0"/>
                      <w:color w:val="000000"/>
                      <w:kern w:val="0"/>
                      <w:sz w:val="21"/>
                      <w:szCs w:val="21"/>
                      <w:u w:val="none"/>
                      <w:lang w:val="en-US" w:eastAsia="zh-CN" w:bidi="ar"/>
                    </w:rPr>
                    <w:t>铝硅靶</w:t>
                  </w:r>
                </w:p>
              </w:tc>
              <w:tc>
                <w:tcPr>
                  <w:tcW w:w="1829" w:type="dxa"/>
                  <w:vAlign w:val="center"/>
                </w:tcPr>
                <w:p w14:paraId="7C530784">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2t</w:t>
                  </w:r>
                </w:p>
              </w:tc>
              <w:tc>
                <w:tcPr>
                  <w:tcW w:w="1371" w:type="dxa"/>
                  <w:vAlign w:val="center"/>
                </w:tcPr>
                <w:p w14:paraId="1D042569">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3t</w:t>
                  </w:r>
                </w:p>
              </w:tc>
              <w:tc>
                <w:tcPr>
                  <w:tcW w:w="1371" w:type="dxa"/>
                  <w:vAlign w:val="center"/>
                </w:tcPr>
                <w:p w14:paraId="1B697109">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5t</w:t>
                  </w:r>
                </w:p>
              </w:tc>
              <w:tc>
                <w:tcPr>
                  <w:tcW w:w="1371" w:type="dxa"/>
                  <w:vAlign w:val="center"/>
                </w:tcPr>
                <w:p w14:paraId="09912957">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+3t</w:t>
                  </w:r>
                </w:p>
              </w:tc>
            </w:tr>
            <w:tr w14:paraId="0B5D6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6EC68EC5">
                  <w:pPr>
                    <w:jc w:val="center"/>
                    <w:rPr>
                      <w:rFonts w:hint="default"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12</w:t>
                  </w:r>
                </w:p>
              </w:tc>
              <w:tc>
                <w:tcPr>
                  <w:tcW w:w="1512" w:type="dxa"/>
                  <w:vAlign w:val="center"/>
                </w:tcPr>
                <w:p w14:paraId="7D6468AC">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bidi="ar"/>
                    </w:rPr>
                  </w:pPr>
                  <w:r>
                    <w:rPr>
                      <w:rFonts w:hint="eastAsia" w:cs="Times New Roman"/>
                      <w:i w:val="0"/>
                      <w:iCs w:val="0"/>
                      <w:color w:val="000000"/>
                      <w:kern w:val="0"/>
                      <w:sz w:val="21"/>
                      <w:szCs w:val="21"/>
                      <w:u w:val="none"/>
                      <w:lang w:val="en-US" w:eastAsia="zh-CN" w:bidi="ar"/>
                    </w:rPr>
                    <w:t>镍铬靶</w:t>
                  </w:r>
                </w:p>
              </w:tc>
              <w:tc>
                <w:tcPr>
                  <w:tcW w:w="1829" w:type="dxa"/>
                  <w:vAlign w:val="center"/>
                </w:tcPr>
                <w:p w14:paraId="3464E704">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0.14t</w:t>
                  </w:r>
                </w:p>
              </w:tc>
              <w:tc>
                <w:tcPr>
                  <w:tcW w:w="1371" w:type="dxa"/>
                  <w:vAlign w:val="center"/>
                </w:tcPr>
                <w:p w14:paraId="645A94DB">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0.21t</w:t>
                  </w:r>
                </w:p>
              </w:tc>
              <w:tc>
                <w:tcPr>
                  <w:tcW w:w="1371" w:type="dxa"/>
                  <w:vAlign w:val="center"/>
                </w:tcPr>
                <w:p w14:paraId="05AE2918">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0.35t</w:t>
                  </w:r>
                </w:p>
              </w:tc>
              <w:tc>
                <w:tcPr>
                  <w:tcW w:w="1371" w:type="dxa"/>
                  <w:vAlign w:val="center"/>
                </w:tcPr>
                <w:p w14:paraId="03E0D5FE">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+0.21t</w:t>
                  </w:r>
                </w:p>
              </w:tc>
            </w:tr>
            <w:tr w14:paraId="33401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791B3479">
                  <w:pPr>
                    <w:jc w:val="center"/>
                    <w:rPr>
                      <w:rFonts w:hint="default"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13</w:t>
                  </w:r>
                </w:p>
              </w:tc>
              <w:tc>
                <w:tcPr>
                  <w:tcW w:w="1512" w:type="dxa"/>
                  <w:vAlign w:val="center"/>
                </w:tcPr>
                <w:p w14:paraId="718BB187">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bidi="ar"/>
                    </w:rPr>
                  </w:pPr>
                  <w:r>
                    <w:rPr>
                      <w:rFonts w:hint="eastAsia" w:cs="Times New Roman"/>
                      <w:i w:val="0"/>
                      <w:iCs w:val="0"/>
                      <w:color w:val="000000"/>
                      <w:kern w:val="0"/>
                      <w:sz w:val="21"/>
                      <w:szCs w:val="21"/>
                      <w:u w:val="none"/>
                      <w:lang w:val="en-US" w:eastAsia="zh-CN" w:bidi="ar"/>
                    </w:rPr>
                    <w:t>Ar</w:t>
                  </w:r>
                </w:p>
              </w:tc>
              <w:tc>
                <w:tcPr>
                  <w:tcW w:w="1829" w:type="dxa"/>
                  <w:vAlign w:val="center"/>
                </w:tcPr>
                <w:p w14:paraId="47D323E7">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9t</w:t>
                  </w:r>
                </w:p>
              </w:tc>
              <w:tc>
                <w:tcPr>
                  <w:tcW w:w="1371" w:type="dxa"/>
                  <w:vAlign w:val="center"/>
                </w:tcPr>
                <w:p w14:paraId="0EDC8EFC">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13.5t</w:t>
                  </w:r>
                </w:p>
              </w:tc>
              <w:tc>
                <w:tcPr>
                  <w:tcW w:w="1371" w:type="dxa"/>
                  <w:vAlign w:val="center"/>
                </w:tcPr>
                <w:p w14:paraId="7D8F6B80">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22.5t</w:t>
                  </w:r>
                </w:p>
              </w:tc>
              <w:tc>
                <w:tcPr>
                  <w:tcW w:w="1371" w:type="dxa"/>
                  <w:vAlign w:val="center"/>
                </w:tcPr>
                <w:p w14:paraId="3371AD80">
                  <w:pPr>
                    <w:keepNext w:val="0"/>
                    <w:keepLines w:val="0"/>
                    <w:widowControl/>
                    <w:suppressLineNumbers w:val="0"/>
                    <w:jc w:val="center"/>
                    <w:textAlignment w:val="center"/>
                    <w:rPr>
                      <w:rFonts w:hint="eastAsia" w:cs="Times New Roman"/>
                      <w:b w:val="0"/>
                      <w:bCs w:val="0"/>
                      <w:color w:val="auto"/>
                      <w:sz w:val="21"/>
                      <w:szCs w:val="21"/>
                      <w:vertAlign w:val="baseline"/>
                      <w:lang w:val="en-US" w:eastAsia="zh-CN" w:bidi="ar"/>
                    </w:rPr>
                  </w:pPr>
                  <w:r>
                    <w:rPr>
                      <w:rFonts w:hint="eastAsia" w:cs="Times New Roman"/>
                      <w:i w:val="0"/>
                      <w:iCs w:val="0"/>
                      <w:color w:val="000000"/>
                      <w:kern w:val="0"/>
                      <w:sz w:val="21"/>
                      <w:szCs w:val="21"/>
                      <w:u w:val="none"/>
                      <w:lang w:val="en-US" w:eastAsia="zh-CN" w:bidi="ar"/>
                    </w:rPr>
                    <w:t>+13.5t</w:t>
                  </w:r>
                </w:p>
              </w:tc>
            </w:tr>
            <w:tr w14:paraId="7BB18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shd w:val="clear" w:color="auto" w:fill="auto"/>
                  <w:vAlign w:val="center"/>
                </w:tcPr>
                <w:p w14:paraId="4E0C09E9">
                  <w:pPr>
                    <w:jc w:val="center"/>
                    <w:rPr>
                      <w:rFonts w:hint="default" w:ascii="Times New Roman" w:hAnsi="Times New Roman" w:eastAsia="宋体" w:cs="Times New Roman"/>
                      <w:b w:val="0"/>
                      <w:bCs w:val="0"/>
                      <w:color w:val="auto"/>
                      <w:kern w:val="2"/>
                      <w:sz w:val="21"/>
                      <w:szCs w:val="21"/>
                      <w:vertAlign w:val="baseline"/>
                      <w:lang w:val="en-US" w:eastAsia="zh-CN" w:bidi="ar"/>
                    </w:rPr>
                  </w:pPr>
                  <w:r>
                    <w:rPr>
                      <w:rFonts w:hint="eastAsia" w:cs="Times New Roman"/>
                      <w:b w:val="0"/>
                      <w:bCs w:val="0"/>
                      <w:color w:val="auto"/>
                      <w:sz w:val="21"/>
                      <w:szCs w:val="21"/>
                      <w:vertAlign w:val="baseline"/>
                      <w:lang w:val="en-US" w:eastAsia="zh-CN" w:bidi="ar"/>
                    </w:rPr>
                    <w:t>14</w:t>
                  </w:r>
                </w:p>
              </w:tc>
              <w:tc>
                <w:tcPr>
                  <w:tcW w:w="1512" w:type="dxa"/>
                  <w:vAlign w:val="center"/>
                </w:tcPr>
                <w:p w14:paraId="54D22723">
                  <w:pPr>
                    <w:keepNext w:val="0"/>
                    <w:keepLines w:val="0"/>
                    <w:widowControl/>
                    <w:suppressLineNumbers w:val="0"/>
                    <w:jc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水性纳米颜料</w:t>
                  </w:r>
                </w:p>
              </w:tc>
              <w:tc>
                <w:tcPr>
                  <w:tcW w:w="1829" w:type="dxa"/>
                  <w:vAlign w:val="center"/>
                </w:tcPr>
                <w:p w14:paraId="170FF365">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1.25t</w:t>
                  </w:r>
                </w:p>
              </w:tc>
              <w:tc>
                <w:tcPr>
                  <w:tcW w:w="1371" w:type="dxa"/>
                  <w:vAlign w:val="center"/>
                </w:tcPr>
                <w:p w14:paraId="0493C46A">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0</w:t>
                  </w:r>
                </w:p>
              </w:tc>
              <w:tc>
                <w:tcPr>
                  <w:tcW w:w="1371" w:type="dxa"/>
                  <w:vAlign w:val="center"/>
                </w:tcPr>
                <w:p w14:paraId="7D1F0864">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1.25t</w:t>
                  </w:r>
                </w:p>
              </w:tc>
              <w:tc>
                <w:tcPr>
                  <w:tcW w:w="1371" w:type="dxa"/>
                  <w:vAlign w:val="center"/>
                </w:tcPr>
                <w:p w14:paraId="1084F64E">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0</w:t>
                  </w:r>
                </w:p>
              </w:tc>
            </w:tr>
            <w:tr w14:paraId="6669E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79" w:type="dxa"/>
                  <w:bottom w:w="85" w:type="dxa"/>
                  <w:right w:w="79" w:type="dxa"/>
                </w:tblCellMar>
              </w:tblPrEx>
              <w:tc>
                <w:tcPr>
                  <w:tcW w:w="770" w:type="dxa"/>
                  <w:vAlign w:val="center"/>
                </w:tcPr>
                <w:p w14:paraId="7E21C7DC">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15</w:t>
                  </w:r>
                </w:p>
              </w:tc>
              <w:tc>
                <w:tcPr>
                  <w:tcW w:w="1512" w:type="dxa"/>
                  <w:vAlign w:val="center"/>
                </w:tcPr>
                <w:p w14:paraId="73A96384">
                  <w:pPr>
                    <w:keepNext w:val="0"/>
                    <w:keepLines w:val="0"/>
                    <w:widowControl/>
                    <w:suppressLineNumbers w:val="0"/>
                    <w:jc w:val="center"/>
                    <w:rPr>
                      <w:rFonts w:hint="eastAsia" w:ascii="宋体" w:hAnsi="宋体" w:eastAsia="宋体" w:cs="宋体"/>
                      <w:color w:val="000000"/>
                      <w:kern w:val="0"/>
                      <w:sz w:val="21"/>
                      <w:szCs w:val="21"/>
                      <w:lang w:val="en-US" w:eastAsia="zh-CN" w:bidi="ar"/>
                    </w:rPr>
                  </w:pPr>
                  <w:r>
                    <w:rPr>
                      <w:rFonts w:hint="eastAsia" w:cs="Times New Roman"/>
                      <w:i w:val="0"/>
                      <w:iCs w:val="0"/>
                      <w:color w:val="000000"/>
                      <w:kern w:val="0"/>
                      <w:sz w:val="21"/>
                      <w:szCs w:val="21"/>
                      <w:u w:val="none"/>
                      <w:lang w:val="en-US" w:eastAsia="zh-CN" w:bidi="ar"/>
                    </w:rPr>
                    <w:t>环保墨水</w:t>
                  </w:r>
                </w:p>
              </w:tc>
              <w:tc>
                <w:tcPr>
                  <w:tcW w:w="1829" w:type="dxa"/>
                  <w:vAlign w:val="center"/>
                </w:tcPr>
                <w:p w14:paraId="4029262A">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0</w:t>
                  </w:r>
                </w:p>
              </w:tc>
              <w:tc>
                <w:tcPr>
                  <w:tcW w:w="1371" w:type="dxa"/>
                  <w:vAlign w:val="center"/>
                </w:tcPr>
                <w:p w14:paraId="1334F37E">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2.5t</w:t>
                  </w:r>
                </w:p>
              </w:tc>
              <w:tc>
                <w:tcPr>
                  <w:tcW w:w="1371" w:type="dxa"/>
                  <w:vAlign w:val="center"/>
                </w:tcPr>
                <w:p w14:paraId="69D03067">
                  <w:pPr>
                    <w:jc w:val="center"/>
                    <w:rPr>
                      <w:rFonts w:hint="default"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2.5t</w:t>
                  </w:r>
                </w:p>
              </w:tc>
              <w:tc>
                <w:tcPr>
                  <w:tcW w:w="1371" w:type="dxa"/>
                  <w:vAlign w:val="center"/>
                </w:tcPr>
                <w:p w14:paraId="0DF19EB7">
                  <w:pPr>
                    <w:jc w:val="center"/>
                    <w:rPr>
                      <w:rFonts w:hint="eastAsia" w:cs="Times New Roman"/>
                      <w:b w:val="0"/>
                      <w:bCs w:val="0"/>
                      <w:color w:val="auto"/>
                      <w:sz w:val="21"/>
                      <w:szCs w:val="21"/>
                      <w:vertAlign w:val="baseline"/>
                      <w:lang w:val="en-US" w:eastAsia="zh-CN" w:bidi="ar"/>
                    </w:rPr>
                  </w:pPr>
                  <w:r>
                    <w:rPr>
                      <w:rFonts w:hint="eastAsia" w:cs="Times New Roman"/>
                      <w:b w:val="0"/>
                      <w:bCs w:val="0"/>
                      <w:color w:val="auto"/>
                      <w:sz w:val="21"/>
                      <w:szCs w:val="21"/>
                      <w:vertAlign w:val="baseline"/>
                      <w:lang w:val="en-US" w:eastAsia="zh-CN" w:bidi="ar"/>
                    </w:rPr>
                    <w:t>+2.5t</w:t>
                  </w:r>
                </w:p>
              </w:tc>
            </w:tr>
          </w:tbl>
          <w:p w14:paraId="5C34EC73">
            <w:pPr>
              <w:rPr>
                <w:rFonts w:hint="eastAsia" w:cs="Times New Roman"/>
                <w:b w:val="0"/>
                <w:bCs w:val="0"/>
                <w:color w:val="auto"/>
                <w:lang w:val="en-US" w:eastAsia="zh-CN" w:bidi="ar"/>
              </w:rPr>
            </w:pPr>
          </w:p>
          <w:p w14:paraId="0B808CEE">
            <w:pPr>
              <w:pStyle w:val="2"/>
              <w:rPr>
                <w:rFonts w:hint="default" w:ascii="Times New Roman" w:hAnsi="Times New Roman" w:eastAsia="宋体" w:cs="Times New Roman"/>
                <w:b/>
                <w:bCs/>
                <w:color w:val="000000"/>
                <w:lang w:val="en-US" w:eastAsia="zh-CN"/>
              </w:rPr>
            </w:pPr>
            <w:bookmarkStart w:id="68" w:name="_Toc13330"/>
            <w:bookmarkStart w:id="69" w:name="_Toc12772"/>
            <w:r>
              <w:rPr>
                <w:rFonts w:hint="eastAsia" w:ascii="Times New Roman" w:hAnsi="Times New Roman" w:eastAsia="宋体" w:cs="Times New Roman"/>
                <w:b/>
                <w:bCs/>
                <w:color w:val="000000"/>
                <w:lang w:val="en-US" w:eastAsia="zh-CN"/>
              </w:rPr>
              <w:t>7</w:t>
            </w:r>
            <w:r>
              <w:rPr>
                <w:rFonts w:hint="default" w:ascii="Times New Roman" w:hAnsi="Times New Roman" w:eastAsia="宋体" w:cs="Times New Roman"/>
                <w:b/>
                <w:bCs/>
                <w:color w:val="000000"/>
                <w:lang w:val="en-US" w:eastAsia="zh-CN"/>
              </w:rPr>
              <w:t>、项目备案内容与拟</w:t>
            </w:r>
            <w:r>
              <w:rPr>
                <w:rFonts w:hint="eastAsia" w:ascii="Times New Roman" w:hAnsi="Times New Roman" w:eastAsia="宋体" w:cs="Times New Roman"/>
                <w:b/>
                <w:bCs/>
                <w:color w:val="000000"/>
                <w:lang w:val="en-US" w:eastAsia="zh-CN"/>
              </w:rPr>
              <w:t>实际</w:t>
            </w:r>
            <w:r>
              <w:rPr>
                <w:rFonts w:hint="default" w:ascii="Times New Roman" w:hAnsi="Times New Roman" w:eastAsia="宋体" w:cs="Times New Roman"/>
                <w:b/>
                <w:bCs/>
                <w:color w:val="000000"/>
                <w:lang w:val="en-US" w:eastAsia="zh-CN"/>
              </w:rPr>
              <w:t>建设情况相符性分析</w:t>
            </w:r>
            <w:bookmarkEnd w:id="68"/>
            <w:bookmarkEnd w:id="69"/>
          </w:p>
          <w:p w14:paraId="3DCA1C6B">
            <w:pPr>
              <w:adjustRightInd w:val="0"/>
              <w:snapToGrid w:val="0"/>
              <w:spacing w:line="360" w:lineRule="auto"/>
              <w:ind w:firstLine="480" w:firstLineChars="200"/>
              <w:rPr>
                <w:rFonts w:hint="default" w:ascii="Times New Roman" w:hAnsi="Times New Roman" w:cs="Times New Roman"/>
                <w:b w:val="0"/>
                <w:bCs w:val="0"/>
                <w:color w:val="auto"/>
                <w:sz w:val="24"/>
                <w:szCs w:val="24"/>
              </w:rPr>
            </w:pPr>
            <w:r>
              <w:rPr>
                <w:rFonts w:hint="default" w:ascii="Times New Roman" w:hAnsi="Times New Roman" w:cs="Times New Roman"/>
                <w:b w:val="0"/>
                <w:bCs w:val="0"/>
                <w:color w:val="auto"/>
                <w:sz w:val="24"/>
                <w:szCs w:val="24"/>
              </w:rPr>
              <w:t>本项目备案内容与拟</w:t>
            </w:r>
            <w:r>
              <w:rPr>
                <w:rFonts w:hint="eastAsia" w:ascii="Times New Roman" w:hAnsi="Times New Roman" w:cs="Times New Roman"/>
                <w:b w:val="0"/>
                <w:bCs w:val="0"/>
                <w:color w:val="auto"/>
                <w:sz w:val="24"/>
                <w:szCs w:val="24"/>
                <w:lang w:val="en-US" w:eastAsia="zh-CN"/>
              </w:rPr>
              <w:t>实际</w:t>
            </w:r>
            <w:r>
              <w:rPr>
                <w:rFonts w:hint="default" w:ascii="Times New Roman" w:hAnsi="Times New Roman" w:cs="Times New Roman"/>
                <w:b w:val="0"/>
                <w:bCs w:val="0"/>
                <w:color w:val="auto"/>
                <w:sz w:val="24"/>
                <w:szCs w:val="24"/>
              </w:rPr>
              <w:t>建设情况相符性分析见表</w:t>
            </w:r>
            <w:r>
              <w:rPr>
                <w:rFonts w:hint="eastAsia" w:ascii="Times New Roman" w:hAnsi="Times New Roman" w:cs="Times New Roman"/>
                <w:b w:val="0"/>
                <w:bCs w:val="0"/>
                <w:color w:val="auto"/>
                <w:sz w:val="24"/>
                <w:szCs w:val="24"/>
                <w:lang w:val="en-US" w:eastAsia="zh-CN"/>
              </w:rPr>
              <w:t>2-</w:t>
            </w:r>
            <w:r>
              <w:rPr>
                <w:rFonts w:hint="eastAsia" w:cs="Times New Roman"/>
                <w:b w:val="0"/>
                <w:bCs w:val="0"/>
                <w:color w:val="auto"/>
                <w:sz w:val="24"/>
                <w:szCs w:val="24"/>
                <w:lang w:val="en-US" w:eastAsia="zh-CN"/>
              </w:rPr>
              <w:t>7</w:t>
            </w:r>
            <w:r>
              <w:rPr>
                <w:rFonts w:hint="default" w:ascii="Times New Roman" w:hAnsi="Times New Roman" w:cs="Times New Roman"/>
                <w:b w:val="0"/>
                <w:bCs w:val="0"/>
                <w:color w:val="auto"/>
                <w:sz w:val="24"/>
                <w:szCs w:val="24"/>
              </w:rPr>
              <w:t>。</w:t>
            </w:r>
          </w:p>
          <w:p w14:paraId="2F2C552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default" w:ascii="Times New Roman" w:hAnsi="Times New Roman" w:eastAsia="宋体" w:cs="Times New Roman"/>
                <w:b/>
                <w:bCs/>
                <w:snapToGrid w:val="0"/>
                <w:color w:val="auto"/>
                <w:kern w:val="0"/>
                <w:sz w:val="24"/>
                <w:szCs w:val="24"/>
                <w:lang w:val="en-US" w:eastAsia="zh-CN" w:bidi="ar-SA"/>
              </w:rPr>
              <w:t>表</w:t>
            </w:r>
            <w:r>
              <w:rPr>
                <w:rFonts w:hint="eastAsia" w:ascii="Times New Roman" w:hAnsi="Times New Roman" w:eastAsia="宋体" w:cs="Times New Roman"/>
                <w:b/>
                <w:bCs/>
                <w:snapToGrid w:val="0"/>
                <w:color w:val="auto"/>
                <w:kern w:val="0"/>
                <w:sz w:val="24"/>
                <w:szCs w:val="24"/>
                <w:lang w:val="en-US" w:eastAsia="zh-CN" w:bidi="ar-SA"/>
              </w:rPr>
              <w:t>2-</w:t>
            </w:r>
            <w:r>
              <w:rPr>
                <w:rFonts w:hint="eastAsia" w:cs="Times New Roman"/>
                <w:b/>
                <w:bCs/>
                <w:snapToGrid w:val="0"/>
                <w:color w:val="auto"/>
                <w:kern w:val="0"/>
                <w:sz w:val="24"/>
                <w:szCs w:val="24"/>
                <w:lang w:val="en-US" w:eastAsia="zh-CN" w:bidi="ar-SA"/>
              </w:rPr>
              <w:t>7</w:t>
            </w:r>
            <w:r>
              <w:rPr>
                <w:rFonts w:hint="default"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本</w:t>
            </w:r>
            <w:r>
              <w:rPr>
                <w:rFonts w:hint="default" w:ascii="Times New Roman" w:hAnsi="Times New Roman" w:eastAsia="宋体" w:cs="Times New Roman"/>
                <w:b/>
                <w:bCs/>
                <w:snapToGrid w:val="0"/>
                <w:color w:val="auto"/>
                <w:kern w:val="0"/>
                <w:sz w:val="24"/>
                <w:szCs w:val="24"/>
                <w:lang w:val="en-US" w:eastAsia="zh-CN" w:bidi="ar-SA"/>
              </w:rPr>
              <w:t>项目备案内容与拟</w:t>
            </w:r>
            <w:r>
              <w:rPr>
                <w:rFonts w:hint="eastAsia" w:ascii="Times New Roman" w:hAnsi="Times New Roman" w:eastAsia="宋体" w:cs="Times New Roman"/>
                <w:b/>
                <w:bCs/>
                <w:snapToGrid w:val="0"/>
                <w:color w:val="auto"/>
                <w:kern w:val="0"/>
                <w:sz w:val="24"/>
                <w:szCs w:val="24"/>
                <w:lang w:val="en-US" w:eastAsia="zh-CN" w:bidi="ar-SA"/>
              </w:rPr>
              <w:t>实际</w:t>
            </w:r>
            <w:r>
              <w:rPr>
                <w:rFonts w:hint="default" w:ascii="Times New Roman" w:hAnsi="Times New Roman" w:eastAsia="宋体" w:cs="Times New Roman"/>
                <w:b/>
                <w:bCs/>
                <w:snapToGrid w:val="0"/>
                <w:color w:val="auto"/>
                <w:kern w:val="0"/>
                <w:sz w:val="24"/>
                <w:szCs w:val="24"/>
                <w:lang w:val="en-US" w:eastAsia="zh-CN" w:bidi="ar-SA"/>
              </w:rPr>
              <w:t>建设情况相符性分析一览表</w:t>
            </w:r>
          </w:p>
          <w:tbl>
            <w:tblPr>
              <w:tblStyle w:val="39"/>
              <w:tblW w:w="499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519"/>
              <w:gridCol w:w="886"/>
              <w:gridCol w:w="2501"/>
              <w:gridCol w:w="3385"/>
              <w:gridCol w:w="921"/>
            </w:tblGrid>
            <w:tr w14:paraId="53AAF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90" w:hRule="atLeast"/>
              </w:trPr>
              <w:tc>
                <w:tcPr>
                  <w:tcW w:w="316" w:type="pct"/>
                  <w:noWrap w:val="0"/>
                  <w:tcMar>
                    <w:top w:w="85" w:type="dxa"/>
                    <w:bottom w:w="85" w:type="dxa"/>
                  </w:tcMar>
                  <w:vAlign w:val="center"/>
                </w:tcPr>
                <w:p w14:paraId="29EEF776">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序号</w:t>
                  </w:r>
                </w:p>
              </w:tc>
              <w:tc>
                <w:tcPr>
                  <w:tcW w:w="539" w:type="pct"/>
                  <w:noWrap w:val="0"/>
                  <w:tcMar>
                    <w:top w:w="85" w:type="dxa"/>
                    <w:bottom w:w="85" w:type="dxa"/>
                  </w:tcMar>
                  <w:vAlign w:val="center"/>
                </w:tcPr>
                <w:p w14:paraId="5DEA1B5B">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内容</w:t>
                  </w:r>
                </w:p>
              </w:tc>
              <w:tc>
                <w:tcPr>
                  <w:tcW w:w="1522" w:type="pct"/>
                  <w:noWrap w:val="0"/>
                  <w:tcMar>
                    <w:top w:w="85" w:type="dxa"/>
                    <w:bottom w:w="85" w:type="dxa"/>
                  </w:tcMar>
                  <w:vAlign w:val="center"/>
                </w:tcPr>
                <w:p w14:paraId="7A03345F">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备案情况</w:t>
                  </w:r>
                </w:p>
              </w:tc>
              <w:tc>
                <w:tcPr>
                  <w:tcW w:w="2060" w:type="pct"/>
                  <w:noWrap w:val="0"/>
                  <w:tcMar>
                    <w:top w:w="85" w:type="dxa"/>
                    <w:bottom w:w="85" w:type="dxa"/>
                  </w:tcMar>
                  <w:vAlign w:val="center"/>
                </w:tcPr>
                <w:p w14:paraId="08DBE0A4">
                  <w:pPr>
                    <w:adjustRightInd w:val="0"/>
                    <w:snapToGrid w:val="0"/>
                    <w:jc w:val="center"/>
                    <w:rPr>
                      <w:rFonts w:hint="default" w:ascii="Times New Roman" w:hAnsi="Times New Roman" w:cs="Times New Roman"/>
                      <w:b w:val="0"/>
                      <w:bCs w:val="0"/>
                      <w:color w:val="auto"/>
                      <w:sz w:val="21"/>
                      <w:szCs w:val="21"/>
                    </w:rPr>
                  </w:pPr>
                  <w:r>
                    <w:rPr>
                      <w:rFonts w:hint="eastAsia" w:ascii="Times New Roman" w:hAnsi="Times New Roman" w:cs="Times New Roman"/>
                      <w:b w:val="0"/>
                      <w:bCs w:val="0"/>
                      <w:color w:val="auto"/>
                      <w:sz w:val="21"/>
                      <w:szCs w:val="21"/>
                      <w:lang w:val="en-US" w:eastAsia="zh-CN"/>
                    </w:rPr>
                    <w:t>拟</w:t>
                  </w:r>
                  <w:r>
                    <w:rPr>
                      <w:rFonts w:hint="default" w:ascii="Times New Roman" w:hAnsi="Times New Roman" w:cs="Times New Roman"/>
                      <w:b w:val="0"/>
                      <w:bCs w:val="0"/>
                      <w:color w:val="auto"/>
                      <w:sz w:val="21"/>
                      <w:szCs w:val="21"/>
                    </w:rPr>
                    <w:t>实际建设情况</w:t>
                  </w:r>
                </w:p>
              </w:tc>
              <w:tc>
                <w:tcPr>
                  <w:tcW w:w="560" w:type="pct"/>
                  <w:noWrap w:val="0"/>
                  <w:tcMar>
                    <w:top w:w="85" w:type="dxa"/>
                    <w:bottom w:w="85" w:type="dxa"/>
                  </w:tcMar>
                  <w:vAlign w:val="center"/>
                </w:tcPr>
                <w:p w14:paraId="514DCABC">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相符性</w:t>
                  </w:r>
                </w:p>
              </w:tc>
            </w:tr>
            <w:tr w14:paraId="08418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316" w:type="pct"/>
                  <w:noWrap w:val="0"/>
                  <w:tcMar>
                    <w:top w:w="85" w:type="dxa"/>
                    <w:bottom w:w="85" w:type="dxa"/>
                  </w:tcMar>
                  <w:vAlign w:val="center"/>
                </w:tcPr>
                <w:p w14:paraId="305B6CC6">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1</w:t>
                  </w:r>
                </w:p>
              </w:tc>
              <w:tc>
                <w:tcPr>
                  <w:tcW w:w="539" w:type="pct"/>
                  <w:noWrap w:val="0"/>
                  <w:tcMar>
                    <w:top w:w="85" w:type="dxa"/>
                    <w:bottom w:w="85" w:type="dxa"/>
                  </w:tcMar>
                  <w:vAlign w:val="center"/>
                </w:tcPr>
                <w:p w14:paraId="05D86169">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项目名称</w:t>
                  </w:r>
                </w:p>
              </w:tc>
              <w:tc>
                <w:tcPr>
                  <w:tcW w:w="1522" w:type="pct"/>
                  <w:noWrap w:val="0"/>
                  <w:tcMar>
                    <w:top w:w="85" w:type="dxa"/>
                    <w:bottom w:w="85" w:type="dxa"/>
                  </w:tcMar>
                  <w:vAlign w:val="center"/>
                </w:tcPr>
                <w:p w14:paraId="5BB8DFF0">
                  <w:pPr>
                    <w:keepNext w:val="0"/>
                    <w:keepLines w:val="0"/>
                    <w:widowControl/>
                    <w:suppressLineNumbers w:val="0"/>
                    <w:adjustRightInd w:val="0"/>
                    <w:snapToGrid w:val="0"/>
                    <w:jc w:val="center"/>
                    <w:rPr>
                      <w:rFonts w:hint="default" w:ascii="Times New Roman" w:hAnsi="Times New Roman" w:eastAsia="宋体" w:cs="Times New Roman"/>
                      <w:b w:val="0"/>
                      <w:bCs w:val="0"/>
                      <w:color w:val="auto"/>
                      <w:kern w:val="0"/>
                      <w:sz w:val="21"/>
                      <w:szCs w:val="21"/>
                      <w:lang w:val="en-US" w:eastAsia="zh-CN" w:bidi="ar-SA"/>
                    </w:rPr>
                  </w:pPr>
                  <w:r>
                    <w:rPr>
                      <w:rFonts w:hint="eastAsia"/>
                      <w:b w:val="0"/>
                      <w:bCs w:val="0"/>
                      <w:color w:val="auto"/>
                      <w:sz w:val="21"/>
                      <w:szCs w:val="21"/>
                      <w:lang w:val="en-US" w:eastAsia="zh-CN"/>
                    </w:rPr>
                    <w:t>节能安全玻璃新材料及技术装备生产线建设项目</w:t>
                  </w:r>
                </w:p>
              </w:tc>
              <w:tc>
                <w:tcPr>
                  <w:tcW w:w="2060" w:type="pct"/>
                  <w:noWrap w:val="0"/>
                  <w:tcMar>
                    <w:top w:w="85" w:type="dxa"/>
                    <w:bottom w:w="85" w:type="dxa"/>
                  </w:tcMar>
                  <w:vAlign w:val="center"/>
                </w:tcPr>
                <w:p w14:paraId="7406FAF4">
                  <w:pPr>
                    <w:keepNext w:val="0"/>
                    <w:keepLines w:val="0"/>
                    <w:widowControl/>
                    <w:suppressLineNumbers w:val="0"/>
                    <w:adjustRightInd w:val="0"/>
                    <w:snapToGrid w:val="0"/>
                    <w:jc w:val="center"/>
                    <w:rPr>
                      <w:rFonts w:hint="default" w:ascii="Times New Roman" w:hAnsi="Times New Roman" w:eastAsia="宋体" w:cs="Times New Roman"/>
                      <w:b w:val="0"/>
                      <w:bCs w:val="0"/>
                      <w:color w:val="auto"/>
                      <w:sz w:val="21"/>
                      <w:szCs w:val="21"/>
                      <w:lang w:eastAsia="zh-CN"/>
                    </w:rPr>
                  </w:pPr>
                  <w:r>
                    <w:rPr>
                      <w:rFonts w:hint="eastAsia"/>
                      <w:b w:val="0"/>
                      <w:bCs w:val="0"/>
                      <w:color w:val="auto"/>
                      <w:sz w:val="21"/>
                      <w:szCs w:val="21"/>
                      <w:lang w:val="en-US" w:eastAsia="zh-CN"/>
                    </w:rPr>
                    <w:t>节能安全玻璃新材料及技术装备生产线建设项目</w:t>
                  </w:r>
                </w:p>
              </w:tc>
              <w:tc>
                <w:tcPr>
                  <w:tcW w:w="560" w:type="pct"/>
                  <w:noWrap w:val="0"/>
                  <w:tcMar>
                    <w:top w:w="85" w:type="dxa"/>
                    <w:bottom w:w="85" w:type="dxa"/>
                  </w:tcMar>
                  <w:vAlign w:val="center"/>
                </w:tcPr>
                <w:p w14:paraId="1E1B0FB2">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相符</w:t>
                  </w:r>
                </w:p>
              </w:tc>
            </w:tr>
            <w:tr w14:paraId="47672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316" w:type="pct"/>
                  <w:noWrap w:val="0"/>
                  <w:tcMar>
                    <w:top w:w="85" w:type="dxa"/>
                    <w:bottom w:w="85" w:type="dxa"/>
                  </w:tcMar>
                  <w:vAlign w:val="center"/>
                </w:tcPr>
                <w:p w14:paraId="161942E6">
                  <w:pPr>
                    <w:adjustRightInd w:val="0"/>
                    <w:snapToGrid w:val="0"/>
                    <w:jc w:val="center"/>
                    <w:rPr>
                      <w:rFonts w:hint="eastAsia"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val="en-US" w:eastAsia="zh-CN"/>
                    </w:rPr>
                    <w:t>2</w:t>
                  </w:r>
                </w:p>
              </w:tc>
              <w:tc>
                <w:tcPr>
                  <w:tcW w:w="539" w:type="pct"/>
                  <w:noWrap w:val="0"/>
                  <w:tcMar>
                    <w:top w:w="85" w:type="dxa"/>
                    <w:bottom w:w="85" w:type="dxa"/>
                  </w:tcMar>
                  <w:vAlign w:val="center"/>
                </w:tcPr>
                <w:p w14:paraId="39D2CC0A">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建设地点</w:t>
                  </w:r>
                </w:p>
              </w:tc>
              <w:tc>
                <w:tcPr>
                  <w:tcW w:w="1522" w:type="pct"/>
                  <w:noWrap w:val="0"/>
                  <w:tcMar>
                    <w:top w:w="85" w:type="dxa"/>
                    <w:bottom w:w="85" w:type="dxa"/>
                  </w:tcMar>
                  <w:vAlign w:val="center"/>
                </w:tcPr>
                <w:p w14:paraId="252AD0A0">
                  <w:pPr>
                    <w:keepNext w:val="0"/>
                    <w:keepLines w:val="0"/>
                    <w:widowControl/>
                    <w:suppressLineNumbers w:val="0"/>
                    <w:adjustRightInd w:val="0"/>
                    <w:snapToGrid w:val="0"/>
                    <w:jc w:val="center"/>
                    <w:rPr>
                      <w:rFonts w:hint="default" w:ascii="Times New Roman" w:hAnsi="Times New Roman" w:eastAsia="宋体" w:cs="Times New Roman"/>
                      <w:b w:val="0"/>
                      <w:bCs w:val="0"/>
                      <w:color w:val="auto"/>
                      <w:kern w:val="0"/>
                      <w:sz w:val="21"/>
                      <w:szCs w:val="21"/>
                      <w:lang w:val="en-US" w:eastAsia="zh-CN" w:bidi="ar-SA"/>
                    </w:rPr>
                  </w:pPr>
                  <w:r>
                    <w:rPr>
                      <w:rFonts w:hint="eastAsia"/>
                      <w:b w:val="0"/>
                      <w:bCs w:val="0"/>
                      <w:color w:val="auto"/>
                      <w:sz w:val="21"/>
                      <w:szCs w:val="21"/>
                      <w:lang w:val="en-US" w:eastAsia="zh-CN"/>
                    </w:rPr>
                    <w:t>周口市</w:t>
                  </w:r>
                  <w:r>
                    <w:rPr>
                      <w:rFonts w:hint="eastAsia"/>
                      <w:b w:val="0"/>
                      <w:bCs w:val="0"/>
                      <w:color w:val="auto"/>
                      <w:sz w:val="21"/>
                      <w:szCs w:val="21"/>
                    </w:rPr>
                    <w:t>周口先进制造业开发区</w:t>
                  </w:r>
                  <w:r>
                    <w:rPr>
                      <w:rFonts w:hint="eastAsia"/>
                      <w:b w:val="0"/>
                      <w:bCs w:val="0"/>
                      <w:color w:val="auto"/>
                      <w:sz w:val="21"/>
                      <w:szCs w:val="21"/>
                      <w:lang w:val="en-US" w:eastAsia="zh-CN"/>
                    </w:rPr>
                    <w:t>河南省周口市淮阳区产业集聚区</w:t>
                  </w:r>
                </w:p>
              </w:tc>
              <w:tc>
                <w:tcPr>
                  <w:tcW w:w="2060" w:type="pct"/>
                  <w:noWrap w:val="0"/>
                  <w:tcMar>
                    <w:top w:w="85" w:type="dxa"/>
                    <w:bottom w:w="85" w:type="dxa"/>
                  </w:tcMar>
                  <w:vAlign w:val="center"/>
                </w:tcPr>
                <w:p w14:paraId="7F9002D3">
                  <w:pPr>
                    <w:keepNext w:val="0"/>
                    <w:keepLines w:val="0"/>
                    <w:widowControl/>
                    <w:suppressLineNumbers w:val="0"/>
                    <w:adjustRightInd w:val="0"/>
                    <w:snapToGrid w:val="0"/>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周口市</w:t>
                  </w:r>
                  <w:r>
                    <w:rPr>
                      <w:rFonts w:hint="default" w:ascii="Times New Roman" w:hAnsi="Times New Roman" w:eastAsia="宋体" w:cs="Times New Roman"/>
                      <w:b w:val="0"/>
                      <w:bCs w:val="0"/>
                      <w:color w:val="auto"/>
                      <w:sz w:val="21"/>
                      <w:szCs w:val="21"/>
                      <w:lang w:eastAsia="zh-CN"/>
                    </w:rPr>
                    <w:t>周口先进制造业开发区</w:t>
                  </w:r>
                  <w:r>
                    <w:rPr>
                      <w:rFonts w:hint="default" w:ascii="Times New Roman" w:hAnsi="Times New Roman" w:eastAsia="宋体" w:cs="Times New Roman"/>
                      <w:b w:val="0"/>
                      <w:bCs w:val="0"/>
                      <w:color w:val="auto"/>
                      <w:sz w:val="21"/>
                      <w:szCs w:val="21"/>
                      <w:lang w:val="en-US" w:eastAsia="zh-CN"/>
                    </w:rPr>
                    <w:t>（周口市淮阳区城关镇南三环南侧，规划工业二路西侧）</w:t>
                  </w:r>
                </w:p>
              </w:tc>
              <w:tc>
                <w:tcPr>
                  <w:tcW w:w="560" w:type="pct"/>
                  <w:noWrap w:val="0"/>
                  <w:tcMar>
                    <w:top w:w="85" w:type="dxa"/>
                    <w:bottom w:w="85" w:type="dxa"/>
                  </w:tcMar>
                  <w:vAlign w:val="center"/>
                </w:tcPr>
                <w:p w14:paraId="700D8ADB">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相符</w:t>
                  </w:r>
                </w:p>
              </w:tc>
            </w:tr>
            <w:tr w14:paraId="40AA2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c>
                <w:tcPr>
                  <w:tcW w:w="316" w:type="pct"/>
                  <w:noWrap w:val="0"/>
                  <w:tcMar>
                    <w:top w:w="85" w:type="dxa"/>
                    <w:bottom w:w="85" w:type="dxa"/>
                  </w:tcMar>
                  <w:vAlign w:val="center"/>
                </w:tcPr>
                <w:p w14:paraId="0A218F40">
                  <w:pPr>
                    <w:adjustRightInd w:val="0"/>
                    <w:snapToGrid w:val="0"/>
                    <w:jc w:val="center"/>
                    <w:rPr>
                      <w:rFonts w:hint="eastAsia"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3</w:t>
                  </w:r>
                </w:p>
              </w:tc>
              <w:tc>
                <w:tcPr>
                  <w:tcW w:w="539" w:type="pct"/>
                  <w:noWrap w:val="0"/>
                  <w:tcMar>
                    <w:top w:w="85" w:type="dxa"/>
                    <w:bottom w:w="85" w:type="dxa"/>
                  </w:tcMar>
                  <w:vAlign w:val="center"/>
                </w:tcPr>
                <w:p w14:paraId="727AD5F0">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建设性质</w:t>
                  </w:r>
                </w:p>
              </w:tc>
              <w:tc>
                <w:tcPr>
                  <w:tcW w:w="1522" w:type="pct"/>
                  <w:noWrap w:val="0"/>
                  <w:tcMar>
                    <w:top w:w="85" w:type="dxa"/>
                    <w:bottom w:w="85" w:type="dxa"/>
                  </w:tcMar>
                  <w:vAlign w:val="center"/>
                </w:tcPr>
                <w:p w14:paraId="4C5DCC1C">
                  <w:pPr>
                    <w:pStyle w:val="34"/>
                    <w:keepNext w:val="0"/>
                    <w:keepLines w:val="0"/>
                    <w:widowControl/>
                    <w:suppressLineNumbers w:val="0"/>
                    <w:adjustRightInd w:val="0"/>
                    <w:snapToGrid w:val="0"/>
                    <w:jc w:val="center"/>
                    <w:rPr>
                      <w:rFonts w:hint="default" w:ascii="Times New Roman" w:hAnsi="Times New Roman" w:eastAsia="宋体" w:cs="Times New Roman"/>
                      <w:b w:val="0"/>
                      <w:bCs w:val="0"/>
                      <w:color w:val="auto"/>
                      <w:sz w:val="21"/>
                      <w:szCs w:val="21"/>
                      <w:highlight w:val="none"/>
                      <w:u w:val="none" w:color="auto"/>
                      <w:lang w:val="en-US" w:eastAsia="zh-CN"/>
                    </w:rPr>
                  </w:pPr>
                  <w:r>
                    <w:rPr>
                      <w:rFonts w:hint="eastAsia" w:ascii="Times New Roman" w:hAnsi="Times New Roman" w:cs="Times New Roman"/>
                      <w:b w:val="0"/>
                      <w:bCs w:val="0"/>
                      <w:color w:val="auto"/>
                      <w:sz w:val="21"/>
                      <w:szCs w:val="21"/>
                      <w:highlight w:val="none"/>
                      <w:u w:val="none" w:color="auto"/>
                      <w:lang w:val="en-US" w:eastAsia="zh-CN"/>
                    </w:rPr>
                    <w:t>扩建</w:t>
                  </w:r>
                </w:p>
              </w:tc>
              <w:tc>
                <w:tcPr>
                  <w:tcW w:w="2060" w:type="pct"/>
                  <w:noWrap w:val="0"/>
                  <w:tcMar>
                    <w:top w:w="85" w:type="dxa"/>
                    <w:bottom w:w="85" w:type="dxa"/>
                  </w:tcMar>
                  <w:vAlign w:val="center"/>
                </w:tcPr>
                <w:p w14:paraId="170CA05C">
                  <w:pPr>
                    <w:pStyle w:val="34"/>
                    <w:keepNext w:val="0"/>
                    <w:keepLines w:val="0"/>
                    <w:widowControl/>
                    <w:suppressLineNumbers w:val="0"/>
                    <w:adjustRightInd w:val="0"/>
                    <w:snapToGrid w:val="0"/>
                    <w:jc w:val="center"/>
                    <w:rPr>
                      <w:rFonts w:hint="default" w:ascii="Times New Roman" w:hAnsi="Times New Roman" w:eastAsia="宋体" w:cs="Times New Roman"/>
                      <w:b w:val="0"/>
                      <w:bCs w:val="0"/>
                      <w:color w:val="auto"/>
                      <w:sz w:val="21"/>
                      <w:szCs w:val="21"/>
                      <w:highlight w:val="none"/>
                      <w:u w:val="none" w:color="auto"/>
                      <w:lang w:val="en-US" w:eastAsia="zh-CN"/>
                    </w:rPr>
                  </w:pPr>
                  <w:r>
                    <w:rPr>
                      <w:rFonts w:hint="eastAsia" w:ascii="Times New Roman" w:hAnsi="Times New Roman" w:cs="Times New Roman"/>
                      <w:b w:val="0"/>
                      <w:bCs w:val="0"/>
                      <w:color w:val="auto"/>
                      <w:sz w:val="21"/>
                      <w:szCs w:val="21"/>
                      <w:highlight w:val="none"/>
                      <w:u w:val="none" w:color="auto"/>
                      <w:lang w:val="en-US" w:eastAsia="zh-CN"/>
                    </w:rPr>
                    <w:t>扩建（为异地扩建项目）</w:t>
                  </w:r>
                </w:p>
              </w:tc>
              <w:tc>
                <w:tcPr>
                  <w:tcW w:w="560" w:type="pct"/>
                  <w:noWrap w:val="0"/>
                  <w:tcMar>
                    <w:top w:w="85" w:type="dxa"/>
                    <w:bottom w:w="85" w:type="dxa"/>
                  </w:tcMar>
                  <w:vAlign w:val="center"/>
                </w:tcPr>
                <w:p w14:paraId="718D88DB">
                  <w:pPr>
                    <w:adjustRightInd w:val="0"/>
                    <w:snapToGrid w:val="0"/>
                    <w:jc w:val="center"/>
                    <w:rPr>
                      <w:rFonts w:hint="eastAsia"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相符</w:t>
                  </w:r>
                </w:p>
              </w:tc>
            </w:tr>
            <w:tr w14:paraId="35531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83" w:hRule="atLeast"/>
              </w:trPr>
              <w:tc>
                <w:tcPr>
                  <w:tcW w:w="316" w:type="pct"/>
                  <w:noWrap w:val="0"/>
                  <w:tcMar>
                    <w:top w:w="85" w:type="dxa"/>
                    <w:bottom w:w="85" w:type="dxa"/>
                  </w:tcMar>
                  <w:vAlign w:val="center"/>
                </w:tcPr>
                <w:p w14:paraId="51FD6E08">
                  <w:pPr>
                    <w:adjustRightInd w:val="0"/>
                    <w:snapToGrid w:val="0"/>
                    <w:jc w:val="center"/>
                    <w:rPr>
                      <w:rFonts w:hint="eastAsia"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val="en-US" w:eastAsia="zh-CN"/>
                    </w:rPr>
                    <w:t>4</w:t>
                  </w:r>
                </w:p>
              </w:tc>
              <w:tc>
                <w:tcPr>
                  <w:tcW w:w="539" w:type="pct"/>
                  <w:noWrap w:val="0"/>
                  <w:tcMar>
                    <w:top w:w="85" w:type="dxa"/>
                    <w:bottom w:w="85" w:type="dxa"/>
                  </w:tcMar>
                  <w:vAlign w:val="center"/>
                </w:tcPr>
                <w:p w14:paraId="6DF5EA5A">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总投资</w:t>
                  </w:r>
                </w:p>
              </w:tc>
              <w:tc>
                <w:tcPr>
                  <w:tcW w:w="1522" w:type="pct"/>
                  <w:noWrap w:val="0"/>
                  <w:tcMar>
                    <w:top w:w="85" w:type="dxa"/>
                    <w:bottom w:w="85" w:type="dxa"/>
                  </w:tcMar>
                  <w:vAlign w:val="center"/>
                </w:tcPr>
                <w:p w14:paraId="1D18F9A1">
                  <w:pPr>
                    <w:adjustRightInd w:val="0"/>
                    <w:snapToGrid w:val="0"/>
                    <w:jc w:val="center"/>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sz w:val="21"/>
                      <w:szCs w:val="21"/>
                      <w:lang w:val="en-US" w:eastAsia="zh-CN"/>
                    </w:rPr>
                    <w:t>15000</w:t>
                  </w:r>
                  <w:r>
                    <w:rPr>
                      <w:rFonts w:hint="default" w:ascii="Times New Roman" w:hAnsi="Times New Roman" w:cs="Times New Roman"/>
                      <w:b w:val="0"/>
                      <w:bCs w:val="0"/>
                      <w:color w:val="auto"/>
                      <w:sz w:val="21"/>
                      <w:szCs w:val="21"/>
                      <w:lang w:eastAsia="zh-CN"/>
                    </w:rPr>
                    <w:t>万元</w:t>
                  </w:r>
                </w:p>
              </w:tc>
              <w:tc>
                <w:tcPr>
                  <w:tcW w:w="2060" w:type="pct"/>
                  <w:noWrap w:val="0"/>
                  <w:tcMar>
                    <w:top w:w="85" w:type="dxa"/>
                    <w:bottom w:w="85" w:type="dxa"/>
                  </w:tcMar>
                  <w:vAlign w:val="center"/>
                </w:tcPr>
                <w:p w14:paraId="27C88093">
                  <w:pPr>
                    <w:adjustRightInd w:val="0"/>
                    <w:snapToGrid w:val="0"/>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val="en-US" w:eastAsia="zh-CN"/>
                    </w:rPr>
                    <w:t>15000</w:t>
                  </w:r>
                  <w:r>
                    <w:rPr>
                      <w:rFonts w:hint="default" w:ascii="Times New Roman" w:hAnsi="Times New Roman" w:cs="Times New Roman"/>
                      <w:b w:val="0"/>
                      <w:bCs w:val="0"/>
                      <w:color w:val="auto"/>
                      <w:sz w:val="21"/>
                      <w:szCs w:val="21"/>
                      <w:lang w:eastAsia="zh-CN"/>
                    </w:rPr>
                    <w:t>万元</w:t>
                  </w:r>
                </w:p>
              </w:tc>
              <w:tc>
                <w:tcPr>
                  <w:tcW w:w="560" w:type="pct"/>
                  <w:noWrap w:val="0"/>
                  <w:tcMar>
                    <w:top w:w="85" w:type="dxa"/>
                    <w:bottom w:w="85" w:type="dxa"/>
                  </w:tcMar>
                  <w:vAlign w:val="center"/>
                </w:tcPr>
                <w:p w14:paraId="31B64242">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相符</w:t>
                  </w:r>
                </w:p>
              </w:tc>
            </w:tr>
            <w:tr w14:paraId="25EC4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90" w:hRule="atLeast"/>
              </w:trPr>
              <w:tc>
                <w:tcPr>
                  <w:tcW w:w="316" w:type="pct"/>
                  <w:noWrap w:val="0"/>
                  <w:tcMar>
                    <w:top w:w="85" w:type="dxa"/>
                    <w:bottom w:w="85" w:type="dxa"/>
                  </w:tcMar>
                  <w:vAlign w:val="center"/>
                </w:tcPr>
                <w:p w14:paraId="48F0EB83">
                  <w:pPr>
                    <w:adjustRightInd w:val="0"/>
                    <w:snapToGrid w:val="0"/>
                    <w:jc w:val="center"/>
                    <w:rPr>
                      <w:rFonts w:hint="eastAsia"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5</w:t>
                  </w:r>
                </w:p>
              </w:tc>
              <w:tc>
                <w:tcPr>
                  <w:tcW w:w="539" w:type="pct"/>
                  <w:noWrap w:val="0"/>
                  <w:tcMar>
                    <w:top w:w="85" w:type="dxa"/>
                    <w:bottom w:w="85" w:type="dxa"/>
                  </w:tcMar>
                  <w:vAlign w:val="center"/>
                </w:tcPr>
                <w:p w14:paraId="048480A8">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highlight w:val="none"/>
                      <w:u w:val="none" w:color="auto"/>
                      <w:lang w:val="en-US" w:eastAsia="zh-CN" w:bidi="ar-SA"/>
                    </w:rPr>
                  </w:pPr>
                  <w:r>
                    <w:rPr>
                      <w:rFonts w:hint="eastAsia" w:cs="Times New Roman"/>
                      <w:b w:val="0"/>
                      <w:bCs w:val="0"/>
                      <w:color w:val="auto"/>
                      <w:sz w:val="21"/>
                      <w:szCs w:val="21"/>
                      <w:highlight w:val="none"/>
                      <w:u w:val="none" w:color="auto"/>
                      <w:lang w:val="en-US" w:eastAsia="zh-CN"/>
                    </w:rPr>
                    <w:t>建设</w:t>
                  </w:r>
                  <w:r>
                    <w:rPr>
                      <w:rFonts w:hint="default" w:ascii="Times New Roman" w:hAnsi="Times New Roman" w:eastAsia="宋体" w:cs="Times New Roman"/>
                      <w:b w:val="0"/>
                      <w:bCs w:val="0"/>
                      <w:color w:val="auto"/>
                      <w:sz w:val="21"/>
                      <w:szCs w:val="21"/>
                      <w:highlight w:val="none"/>
                      <w:u w:val="none" w:color="auto"/>
                    </w:rPr>
                    <w:t>规模</w:t>
                  </w:r>
                  <w:r>
                    <w:rPr>
                      <w:rFonts w:hint="eastAsia" w:cs="Times New Roman"/>
                      <w:b w:val="0"/>
                      <w:bCs w:val="0"/>
                      <w:color w:val="auto"/>
                      <w:sz w:val="21"/>
                      <w:szCs w:val="21"/>
                      <w:highlight w:val="none"/>
                      <w:u w:val="none" w:color="auto"/>
                      <w:lang w:val="en-US" w:eastAsia="zh-CN"/>
                    </w:rPr>
                    <w:t>及内容</w:t>
                  </w:r>
                </w:p>
              </w:tc>
              <w:tc>
                <w:tcPr>
                  <w:tcW w:w="1522" w:type="pct"/>
                  <w:noWrap w:val="0"/>
                  <w:tcMar>
                    <w:top w:w="85" w:type="dxa"/>
                    <w:bottom w:w="85" w:type="dxa"/>
                  </w:tcMar>
                  <w:vAlign w:val="center"/>
                </w:tcPr>
                <w:p w14:paraId="1BA64D32">
                  <w:pPr>
                    <w:adjustRightInd w:val="0"/>
                    <w:snapToGrid w:val="0"/>
                    <w:jc w:val="center"/>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购置切割、磨边、中空、钢化、夹胶、彩打、镀膜生产线等配套设备设施，年产300万平方米节能安全玻璃新材料及节能安全玻璃技术装备</w:t>
                  </w:r>
                </w:p>
              </w:tc>
              <w:tc>
                <w:tcPr>
                  <w:tcW w:w="2060" w:type="pct"/>
                  <w:noWrap w:val="0"/>
                  <w:tcMar>
                    <w:top w:w="85" w:type="dxa"/>
                    <w:bottom w:w="85" w:type="dxa"/>
                  </w:tcMar>
                  <w:vAlign w:val="center"/>
                </w:tcPr>
                <w:p w14:paraId="21BB2DF9">
                  <w:pPr>
                    <w:adjustRightInd w:val="0"/>
                    <w:snapToGrid w:val="0"/>
                    <w:jc w:val="center"/>
                    <w:rPr>
                      <w:rFonts w:hint="eastAsia" w:ascii="Times New Roman" w:hAnsi="Times New Roman" w:cs="Times New Roman"/>
                      <w:b w:val="0"/>
                      <w:bCs w:val="0"/>
                      <w:color w:val="auto"/>
                      <w:sz w:val="21"/>
                      <w:szCs w:val="21"/>
                      <w:lang w:val="en-US" w:eastAsia="zh-CN"/>
                    </w:rPr>
                  </w:pPr>
                  <w:r>
                    <w:rPr>
                      <w:rFonts w:hint="default" w:ascii="Times New Roman" w:hAnsi="Times New Roman" w:eastAsia="宋体" w:cs="Times New Roman"/>
                      <w:b w:val="0"/>
                      <w:bCs w:val="0"/>
                      <w:color w:val="auto"/>
                      <w:kern w:val="2"/>
                      <w:sz w:val="21"/>
                      <w:szCs w:val="21"/>
                      <w:lang w:val="en-US" w:eastAsia="zh-CN" w:bidi="ar-SA"/>
                    </w:rPr>
                    <w:t>购置切割、磨边、中空、钢化、夹胶、彩打、镀膜生产线等配套设备设施，年产300万平方米节能安全玻璃新材料及节能安全玻璃技术装备</w:t>
                  </w:r>
                  <w:r>
                    <w:rPr>
                      <w:rFonts w:hint="eastAsia" w:cs="Times New Roman"/>
                      <w:b w:val="0"/>
                      <w:bCs w:val="0"/>
                      <w:color w:val="auto"/>
                      <w:kern w:val="2"/>
                      <w:sz w:val="21"/>
                      <w:szCs w:val="21"/>
                      <w:lang w:val="en-US" w:eastAsia="zh-CN" w:bidi="ar-SA"/>
                    </w:rPr>
                    <w:t>（包括节能LOW-E玻璃、安全结构玻璃、LOW-E镀膜玻璃、彩色成像钢化玻璃）</w:t>
                  </w:r>
                </w:p>
              </w:tc>
              <w:tc>
                <w:tcPr>
                  <w:tcW w:w="560" w:type="pct"/>
                  <w:noWrap w:val="0"/>
                  <w:tcMar>
                    <w:top w:w="85" w:type="dxa"/>
                    <w:bottom w:w="85" w:type="dxa"/>
                  </w:tcMar>
                  <w:vAlign w:val="center"/>
                </w:tcPr>
                <w:p w14:paraId="56A0DB19">
                  <w:pPr>
                    <w:adjustRightInd w:val="0"/>
                    <w:snapToGrid w:val="0"/>
                    <w:jc w:val="center"/>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相符</w:t>
                  </w:r>
                </w:p>
              </w:tc>
            </w:tr>
          </w:tbl>
          <w:p w14:paraId="67697E75">
            <w:pPr>
              <w:keepNext w:val="0"/>
              <w:keepLines w:val="0"/>
              <w:pageBreakBefore w:val="0"/>
              <w:widowControl w:val="0"/>
              <w:kinsoku/>
              <w:wordWrap/>
              <w:overflowPunct/>
              <w:topLinePunct w:val="0"/>
              <w:autoSpaceDE/>
              <w:autoSpaceDN/>
              <w:bidi w:val="0"/>
              <w:adjustRightInd w:val="0"/>
              <w:snapToGrid w:val="0"/>
              <w:spacing w:before="270" w:beforeLines="50" w:line="360" w:lineRule="auto"/>
              <w:ind w:firstLine="480" w:firstLineChars="200"/>
              <w:textAlignment w:val="auto"/>
              <w:rPr>
                <w:rFonts w:hint="default" w:ascii="Times New Roman" w:hAnsi="Times New Roman" w:cs="Times New Roman"/>
                <w:b w:val="0"/>
                <w:bCs w:val="0"/>
                <w:color w:val="auto"/>
                <w:sz w:val="24"/>
              </w:rPr>
            </w:pPr>
            <w:r>
              <w:rPr>
                <w:rFonts w:hint="default" w:ascii="Times New Roman" w:hAnsi="Times New Roman" w:cs="Times New Roman"/>
                <w:b w:val="0"/>
                <w:bCs w:val="0"/>
                <w:color w:val="auto"/>
                <w:sz w:val="24"/>
              </w:rPr>
              <w:t>由表</w:t>
            </w:r>
            <w:r>
              <w:rPr>
                <w:rFonts w:hint="eastAsia" w:ascii="Times New Roman" w:hAnsi="Times New Roman" w:cs="Times New Roman"/>
                <w:b w:val="0"/>
                <w:bCs w:val="0"/>
                <w:color w:val="auto"/>
                <w:sz w:val="24"/>
                <w:lang w:val="en-US" w:eastAsia="zh-CN"/>
              </w:rPr>
              <w:t>2-</w:t>
            </w:r>
            <w:r>
              <w:rPr>
                <w:rFonts w:hint="eastAsia" w:cs="Times New Roman"/>
                <w:b w:val="0"/>
                <w:bCs w:val="0"/>
                <w:color w:val="auto"/>
                <w:sz w:val="24"/>
                <w:lang w:val="en-US" w:eastAsia="zh-CN"/>
              </w:rPr>
              <w:t>7</w:t>
            </w:r>
            <w:r>
              <w:rPr>
                <w:rFonts w:hint="default" w:ascii="Times New Roman" w:hAnsi="Times New Roman" w:cs="Times New Roman"/>
                <w:b w:val="0"/>
                <w:bCs w:val="0"/>
                <w:color w:val="auto"/>
                <w:sz w:val="24"/>
              </w:rPr>
              <w:t>可知，本项目</w:t>
            </w:r>
            <w:r>
              <w:rPr>
                <w:rFonts w:hint="eastAsia" w:ascii="Times New Roman" w:hAnsi="Times New Roman" w:cs="Times New Roman"/>
                <w:b w:val="0"/>
                <w:bCs w:val="0"/>
                <w:color w:val="auto"/>
                <w:sz w:val="24"/>
                <w:lang w:val="en-US" w:eastAsia="zh-CN"/>
              </w:rPr>
              <w:t>实际</w:t>
            </w:r>
            <w:r>
              <w:rPr>
                <w:rFonts w:hint="eastAsia" w:cs="Times New Roman"/>
                <w:b w:val="0"/>
                <w:bCs w:val="0"/>
                <w:color w:val="auto"/>
                <w:sz w:val="24"/>
                <w:lang w:val="en-US" w:eastAsia="zh-CN"/>
              </w:rPr>
              <w:t>建设情况</w:t>
            </w:r>
            <w:r>
              <w:rPr>
                <w:rFonts w:hint="default" w:ascii="Times New Roman" w:hAnsi="Times New Roman" w:cs="Times New Roman"/>
                <w:b w:val="0"/>
                <w:bCs w:val="0"/>
                <w:color w:val="auto"/>
                <w:sz w:val="24"/>
                <w:lang w:val="en-US" w:eastAsia="zh-CN"/>
              </w:rPr>
              <w:t>与</w:t>
            </w:r>
            <w:r>
              <w:rPr>
                <w:rFonts w:hint="default" w:ascii="Times New Roman" w:hAnsi="Times New Roman" w:cs="Times New Roman"/>
                <w:b w:val="0"/>
                <w:bCs w:val="0"/>
                <w:color w:val="auto"/>
                <w:sz w:val="24"/>
              </w:rPr>
              <w:t>备案内容相符</w:t>
            </w:r>
            <w:r>
              <w:rPr>
                <w:rFonts w:hint="eastAsia" w:cs="Times New Roman"/>
                <w:b w:val="0"/>
                <w:bCs w:val="0"/>
                <w:color w:val="auto"/>
                <w:sz w:val="24"/>
                <w:lang w:eastAsia="zh-CN"/>
              </w:rPr>
              <w:t>，</w:t>
            </w:r>
            <w:r>
              <w:rPr>
                <w:rFonts w:hint="eastAsia" w:cs="Times New Roman"/>
                <w:b w:val="0"/>
                <w:bCs w:val="0"/>
                <w:color w:val="auto"/>
                <w:sz w:val="24"/>
                <w:lang w:val="en-US" w:eastAsia="zh-CN"/>
              </w:rPr>
              <w:t>且实际建设情况更详细</w:t>
            </w:r>
            <w:r>
              <w:rPr>
                <w:rFonts w:hint="default" w:ascii="Times New Roman" w:hAnsi="Times New Roman" w:cs="Times New Roman"/>
                <w:b w:val="0"/>
                <w:bCs w:val="0"/>
                <w:color w:val="auto"/>
                <w:sz w:val="24"/>
              </w:rPr>
              <w:t>。</w:t>
            </w:r>
          </w:p>
          <w:p w14:paraId="5D890972">
            <w:pPr>
              <w:pStyle w:val="2"/>
              <w:rPr>
                <w:rFonts w:hint="eastAsia" w:ascii="Times New Roman" w:hAnsi="Times New Roman" w:eastAsia="宋体" w:cs="Times New Roman"/>
                <w:b/>
                <w:bCs/>
                <w:color w:val="000000"/>
                <w:lang w:val="en-US" w:eastAsia="zh-CN"/>
              </w:rPr>
            </w:pPr>
            <w:bookmarkStart w:id="70" w:name="_Toc26853"/>
            <w:bookmarkStart w:id="71" w:name="_Toc27744"/>
            <w:r>
              <w:rPr>
                <w:rFonts w:hint="eastAsia" w:ascii="Times New Roman" w:hAnsi="Times New Roman" w:eastAsia="宋体" w:cs="Times New Roman"/>
                <w:b/>
                <w:bCs/>
                <w:color w:val="000000"/>
                <w:lang w:val="en-US" w:eastAsia="zh-CN"/>
              </w:rPr>
              <w:t>8、劳动定员及工作制度</w:t>
            </w:r>
            <w:bookmarkEnd w:id="70"/>
            <w:bookmarkEnd w:id="71"/>
          </w:p>
          <w:p w14:paraId="7F9C51CC">
            <w:pPr>
              <w:spacing w:line="360" w:lineRule="auto"/>
              <w:ind w:firstLine="480" w:firstLineChars="200"/>
              <w:rPr>
                <w:b w:val="0"/>
                <w:bCs w:val="0"/>
                <w:color w:val="auto"/>
                <w:sz w:val="24"/>
              </w:rPr>
            </w:pPr>
            <w:r>
              <w:rPr>
                <w:b w:val="0"/>
                <w:bCs w:val="0"/>
                <w:color w:val="auto"/>
                <w:kern w:val="0"/>
                <w:sz w:val="24"/>
              </w:rPr>
              <w:t>本项目</w:t>
            </w:r>
            <w:r>
              <w:rPr>
                <w:b w:val="0"/>
                <w:bCs w:val="0"/>
                <w:color w:val="auto"/>
                <w:sz w:val="24"/>
              </w:rPr>
              <w:t>劳动定员</w:t>
            </w:r>
            <w:r>
              <w:rPr>
                <w:rFonts w:hint="eastAsia"/>
                <w:b w:val="0"/>
                <w:bCs w:val="0"/>
                <w:color w:val="auto"/>
                <w:sz w:val="24"/>
                <w:lang w:val="en-US" w:eastAsia="zh-CN"/>
              </w:rPr>
              <w:t>100</w:t>
            </w:r>
            <w:r>
              <w:rPr>
                <w:b w:val="0"/>
                <w:bCs w:val="0"/>
                <w:color w:val="auto"/>
                <w:sz w:val="24"/>
              </w:rPr>
              <w:t>人，均不在厂区食宿，全年工作300天，</w:t>
            </w:r>
            <w:r>
              <w:rPr>
                <w:rFonts w:hint="eastAsia"/>
                <w:b w:val="0"/>
                <w:bCs w:val="0"/>
                <w:color w:val="auto"/>
                <w:sz w:val="24"/>
                <w:lang w:val="en-US" w:eastAsia="zh-CN"/>
              </w:rPr>
              <w:t>每天工作8小时</w:t>
            </w:r>
            <w:r>
              <w:rPr>
                <w:b w:val="0"/>
                <w:bCs w:val="0"/>
                <w:color w:val="auto"/>
                <w:sz w:val="24"/>
              </w:rPr>
              <w:t>。</w:t>
            </w:r>
          </w:p>
          <w:p w14:paraId="05346DE2">
            <w:pPr>
              <w:pStyle w:val="2"/>
              <w:rPr>
                <w:rFonts w:hint="default" w:ascii="Times New Roman" w:hAnsi="Times New Roman" w:eastAsia="宋体" w:cs="Times New Roman"/>
                <w:b/>
                <w:bCs/>
                <w:color w:val="000000"/>
                <w:lang w:val="en-US" w:eastAsia="zh-CN"/>
              </w:rPr>
            </w:pPr>
            <w:bookmarkStart w:id="72" w:name="_Toc2881"/>
            <w:bookmarkStart w:id="73" w:name="_Toc21574"/>
            <w:r>
              <w:rPr>
                <w:rFonts w:hint="eastAsia" w:ascii="Times New Roman" w:hAnsi="Times New Roman" w:eastAsia="宋体" w:cs="Times New Roman"/>
                <w:b/>
                <w:bCs/>
                <w:color w:val="000000"/>
                <w:lang w:val="en-US" w:eastAsia="zh-CN"/>
              </w:rPr>
              <w:t>9、</w:t>
            </w:r>
            <w:r>
              <w:rPr>
                <w:rFonts w:hint="default" w:ascii="Times New Roman" w:hAnsi="Times New Roman" w:eastAsia="宋体" w:cs="Times New Roman"/>
                <w:b/>
                <w:bCs/>
                <w:color w:val="000000"/>
                <w:lang w:val="en-US" w:eastAsia="zh-CN"/>
              </w:rPr>
              <w:t>公用工程</w:t>
            </w:r>
            <w:bookmarkEnd w:id="72"/>
            <w:bookmarkEnd w:id="73"/>
          </w:p>
          <w:p w14:paraId="3CC7E82D">
            <w:pPr>
              <w:adjustRightInd w:val="0"/>
              <w:snapToGrid w:val="0"/>
              <w:spacing w:line="360" w:lineRule="auto"/>
              <w:ind w:firstLine="480" w:firstLineChars="200"/>
              <w:jc w:val="left"/>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val="0"/>
                <w:bCs w:val="0"/>
                <w:color w:val="000000"/>
                <w:sz w:val="24"/>
                <w:szCs w:val="24"/>
              </w:rPr>
              <w:t>（1）供水工程</w:t>
            </w:r>
          </w:p>
          <w:p w14:paraId="45903E94">
            <w:pPr>
              <w:keepNext w:val="0"/>
              <w:keepLines w:val="0"/>
              <w:pageBreakBefore w:val="0"/>
              <w:widowControl w:val="0"/>
              <w:kinsoku/>
              <w:wordWrap/>
              <w:overflowPunct/>
              <w:topLinePunct w:val="0"/>
              <w:bidi w:val="0"/>
              <w:adjustRightInd w:val="0"/>
              <w:snapToGrid w:val="0"/>
              <w:spacing w:line="348" w:lineRule="auto"/>
              <w:ind w:firstLine="480" w:firstLineChars="200"/>
              <w:jc w:val="left"/>
              <w:textAlignment w:val="auto"/>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val="0"/>
                <w:bCs w:val="0"/>
                <w:color w:val="000000"/>
                <w:sz w:val="24"/>
                <w:szCs w:val="24"/>
              </w:rPr>
              <w:t>本项目用水主要</w:t>
            </w:r>
            <w:r>
              <w:rPr>
                <w:rFonts w:hint="default" w:ascii="Times New Roman" w:hAnsi="Times New Roman" w:eastAsia="宋体" w:cs="Times New Roman"/>
                <w:b w:val="0"/>
                <w:bCs w:val="0"/>
                <w:color w:val="000000"/>
                <w:sz w:val="24"/>
                <w:szCs w:val="24"/>
                <w:lang w:eastAsia="zh-CN"/>
              </w:rPr>
              <w:t>为</w:t>
            </w:r>
            <w:r>
              <w:rPr>
                <w:rFonts w:hint="default" w:ascii="Times New Roman" w:hAnsi="Times New Roman" w:eastAsia="宋体" w:cs="Times New Roman"/>
                <w:b w:val="0"/>
                <w:bCs w:val="0"/>
                <w:color w:val="000000"/>
                <w:sz w:val="24"/>
                <w:szCs w:val="24"/>
              </w:rPr>
              <w:t>生活用水</w:t>
            </w:r>
            <w:r>
              <w:rPr>
                <w:rFonts w:hint="eastAsia" w:cs="Times New Roman"/>
                <w:b w:val="0"/>
                <w:bCs w:val="0"/>
                <w:color w:val="000000"/>
                <w:sz w:val="24"/>
                <w:szCs w:val="24"/>
                <w:lang w:val="en-US" w:eastAsia="zh-CN"/>
              </w:rPr>
              <w:t>、</w:t>
            </w:r>
            <w:r>
              <w:rPr>
                <w:rFonts w:hint="eastAsia" w:ascii="Times New Roman" w:hAnsi="Times New Roman" w:cs="Times New Roman"/>
                <w:b w:val="0"/>
                <w:bCs w:val="0"/>
                <w:color w:val="000000"/>
                <w:sz w:val="24"/>
                <w:szCs w:val="24"/>
                <w:lang w:val="en-US" w:eastAsia="zh-CN"/>
              </w:rPr>
              <w:t>生产用水</w:t>
            </w:r>
            <w:r>
              <w:rPr>
                <w:rFonts w:hint="eastAsia" w:cs="Times New Roman"/>
                <w:b w:val="0"/>
                <w:bCs w:val="0"/>
                <w:color w:val="000000"/>
                <w:sz w:val="24"/>
                <w:szCs w:val="24"/>
                <w:lang w:val="en-US" w:eastAsia="zh-CN"/>
              </w:rPr>
              <w:t>和软水制备系统用水</w:t>
            </w:r>
            <w:r>
              <w:rPr>
                <w:rFonts w:hint="default" w:ascii="Times New Roman" w:hAnsi="Times New Roman" w:eastAsia="宋体" w:cs="Times New Roman"/>
                <w:b w:val="0"/>
                <w:bCs w:val="0"/>
                <w:color w:val="000000"/>
                <w:sz w:val="24"/>
                <w:szCs w:val="24"/>
              </w:rPr>
              <w:t>。</w:t>
            </w:r>
            <w:r>
              <w:rPr>
                <w:rFonts w:hint="default" w:ascii="Times New Roman" w:hAnsi="Times New Roman" w:eastAsia="宋体" w:cs="Times New Roman"/>
                <w:b w:val="0"/>
                <w:bCs w:val="0"/>
                <w:color w:val="000000"/>
                <w:sz w:val="24"/>
                <w:szCs w:val="24"/>
                <w:lang w:val="en-US" w:eastAsia="zh-CN"/>
              </w:rPr>
              <w:t>由集聚区市政供水管网集中</w:t>
            </w:r>
            <w:r>
              <w:rPr>
                <w:rFonts w:hint="default" w:ascii="Times New Roman" w:hAnsi="Times New Roman" w:eastAsia="宋体" w:cs="Times New Roman"/>
                <w:b w:val="0"/>
                <w:bCs w:val="0"/>
                <w:color w:val="000000"/>
                <w:sz w:val="24"/>
                <w:szCs w:val="24"/>
              </w:rPr>
              <w:t>供水。</w:t>
            </w:r>
          </w:p>
          <w:p w14:paraId="7E004C60">
            <w:pPr>
              <w:keepNext w:val="0"/>
              <w:keepLines w:val="0"/>
              <w:pageBreakBefore w:val="0"/>
              <w:widowControl w:val="0"/>
              <w:numPr>
                <w:ilvl w:val="0"/>
                <w:numId w:val="4"/>
              </w:numPr>
              <w:kinsoku/>
              <w:wordWrap/>
              <w:overflowPunct/>
              <w:topLinePunct w:val="0"/>
              <w:bidi w:val="0"/>
              <w:adjustRightInd w:val="0"/>
              <w:snapToGrid w:val="0"/>
              <w:spacing w:line="348" w:lineRule="auto"/>
              <w:ind w:firstLine="480" w:firstLineChars="200"/>
              <w:jc w:val="left"/>
              <w:textAlignment w:val="auto"/>
              <w:rPr>
                <w:rFonts w:hint="eastAsia" w:ascii="Times New Roman" w:hAnsi="Times New Roman" w:cs="Times New Roman"/>
                <w:b w:val="0"/>
                <w:bCs w:val="0"/>
                <w:color w:val="000000"/>
                <w:sz w:val="24"/>
                <w:szCs w:val="24"/>
                <w:lang w:val="en-US" w:eastAsia="zh-CN"/>
              </w:rPr>
            </w:pPr>
            <w:r>
              <w:rPr>
                <w:rFonts w:hint="eastAsia" w:ascii="Times New Roman" w:hAnsi="Times New Roman" w:cs="Times New Roman"/>
                <w:b w:val="0"/>
                <w:bCs w:val="0"/>
                <w:color w:val="000000"/>
                <w:sz w:val="24"/>
                <w:szCs w:val="24"/>
                <w:lang w:val="en-US" w:eastAsia="zh-CN"/>
              </w:rPr>
              <w:t>生活用水</w:t>
            </w:r>
          </w:p>
          <w:p w14:paraId="2435D640">
            <w:pPr>
              <w:keepNext w:val="0"/>
              <w:keepLines w:val="0"/>
              <w:pageBreakBefore w:val="0"/>
              <w:widowControl w:val="0"/>
              <w:numPr>
                <w:ilvl w:val="0"/>
                <w:numId w:val="0"/>
              </w:numPr>
              <w:kinsoku/>
              <w:wordWrap/>
              <w:overflowPunct/>
              <w:topLinePunct w:val="0"/>
              <w:bidi w:val="0"/>
              <w:adjustRightInd w:val="0"/>
              <w:snapToGrid w:val="0"/>
              <w:spacing w:line="348" w:lineRule="auto"/>
              <w:ind w:firstLine="480" w:firstLineChars="200"/>
              <w:jc w:val="left"/>
              <w:textAlignment w:val="auto"/>
              <w:rPr>
                <w:rFonts w:hint="default" w:ascii="Times New Roman" w:hAnsi="Times New Roman" w:eastAsia="宋体" w:cs="Times New Roman"/>
                <w:b w:val="0"/>
                <w:bCs w:val="0"/>
                <w:color w:val="000000"/>
                <w:sz w:val="24"/>
                <w:szCs w:val="24"/>
                <w:lang w:eastAsia="zh-CN"/>
              </w:rPr>
            </w:pPr>
            <w:r>
              <w:rPr>
                <w:rFonts w:hint="default" w:ascii="Times New Roman" w:hAnsi="Times New Roman" w:eastAsia="宋体" w:cs="Times New Roman"/>
                <w:b w:val="0"/>
                <w:bCs w:val="0"/>
                <w:color w:val="000000"/>
                <w:sz w:val="24"/>
                <w:szCs w:val="24"/>
              </w:rPr>
              <w:t>项目劳动定员</w:t>
            </w:r>
            <w:r>
              <w:rPr>
                <w:rFonts w:hint="eastAsia" w:cs="Times New Roman"/>
                <w:b w:val="0"/>
                <w:bCs w:val="0"/>
                <w:color w:val="000000"/>
                <w:sz w:val="24"/>
                <w:szCs w:val="24"/>
                <w:lang w:val="en-US" w:eastAsia="zh-CN"/>
              </w:rPr>
              <w:t>10</w:t>
            </w:r>
            <w:r>
              <w:rPr>
                <w:rFonts w:hint="eastAsia" w:ascii="Times New Roman" w:hAnsi="Times New Roman" w:cs="Times New Roman"/>
                <w:b w:val="0"/>
                <w:bCs w:val="0"/>
                <w:color w:val="000000"/>
                <w:sz w:val="24"/>
                <w:szCs w:val="24"/>
                <w:lang w:val="en-US" w:eastAsia="zh-CN"/>
              </w:rPr>
              <w:t>0</w:t>
            </w:r>
            <w:r>
              <w:rPr>
                <w:rFonts w:hint="default" w:ascii="Times New Roman" w:hAnsi="Times New Roman" w:eastAsia="宋体" w:cs="Times New Roman"/>
                <w:b w:val="0"/>
                <w:bCs w:val="0"/>
                <w:color w:val="000000"/>
                <w:sz w:val="24"/>
                <w:szCs w:val="24"/>
              </w:rPr>
              <w:t>人，年工作</w:t>
            </w:r>
            <w:r>
              <w:rPr>
                <w:rFonts w:hint="eastAsia" w:ascii="Times New Roman" w:hAnsi="Times New Roman" w:eastAsia="宋体" w:cs="Times New Roman"/>
                <w:b w:val="0"/>
                <w:bCs w:val="0"/>
                <w:color w:val="000000"/>
                <w:sz w:val="24"/>
                <w:szCs w:val="24"/>
                <w:lang w:val="en-US" w:eastAsia="zh-CN"/>
              </w:rPr>
              <w:t>300</w:t>
            </w:r>
            <w:r>
              <w:rPr>
                <w:rFonts w:hint="default" w:ascii="Times New Roman" w:hAnsi="Times New Roman" w:eastAsia="宋体" w:cs="Times New Roman"/>
                <w:b w:val="0"/>
                <w:bCs w:val="0"/>
                <w:color w:val="000000"/>
                <w:sz w:val="24"/>
                <w:szCs w:val="24"/>
              </w:rPr>
              <w:t>天，</w:t>
            </w:r>
            <w:r>
              <w:rPr>
                <w:rFonts w:hint="eastAsia" w:ascii="Times New Roman" w:hAnsi="Times New Roman" w:eastAsia="宋体" w:cs="Times New Roman"/>
                <w:b w:val="0"/>
                <w:bCs w:val="0"/>
                <w:color w:val="000000"/>
                <w:sz w:val="24"/>
                <w:szCs w:val="24"/>
                <w:lang w:val="en-US" w:eastAsia="zh-CN"/>
              </w:rPr>
              <w:t>均不</w:t>
            </w:r>
            <w:r>
              <w:rPr>
                <w:rFonts w:hint="default" w:ascii="Times New Roman" w:hAnsi="Times New Roman" w:eastAsia="宋体" w:cs="Times New Roman"/>
                <w:b w:val="0"/>
                <w:bCs w:val="0"/>
                <w:color w:val="000000"/>
                <w:sz w:val="24"/>
                <w:szCs w:val="24"/>
              </w:rPr>
              <w:t>在厂内食宿，</w:t>
            </w:r>
            <w:r>
              <w:rPr>
                <w:rFonts w:hint="default" w:ascii="Times New Roman" w:hAnsi="Times New Roman" w:eastAsia="宋体" w:cs="Times New Roman"/>
                <w:b w:val="0"/>
                <w:bCs w:val="0"/>
                <w:iCs/>
                <w:color w:val="000000"/>
                <w:sz w:val="24"/>
                <w:szCs w:val="24"/>
              </w:rPr>
              <w:t>参考河南省《工业与城镇生活用水定额》（DB41/T385-20</w:t>
            </w:r>
            <w:r>
              <w:rPr>
                <w:rFonts w:hint="default" w:ascii="Times New Roman" w:hAnsi="Times New Roman" w:eastAsia="宋体" w:cs="Times New Roman"/>
                <w:b w:val="0"/>
                <w:bCs w:val="0"/>
                <w:iCs/>
                <w:color w:val="000000"/>
                <w:sz w:val="24"/>
                <w:szCs w:val="24"/>
                <w:lang w:val="en-US" w:eastAsia="zh-CN"/>
              </w:rPr>
              <w:t>20</w:t>
            </w:r>
            <w:r>
              <w:rPr>
                <w:rFonts w:hint="default" w:ascii="Times New Roman" w:hAnsi="Times New Roman" w:eastAsia="宋体" w:cs="Times New Roman"/>
                <w:b w:val="0"/>
                <w:bCs w:val="0"/>
                <w:iCs/>
                <w:color w:val="000000"/>
                <w:sz w:val="24"/>
                <w:szCs w:val="24"/>
              </w:rPr>
              <w:t>），</w:t>
            </w:r>
            <w:r>
              <w:rPr>
                <w:rFonts w:hint="eastAsia" w:ascii="Times New Roman" w:hAnsi="Times New Roman" w:eastAsia="宋体" w:cs="Times New Roman"/>
                <w:b w:val="0"/>
                <w:bCs w:val="0"/>
                <w:iCs/>
                <w:color w:val="000000"/>
                <w:sz w:val="24"/>
                <w:szCs w:val="24"/>
                <w:lang w:val="en-US" w:eastAsia="zh-CN"/>
              </w:rPr>
              <w:t>员工</w:t>
            </w:r>
            <w:r>
              <w:rPr>
                <w:rFonts w:hint="default" w:ascii="Times New Roman" w:hAnsi="Times New Roman" w:eastAsia="宋体" w:cs="Times New Roman"/>
                <w:b w:val="0"/>
                <w:bCs w:val="0"/>
                <w:iCs/>
                <w:color w:val="000000"/>
                <w:sz w:val="24"/>
                <w:szCs w:val="24"/>
              </w:rPr>
              <w:t>生活用水量按</w:t>
            </w:r>
            <w:r>
              <w:rPr>
                <w:rFonts w:hint="eastAsia" w:ascii="Times New Roman" w:hAnsi="Times New Roman" w:eastAsia="宋体" w:cs="Times New Roman"/>
                <w:b w:val="0"/>
                <w:bCs w:val="0"/>
                <w:iCs/>
                <w:color w:val="000000"/>
                <w:sz w:val="24"/>
                <w:szCs w:val="24"/>
                <w:lang w:val="en-US" w:eastAsia="zh-CN"/>
              </w:rPr>
              <w:t>40</w:t>
            </w:r>
            <w:r>
              <w:rPr>
                <w:rFonts w:hint="default" w:ascii="Times New Roman" w:hAnsi="Times New Roman" w:eastAsia="宋体" w:cs="Times New Roman"/>
                <w:b w:val="0"/>
                <w:bCs w:val="0"/>
                <w:iCs/>
                <w:color w:val="000000"/>
                <w:sz w:val="24"/>
                <w:szCs w:val="24"/>
              </w:rPr>
              <w:t xml:space="preserve"> L/（人·d）计，</w:t>
            </w:r>
            <w:r>
              <w:rPr>
                <w:rFonts w:hint="default" w:ascii="Times New Roman" w:hAnsi="Times New Roman" w:eastAsia="宋体" w:cs="Times New Roman"/>
                <w:b w:val="0"/>
                <w:bCs w:val="0"/>
                <w:color w:val="000000"/>
                <w:sz w:val="24"/>
                <w:szCs w:val="24"/>
              </w:rPr>
              <w:t>项目生活用水为</w:t>
            </w:r>
            <w:r>
              <w:rPr>
                <w:rFonts w:hint="eastAsia" w:cs="Times New Roman"/>
                <w:b w:val="0"/>
                <w:bCs w:val="0"/>
                <w:color w:val="000000"/>
                <w:sz w:val="24"/>
                <w:szCs w:val="24"/>
                <w:lang w:val="en-US" w:eastAsia="zh-CN"/>
              </w:rPr>
              <w:t>1200</w:t>
            </w:r>
            <w:r>
              <w:rPr>
                <w:rFonts w:hint="default" w:ascii="Times New Roman" w:hAnsi="Times New Roman" w:eastAsia="宋体" w:cs="Times New Roman"/>
                <w:b w:val="0"/>
                <w:bCs w:val="0"/>
                <w:color w:val="000000"/>
                <w:sz w:val="24"/>
                <w:szCs w:val="24"/>
              </w:rPr>
              <w:t>m</w:t>
            </w:r>
            <w:r>
              <w:rPr>
                <w:rFonts w:hint="default" w:ascii="Times New Roman" w:hAnsi="Times New Roman" w:eastAsia="宋体" w:cs="Times New Roman"/>
                <w:b w:val="0"/>
                <w:bCs w:val="0"/>
                <w:color w:val="000000"/>
                <w:sz w:val="24"/>
                <w:szCs w:val="24"/>
                <w:vertAlign w:val="superscript"/>
              </w:rPr>
              <w:t>3</w:t>
            </w:r>
            <w:r>
              <w:rPr>
                <w:rFonts w:hint="default" w:ascii="Times New Roman" w:hAnsi="Times New Roman" w:eastAsia="宋体" w:cs="Times New Roman"/>
                <w:b w:val="0"/>
                <w:bCs w:val="0"/>
                <w:color w:val="000000"/>
                <w:sz w:val="24"/>
                <w:szCs w:val="24"/>
              </w:rPr>
              <w:t>/a（</w:t>
            </w:r>
            <w:r>
              <w:rPr>
                <w:rFonts w:hint="eastAsia" w:cs="Times New Roman"/>
                <w:b w:val="0"/>
                <w:bCs w:val="0"/>
                <w:color w:val="000000"/>
                <w:sz w:val="24"/>
                <w:szCs w:val="24"/>
                <w:lang w:val="en-US" w:eastAsia="zh-CN"/>
              </w:rPr>
              <w:t>4</w:t>
            </w:r>
            <w:r>
              <w:rPr>
                <w:rFonts w:hint="default" w:ascii="Times New Roman" w:hAnsi="Times New Roman" w:eastAsia="宋体" w:cs="Times New Roman"/>
                <w:b w:val="0"/>
                <w:bCs w:val="0"/>
                <w:color w:val="000000"/>
                <w:sz w:val="24"/>
                <w:szCs w:val="24"/>
              </w:rPr>
              <w:t>m</w:t>
            </w:r>
            <w:r>
              <w:rPr>
                <w:rFonts w:hint="default" w:ascii="Times New Roman" w:hAnsi="Times New Roman" w:eastAsia="宋体" w:cs="Times New Roman"/>
                <w:b w:val="0"/>
                <w:bCs w:val="0"/>
                <w:color w:val="000000"/>
                <w:sz w:val="24"/>
                <w:szCs w:val="24"/>
                <w:vertAlign w:val="superscript"/>
              </w:rPr>
              <w:t>3</w:t>
            </w:r>
            <w:r>
              <w:rPr>
                <w:rFonts w:hint="default" w:ascii="Times New Roman" w:hAnsi="Times New Roman" w:eastAsia="宋体" w:cs="Times New Roman"/>
                <w:b w:val="0"/>
                <w:bCs w:val="0"/>
                <w:color w:val="000000"/>
                <w:sz w:val="24"/>
                <w:szCs w:val="24"/>
              </w:rPr>
              <w:t>/d）</w:t>
            </w:r>
            <w:r>
              <w:rPr>
                <w:rFonts w:hint="default" w:ascii="Times New Roman" w:hAnsi="Times New Roman" w:eastAsia="宋体" w:cs="Times New Roman"/>
                <w:b w:val="0"/>
                <w:bCs w:val="0"/>
                <w:color w:val="000000"/>
                <w:sz w:val="24"/>
                <w:szCs w:val="24"/>
                <w:lang w:eastAsia="zh-CN"/>
              </w:rPr>
              <w:t>。</w:t>
            </w:r>
          </w:p>
          <w:p w14:paraId="39EC9C7B">
            <w:pPr>
              <w:keepNext w:val="0"/>
              <w:keepLines w:val="0"/>
              <w:pageBreakBefore w:val="0"/>
              <w:widowControl w:val="0"/>
              <w:numPr>
                <w:ilvl w:val="0"/>
                <w:numId w:val="4"/>
              </w:numPr>
              <w:kinsoku/>
              <w:wordWrap/>
              <w:overflowPunct/>
              <w:topLinePunct w:val="0"/>
              <w:bidi w:val="0"/>
              <w:adjustRightInd w:val="0"/>
              <w:snapToGrid w:val="0"/>
              <w:spacing w:line="348" w:lineRule="auto"/>
              <w:ind w:firstLine="482" w:firstLineChars="200"/>
              <w:jc w:val="left"/>
              <w:textAlignment w:val="auto"/>
              <w:rPr>
                <w:rFonts w:hint="eastAsia" w:ascii="Times New Roman" w:hAnsi="Times New Roman" w:cs="Times New Roman"/>
                <w:b/>
                <w:bCs/>
                <w:color w:val="000000"/>
                <w:sz w:val="24"/>
                <w:szCs w:val="24"/>
                <w:u w:val="single" w:color="auto"/>
                <w:lang w:val="en-US" w:eastAsia="zh-CN"/>
              </w:rPr>
            </w:pPr>
            <w:r>
              <w:rPr>
                <w:rFonts w:hint="eastAsia" w:ascii="Times New Roman" w:hAnsi="Times New Roman" w:cs="Times New Roman"/>
                <w:b/>
                <w:bCs/>
                <w:color w:val="000000"/>
                <w:sz w:val="24"/>
                <w:szCs w:val="24"/>
                <w:u w:val="single" w:color="auto"/>
                <w:lang w:val="en-US" w:eastAsia="zh-CN"/>
              </w:rPr>
              <w:t>生产用水</w:t>
            </w:r>
          </w:p>
          <w:p w14:paraId="59D1572C">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82" w:firstLineChars="20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 xml:space="preserve">玻璃原片清洗水 </w:t>
            </w:r>
          </w:p>
          <w:p w14:paraId="2C16337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 xml:space="preserve">玻璃在进入加工前，需对玻璃表面进行清洗，以洗去玻璃表面的灰尘等杂质，该冲洗水不添加任何洗涤剂。 </w:t>
            </w:r>
          </w:p>
          <w:p w14:paraId="56F52AA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根据建设单位提供资料，玻璃清水洗水用量为</w:t>
            </w:r>
            <w:r>
              <w:rPr>
                <w:rFonts w:hint="eastAsia" w:cs="Times New Roman"/>
                <w:b/>
                <w:bCs/>
                <w:color w:val="auto"/>
                <w:sz w:val="24"/>
                <w:szCs w:val="24"/>
                <w:highlight w:val="none"/>
                <w:u w:val="single" w:color="auto"/>
                <w:lang w:val="en-US" w:eastAsia="zh-CN"/>
              </w:rPr>
              <w:t>1</w:t>
            </w:r>
            <w:r>
              <w:rPr>
                <w:rFonts w:hint="eastAsia" w:ascii="Times New Roman" w:hAnsi="Times New Roman" w:eastAsia="宋体" w:cs="Times New Roman"/>
                <w:b/>
                <w:bCs/>
                <w:color w:val="auto"/>
                <w:sz w:val="24"/>
                <w:szCs w:val="24"/>
                <w:highlight w:val="none"/>
                <w:u w:val="single" w:color="auto"/>
                <w:lang w:val="en-US" w:eastAsia="zh-CN"/>
              </w:rPr>
              <w:t>5m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/d，循环使用，玻璃清洗设备设有循环水箱，由于循环过程中会有蒸发等损耗，需定期补充新水</w:t>
            </w:r>
            <w:r>
              <w:rPr>
                <w:rFonts w:hint="eastAsia" w:cs="Times New Roman"/>
                <w:b/>
                <w:bCs/>
                <w:color w:val="auto"/>
                <w:sz w:val="24"/>
                <w:szCs w:val="24"/>
                <w:highlight w:val="none"/>
                <w:u w:val="single" w:color="auto"/>
                <w:lang w:val="en-US" w:eastAsia="zh-CN"/>
              </w:rPr>
              <w:t>（补充水包含自来水和玻璃清洗回用的纯水）</w:t>
            </w:r>
            <w:r>
              <w:rPr>
                <w:rFonts w:hint="eastAsia" w:ascii="Times New Roman" w:hAnsi="Times New Roman" w:eastAsia="宋体" w:cs="Times New Roman"/>
                <w:b/>
                <w:bCs/>
                <w:color w:val="auto"/>
                <w:sz w:val="24"/>
                <w:szCs w:val="24"/>
                <w:highlight w:val="none"/>
                <w:u w:val="single" w:color="auto"/>
                <w:lang w:val="en-US" w:eastAsia="zh-CN"/>
              </w:rPr>
              <w:t>，损耗量按</w:t>
            </w:r>
            <w:r>
              <w:rPr>
                <w:rFonts w:hint="eastAsia" w:cs="Times New Roman"/>
                <w:b/>
                <w:bCs/>
                <w:color w:val="auto"/>
                <w:sz w:val="24"/>
                <w:szCs w:val="24"/>
                <w:highlight w:val="none"/>
                <w:u w:val="single" w:color="auto"/>
                <w:lang w:val="en-US" w:eastAsia="zh-CN"/>
              </w:rPr>
              <w:t>2</w:t>
            </w:r>
            <w:r>
              <w:rPr>
                <w:rFonts w:hint="eastAsia" w:ascii="Times New Roman" w:hAnsi="Times New Roman" w:eastAsia="宋体" w:cs="Times New Roman"/>
                <w:b/>
                <w:bCs/>
                <w:color w:val="auto"/>
                <w:sz w:val="24"/>
                <w:szCs w:val="24"/>
                <w:highlight w:val="none"/>
                <w:u w:val="single" w:color="auto"/>
                <w:lang w:val="en-US" w:eastAsia="zh-CN"/>
              </w:rPr>
              <w:t xml:space="preserve">0%计， 则每天补充水量约为 </w:t>
            </w:r>
            <w:r>
              <w:rPr>
                <w:rFonts w:hint="eastAsia" w:cs="Times New Roman"/>
                <w:b/>
                <w:bCs/>
                <w:color w:val="auto"/>
                <w:sz w:val="24"/>
                <w:szCs w:val="24"/>
                <w:highlight w:val="none"/>
                <w:u w:val="single" w:color="auto"/>
                <w:lang w:val="en-US" w:eastAsia="zh-CN"/>
              </w:rPr>
              <w:t>3.0</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/d ，即</w:t>
            </w:r>
            <w:r>
              <w:rPr>
                <w:rFonts w:hint="eastAsia" w:cs="Times New Roman"/>
                <w:b/>
                <w:bCs/>
                <w:color w:val="auto"/>
                <w:sz w:val="24"/>
                <w:szCs w:val="24"/>
                <w:highlight w:val="none"/>
                <w:u w:val="single" w:color="auto"/>
                <w:lang w:val="en-US" w:eastAsia="zh-CN"/>
              </w:rPr>
              <w:t>90</w:t>
            </w:r>
            <w:r>
              <w:rPr>
                <w:rFonts w:hint="eastAsia" w:ascii="Times New Roman" w:hAnsi="Times New Roman" w:eastAsia="宋体" w:cs="Times New Roman"/>
                <w:b/>
                <w:bCs/>
                <w:color w:val="auto"/>
                <w:sz w:val="24"/>
                <w:szCs w:val="24"/>
                <w:highlight w:val="none"/>
                <w:u w:val="single" w:color="auto"/>
                <w:lang w:val="en-US" w:eastAsia="zh-CN"/>
              </w:rPr>
              <w:t>0 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/a 。 </w:t>
            </w:r>
          </w:p>
          <w:p w14:paraId="2922E1B0">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00" w:firstLineChars="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 xml:space="preserve">纯水制备用水 </w:t>
            </w:r>
          </w:p>
          <w:p w14:paraId="7875CF6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本项目</w:t>
            </w:r>
            <w:r>
              <w:rPr>
                <w:rFonts w:hint="eastAsia" w:cs="Times New Roman"/>
                <w:b/>
                <w:bCs/>
                <w:color w:val="auto"/>
                <w:sz w:val="24"/>
                <w:szCs w:val="24"/>
                <w:highlight w:val="none"/>
                <w:u w:val="single" w:color="auto"/>
                <w:lang w:val="en-US" w:eastAsia="zh-CN"/>
              </w:rPr>
              <w:t>镀膜工序及</w:t>
            </w:r>
            <w:r>
              <w:rPr>
                <w:rFonts w:hint="eastAsia" w:ascii="Times New Roman" w:hAnsi="Times New Roman" w:eastAsia="宋体" w:cs="Times New Roman"/>
                <w:b/>
                <w:bCs/>
                <w:color w:val="auto"/>
                <w:sz w:val="24"/>
                <w:szCs w:val="24"/>
                <w:highlight w:val="none"/>
                <w:u w:val="single" w:color="auto"/>
                <w:lang w:val="en-US" w:eastAsia="zh-CN"/>
              </w:rPr>
              <w:t>夹胶</w:t>
            </w:r>
            <w:r>
              <w:rPr>
                <w:rFonts w:hint="eastAsia" w:cs="Times New Roman"/>
                <w:b/>
                <w:bCs/>
                <w:color w:val="auto"/>
                <w:sz w:val="24"/>
                <w:szCs w:val="24"/>
                <w:highlight w:val="none"/>
                <w:u w:val="single" w:color="auto"/>
                <w:lang w:val="en-US" w:eastAsia="zh-CN"/>
              </w:rPr>
              <w:t>、中空</w:t>
            </w:r>
            <w:r>
              <w:rPr>
                <w:rFonts w:hint="eastAsia" w:ascii="Times New Roman" w:hAnsi="Times New Roman" w:eastAsia="宋体" w:cs="Times New Roman"/>
                <w:b/>
                <w:bCs/>
                <w:color w:val="auto"/>
                <w:sz w:val="24"/>
                <w:szCs w:val="24"/>
                <w:highlight w:val="none"/>
                <w:u w:val="single" w:color="auto"/>
                <w:lang w:val="en-US" w:eastAsia="zh-CN"/>
              </w:rPr>
              <w:t>工序前需用纯水</w:t>
            </w:r>
            <w:r>
              <w:rPr>
                <w:rFonts w:hint="eastAsia" w:cs="Times New Roman"/>
                <w:b/>
                <w:bCs/>
                <w:color w:val="auto"/>
                <w:sz w:val="24"/>
                <w:szCs w:val="24"/>
                <w:highlight w:val="none"/>
                <w:u w:val="single" w:color="auto"/>
                <w:lang w:val="en-US" w:eastAsia="zh-CN"/>
              </w:rPr>
              <w:t>再次</w:t>
            </w:r>
            <w:r>
              <w:rPr>
                <w:rFonts w:hint="eastAsia" w:ascii="Times New Roman" w:hAnsi="Times New Roman" w:eastAsia="宋体" w:cs="Times New Roman"/>
                <w:b/>
                <w:bCs/>
                <w:color w:val="auto"/>
                <w:sz w:val="24"/>
                <w:szCs w:val="24"/>
                <w:highlight w:val="none"/>
                <w:u w:val="single" w:color="auto"/>
                <w:lang w:val="en-US" w:eastAsia="zh-CN"/>
              </w:rPr>
              <w:t>对玻璃进行清洗，根据建设单位提供资料，本项目运营期需要纯水</w:t>
            </w:r>
            <w:r>
              <w:rPr>
                <w:rFonts w:hint="eastAsia" w:cs="Times New Roman"/>
                <w:b/>
                <w:bCs/>
                <w:color w:val="auto"/>
                <w:sz w:val="24"/>
                <w:szCs w:val="24"/>
                <w:highlight w:val="none"/>
                <w:u w:val="single" w:color="auto"/>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/d、</w:t>
            </w:r>
            <w:r>
              <w:rPr>
                <w:rFonts w:hint="eastAsia" w:cs="Times New Roman"/>
                <w:b/>
                <w:bCs/>
                <w:color w:val="auto"/>
                <w:sz w:val="24"/>
                <w:szCs w:val="24"/>
                <w:highlight w:val="none"/>
                <w:u w:val="single" w:color="auto"/>
                <w:lang w:val="en-US" w:eastAsia="zh-CN"/>
              </w:rPr>
              <w:t>9</w:t>
            </w:r>
            <w:r>
              <w:rPr>
                <w:rFonts w:hint="eastAsia" w:ascii="Times New Roman" w:hAnsi="Times New Roman" w:eastAsia="宋体" w:cs="Times New Roman"/>
                <w:b/>
                <w:bCs/>
                <w:color w:val="auto"/>
                <w:sz w:val="24"/>
                <w:szCs w:val="24"/>
                <w:highlight w:val="none"/>
                <w:u w:val="single" w:color="auto"/>
                <w:lang w:val="en-US" w:eastAsia="zh-CN"/>
              </w:rPr>
              <w:t>00m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/a。本项目拟设置一套反渗透纯水制备设备，每制备</w:t>
            </w:r>
            <w:r>
              <w:rPr>
                <w:rFonts w:hint="eastAsia" w:cs="Times New Roman"/>
                <w:b/>
                <w:bCs/>
                <w:color w:val="auto"/>
                <w:sz w:val="24"/>
                <w:szCs w:val="24"/>
                <w:highlight w:val="none"/>
                <w:u w:val="single" w:color="auto"/>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的纯水需要自来水</w:t>
            </w:r>
            <w:r>
              <w:rPr>
                <w:rFonts w:hint="eastAsia" w:cs="Times New Roman"/>
                <w:b/>
                <w:bCs/>
                <w:color w:val="auto"/>
                <w:sz w:val="24"/>
                <w:szCs w:val="24"/>
                <w:highlight w:val="none"/>
                <w:u w:val="single" w:color="auto"/>
                <w:lang w:val="en-US" w:eastAsia="zh-CN"/>
              </w:rPr>
              <w:t>4.2</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，产生浓水</w:t>
            </w:r>
            <w:r>
              <w:rPr>
                <w:rFonts w:hint="eastAsia" w:cs="Times New Roman"/>
                <w:b/>
                <w:bCs/>
                <w:color w:val="auto"/>
                <w:sz w:val="24"/>
                <w:szCs w:val="24"/>
                <w:highlight w:val="none"/>
                <w:u w:val="single" w:color="auto"/>
                <w:lang w:val="en-US" w:eastAsia="zh-CN"/>
              </w:rPr>
              <w:t>1.2</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。则本项目运营期需要自来水量</w:t>
            </w:r>
            <w:r>
              <w:rPr>
                <w:rFonts w:hint="eastAsia" w:cs="Times New Roman"/>
                <w:b/>
                <w:bCs/>
                <w:color w:val="auto"/>
                <w:sz w:val="24"/>
                <w:szCs w:val="24"/>
                <w:highlight w:val="none"/>
                <w:u w:val="single" w:color="auto"/>
                <w:lang w:val="en-US" w:eastAsia="zh-CN"/>
              </w:rPr>
              <w:t>4.2</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/d，</w:t>
            </w:r>
            <w:r>
              <w:rPr>
                <w:rFonts w:hint="eastAsia" w:cs="Times New Roman"/>
                <w:b/>
                <w:bCs/>
                <w:color w:val="auto"/>
                <w:sz w:val="24"/>
                <w:szCs w:val="24"/>
                <w:highlight w:val="none"/>
                <w:u w:val="single" w:color="auto"/>
                <w:lang w:val="en-US" w:eastAsia="zh-CN"/>
              </w:rPr>
              <w:t>126</w:t>
            </w:r>
            <w:r>
              <w:rPr>
                <w:rFonts w:hint="eastAsia" w:ascii="Times New Roman" w:hAnsi="Times New Roman" w:eastAsia="宋体" w:cs="Times New Roman"/>
                <w:b/>
                <w:bCs/>
                <w:color w:val="auto"/>
                <w:sz w:val="24"/>
                <w:szCs w:val="24"/>
                <w:highlight w:val="none"/>
                <w:u w:val="single" w:color="auto"/>
                <w:lang w:val="en-US" w:eastAsia="zh-CN"/>
              </w:rPr>
              <w:t>0m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/a。 </w:t>
            </w:r>
          </w:p>
          <w:p w14:paraId="053824E8">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00" w:firstLineChars="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 xml:space="preserve">磨边冲洗用水 </w:t>
            </w:r>
          </w:p>
          <w:p w14:paraId="429DADD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根据建设单位提供资料，本项目玻璃磨边冲洗用水量为</w:t>
            </w:r>
            <w:r>
              <w:rPr>
                <w:rFonts w:hint="eastAsia" w:cs="Times New Roman"/>
                <w:b/>
                <w:bCs/>
                <w:color w:val="auto"/>
                <w:sz w:val="24"/>
                <w:szCs w:val="24"/>
                <w:highlight w:val="none"/>
                <w:u w:val="single" w:color="auto"/>
                <w:lang w:val="en-US" w:eastAsia="zh-CN"/>
              </w:rPr>
              <w:t>6</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 xml:space="preserve">3 </w:t>
            </w:r>
            <w:r>
              <w:rPr>
                <w:rFonts w:hint="eastAsia" w:ascii="Times New Roman" w:hAnsi="Times New Roman" w:eastAsia="宋体" w:cs="Times New Roman"/>
                <w:b/>
                <w:bCs/>
                <w:color w:val="auto"/>
                <w:sz w:val="24"/>
                <w:szCs w:val="24"/>
                <w:highlight w:val="none"/>
                <w:u w:val="single" w:color="auto"/>
                <w:lang w:val="en-US" w:eastAsia="zh-CN"/>
              </w:rPr>
              <w:t>/d，即</w:t>
            </w:r>
            <w:r>
              <w:rPr>
                <w:rFonts w:hint="eastAsia" w:cs="Times New Roman"/>
                <w:b/>
                <w:bCs/>
                <w:color w:val="auto"/>
                <w:sz w:val="24"/>
                <w:szCs w:val="24"/>
                <w:highlight w:val="none"/>
                <w:u w:val="single" w:color="auto"/>
                <w:lang w:val="en-US" w:eastAsia="zh-CN"/>
              </w:rPr>
              <w:t>18</w:t>
            </w:r>
            <w:r>
              <w:rPr>
                <w:rFonts w:hint="eastAsia" w:ascii="Times New Roman" w:hAnsi="Times New Roman" w:eastAsia="宋体" w:cs="Times New Roman"/>
                <w:b/>
                <w:bCs/>
                <w:color w:val="auto"/>
                <w:sz w:val="24"/>
                <w:szCs w:val="24"/>
                <w:highlight w:val="none"/>
                <w:u w:val="single" w:color="auto"/>
                <w:lang w:val="en-US" w:eastAsia="zh-CN"/>
              </w:rPr>
              <w:t>00m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/a</w:t>
            </w:r>
            <w:r>
              <w:rPr>
                <w:rFonts w:hint="eastAsia" w:cs="Times New Roman"/>
                <w:b/>
                <w:bCs/>
                <w:color w:val="auto"/>
                <w:sz w:val="24"/>
                <w:szCs w:val="24"/>
                <w:highlight w:val="none"/>
                <w:u w:val="single" w:color="auto"/>
                <w:lang w:val="en-US" w:eastAsia="zh-CN"/>
              </w:rPr>
              <w:t>，该冲洗水为自来水，部分水循环使用，定期补充损失量，损失量按20%计，新增补充量为1.2</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 xml:space="preserve">3 </w:t>
            </w:r>
            <w:r>
              <w:rPr>
                <w:rFonts w:hint="eastAsia" w:ascii="Times New Roman" w:hAnsi="Times New Roman" w:eastAsia="宋体" w:cs="Times New Roman"/>
                <w:b/>
                <w:bCs/>
                <w:color w:val="auto"/>
                <w:sz w:val="24"/>
                <w:szCs w:val="24"/>
                <w:highlight w:val="none"/>
                <w:u w:val="single" w:color="auto"/>
                <w:lang w:val="en-US" w:eastAsia="zh-CN"/>
              </w:rPr>
              <w:t>/d，即</w:t>
            </w:r>
            <w:r>
              <w:rPr>
                <w:rFonts w:hint="eastAsia" w:cs="Times New Roman"/>
                <w:b/>
                <w:bCs/>
                <w:color w:val="auto"/>
                <w:sz w:val="24"/>
                <w:szCs w:val="24"/>
                <w:highlight w:val="none"/>
                <w:u w:val="single" w:color="auto"/>
                <w:lang w:val="en-US" w:eastAsia="zh-CN"/>
              </w:rPr>
              <w:t>360</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/a。</w:t>
            </w:r>
          </w:p>
          <w:p w14:paraId="71552200">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00" w:firstLineChars="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设备冷却水</w:t>
            </w:r>
          </w:p>
          <w:p w14:paraId="5854526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bCs/>
                <w:color w:val="auto"/>
                <w:sz w:val="24"/>
                <w:szCs w:val="24"/>
                <w:highlight w:val="none"/>
                <w:u w:val="single" w:color="auto"/>
                <w:lang w:val="en-US" w:eastAsia="zh-CN"/>
              </w:rPr>
            </w:pPr>
            <w:r>
              <w:rPr>
                <w:rFonts w:hint="eastAsia" w:ascii="Times New Roman" w:hAnsi="Times New Roman" w:eastAsia="宋体" w:cs="Times New Roman"/>
                <w:b/>
                <w:bCs/>
                <w:color w:val="auto"/>
                <w:sz w:val="24"/>
                <w:szCs w:val="24"/>
                <w:highlight w:val="none"/>
                <w:u w:val="single" w:color="auto"/>
                <w:lang w:val="en-US" w:eastAsia="zh-CN"/>
              </w:rPr>
              <w:t>根据建设单位提供资料，本项目设备冷却用水量为5m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/d、1500m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/a，此部分水循环使用，定期补充损失量，</w:t>
            </w:r>
            <w:r>
              <w:rPr>
                <w:rFonts w:hint="eastAsia" w:cs="Times New Roman"/>
                <w:b/>
                <w:bCs/>
                <w:color w:val="auto"/>
                <w:sz w:val="24"/>
                <w:szCs w:val="24"/>
                <w:highlight w:val="none"/>
                <w:u w:val="single" w:color="auto"/>
                <w:lang w:val="en-US" w:eastAsia="zh-CN"/>
              </w:rPr>
              <w:t>损失量按10%计，</w:t>
            </w:r>
            <w:r>
              <w:rPr>
                <w:rFonts w:hint="eastAsia" w:ascii="Times New Roman" w:hAnsi="Times New Roman" w:eastAsia="宋体" w:cs="Times New Roman"/>
                <w:b/>
                <w:bCs/>
                <w:color w:val="auto"/>
                <w:sz w:val="24"/>
                <w:szCs w:val="24"/>
                <w:highlight w:val="none"/>
                <w:u w:val="single" w:color="auto"/>
                <w:lang w:val="en-US" w:eastAsia="zh-CN"/>
              </w:rPr>
              <w:t>新增补充量为 0.</w:t>
            </w:r>
            <w:r>
              <w:rPr>
                <w:rFonts w:hint="eastAsia" w:cs="Times New Roman"/>
                <w:b/>
                <w:bCs/>
                <w:color w:val="auto"/>
                <w:sz w:val="24"/>
                <w:szCs w:val="24"/>
                <w:highlight w:val="none"/>
                <w:u w:val="single" w:color="auto"/>
                <w:lang w:val="en-US" w:eastAsia="zh-CN"/>
              </w:rPr>
              <w:t>5</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/d、1</w:t>
            </w:r>
            <w:r>
              <w:rPr>
                <w:rFonts w:hint="eastAsia" w:cs="Times New Roman"/>
                <w:b/>
                <w:bCs/>
                <w:color w:val="auto"/>
                <w:sz w:val="24"/>
                <w:szCs w:val="24"/>
                <w:highlight w:val="none"/>
                <w:u w:val="single" w:color="auto"/>
                <w:lang w:val="en-US" w:eastAsia="zh-CN"/>
              </w:rPr>
              <w:t>5</w:t>
            </w:r>
            <w:r>
              <w:rPr>
                <w:rFonts w:hint="eastAsia" w:ascii="Times New Roman" w:hAnsi="Times New Roman" w:eastAsia="宋体" w:cs="Times New Roman"/>
                <w:b/>
                <w:bCs/>
                <w:color w:val="auto"/>
                <w:sz w:val="24"/>
                <w:szCs w:val="24"/>
                <w:highlight w:val="none"/>
                <w:u w:val="single" w:color="auto"/>
                <w:lang w:val="en-US" w:eastAsia="zh-CN"/>
              </w:rPr>
              <w:t>0m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 xml:space="preserve"> /a</w:t>
            </w:r>
            <w:r>
              <w:rPr>
                <w:rFonts w:hint="eastAsia" w:cs="Times New Roman"/>
                <w:b/>
                <w:bCs/>
                <w:color w:val="auto"/>
                <w:sz w:val="24"/>
                <w:szCs w:val="24"/>
                <w:highlight w:val="none"/>
                <w:u w:val="single" w:color="auto"/>
                <w:lang w:val="en-US" w:eastAsia="zh-CN"/>
              </w:rPr>
              <w:t>。</w:t>
            </w:r>
          </w:p>
          <w:p w14:paraId="527C65E0">
            <w:pPr>
              <w:numPr>
                <w:ilvl w:val="0"/>
                <w:numId w:val="0"/>
              </w:numPr>
              <w:adjustRightInd w:val="0"/>
              <w:snapToGrid w:val="0"/>
              <w:spacing w:line="360" w:lineRule="auto"/>
              <w:ind w:firstLine="482" w:firstLineChars="200"/>
              <w:jc w:val="left"/>
              <w:rPr>
                <w:rFonts w:hint="default" w:ascii="Times New Roman" w:hAnsi="Times New Roman" w:eastAsia="宋体" w:cs="Times New Roman"/>
                <w:b/>
                <w:bCs/>
                <w:snapToGrid w:val="0"/>
                <w:color w:val="000000"/>
                <w:kern w:val="0"/>
                <w:sz w:val="24"/>
                <w:szCs w:val="24"/>
                <w:u w:val="single" w:color="auto"/>
              </w:rPr>
            </w:pPr>
            <w:r>
              <w:rPr>
                <w:rFonts w:hint="default" w:ascii="Times New Roman" w:hAnsi="Times New Roman" w:eastAsia="宋体" w:cs="Times New Roman"/>
                <w:b/>
                <w:bCs/>
                <w:color w:val="000000"/>
                <w:sz w:val="24"/>
                <w:szCs w:val="24"/>
                <w:u w:val="single" w:color="auto"/>
              </w:rPr>
              <w:t>（</w:t>
            </w:r>
            <w:r>
              <w:rPr>
                <w:rFonts w:hint="eastAsia" w:ascii="Times New Roman" w:hAnsi="Times New Roman" w:eastAsia="宋体" w:cs="Times New Roman"/>
                <w:b/>
                <w:bCs/>
                <w:color w:val="000000"/>
                <w:sz w:val="24"/>
                <w:szCs w:val="24"/>
                <w:u w:val="single" w:color="auto"/>
                <w:lang w:val="en-US" w:eastAsia="zh-CN"/>
              </w:rPr>
              <w:t>2</w:t>
            </w:r>
            <w:r>
              <w:rPr>
                <w:rFonts w:hint="default" w:ascii="Times New Roman" w:hAnsi="Times New Roman" w:eastAsia="宋体" w:cs="Times New Roman"/>
                <w:b/>
                <w:bCs/>
                <w:color w:val="000000"/>
                <w:sz w:val="24"/>
                <w:szCs w:val="24"/>
                <w:u w:val="single" w:color="auto"/>
              </w:rPr>
              <w:t>）</w:t>
            </w:r>
            <w:r>
              <w:rPr>
                <w:rFonts w:hint="default" w:ascii="Times New Roman" w:hAnsi="Times New Roman" w:eastAsia="宋体" w:cs="Times New Roman"/>
                <w:b/>
                <w:bCs/>
                <w:snapToGrid w:val="0"/>
                <w:color w:val="000000"/>
                <w:kern w:val="0"/>
                <w:sz w:val="24"/>
                <w:szCs w:val="24"/>
                <w:u w:val="single" w:color="auto"/>
              </w:rPr>
              <w:t>排水工程</w:t>
            </w:r>
          </w:p>
          <w:p w14:paraId="6979D42B">
            <w:pPr>
              <w:keepNext w:val="0"/>
              <w:keepLines w:val="0"/>
              <w:widowControl/>
              <w:suppressLineNumbers w:val="0"/>
              <w:spacing w:line="360" w:lineRule="auto"/>
              <w:ind w:firstLine="482" w:firstLineChars="200"/>
              <w:jc w:val="left"/>
              <w:rPr>
                <w:rFonts w:hint="default" w:ascii="宋体" w:hAnsi="宋体" w:eastAsia="宋体" w:cs="宋体"/>
                <w:b/>
                <w:bCs/>
                <w:color w:val="000000"/>
                <w:kern w:val="0"/>
                <w:sz w:val="24"/>
                <w:szCs w:val="24"/>
                <w:u w:val="single" w:color="auto"/>
                <w:lang w:val="en-US" w:eastAsia="zh-CN" w:bidi="ar"/>
              </w:rPr>
            </w:pPr>
            <w:r>
              <w:rPr>
                <w:rFonts w:hint="eastAsia" w:ascii="宋体" w:hAnsi="宋体" w:cs="宋体"/>
                <w:b/>
                <w:bCs/>
                <w:color w:val="000000"/>
                <w:kern w:val="0"/>
                <w:sz w:val="24"/>
                <w:szCs w:val="24"/>
                <w:u w:val="single" w:color="auto"/>
                <w:lang w:val="en-US" w:eastAsia="zh-CN" w:bidi="ar"/>
              </w:rPr>
              <w:t>本项目废水主要为生活污水和生产废水，其中生产废水包括玻璃原片清洗废水，镀</w:t>
            </w:r>
            <w:r>
              <w:rPr>
                <w:rFonts w:hint="eastAsia" w:cs="Times New Roman"/>
                <w:b/>
                <w:bCs/>
                <w:color w:val="auto"/>
                <w:sz w:val="24"/>
                <w:szCs w:val="24"/>
                <w:highlight w:val="none"/>
                <w:u w:val="single" w:color="auto"/>
                <w:lang w:val="en-US" w:eastAsia="zh-CN"/>
              </w:rPr>
              <w:t>膜及</w:t>
            </w:r>
            <w:r>
              <w:rPr>
                <w:rFonts w:hint="eastAsia" w:ascii="Times New Roman" w:hAnsi="Times New Roman" w:eastAsia="宋体" w:cs="Times New Roman"/>
                <w:b/>
                <w:bCs/>
                <w:color w:val="auto"/>
                <w:sz w:val="24"/>
                <w:szCs w:val="24"/>
                <w:highlight w:val="none"/>
                <w:u w:val="single" w:color="auto"/>
                <w:lang w:val="en-US" w:eastAsia="zh-CN"/>
              </w:rPr>
              <w:t>夹胶</w:t>
            </w:r>
            <w:r>
              <w:rPr>
                <w:rFonts w:hint="eastAsia" w:cs="Times New Roman"/>
                <w:b/>
                <w:bCs/>
                <w:color w:val="auto"/>
                <w:sz w:val="24"/>
                <w:szCs w:val="24"/>
                <w:highlight w:val="none"/>
                <w:u w:val="single" w:color="auto"/>
                <w:lang w:val="en-US" w:eastAsia="zh-CN"/>
              </w:rPr>
              <w:t>、中空</w:t>
            </w:r>
            <w:r>
              <w:rPr>
                <w:rFonts w:hint="eastAsia" w:ascii="Times New Roman" w:hAnsi="Times New Roman" w:eastAsia="宋体" w:cs="Times New Roman"/>
                <w:b/>
                <w:bCs/>
                <w:color w:val="auto"/>
                <w:sz w:val="24"/>
                <w:szCs w:val="24"/>
                <w:highlight w:val="none"/>
                <w:u w:val="single" w:color="auto"/>
                <w:lang w:val="en-US" w:eastAsia="zh-CN"/>
              </w:rPr>
              <w:t>工序对应</w:t>
            </w:r>
            <w:r>
              <w:rPr>
                <w:rFonts w:hint="eastAsia" w:ascii="宋体" w:hAnsi="宋体" w:eastAsia="宋体" w:cs="宋体"/>
                <w:b/>
                <w:bCs/>
                <w:color w:val="000000"/>
                <w:kern w:val="0"/>
                <w:sz w:val="24"/>
                <w:szCs w:val="24"/>
                <w:u w:val="single" w:color="auto"/>
                <w:lang w:val="en-US" w:eastAsia="zh-CN" w:bidi="ar"/>
              </w:rPr>
              <w:t>玻璃清洗废水</w:t>
            </w:r>
            <w:r>
              <w:rPr>
                <w:rFonts w:hint="eastAsia" w:ascii="宋体" w:hAnsi="宋体" w:cs="宋体"/>
                <w:b/>
                <w:bCs/>
                <w:color w:val="000000"/>
                <w:kern w:val="0"/>
                <w:sz w:val="24"/>
                <w:szCs w:val="24"/>
                <w:u w:val="single" w:color="auto"/>
                <w:lang w:val="en-US" w:eastAsia="zh-CN" w:bidi="ar"/>
              </w:rPr>
              <w:t>，</w:t>
            </w:r>
            <w:r>
              <w:rPr>
                <w:rFonts w:hint="eastAsia" w:ascii="宋体" w:hAnsi="宋体" w:eastAsia="宋体" w:cs="宋体"/>
                <w:b/>
                <w:bCs/>
                <w:color w:val="000000"/>
                <w:kern w:val="0"/>
                <w:sz w:val="24"/>
                <w:szCs w:val="24"/>
                <w:u w:val="single" w:color="auto"/>
                <w:lang w:val="en-US" w:eastAsia="zh-CN" w:bidi="ar"/>
              </w:rPr>
              <w:t>纯水制备</w:t>
            </w:r>
            <w:r>
              <w:rPr>
                <w:rFonts w:hint="eastAsia" w:ascii="宋体" w:hAnsi="宋体" w:cs="宋体"/>
                <w:b/>
                <w:bCs/>
                <w:color w:val="000000"/>
                <w:kern w:val="0"/>
                <w:sz w:val="24"/>
                <w:szCs w:val="24"/>
                <w:u w:val="single" w:color="auto"/>
                <w:lang w:val="en-US" w:eastAsia="zh-CN" w:bidi="ar"/>
              </w:rPr>
              <w:t>系统排水</w:t>
            </w:r>
            <w:r>
              <w:rPr>
                <w:rFonts w:hint="eastAsia" w:ascii="宋体" w:hAnsi="宋体" w:eastAsia="宋体" w:cs="宋体"/>
                <w:b/>
                <w:bCs/>
                <w:color w:val="000000"/>
                <w:kern w:val="0"/>
                <w:sz w:val="24"/>
                <w:szCs w:val="24"/>
                <w:u w:val="single" w:color="auto"/>
                <w:lang w:val="en-US" w:eastAsia="zh-CN" w:bidi="ar"/>
              </w:rPr>
              <w:t>及磨边废水。</w:t>
            </w:r>
          </w:p>
          <w:p w14:paraId="04FBA75D">
            <w:pPr>
              <w:keepNext w:val="0"/>
              <w:keepLines w:val="0"/>
              <w:widowControl/>
              <w:suppressLineNumbers w:val="0"/>
              <w:spacing w:line="360" w:lineRule="auto"/>
              <w:ind w:firstLine="482" w:firstLineChars="200"/>
              <w:jc w:val="left"/>
              <w:rPr>
                <w:b/>
                <w:bCs/>
                <w:u w:val="single" w:color="auto"/>
              </w:rPr>
            </w:pPr>
            <w:r>
              <w:rPr>
                <w:rFonts w:hint="eastAsia" w:ascii="宋体" w:hAnsi="宋体" w:eastAsia="宋体" w:cs="宋体"/>
                <w:b/>
                <w:bCs/>
                <w:color w:val="000000"/>
                <w:kern w:val="0"/>
                <w:sz w:val="24"/>
                <w:szCs w:val="24"/>
                <w:u w:val="single" w:color="auto"/>
                <w:lang w:val="en-US" w:eastAsia="zh-CN" w:bidi="ar"/>
              </w:rPr>
              <w:t>本项目采取雨污分流制，雨水收集后排入市政雨水管网。本项目生活废水</w:t>
            </w:r>
            <w:r>
              <w:rPr>
                <w:rFonts w:hint="eastAsia" w:ascii="宋体" w:hAnsi="宋体" w:cs="宋体"/>
                <w:b/>
                <w:bCs/>
                <w:color w:val="000000"/>
                <w:kern w:val="0"/>
                <w:sz w:val="24"/>
                <w:szCs w:val="24"/>
                <w:u w:val="single" w:color="auto"/>
                <w:lang w:val="en-US" w:eastAsia="zh-CN" w:bidi="ar"/>
              </w:rPr>
              <w:t>经化粪池后排放市政污水管网进入污水处理站进行处理</w:t>
            </w:r>
            <w:r>
              <w:rPr>
                <w:rFonts w:hint="eastAsia" w:ascii="宋体" w:hAnsi="宋体" w:eastAsia="宋体" w:cs="宋体"/>
                <w:b/>
                <w:bCs/>
                <w:color w:val="000000"/>
                <w:kern w:val="0"/>
                <w:sz w:val="24"/>
                <w:szCs w:val="24"/>
                <w:u w:val="single" w:color="auto"/>
                <w:lang w:val="en-US" w:eastAsia="zh-CN" w:bidi="ar"/>
              </w:rPr>
              <w:t>，生产废水主要为玻璃原片清洗废水</w:t>
            </w:r>
            <w:r>
              <w:rPr>
                <w:rFonts w:hint="eastAsia" w:ascii="宋体" w:hAnsi="宋体" w:cs="宋体"/>
                <w:b/>
                <w:bCs/>
                <w:color w:val="000000"/>
                <w:kern w:val="0"/>
                <w:sz w:val="24"/>
                <w:szCs w:val="24"/>
                <w:u w:val="single" w:color="auto"/>
                <w:lang w:val="en-US" w:eastAsia="zh-CN" w:bidi="ar"/>
              </w:rPr>
              <w:t>；</w:t>
            </w:r>
            <w:r>
              <w:rPr>
                <w:rFonts w:hint="eastAsia" w:cs="Times New Roman"/>
                <w:b/>
                <w:bCs/>
                <w:color w:val="auto"/>
                <w:sz w:val="24"/>
                <w:szCs w:val="24"/>
                <w:highlight w:val="none"/>
                <w:u w:val="single" w:color="auto"/>
                <w:lang w:val="en-US" w:eastAsia="zh-CN"/>
              </w:rPr>
              <w:t>镀膜及</w:t>
            </w:r>
            <w:r>
              <w:rPr>
                <w:rFonts w:hint="eastAsia" w:ascii="Times New Roman" w:hAnsi="Times New Roman" w:eastAsia="宋体" w:cs="Times New Roman"/>
                <w:b/>
                <w:bCs/>
                <w:color w:val="auto"/>
                <w:sz w:val="24"/>
                <w:szCs w:val="24"/>
                <w:highlight w:val="none"/>
                <w:u w:val="single" w:color="auto"/>
                <w:lang w:val="en-US" w:eastAsia="zh-CN"/>
              </w:rPr>
              <w:t>夹胶</w:t>
            </w:r>
            <w:r>
              <w:rPr>
                <w:rFonts w:hint="eastAsia" w:cs="Times New Roman"/>
                <w:b/>
                <w:bCs/>
                <w:color w:val="auto"/>
                <w:sz w:val="24"/>
                <w:szCs w:val="24"/>
                <w:highlight w:val="none"/>
                <w:u w:val="single" w:color="auto"/>
                <w:lang w:val="en-US" w:eastAsia="zh-CN"/>
              </w:rPr>
              <w:t>、中空</w:t>
            </w:r>
            <w:r>
              <w:rPr>
                <w:rFonts w:hint="eastAsia" w:ascii="Times New Roman" w:hAnsi="Times New Roman" w:eastAsia="宋体" w:cs="Times New Roman"/>
                <w:b/>
                <w:bCs/>
                <w:color w:val="auto"/>
                <w:sz w:val="24"/>
                <w:szCs w:val="24"/>
                <w:highlight w:val="none"/>
                <w:u w:val="single" w:color="auto"/>
                <w:lang w:val="en-US" w:eastAsia="zh-CN"/>
              </w:rPr>
              <w:t>工序对应</w:t>
            </w:r>
            <w:r>
              <w:rPr>
                <w:rFonts w:hint="eastAsia" w:ascii="宋体" w:hAnsi="宋体" w:eastAsia="宋体" w:cs="宋体"/>
                <w:b/>
                <w:bCs/>
                <w:color w:val="000000"/>
                <w:kern w:val="0"/>
                <w:sz w:val="24"/>
                <w:szCs w:val="24"/>
                <w:u w:val="single" w:color="auto"/>
                <w:lang w:val="en-US" w:eastAsia="zh-CN" w:bidi="ar"/>
              </w:rPr>
              <w:t>玻璃清洗废水</w:t>
            </w:r>
            <w:r>
              <w:rPr>
                <w:rFonts w:hint="eastAsia" w:ascii="宋体" w:hAnsi="宋体" w:cs="宋体"/>
                <w:b/>
                <w:bCs/>
                <w:color w:val="000000"/>
                <w:kern w:val="0"/>
                <w:sz w:val="24"/>
                <w:szCs w:val="24"/>
                <w:u w:val="single" w:color="auto"/>
                <w:lang w:val="en-US" w:eastAsia="zh-CN" w:bidi="ar"/>
              </w:rPr>
              <w:t>；</w:t>
            </w:r>
            <w:r>
              <w:rPr>
                <w:rFonts w:hint="eastAsia" w:ascii="宋体" w:hAnsi="宋体" w:eastAsia="宋体" w:cs="宋体"/>
                <w:b/>
                <w:bCs/>
                <w:color w:val="000000"/>
                <w:kern w:val="0"/>
                <w:sz w:val="24"/>
                <w:szCs w:val="24"/>
                <w:u w:val="single" w:color="auto"/>
                <w:lang w:val="en-US" w:eastAsia="zh-CN" w:bidi="ar"/>
              </w:rPr>
              <w:t>纯水制备</w:t>
            </w:r>
            <w:r>
              <w:rPr>
                <w:rFonts w:hint="eastAsia" w:ascii="宋体" w:hAnsi="宋体" w:cs="宋体"/>
                <w:b/>
                <w:bCs/>
                <w:color w:val="000000"/>
                <w:kern w:val="0"/>
                <w:sz w:val="24"/>
                <w:szCs w:val="24"/>
                <w:u w:val="single" w:color="auto"/>
                <w:lang w:val="en-US" w:eastAsia="zh-CN" w:bidi="ar"/>
              </w:rPr>
              <w:t>系统排水</w:t>
            </w:r>
            <w:r>
              <w:rPr>
                <w:rFonts w:hint="eastAsia" w:ascii="宋体" w:hAnsi="宋体" w:eastAsia="宋体" w:cs="宋体"/>
                <w:b/>
                <w:bCs/>
                <w:color w:val="000000"/>
                <w:kern w:val="0"/>
                <w:sz w:val="24"/>
                <w:szCs w:val="24"/>
                <w:u w:val="single" w:color="auto"/>
                <w:lang w:val="en-US" w:eastAsia="zh-CN" w:bidi="ar"/>
              </w:rPr>
              <w:t xml:space="preserve">及磨边废水。 </w:t>
            </w:r>
          </w:p>
          <w:p w14:paraId="675C0457">
            <w:pPr>
              <w:keepNext w:val="0"/>
              <w:keepLines w:val="0"/>
              <w:widowControl/>
              <w:numPr>
                <w:ilvl w:val="0"/>
                <w:numId w:val="6"/>
              </w:numPr>
              <w:suppressLineNumbers w:val="0"/>
              <w:spacing w:line="360" w:lineRule="auto"/>
              <w:ind w:left="0" w:leftChars="0" w:firstLine="400" w:firstLineChars="0"/>
              <w:jc w:val="left"/>
              <w:rPr>
                <w:b/>
                <w:bCs/>
                <w:u w:val="single" w:color="auto"/>
              </w:rPr>
            </w:pPr>
            <w:r>
              <w:rPr>
                <w:rFonts w:hint="eastAsia" w:ascii="宋体" w:hAnsi="宋体" w:eastAsia="宋体" w:cs="宋体"/>
                <w:b/>
                <w:bCs/>
                <w:color w:val="000000"/>
                <w:kern w:val="0"/>
                <w:sz w:val="24"/>
                <w:szCs w:val="24"/>
                <w:u w:val="single" w:color="auto"/>
                <w:lang w:val="en-US" w:eastAsia="zh-CN" w:bidi="ar"/>
              </w:rPr>
              <w:t>玻璃原片清洗废水。本项目玻璃原片清洗用水量为</w:t>
            </w:r>
            <w:r>
              <w:rPr>
                <w:rFonts w:hint="eastAsia" w:ascii="宋体" w:hAnsi="宋体" w:cs="宋体"/>
                <w:b/>
                <w:bCs/>
                <w:color w:val="000000"/>
                <w:kern w:val="0"/>
                <w:sz w:val="24"/>
                <w:szCs w:val="24"/>
                <w:u w:val="single" w:color="auto"/>
                <w:lang w:val="en-US" w:eastAsia="zh-CN" w:bidi="ar"/>
              </w:rPr>
              <w:t>1</w:t>
            </w:r>
            <w:r>
              <w:rPr>
                <w:rFonts w:hint="default" w:ascii="Times New Roman" w:hAnsi="Times New Roman" w:eastAsia="宋体" w:cs="Times New Roman"/>
                <w:b/>
                <w:bCs/>
                <w:color w:val="000000"/>
                <w:kern w:val="0"/>
                <w:sz w:val="24"/>
                <w:szCs w:val="24"/>
                <w:u w:val="single" w:color="auto"/>
                <w:lang w:val="en-US" w:eastAsia="zh-CN" w:bidi="ar"/>
              </w:rPr>
              <w:t>5m</w:t>
            </w:r>
            <w:r>
              <w:rPr>
                <w:rFonts w:hint="eastAsia" w:cs="Times New Roman"/>
                <w:b/>
                <w:bCs/>
                <w:color w:val="000000"/>
                <w:kern w:val="0"/>
                <w:sz w:val="24"/>
                <w:szCs w:val="24"/>
                <w:u w:val="single" w:color="auto"/>
                <w:vertAlign w:val="superscript"/>
                <w:lang w:val="en-US" w:eastAsia="zh-CN" w:bidi="ar"/>
              </w:rPr>
              <w:t>3</w:t>
            </w:r>
            <w:r>
              <w:rPr>
                <w:rFonts w:hint="default" w:ascii="Times New Roman" w:hAnsi="Times New Roman" w:eastAsia="宋体" w:cs="Times New Roman"/>
                <w:b/>
                <w:bCs/>
                <w:color w:val="000000"/>
                <w:kern w:val="0"/>
                <w:sz w:val="24"/>
                <w:szCs w:val="24"/>
                <w:u w:val="single" w:color="auto"/>
                <w:lang w:val="en-US" w:eastAsia="zh-CN" w:bidi="ar"/>
              </w:rPr>
              <w:t>/d</w:t>
            </w:r>
            <w:r>
              <w:rPr>
                <w:rFonts w:hint="eastAsia" w:ascii="宋体" w:hAnsi="宋体" w:eastAsia="宋体" w:cs="宋体"/>
                <w:b/>
                <w:bCs/>
                <w:color w:val="000000"/>
                <w:kern w:val="0"/>
                <w:sz w:val="24"/>
                <w:szCs w:val="24"/>
                <w:u w:val="single" w:color="auto"/>
                <w:lang w:val="en-US" w:eastAsia="zh-CN" w:bidi="ar"/>
              </w:rPr>
              <w:t>、</w:t>
            </w:r>
            <w:r>
              <w:rPr>
                <w:rFonts w:hint="eastAsia" w:cs="Times New Roman"/>
                <w:b/>
                <w:bCs/>
                <w:color w:val="000000"/>
                <w:kern w:val="0"/>
                <w:sz w:val="24"/>
                <w:szCs w:val="24"/>
                <w:u w:val="single" w:color="auto"/>
                <w:lang w:val="en-US" w:eastAsia="zh-CN" w:bidi="ar"/>
              </w:rPr>
              <w:t>4</w:t>
            </w:r>
            <w:r>
              <w:rPr>
                <w:rFonts w:hint="default" w:ascii="Times New Roman" w:hAnsi="Times New Roman" w:eastAsia="宋体" w:cs="Times New Roman"/>
                <w:b/>
                <w:bCs/>
                <w:color w:val="000000"/>
                <w:kern w:val="0"/>
                <w:sz w:val="24"/>
                <w:szCs w:val="24"/>
                <w:u w:val="single" w:color="auto"/>
                <w:lang w:val="en-US" w:eastAsia="zh-CN" w:bidi="ar"/>
              </w:rPr>
              <w:t>500m</w:t>
            </w:r>
            <w:r>
              <w:rPr>
                <w:rFonts w:hint="eastAsia" w:cs="Times New Roman"/>
                <w:b/>
                <w:bCs/>
                <w:color w:val="000000"/>
                <w:kern w:val="0"/>
                <w:sz w:val="24"/>
                <w:szCs w:val="24"/>
                <w:u w:val="single" w:color="auto"/>
                <w:vertAlign w:val="superscript"/>
                <w:lang w:val="en-US" w:eastAsia="zh-CN" w:bidi="ar"/>
              </w:rPr>
              <w:t>3</w:t>
            </w:r>
            <w:r>
              <w:rPr>
                <w:rFonts w:hint="default" w:ascii="Times New Roman" w:hAnsi="Times New Roman" w:eastAsia="宋体" w:cs="Times New Roman"/>
                <w:b/>
                <w:bCs/>
                <w:color w:val="000000"/>
                <w:kern w:val="0"/>
                <w:sz w:val="24"/>
                <w:szCs w:val="24"/>
                <w:u w:val="single" w:color="auto"/>
                <w:lang w:val="en-US" w:eastAsia="zh-CN" w:bidi="ar"/>
              </w:rPr>
              <w:t>/a</w:t>
            </w:r>
            <w:r>
              <w:rPr>
                <w:rFonts w:hint="eastAsia" w:ascii="宋体" w:hAnsi="宋体" w:eastAsia="宋体" w:cs="宋体"/>
                <w:b/>
                <w:bCs/>
                <w:color w:val="000000"/>
                <w:kern w:val="0"/>
                <w:sz w:val="24"/>
                <w:szCs w:val="24"/>
                <w:u w:val="single" w:color="auto"/>
                <w:lang w:val="en-US" w:eastAsia="zh-CN" w:bidi="ar"/>
              </w:rPr>
              <w:t>，污水产生系数按</w:t>
            </w:r>
            <w:r>
              <w:rPr>
                <w:rFonts w:hint="default" w:ascii="Times New Roman" w:hAnsi="Times New Roman" w:eastAsia="宋体" w:cs="Times New Roman"/>
                <w:b/>
                <w:bCs/>
                <w:color w:val="000000"/>
                <w:kern w:val="0"/>
                <w:sz w:val="24"/>
                <w:szCs w:val="24"/>
                <w:u w:val="single" w:color="auto"/>
                <w:lang w:val="en-US" w:eastAsia="zh-CN" w:bidi="ar"/>
              </w:rPr>
              <w:t xml:space="preserve">0.9 </w:t>
            </w:r>
            <w:r>
              <w:rPr>
                <w:rFonts w:hint="eastAsia" w:ascii="宋体" w:hAnsi="宋体" w:cs="宋体"/>
                <w:b/>
                <w:bCs/>
                <w:color w:val="000000"/>
                <w:kern w:val="0"/>
                <w:sz w:val="24"/>
                <w:szCs w:val="24"/>
                <w:u w:val="single" w:color="auto"/>
                <w:lang w:val="en-US" w:eastAsia="zh-CN" w:bidi="ar"/>
              </w:rPr>
              <w:t>计</w:t>
            </w:r>
            <w:r>
              <w:rPr>
                <w:rFonts w:hint="eastAsia" w:ascii="宋体" w:hAnsi="宋体" w:eastAsia="宋体" w:cs="宋体"/>
                <w:b/>
                <w:bCs/>
                <w:color w:val="000000"/>
                <w:kern w:val="0"/>
                <w:sz w:val="24"/>
                <w:szCs w:val="24"/>
                <w:u w:val="single" w:color="auto"/>
                <w:lang w:val="en-US" w:eastAsia="zh-CN" w:bidi="ar"/>
              </w:rPr>
              <w:t xml:space="preserve">，则本项目玻璃原片清洗废水产生量为 </w:t>
            </w:r>
            <w:r>
              <w:rPr>
                <w:rFonts w:hint="eastAsia" w:cs="Times New Roman"/>
                <w:b/>
                <w:bCs/>
                <w:color w:val="000000"/>
                <w:kern w:val="0"/>
                <w:sz w:val="24"/>
                <w:szCs w:val="24"/>
                <w:u w:val="single" w:color="auto"/>
                <w:lang w:val="en-US" w:eastAsia="zh-CN" w:bidi="ar"/>
              </w:rPr>
              <w:t>13</w:t>
            </w:r>
            <w:r>
              <w:rPr>
                <w:rFonts w:hint="default" w:ascii="Times New Roman" w:hAnsi="Times New Roman" w:eastAsia="宋体" w:cs="Times New Roman"/>
                <w:b/>
                <w:bCs/>
                <w:color w:val="000000"/>
                <w:kern w:val="0"/>
                <w:sz w:val="24"/>
                <w:szCs w:val="24"/>
                <w:u w:val="single" w:color="auto"/>
                <w:lang w:val="en-US" w:eastAsia="zh-CN" w:bidi="ar"/>
              </w:rPr>
              <w:t>.5m</w:t>
            </w:r>
            <w:r>
              <w:rPr>
                <w:rFonts w:hint="eastAsia" w:cs="Times New Roman"/>
                <w:b/>
                <w:bCs/>
                <w:color w:val="000000"/>
                <w:kern w:val="0"/>
                <w:sz w:val="24"/>
                <w:szCs w:val="24"/>
                <w:u w:val="single" w:color="auto"/>
                <w:vertAlign w:val="superscript"/>
                <w:lang w:val="en-US" w:eastAsia="zh-CN" w:bidi="ar"/>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/d</w:t>
            </w:r>
            <w:r>
              <w:rPr>
                <w:rFonts w:hint="eastAsia" w:ascii="宋体" w:hAnsi="宋体" w:eastAsia="宋体" w:cs="宋体"/>
                <w:b/>
                <w:bCs/>
                <w:color w:val="000000"/>
                <w:kern w:val="0"/>
                <w:sz w:val="24"/>
                <w:szCs w:val="24"/>
                <w:u w:val="single" w:color="auto"/>
                <w:lang w:val="en-US" w:eastAsia="zh-CN" w:bidi="ar"/>
              </w:rPr>
              <w:t>、</w:t>
            </w:r>
            <w:r>
              <w:rPr>
                <w:rFonts w:hint="eastAsia" w:cs="Times New Roman"/>
                <w:b/>
                <w:bCs/>
                <w:color w:val="000000"/>
                <w:kern w:val="0"/>
                <w:sz w:val="24"/>
                <w:szCs w:val="24"/>
                <w:u w:val="single" w:color="auto"/>
                <w:lang w:val="en-US" w:eastAsia="zh-CN" w:bidi="ar"/>
              </w:rPr>
              <w:t>40</w:t>
            </w:r>
            <w:r>
              <w:rPr>
                <w:rFonts w:hint="default" w:ascii="Times New Roman" w:hAnsi="Times New Roman" w:eastAsia="宋体" w:cs="Times New Roman"/>
                <w:b/>
                <w:bCs/>
                <w:color w:val="000000"/>
                <w:kern w:val="0"/>
                <w:sz w:val="24"/>
                <w:szCs w:val="24"/>
                <w:u w:val="single" w:color="auto"/>
                <w:lang w:val="en-US" w:eastAsia="zh-CN" w:bidi="ar"/>
              </w:rPr>
              <w:t>50m</w:t>
            </w:r>
            <w:r>
              <w:rPr>
                <w:rFonts w:hint="eastAsia" w:cs="Times New Roman"/>
                <w:b/>
                <w:bCs/>
                <w:color w:val="000000"/>
                <w:kern w:val="0"/>
                <w:sz w:val="24"/>
                <w:szCs w:val="24"/>
                <w:u w:val="single" w:color="auto"/>
                <w:vertAlign w:val="superscript"/>
                <w:lang w:val="en-US" w:eastAsia="zh-CN" w:bidi="ar"/>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/a</w:t>
            </w:r>
            <w:r>
              <w:rPr>
                <w:rFonts w:hint="eastAsia" w:ascii="宋体" w:hAnsi="宋体" w:eastAsia="宋体" w:cs="宋体"/>
                <w:b/>
                <w:bCs/>
                <w:color w:val="000000"/>
                <w:kern w:val="0"/>
                <w:sz w:val="24"/>
                <w:szCs w:val="24"/>
                <w:u w:val="single" w:color="auto"/>
                <w:lang w:val="en-US" w:eastAsia="zh-CN" w:bidi="ar"/>
              </w:rPr>
              <w:t xml:space="preserve">，经循环水箱沉淀后回用于清洗玻璃原片。 </w:t>
            </w:r>
          </w:p>
          <w:p w14:paraId="21C418F0">
            <w:pPr>
              <w:keepNext w:val="0"/>
              <w:keepLines w:val="0"/>
              <w:widowControl/>
              <w:numPr>
                <w:ilvl w:val="0"/>
                <w:numId w:val="6"/>
              </w:numPr>
              <w:suppressLineNumbers w:val="0"/>
              <w:spacing w:line="360" w:lineRule="auto"/>
              <w:ind w:left="0" w:leftChars="0" w:firstLine="400" w:firstLineChars="0"/>
              <w:jc w:val="left"/>
              <w:rPr>
                <w:b/>
                <w:bCs/>
                <w:u w:val="single" w:color="auto"/>
              </w:rPr>
            </w:pPr>
            <w:r>
              <w:rPr>
                <w:rFonts w:hint="eastAsia" w:cs="Times New Roman"/>
                <w:b/>
                <w:bCs/>
                <w:color w:val="auto"/>
                <w:sz w:val="24"/>
                <w:szCs w:val="24"/>
                <w:highlight w:val="none"/>
                <w:u w:val="single" w:color="auto"/>
                <w:lang w:val="en-US" w:eastAsia="zh-CN"/>
              </w:rPr>
              <w:t>镀膜及</w:t>
            </w:r>
            <w:r>
              <w:rPr>
                <w:rFonts w:hint="eastAsia" w:ascii="Times New Roman" w:hAnsi="Times New Roman" w:eastAsia="宋体" w:cs="Times New Roman"/>
                <w:b/>
                <w:bCs/>
                <w:color w:val="auto"/>
                <w:sz w:val="24"/>
                <w:szCs w:val="24"/>
                <w:highlight w:val="none"/>
                <w:u w:val="single" w:color="auto"/>
                <w:lang w:val="en-US" w:eastAsia="zh-CN"/>
              </w:rPr>
              <w:t>夹胶</w:t>
            </w:r>
            <w:r>
              <w:rPr>
                <w:rFonts w:hint="eastAsia" w:cs="Times New Roman"/>
                <w:b/>
                <w:bCs/>
                <w:color w:val="auto"/>
                <w:sz w:val="24"/>
                <w:szCs w:val="24"/>
                <w:highlight w:val="none"/>
                <w:u w:val="single" w:color="auto"/>
                <w:lang w:val="en-US" w:eastAsia="zh-CN"/>
              </w:rPr>
              <w:t>、中空</w:t>
            </w:r>
            <w:r>
              <w:rPr>
                <w:rFonts w:hint="eastAsia" w:ascii="Times New Roman" w:hAnsi="Times New Roman" w:eastAsia="宋体" w:cs="Times New Roman"/>
                <w:b/>
                <w:bCs/>
                <w:color w:val="auto"/>
                <w:sz w:val="24"/>
                <w:szCs w:val="24"/>
                <w:highlight w:val="none"/>
                <w:u w:val="single" w:color="auto"/>
                <w:lang w:val="en-US" w:eastAsia="zh-CN"/>
              </w:rPr>
              <w:t>工序对应</w:t>
            </w:r>
            <w:r>
              <w:rPr>
                <w:rFonts w:hint="eastAsia" w:ascii="宋体" w:hAnsi="宋体" w:eastAsia="宋体" w:cs="宋体"/>
                <w:b/>
                <w:bCs/>
                <w:color w:val="000000"/>
                <w:kern w:val="0"/>
                <w:sz w:val="24"/>
                <w:szCs w:val="24"/>
                <w:u w:val="single" w:color="auto"/>
                <w:lang w:val="en-US" w:eastAsia="zh-CN" w:bidi="ar"/>
              </w:rPr>
              <w:t>玻璃清洗废水及纯水制备</w:t>
            </w:r>
            <w:r>
              <w:rPr>
                <w:rFonts w:hint="eastAsia" w:ascii="宋体" w:hAnsi="宋体" w:cs="宋体"/>
                <w:b/>
                <w:bCs/>
                <w:color w:val="000000"/>
                <w:kern w:val="0"/>
                <w:sz w:val="24"/>
                <w:szCs w:val="24"/>
                <w:u w:val="single" w:color="auto"/>
                <w:lang w:val="en-US" w:eastAsia="zh-CN" w:bidi="ar"/>
              </w:rPr>
              <w:t>系统排水</w:t>
            </w:r>
            <w:r>
              <w:rPr>
                <w:rFonts w:hint="eastAsia" w:ascii="宋体" w:hAnsi="宋体" w:eastAsia="宋体" w:cs="宋体"/>
                <w:b/>
                <w:bCs/>
                <w:color w:val="000000"/>
                <w:kern w:val="0"/>
                <w:sz w:val="24"/>
                <w:szCs w:val="24"/>
                <w:u w:val="single" w:color="auto"/>
                <w:lang w:val="en-US" w:eastAsia="zh-CN" w:bidi="ar"/>
              </w:rPr>
              <w:t>。本项目纯水制备用水量为</w:t>
            </w:r>
            <w:r>
              <w:rPr>
                <w:rFonts w:hint="eastAsia" w:cs="Times New Roman"/>
                <w:b/>
                <w:bCs/>
                <w:color w:val="auto"/>
                <w:sz w:val="24"/>
                <w:szCs w:val="24"/>
                <w:highlight w:val="none"/>
                <w:u w:val="single" w:color="auto"/>
                <w:lang w:val="en-US" w:eastAsia="zh-CN"/>
              </w:rPr>
              <w:t>4.2</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/d，</w:t>
            </w:r>
            <w:r>
              <w:rPr>
                <w:rFonts w:hint="eastAsia" w:cs="Times New Roman"/>
                <w:b/>
                <w:bCs/>
                <w:color w:val="auto"/>
                <w:sz w:val="24"/>
                <w:szCs w:val="24"/>
                <w:highlight w:val="none"/>
                <w:u w:val="single" w:color="auto"/>
                <w:lang w:val="en-US" w:eastAsia="zh-CN"/>
              </w:rPr>
              <w:t>126</w:t>
            </w:r>
            <w:r>
              <w:rPr>
                <w:rFonts w:hint="eastAsia" w:ascii="Times New Roman" w:hAnsi="Times New Roman" w:eastAsia="宋体" w:cs="Times New Roman"/>
                <w:b/>
                <w:bCs/>
                <w:color w:val="auto"/>
                <w:sz w:val="24"/>
                <w:szCs w:val="24"/>
                <w:highlight w:val="none"/>
                <w:u w:val="single" w:color="auto"/>
                <w:lang w:val="en-US" w:eastAsia="zh-CN"/>
              </w:rPr>
              <w:t>0m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eastAsia" w:ascii="Times New Roman" w:hAnsi="Times New Roman" w:eastAsia="宋体" w:cs="Times New Roman"/>
                <w:b/>
                <w:bCs/>
                <w:color w:val="auto"/>
                <w:sz w:val="24"/>
                <w:szCs w:val="24"/>
                <w:highlight w:val="none"/>
                <w:u w:val="single" w:color="auto"/>
                <w:lang w:val="en-US" w:eastAsia="zh-CN"/>
              </w:rPr>
              <w:t>/a</w:t>
            </w:r>
            <w:r>
              <w:rPr>
                <w:rFonts w:hint="eastAsia" w:ascii="宋体" w:hAnsi="宋体" w:eastAsia="宋体" w:cs="宋体"/>
                <w:b/>
                <w:bCs/>
                <w:color w:val="000000"/>
                <w:kern w:val="0"/>
                <w:sz w:val="24"/>
                <w:szCs w:val="24"/>
                <w:u w:val="single" w:color="auto"/>
                <w:lang w:val="en-US" w:eastAsia="zh-CN" w:bidi="ar"/>
              </w:rPr>
              <w:t>，纯水产生量为</w:t>
            </w:r>
            <w:r>
              <w:rPr>
                <w:rFonts w:hint="eastAsia" w:cs="Times New Roman"/>
                <w:b/>
                <w:bCs/>
                <w:color w:val="000000"/>
                <w:kern w:val="0"/>
                <w:sz w:val="24"/>
                <w:szCs w:val="24"/>
                <w:u w:val="single" w:color="auto"/>
                <w:lang w:val="en-US" w:eastAsia="zh-CN" w:bidi="ar"/>
              </w:rPr>
              <w:t>3</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/d</w:t>
            </w:r>
            <w:r>
              <w:rPr>
                <w:rFonts w:hint="eastAsia" w:ascii="宋体" w:hAnsi="宋体" w:eastAsia="宋体" w:cs="宋体"/>
                <w:b/>
                <w:bCs/>
                <w:color w:val="000000"/>
                <w:kern w:val="0"/>
                <w:sz w:val="24"/>
                <w:szCs w:val="24"/>
                <w:u w:val="single" w:color="auto"/>
                <w:lang w:val="en-US" w:eastAsia="zh-CN" w:bidi="ar"/>
              </w:rPr>
              <w:t>、</w:t>
            </w:r>
            <w:r>
              <w:rPr>
                <w:rFonts w:hint="eastAsia" w:cs="Times New Roman"/>
                <w:b/>
                <w:bCs/>
                <w:color w:val="000000"/>
                <w:kern w:val="0"/>
                <w:sz w:val="24"/>
                <w:szCs w:val="24"/>
                <w:u w:val="single" w:color="auto"/>
                <w:lang w:val="en-US" w:eastAsia="zh-CN" w:bidi="ar"/>
              </w:rPr>
              <w:t>9</w:t>
            </w:r>
            <w:r>
              <w:rPr>
                <w:rFonts w:hint="default" w:ascii="Times New Roman" w:hAnsi="Times New Roman" w:eastAsia="宋体" w:cs="Times New Roman"/>
                <w:b/>
                <w:bCs/>
                <w:color w:val="000000"/>
                <w:kern w:val="0"/>
                <w:sz w:val="24"/>
                <w:szCs w:val="24"/>
                <w:u w:val="single" w:color="auto"/>
                <w:lang w:val="en-US" w:eastAsia="zh-CN" w:bidi="ar"/>
              </w:rPr>
              <w:t>00</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/a</w:t>
            </w:r>
            <w:r>
              <w:rPr>
                <w:rFonts w:hint="eastAsia" w:ascii="宋体" w:hAnsi="宋体" w:eastAsia="宋体" w:cs="宋体"/>
                <w:b/>
                <w:bCs/>
                <w:color w:val="000000"/>
                <w:kern w:val="0"/>
                <w:sz w:val="24"/>
                <w:szCs w:val="24"/>
                <w:u w:val="single" w:color="auto"/>
                <w:lang w:val="en-US" w:eastAsia="zh-CN" w:bidi="ar"/>
              </w:rPr>
              <w:t>，纯水制备</w:t>
            </w:r>
            <w:r>
              <w:rPr>
                <w:rFonts w:hint="eastAsia" w:ascii="宋体" w:hAnsi="宋体" w:cs="宋体"/>
                <w:b/>
                <w:bCs/>
                <w:color w:val="000000"/>
                <w:kern w:val="0"/>
                <w:sz w:val="24"/>
                <w:szCs w:val="24"/>
                <w:u w:val="single" w:color="auto"/>
                <w:lang w:val="en-US" w:eastAsia="zh-CN" w:bidi="ar"/>
              </w:rPr>
              <w:t>系统排水</w:t>
            </w:r>
            <w:r>
              <w:rPr>
                <w:rFonts w:hint="eastAsia" w:ascii="宋体" w:hAnsi="宋体" w:eastAsia="宋体" w:cs="宋体"/>
                <w:b/>
                <w:bCs/>
                <w:color w:val="000000"/>
                <w:kern w:val="0"/>
                <w:sz w:val="24"/>
                <w:szCs w:val="24"/>
                <w:u w:val="single" w:color="auto"/>
                <w:lang w:val="en-US" w:eastAsia="zh-CN" w:bidi="ar"/>
              </w:rPr>
              <w:t>为</w:t>
            </w:r>
            <w:r>
              <w:rPr>
                <w:rFonts w:hint="eastAsia" w:cs="Times New Roman"/>
                <w:b/>
                <w:bCs/>
                <w:color w:val="000000"/>
                <w:kern w:val="0"/>
                <w:sz w:val="24"/>
                <w:szCs w:val="24"/>
                <w:u w:val="single" w:color="auto"/>
                <w:lang w:val="en-US" w:eastAsia="zh-CN" w:bidi="ar"/>
              </w:rPr>
              <w:t>1.2</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24"/>
                <w:szCs w:val="24"/>
                <w:u w:val="single" w:color="auto"/>
                <w:lang w:val="en-US" w:eastAsia="zh-CN" w:bidi="ar"/>
              </w:rPr>
              <w:t>/d</w:t>
            </w:r>
            <w:r>
              <w:rPr>
                <w:rFonts w:hint="eastAsia" w:ascii="宋体" w:hAnsi="宋体" w:eastAsia="宋体" w:cs="宋体"/>
                <w:b/>
                <w:bCs/>
                <w:color w:val="000000"/>
                <w:kern w:val="0"/>
                <w:sz w:val="24"/>
                <w:szCs w:val="24"/>
                <w:u w:val="single" w:color="auto"/>
                <w:lang w:val="en-US" w:eastAsia="zh-CN" w:bidi="ar"/>
              </w:rPr>
              <w:t>、</w:t>
            </w:r>
            <w:r>
              <w:rPr>
                <w:rFonts w:hint="eastAsia" w:cs="Times New Roman"/>
                <w:b/>
                <w:bCs/>
                <w:color w:val="000000"/>
                <w:kern w:val="0"/>
                <w:sz w:val="24"/>
                <w:szCs w:val="24"/>
                <w:u w:val="single" w:color="auto"/>
                <w:lang w:val="en-US" w:eastAsia="zh-CN" w:bidi="ar"/>
              </w:rPr>
              <w:t>36</w:t>
            </w:r>
            <w:r>
              <w:rPr>
                <w:rFonts w:hint="default" w:ascii="Times New Roman" w:hAnsi="Times New Roman" w:eastAsia="宋体" w:cs="Times New Roman"/>
                <w:b/>
                <w:bCs/>
                <w:color w:val="000000"/>
                <w:kern w:val="0"/>
                <w:sz w:val="24"/>
                <w:szCs w:val="24"/>
                <w:u w:val="single" w:color="auto"/>
                <w:lang w:val="en-US" w:eastAsia="zh-CN" w:bidi="ar"/>
              </w:rPr>
              <w:t>0</w:t>
            </w:r>
            <w:r>
              <w:rPr>
                <w:rFonts w:hint="eastAsia" w:ascii="Times New Roman" w:hAnsi="Times New Roman" w:eastAsia="宋体" w:cs="Times New Roman"/>
                <w:b/>
                <w:bCs/>
                <w:color w:val="auto"/>
                <w:sz w:val="24"/>
                <w:szCs w:val="24"/>
                <w:highlight w:val="none"/>
                <w:u w:val="single" w:color="auto"/>
                <w:lang w:val="en-US" w:eastAsia="zh-CN"/>
              </w:rPr>
              <w:t>m</w:t>
            </w:r>
            <w:r>
              <w:rPr>
                <w:rFonts w:hint="eastAsia"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/a</w:t>
            </w:r>
            <w:r>
              <w:rPr>
                <w:rFonts w:hint="eastAsia" w:ascii="宋体" w:hAnsi="宋体" w:eastAsia="宋体" w:cs="宋体"/>
                <w:b/>
                <w:bCs/>
                <w:color w:val="000000"/>
                <w:kern w:val="0"/>
                <w:sz w:val="24"/>
                <w:szCs w:val="24"/>
                <w:u w:val="single" w:color="auto"/>
                <w:lang w:val="en-US" w:eastAsia="zh-CN" w:bidi="ar"/>
              </w:rPr>
              <w:t>，收集后用于厂区洒水；</w:t>
            </w:r>
            <w:r>
              <w:rPr>
                <w:rFonts w:hint="eastAsia" w:cs="Times New Roman"/>
                <w:b/>
                <w:bCs/>
                <w:color w:val="auto"/>
                <w:sz w:val="24"/>
                <w:szCs w:val="24"/>
                <w:highlight w:val="none"/>
                <w:u w:val="single" w:color="auto"/>
                <w:lang w:val="en-US" w:eastAsia="zh-CN"/>
              </w:rPr>
              <w:t>镀膜及</w:t>
            </w:r>
            <w:r>
              <w:rPr>
                <w:rFonts w:hint="eastAsia" w:ascii="Times New Roman" w:hAnsi="Times New Roman" w:eastAsia="宋体" w:cs="Times New Roman"/>
                <w:b/>
                <w:bCs/>
                <w:color w:val="auto"/>
                <w:sz w:val="24"/>
                <w:szCs w:val="24"/>
                <w:highlight w:val="none"/>
                <w:u w:val="single" w:color="auto"/>
                <w:lang w:val="en-US" w:eastAsia="zh-CN"/>
              </w:rPr>
              <w:t>夹胶</w:t>
            </w:r>
            <w:r>
              <w:rPr>
                <w:rFonts w:hint="eastAsia" w:cs="Times New Roman"/>
                <w:b/>
                <w:bCs/>
                <w:color w:val="auto"/>
                <w:sz w:val="24"/>
                <w:szCs w:val="24"/>
                <w:highlight w:val="none"/>
                <w:u w:val="single" w:color="auto"/>
                <w:lang w:val="en-US" w:eastAsia="zh-CN"/>
              </w:rPr>
              <w:t>、中空</w:t>
            </w:r>
            <w:r>
              <w:rPr>
                <w:rFonts w:hint="eastAsia" w:ascii="Times New Roman" w:hAnsi="Times New Roman" w:eastAsia="宋体" w:cs="Times New Roman"/>
                <w:b/>
                <w:bCs/>
                <w:color w:val="auto"/>
                <w:sz w:val="24"/>
                <w:szCs w:val="24"/>
                <w:highlight w:val="none"/>
                <w:u w:val="single" w:color="auto"/>
                <w:lang w:val="en-US" w:eastAsia="zh-CN"/>
              </w:rPr>
              <w:t>工序对应</w:t>
            </w:r>
            <w:r>
              <w:rPr>
                <w:rFonts w:hint="eastAsia" w:ascii="宋体" w:hAnsi="宋体" w:eastAsia="宋体" w:cs="宋体"/>
                <w:b/>
                <w:bCs/>
                <w:color w:val="000000"/>
                <w:kern w:val="0"/>
                <w:sz w:val="24"/>
                <w:szCs w:val="24"/>
                <w:u w:val="single" w:color="auto"/>
                <w:lang w:val="en-US" w:eastAsia="zh-CN" w:bidi="ar"/>
              </w:rPr>
              <w:t>玻璃清洗废水产生系数按</w:t>
            </w:r>
            <w:r>
              <w:rPr>
                <w:rFonts w:hint="default" w:ascii="Times New Roman" w:hAnsi="Times New Roman" w:eastAsia="宋体" w:cs="Times New Roman"/>
                <w:b/>
                <w:bCs/>
                <w:color w:val="000000"/>
                <w:kern w:val="0"/>
                <w:sz w:val="24"/>
                <w:szCs w:val="24"/>
                <w:u w:val="single" w:color="auto"/>
                <w:lang w:val="en-US" w:eastAsia="zh-CN" w:bidi="ar"/>
              </w:rPr>
              <w:t xml:space="preserve">0.9 </w:t>
            </w:r>
            <w:r>
              <w:rPr>
                <w:rFonts w:hint="eastAsia" w:ascii="宋体" w:hAnsi="宋体" w:cs="宋体"/>
                <w:b/>
                <w:bCs/>
                <w:color w:val="000000"/>
                <w:kern w:val="0"/>
                <w:sz w:val="24"/>
                <w:szCs w:val="24"/>
                <w:u w:val="single" w:color="auto"/>
                <w:lang w:val="en-US" w:eastAsia="zh-CN" w:bidi="ar"/>
              </w:rPr>
              <w:t>计</w:t>
            </w:r>
            <w:r>
              <w:rPr>
                <w:rFonts w:hint="eastAsia" w:ascii="宋体" w:hAnsi="宋体" w:eastAsia="宋体" w:cs="宋体"/>
                <w:b/>
                <w:bCs/>
                <w:color w:val="000000"/>
                <w:kern w:val="0"/>
                <w:sz w:val="24"/>
                <w:szCs w:val="24"/>
                <w:u w:val="single" w:color="auto"/>
                <w:lang w:val="en-US" w:eastAsia="zh-CN" w:bidi="ar"/>
              </w:rPr>
              <w:t>，</w:t>
            </w:r>
            <w:r>
              <w:rPr>
                <w:rFonts w:hint="default" w:ascii="Times New Roman" w:hAnsi="Times New Roman" w:eastAsia="宋体" w:cs="Times New Roman"/>
                <w:b/>
                <w:bCs/>
                <w:color w:val="000000"/>
                <w:kern w:val="0"/>
                <w:sz w:val="24"/>
                <w:szCs w:val="24"/>
                <w:u w:val="single" w:color="auto"/>
                <w:lang w:val="en-US" w:eastAsia="zh-CN" w:bidi="ar"/>
              </w:rPr>
              <w:t>则本项目</w:t>
            </w:r>
            <w:r>
              <w:rPr>
                <w:rFonts w:hint="eastAsia" w:cs="Times New Roman"/>
                <w:b/>
                <w:bCs/>
                <w:color w:val="auto"/>
                <w:sz w:val="24"/>
                <w:szCs w:val="24"/>
                <w:highlight w:val="none"/>
                <w:u w:val="single" w:color="auto"/>
                <w:lang w:val="en-US" w:eastAsia="zh-CN"/>
              </w:rPr>
              <w:t>镀膜及</w:t>
            </w:r>
            <w:r>
              <w:rPr>
                <w:rFonts w:hint="eastAsia" w:ascii="Times New Roman" w:hAnsi="Times New Roman" w:eastAsia="宋体" w:cs="Times New Roman"/>
                <w:b/>
                <w:bCs/>
                <w:color w:val="auto"/>
                <w:sz w:val="24"/>
                <w:szCs w:val="24"/>
                <w:highlight w:val="none"/>
                <w:u w:val="single" w:color="auto"/>
                <w:lang w:val="en-US" w:eastAsia="zh-CN"/>
              </w:rPr>
              <w:t>夹胶</w:t>
            </w:r>
            <w:r>
              <w:rPr>
                <w:rFonts w:hint="eastAsia" w:cs="Times New Roman"/>
                <w:b/>
                <w:bCs/>
                <w:color w:val="auto"/>
                <w:sz w:val="24"/>
                <w:szCs w:val="24"/>
                <w:highlight w:val="none"/>
                <w:u w:val="single" w:color="auto"/>
                <w:lang w:val="en-US" w:eastAsia="zh-CN"/>
              </w:rPr>
              <w:t>、中空</w:t>
            </w:r>
            <w:r>
              <w:rPr>
                <w:rFonts w:hint="eastAsia" w:ascii="Times New Roman" w:hAnsi="Times New Roman" w:eastAsia="宋体" w:cs="Times New Roman"/>
                <w:b/>
                <w:bCs/>
                <w:color w:val="auto"/>
                <w:sz w:val="24"/>
                <w:szCs w:val="24"/>
                <w:highlight w:val="none"/>
                <w:u w:val="single" w:color="auto"/>
                <w:lang w:val="en-US" w:eastAsia="zh-CN"/>
              </w:rPr>
              <w:t>工序对应</w:t>
            </w:r>
            <w:r>
              <w:rPr>
                <w:rFonts w:hint="eastAsia" w:ascii="宋体" w:hAnsi="宋体" w:eastAsia="宋体" w:cs="宋体"/>
                <w:b/>
                <w:bCs/>
                <w:color w:val="000000"/>
                <w:kern w:val="0"/>
                <w:sz w:val="24"/>
                <w:szCs w:val="24"/>
                <w:u w:val="single" w:color="auto"/>
                <w:lang w:val="en-US" w:eastAsia="zh-CN" w:bidi="ar"/>
              </w:rPr>
              <w:t>玻璃清洗废水</w:t>
            </w:r>
            <w:r>
              <w:rPr>
                <w:rFonts w:hint="default" w:ascii="Times New Roman" w:hAnsi="Times New Roman" w:eastAsia="宋体" w:cs="Times New Roman"/>
                <w:b/>
                <w:bCs/>
                <w:color w:val="000000"/>
                <w:kern w:val="0"/>
                <w:sz w:val="24"/>
                <w:szCs w:val="24"/>
                <w:u w:val="single" w:color="auto"/>
                <w:lang w:val="en-US" w:eastAsia="zh-CN" w:bidi="ar"/>
              </w:rPr>
              <w:t>产生量为</w:t>
            </w:r>
            <w:r>
              <w:rPr>
                <w:rFonts w:hint="default" w:ascii="Times New Roman" w:hAnsi="Times New Roman" w:cs="Times New Roman"/>
                <w:b/>
                <w:bCs/>
                <w:color w:val="000000"/>
                <w:kern w:val="0"/>
                <w:sz w:val="24"/>
                <w:szCs w:val="24"/>
                <w:u w:val="single" w:color="auto"/>
                <w:lang w:val="en-US" w:eastAsia="zh-CN" w:bidi="ar"/>
              </w:rPr>
              <w:t>2.7</w:t>
            </w:r>
            <w:r>
              <w:rPr>
                <w:rFonts w:hint="default" w:ascii="Times New Roman" w:hAnsi="Times New Roman" w:eastAsia="宋体" w:cs="Times New Roman"/>
                <w:b/>
                <w:bCs/>
                <w:color w:val="auto"/>
                <w:sz w:val="24"/>
                <w:szCs w:val="24"/>
                <w:highlight w:val="none"/>
                <w:u w:val="single" w:color="auto"/>
                <w:lang w:val="en-US" w:eastAsia="zh-CN"/>
              </w:rPr>
              <w:t>m</w:t>
            </w:r>
            <w:r>
              <w:rPr>
                <w:rFonts w:hint="default"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/d、</w:t>
            </w:r>
            <w:r>
              <w:rPr>
                <w:rFonts w:hint="default" w:ascii="Times New Roman" w:hAnsi="Times New Roman" w:cs="Times New Roman"/>
                <w:b/>
                <w:bCs/>
                <w:color w:val="000000"/>
                <w:kern w:val="0"/>
                <w:sz w:val="24"/>
                <w:szCs w:val="24"/>
                <w:u w:val="single" w:color="auto"/>
                <w:lang w:val="en-US" w:eastAsia="zh-CN" w:bidi="ar"/>
              </w:rPr>
              <w:t>810</w:t>
            </w:r>
            <w:r>
              <w:rPr>
                <w:rFonts w:hint="default" w:ascii="Times New Roman" w:hAnsi="Times New Roman" w:eastAsia="宋体" w:cs="Times New Roman"/>
                <w:b/>
                <w:bCs/>
                <w:color w:val="auto"/>
                <w:sz w:val="24"/>
                <w:szCs w:val="24"/>
                <w:highlight w:val="none"/>
                <w:u w:val="single" w:color="auto"/>
                <w:lang w:val="en-US" w:eastAsia="zh-CN"/>
              </w:rPr>
              <w:t>m</w:t>
            </w:r>
            <w:r>
              <w:rPr>
                <w:rFonts w:hint="default"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24"/>
                <w:szCs w:val="24"/>
                <w:u w:val="single" w:color="auto"/>
                <w:lang w:val="en-US" w:eastAsia="zh-CN" w:bidi="ar"/>
              </w:rPr>
              <w:t xml:space="preserve">/a，经收集后回用于玻璃原片清洗用水。 </w:t>
            </w:r>
          </w:p>
          <w:p w14:paraId="5BBD81F7">
            <w:pPr>
              <w:keepNext w:val="0"/>
              <w:keepLines w:val="0"/>
              <w:widowControl/>
              <w:numPr>
                <w:ilvl w:val="0"/>
                <w:numId w:val="6"/>
              </w:numPr>
              <w:suppressLineNumbers w:val="0"/>
              <w:spacing w:line="360" w:lineRule="auto"/>
              <w:ind w:left="0" w:leftChars="0" w:firstLine="400" w:firstLineChars="0"/>
              <w:jc w:val="left"/>
              <w:rPr>
                <w:rFonts w:hint="default" w:ascii="Times New Roman" w:hAnsi="Times New Roman" w:eastAsia="宋体" w:cs="Times New Roman"/>
                <w:b/>
                <w:bCs/>
                <w:color w:val="000000"/>
                <w:kern w:val="0"/>
                <w:sz w:val="24"/>
                <w:szCs w:val="24"/>
                <w:u w:val="single" w:color="auto"/>
                <w:lang w:val="en-US" w:eastAsia="zh-CN" w:bidi="ar"/>
              </w:rPr>
            </w:pPr>
            <w:r>
              <w:rPr>
                <w:rFonts w:hint="default" w:ascii="Times New Roman" w:hAnsi="Times New Roman" w:eastAsia="宋体" w:cs="Times New Roman"/>
                <w:b/>
                <w:bCs/>
                <w:color w:val="000000"/>
                <w:kern w:val="0"/>
                <w:sz w:val="24"/>
                <w:szCs w:val="24"/>
                <w:u w:val="single" w:color="auto"/>
                <w:lang w:val="en-US" w:eastAsia="zh-CN" w:bidi="ar"/>
              </w:rPr>
              <w:t>磨边废水。本项目磨边用水量为</w:t>
            </w:r>
            <w:r>
              <w:rPr>
                <w:rFonts w:hint="default" w:ascii="Times New Roman" w:hAnsi="Times New Roman" w:cs="Times New Roman"/>
                <w:b/>
                <w:bCs/>
                <w:color w:val="000000"/>
                <w:kern w:val="0"/>
                <w:sz w:val="24"/>
                <w:szCs w:val="24"/>
                <w:u w:val="single" w:color="auto"/>
                <w:lang w:val="en-US" w:eastAsia="zh-CN" w:bidi="ar"/>
              </w:rPr>
              <w:t>6</w:t>
            </w:r>
            <w:r>
              <w:rPr>
                <w:rFonts w:hint="default" w:ascii="Times New Roman" w:hAnsi="Times New Roman" w:eastAsia="宋体" w:cs="Times New Roman"/>
                <w:b/>
                <w:bCs/>
                <w:color w:val="auto"/>
                <w:sz w:val="24"/>
                <w:szCs w:val="24"/>
                <w:highlight w:val="none"/>
                <w:u w:val="single" w:color="auto"/>
                <w:lang w:val="en-US" w:eastAsia="zh-CN"/>
              </w:rPr>
              <w:t>m</w:t>
            </w:r>
            <w:r>
              <w:rPr>
                <w:rFonts w:hint="default"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/d、</w:t>
            </w:r>
            <w:r>
              <w:rPr>
                <w:rFonts w:hint="default" w:ascii="Times New Roman" w:hAnsi="Times New Roman" w:cs="Times New Roman"/>
                <w:b/>
                <w:bCs/>
                <w:color w:val="000000"/>
                <w:kern w:val="0"/>
                <w:sz w:val="24"/>
                <w:szCs w:val="24"/>
                <w:u w:val="single" w:color="auto"/>
                <w:lang w:val="en-US" w:eastAsia="zh-CN" w:bidi="ar"/>
              </w:rPr>
              <w:t>18</w:t>
            </w:r>
            <w:r>
              <w:rPr>
                <w:rFonts w:hint="default" w:ascii="Times New Roman" w:hAnsi="Times New Roman" w:eastAsia="宋体" w:cs="Times New Roman"/>
                <w:b/>
                <w:bCs/>
                <w:color w:val="000000"/>
                <w:kern w:val="0"/>
                <w:sz w:val="24"/>
                <w:szCs w:val="24"/>
                <w:u w:val="single" w:color="auto"/>
                <w:lang w:val="en-US" w:eastAsia="zh-CN" w:bidi="ar"/>
              </w:rPr>
              <w:t>00</w:t>
            </w:r>
            <w:r>
              <w:rPr>
                <w:rFonts w:hint="default" w:ascii="Times New Roman" w:hAnsi="Times New Roman" w:eastAsia="宋体" w:cs="Times New Roman"/>
                <w:b/>
                <w:bCs/>
                <w:color w:val="auto"/>
                <w:sz w:val="24"/>
                <w:szCs w:val="24"/>
                <w:highlight w:val="none"/>
                <w:u w:val="single" w:color="auto"/>
                <w:lang w:val="en-US" w:eastAsia="zh-CN"/>
              </w:rPr>
              <w:t>m</w:t>
            </w:r>
            <w:r>
              <w:rPr>
                <w:rFonts w:hint="default"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 xml:space="preserve">/a，磨边废水产生系数按 0.8 </w:t>
            </w:r>
            <w:r>
              <w:rPr>
                <w:rFonts w:hint="default" w:ascii="Times New Roman" w:hAnsi="Times New Roman" w:cs="Times New Roman"/>
                <w:b/>
                <w:bCs/>
                <w:color w:val="000000"/>
                <w:kern w:val="0"/>
                <w:sz w:val="24"/>
                <w:szCs w:val="24"/>
                <w:u w:val="single" w:color="auto"/>
                <w:lang w:val="en-US" w:eastAsia="zh-CN" w:bidi="ar"/>
              </w:rPr>
              <w:t>计</w:t>
            </w:r>
            <w:r>
              <w:rPr>
                <w:rFonts w:hint="default" w:ascii="Times New Roman" w:hAnsi="Times New Roman" w:eastAsia="宋体" w:cs="Times New Roman"/>
                <w:b/>
                <w:bCs/>
                <w:color w:val="000000"/>
                <w:kern w:val="0"/>
                <w:sz w:val="24"/>
                <w:szCs w:val="24"/>
                <w:u w:val="single" w:color="auto"/>
                <w:lang w:val="en-US" w:eastAsia="zh-CN" w:bidi="ar"/>
              </w:rPr>
              <w:t>，则本项目磨边废水产生量为</w:t>
            </w:r>
            <w:r>
              <w:rPr>
                <w:rFonts w:hint="default" w:ascii="Times New Roman" w:hAnsi="Times New Roman" w:cs="Times New Roman"/>
                <w:b/>
                <w:bCs/>
                <w:color w:val="000000"/>
                <w:kern w:val="0"/>
                <w:sz w:val="24"/>
                <w:szCs w:val="24"/>
                <w:u w:val="single" w:color="auto"/>
                <w:lang w:val="en-US" w:eastAsia="zh-CN" w:bidi="ar"/>
              </w:rPr>
              <w:t>4.8</w:t>
            </w:r>
            <w:r>
              <w:rPr>
                <w:rFonts w:hint="default" w:ascii="Times New Roman" w:hAnsi="Times New Roman" w:eastAsia="宋体" w:cs="Times New Roman"/>
                <w:b/>
                <w:bCs/>
                <w:color w:val="auto"/>
                <w:sz w:val="24"/>
                <w:szCs w:val="24"/>
                <w:highlight w:val="none"/>
                <w:u w:val="single" w:color="auto"/>
                <w:lang w:val="en-US" w:eastAsia="zh-CN"/>
              </w:rPr>
              <w:t>m</w:t>
            </w:r>
            <w:r>
              <w:rPr>
                <w:rFonts w:hint="default"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15"/>
                <w:szCs w:val="15"/>
                <w:u w:val="single" w:color="auto"/>
                <w:lang w:val="en-US" w:eastAsia="zh-CN" w:bidi="ar"/>
              </w:rPr>
              <w:t xml:space="preserve"> </w:t>
            </w:r>
            <w:r>
              <w:rPr>
                <w:rFonts w:hint="default" w:ascii="Times New Roman" w:hAnsi="Times New Roman" w:eastAsia="宋体" w:cs="Times New Roman"/>
                <w:b/>
                <w:bCs/>
                <w:color w:val="000000"/>
                <w:kern w:val="0"/>
                <w:sz w:val="24"/>
                <w:szCs w:val="24"/>
                <w:u w:val="single" w:color="auto"/>
                <w:lang w:val="en-US" w:eastAsia="zh-CN" w:bidi="ar"/>
              </w:rPr>
              <w:t>/d、</w:t>
            </w:r>
            <w:r>
              <w:rPr>
                <w:rFonts w:hint="default" w:ascii="Times New Roman" w:hAnsi="Times New Roman" w:cs="Times New Roman"/>
                <w:b/>
                <w:bCs/>
                <w:color w:val="000000"/>
                <w:kern w:val="0"/>
                <w:sz w:val="24"/>
                <w:szCs w:val="24"/>
                <w:u w:val="single" w:color="auto"/>
                <w:lang w:val="en-US" w:eastAsia="zh-CN" w:bidi="ar"/>
              </w:rPr>
              <w:t>1440</w:t>
            </w:r>
            <w:r>
              <w:rPr>
                <w:rFonts w:hint="default" w:ascii="Times New Roman" w:hAnsi="Times New Roman" w:eastAsia="宋体" w:cs="Times New Roman"/>
                <w:b/>
                <w:bCs/>
                <w:color w:val="auto"/>
                <w:sz w:val="24"/>
                <w:szCs w:val="24"/>
                <w:highlight w:val="none"/>
                <w:u w:val="single" w:color="auto"/>
                <w:lang w:val="en-US" w:eastAsia="zh-CN"/>
              </w:rPr>
              <w:t>m</w:t>
            </w:r>
            <w:r>
              <w:rPr>
                <w:rFonts w:hint="default" w:ascii="Times New Roman" w:hAnsi="Times New Roman" w:eastAsia="宋体" w:cs="Times New Roman"/>
                <w:b/>
                <w:bCs/>
                <w:color w:val="auto"/>
                <w:sz w:val="24"/>
                <w:szCs w:val="24"/>
                <w:highlight w:val="none"/>
                <w:u w:val="single" w:color="auto"/>
                <w:vertAlign w:val="superscript"/>
                <w:lang w:val="en-US" w:eastAsia="zh-CN"/>
              </w:rPr>
              <w:t>3</w:t>
            </w:r>
            <w:r>
              <w:rPr>
                <w:rFonts w:hint="default" w:ascii="Times New Roman" w:hAnsi="Times New Roman" w:eastAsia="宋体" w:cs="Times New Roman"/>
                <w:b/>
                <w:bCs/>
                <w:color w:val="000000"/>
                <w:kern w:val="0"/>
                <w:sz w:val="24"/>
                <w:szCs w:val="24"/>
                <w:u w:val="single" w:color="auto"/>
                <w:lang w:val="en-US" w:eastAsia="zh-CN" w:bidi="ar"/>
              </w:rPr>
              <w:t>/a，此部分水经沉淀及过滤处理后回用于磨边。</w:t>
            </w:r>
          </w:p>
          <w:p w14:paraId="5366DC68">
            <w:pPr>
              <w:keepNext w:val="0"/>
              <w:keepLines w:val="0"/>
              <w:pageBreakBefore w:val="0"/>
              <w:widowControl w:val="0"/>
              <w:numPr>
                <w:ilvl w:val="0"/>
                <w:numId w:val="6"/>
              </w:numPr>
              <w:kinsoku/>
              <w:wordWrap/>
              <w:overflowPunct/>
              <w:topLinePunct w:val="0"/>
              <w:bidi w:val="0"/>
              <w:adjustRightInd w:val="0"/>
              <w:snapToGrid w:val="0"/>
              <w:spacing w:line="348" w:lineRule="auto"/>
              <w:ind w:left="0" w:leftChars="0" w:firstLine="400" w:firstLineChars="0"/>
              <w:jc w:val="left"/>
              <w:textAlignment w:val="auto"/>
              <w:rPr>
                <w:rFonts w:hint="default" w:ascii="Times New Roman" w:hAnsi="Times New Roman" w:eastAsia="宋体" w:cs="Times New Roman"/>
                <w:b/>
                <w:bCs/>
                <w:color w:val="000000"/>
                <w:kern w:val="0"/>
                <w:sz w:val="24"/>
                <w:szCs w:val="24"/>
                <w:u w:val="single" w:color="auto"/>
                <w:lang w:val="en-US" w:eastAsia="zh-CN" w:bidi="ar"/>
              </w:rPr>
            </w:pPr>
            <w:r>
              <w:rPr>
                <w:rFonts w:hint="eastAsia" w:ascii="Times New Roman" w:hAnsi="Times New Roman" w:cs="Times New Roman"/>
                <w:b/>
                <w:bCs/>
                <w:color w:val="000000"/>
                <w:kern w:val="0"/>
                <w:sz w:val="24"/>
                <w:szCs w:val="24"/>
                <w:u w:val="single" w:color="auto"/>
                <w:lang w:val="en-US" w:eastAsia="zh-CN" w:bidi="ar"/>
              </w:rPr>
              <w:t>生活污水：本项目</w:t>
            </w:r>
            <w:r>
              <w:rPr>
                <w:rFonts w:hint="default" w:ascii="Times New Roman" w:hAnsi="Times New Roman" w:eastAsia="宋体" w:cs="Times New Roman"/>
                <w:b/>
                <w:bCs/>
                <w:color w:val="000000"/>
                <w:sz w:val="24"/>
                <w:szCs w:val="24"/>
                <w:u w:val="single" w:color="auto"/>
                <w:lang w:eastAsia="zh-CN"/>
              </w:rPr>
              <w:t>生活污水产生量</w:t>
            </w:r>
            <w:r>
              <w:rPr>
                <w:rFonts w:hint="eastAsia" w:ascii="Times New Roman" w:hAnsi="Times New Roman" w:eastAsia="宋体" w:cs="Times New Roman"/>
                <w:b/>
                <w:bCs/>
                <w:color w:val="000000"/>
                <w:sz w:val="24"/>
                <w:szCs w:val="24"/>
                <w:u w:val="single" w:color="auto"/>
                <w:lang w:val="en-US" w:eastAsia="zh-CN"/>
              </w:rPr>
              <w:t>按</w:t>
            </w:r>
            <w:r>
              <w:rPr>
                <w:rFonts w:hint="default" w:ascii="Times New Roman" w:hAnsi="Times New Roman" w:eastAsia="宋体" w:cs="Times New Roman"/>
                <w:b/>
                <w:bCs/>
                <w:color w:val="000000"/>
                <w:sz w:val="24"/>
                <w:szCs w:val="24"/>
                <w:u w:val="single" w:color="auto"/>
                <w:lang w:eastAsia="zh-CN"/>
              </w:rPr>
              <w:t>用水量的80%计，则本项目生活污水量为</w:t>
            </w:r>
            <w:r>
              <w:rPr>
                <w:rFonts w:hint="eastAsia" w:cs="Times New Roman"/>
                <w:b/>
                <w:bCs/>
                <w:color w:val="000000"/>
                <w:sz w:val="24"/>
                <w:szCs w:val="24"/>
                <w:u w:val="single" w:color="auto"/>
                <w:lang w:val="en-US" w:eastAsia="zh-CN"/>
              </w:rPr>
              <w:t>960</w:t>
            </w:r>
            <w:r>
              <w:rPr>
                <w:rFonts w:hint="default" w:ascii="Times New Roman" w:hAnsi="Times New Roman" w:eastAsia="宋体" w:cs="Times New Roman"/>
                <w:b/>
                <w:bCs/>
                <w:color w:val="000000"/>
                <w:sz w:val="24"/>
                <w:szCs w:val="24"/>
                <w:u w:val="single" w:color="auto"/>
                <w:lang w:eastAsia="zh-CN"/>
              </w:rPr>
              <w:t>m</w:t>
            </w:r>
            <w:r>
              <w:rPr>
                <w:rFonts w:hint="default" w:ascii="Times New Roman" w:hAnsi="Times New Roman" w:eastAsia="宋体" w:cs="Times New Roman"/>
                <w:b/>
                <w:bCs/>
                <w:color w:val="000000"/>
                <w:sz w:val="24"/>
                <w:szCs w:val="24"/>
                <w:u w:val="single" w:color="auto"/>
                <w:vertAlign w:val="superscript"/>
                <w:lang w:eastAsia="zh-CN"/>
              </w:rPr>
              <w:t>3</w:t>
            </w:r>
            <w:r>
              <w:rPr>
                <w:rFonts w:hint="default" w:ascii="Times New Roman" w:hAnsi="Times New Roman" w:eastAsia="宋体" w:cs="Times New Roman"/>
                <w:b/>
                <w:bCs/>
                <w:color w:val="000000"/>
                <w:sz w:val="24"/>
                <w:szCs w:val="24"/>
                <w:u w:val="single" w:color="auto"/>
                <w:lang w:eastAsia="zh-CN"/>
              </w:rPr>
              <w:t>/a（</w:t>
            </w:r>
            <w:r>
              <w:rPr>
                <w:rFonts w:hint="eastAsia" w:cs="Times New Roman"/>
                <w:b/>
                <w:bCs/>
                <w:color w:val="000000"/>
                <w:sz w:val="24"/>
                <w:szCs w:val="24"/>
                <w:u w:val="single" w:color="auto"/>
                <w:lang w:val="en-US" w:eastAsia="zh-CN"/>
              </w:rPr>
              <w:t>3.2</w:t>
            </w:r>
            <w:r>
              <w:rPr>
                <w:rFonts w:hint="default" w:ascii="Times New Roman" w:hAnsi="Times New Roman" w:eastAsia="宋体" w:cs="Times New Roman"/>
                <w:b/>
                <w:bCs/>
                <w:color w:val="000000"/>
                <w:sz w:val="24"/>
                <w:szCs w:val="24"/>
                <w:u w:val="single" w:color="auto"/>
                <w:lang w:eastAsia="zh-CN"/>
              </w:rPr>
              <w:t>m</w:t>
            </w:r>
            <w:r>
              <w:rPr>
                <w:rFonts w:hint="default" w:ascii="Times New Roman" w:hAnsi="Times New Roman" w:eastAsia="宋体" w:cs="Times New Roman"/>
                <w:b/>
                <w:bCs/>
                <w:color w:val="000000"/>
                <w:sz w:val="24"/>
                <w:szCs w:val="24"/>
                <w:u w:val="single" w:color="auto"/>
                <w:vertAlign w:val="superscript"/>
                <w:lang w:eastAsia="zh-CN"/>
              </w:rPr>
              <w:t>3</w:t>
            </w:r>
            <w:r>
              <w:rPr>
                <w:rFonts w:hint="default" w:ascii="Times New Roman" w:hAnsi="Times New Roman" w:eastAsia="宋体" w:cs="Times New Roman"/>
                <w:b/>
                <w:bCs/>
                <w:color w:val="000000"/>
                <w:sz w:val="24"/>
                <w:szCs w:val="24"/>
                <w:u w:val="single" w:color="auto"/>
                <w:lang w:eastAsia="zh-CN"/>
              </w:rPr>
              <w:t>/d）。</w:t>
            </w:r>
          </w:p>
          <w:p w14:paraId="37DE26DB">
            <w:pPr>
              <w:pStyle w:val="129"/>
              <w:ind w:firstLine="480"/>
              <w:rPr>
                <w:rFonts w:hint="eastAsia"/>
                <w:b w:val="0"/>
                <w:bCs w:val="0"/>
                <w:color w:val="000000"/>
                <w:lang w:val="en-US" w:eastAsia="zh-CN"/>
              </w:rPr>
            </w:pPr>
            <w:r>
              <w:rPr>
                <w:rFonts w:hint="eastAsia" w:ascii="Times New Roman" w:hAnsi="Times New Roman" w:eastAsia="宋体" w:cs="Times New Roman"/>
                <w:b w:val="0"/>
                <w:bCs w:val="0"/>
                <w:color w:val="auto"/>
                <w:sz w:val="24"/>
                <w:szCs w:val="24"/>
                <w:highlight w:val="none"/>
                <w:u w:val="none" w:color="auto"/>
                <w:lang w:val="en-US" w:eastAsia="zh-CN"/>
              </w:rPr>
              <w:t>本项目运营期废水主要为</w:t>
            </w:r>
            <w:r>
              <w:rPr>
                <w:rFonts w:hint="eastAsia" w:cs="Times New Roman"/>
                <w:b w:val="0"/>
                <w:bCs w:val="0"/>
                <w:color w:val="auto"/>
                <w:sz w:val="24"/>
                <w:szCs w:val="24"/>
                <w:highlight w:val="none"/>
                <w:u w:val="none" w:color="auto"/>
                <w:lang w:val="en-US" w:eastAsia="zh-CN"/>
              </w:rPr>
              <w:t>生活污水和</w:t>
            </w:r>
            <w:r>
              <w:rPr>
                <w:rFonts w:hint="eastAsia" w:ascii="Times New Roman" w:hAnsi="Times New Roman" w:eastAsia="宋体" w:cs="Times New Roman"/>
                <w:b w:val="0"/>
                <w:bCs w:val="0"/>
                <w:color w:val="auto"/>
                <w:sz w:val="24"/>
                <w:szCs w:val="24"/>
                <w:highlight w:val="none"/>
                <w:u w:val="none" w:color="auto"/>
                <w:lang w:val="en-US" w:eastAsia="zh-CN"/>
              </w:rPr>
              <w:t>生产废水，</w:t>
            </w:r>
            <w:r>
              <w:rPr>
                <w:rFonts w:hint="eastAsia" w:cs="Times New Roman"/>
                <w:b w:val="0"/>
                <w:bCs w:val="0"/>
                <w:color w:val="auto"/>
                <w:sz w:val="24"/>
                <w:szCs w:val="24"/>
                <w:highlight w:val="none"/>
                <w:u w:val="none" w:color="auto"/>
                <w:lang w:val="en-US" w:eastAsia="zh-CN"/>
              </w:rPr>
              <w:t>其中生产废水</w:t>
            </w:r>
            <w:r>
              <w:rPr>
                <w:rFonts w:hint="eastAsia" w:ascii="Times New Roman" w:hAnsi="Times New Roman" w:eastAsia="宋体" w:cs="Times New Roman"/>
                <w:b w:val="0"/>
                <w:bCs w:val="0"/>
                <w:color w:val="auto"/>
                <w:sz w:val="24"/>
                <w:szCs w:val="24"/>
                <w:highlight w:val="none"/>
                <w:u w:val="none" w:color="auto"/>
                <w:lang w:val="en-US" w:eastAsia="zh-CN"/>
              </w:rPr>
              <w:t>包括玻璃原片清洗废水、磨边废水、纯水制备系统排水及</w:t>
            </w:r>
            <w:r>
              <w:rPr>
                <w:rFonts w:hint="eastAsia" w:cs="Times New Roman"/>
                <w:b w:val="0"/>
                <w:bCs w:val="0"/>
                <w:color w:val="auto"/>
                <w:sz w:val="24"/>
                <w:szCs w:val="24"/>
                <w:highlight w:val="none"/>
                <w:u w:val="none" w:color="auto"/>
                <w:lang w:val="en-US" w:eastAsia="zh-CN"/>
              </w:rPr>
              <w:t>镀膜及</w:t>
            </w:r>
            <w:r>
              <w:rPr>
                <w:rFonts w:hint="eastAsia" w:ascii="Times New Roman" w:hAnsi="Times New Roman" w:eastAsia="宋体" w:cs="Times New Roman"/>
                <w:b w:val="0"/>
                <w:bCs w:val="0"/>
                <w:color w:val="auto"/>
                <w:sz w:val="24"/>
                <w:szCs w:val="24"/>
                <w:highlight w:val="none"/>
                <w:u w:val="none" w:color="auto"/>
                <w:lang w:val="en-US" w:eastAsia="zh-CN"/>
              </w:rPr>
              <w:t>夹胶</w:t>
            </w:r>
            <w:r>
              <w:rPr>
                <w:rFonts w:hint="eastAsia" w:cs="Times New Roman"/>
                <w:b w:val="0"/>
                <w:bCs w:val="0"/>
                <w:color w:val="auto"/>
                <w:sz w:val="24"/>
                <w:szCs w:val="24"/>
                <w:highlight w:val="none"/>
                <w:u w:val="none" w:color="auto"/>
                <w:lang w:val="en-US" w:eastAsia="zh-CN"/>
              </w:rPr>
              <w:t>、中空</w:t>
            </w:r>
            <w:r>
              <w:rPr>
                <w:rFonts w:hint="eastAsia" w:ascii="Times New Roman" w:hAnsi="Times New Roman" w:eastAsia="宋体" w:cs="Times New Roman"/>
                <w:b w:val="0"/>
                <w:bCs w:val="0"/>
                <w:color w:val="auto"/>
                <w:sz w:val="24"/>
                <w:szCs w:val="24"/>
                <w:highlight w:val="none"/>
                <w:u w:val="none" w:color="auto"/>
                <w:lang w:val="en-US" w:eastAsia="zh-CN"/>
              </w:rPr>
              <w:t>工序对应</w:t>
            </w:r>
            <w:r>
              <w:rPr>
                <w:rFonts w:hint="eastAsia" w:ascii="宋体" w:hAnsi="宋体" w:eastAsia="宋体" w:cs="宋体"/>
                <w:color w:val="000000"/>
                <w:kern w:val="0"/>
                <w:sz w:val="24"/>
                <w:szCs w:val="24"/>
                <w:lang w:val="en-US" w:eastAsia="zh-CN" w:bidi="ar"/>
              </w:rPr>
              <w:t>玻璃清洗废水</w:t>
            </w:r>
            <w:r>
              <w:rPr>
                <w:rFonts w:hint="eastAsia" w:ascii="Times New Roman" w:hAnsi="Times New Roman" w:eastAsia="宋体" w:cs="Times New Roman"/>
                <w:b w:val="0"/>
                <w:bCs w:val="0"/>
                <w:color w:val="auto"/>
                <w:sz w:val="24"/>
                <w:szCs w:val="24"/>
                <w:highlight w:val="none"/>
                <w:u w:val="none" w:color="auto"/>
                <w:lang w:val="en-US" w:eastAsia="zh-CN"/>
              </w:rPr>
              <w:t>。</w:t>
            </w:r>
            <w:r>
              <w:rPr>
                <w:rFonts w:hint="eastAsia" w:cs="Times New Roman"/>
                <w:b w:val="0"/>
                <w:bCs w:val="0"/>
                <w:color w:val="auto"/>
                <w:sz w:val="24"/>
                <w:szCs w:val="24"/>
                <w:highlight w:val="none"/>
                <w:u w:val="none" w:color="auto"/>
                <w:lang w:val="en-US" w:eastAsia="zh-CN"/>
              </w:rPr>
              <w:t>其中</w:t>
            </w:r>
            <w:r>
              <w:rPr>
                <w:rFonts w:hint="eastAsia" w:ascii="Times New Roman" w:hAnsi="Times New Roman" w:eastAsia="宋体" w:cs="Times New Roman"/>
                <w:b w:val="0"/>
                <w:bCs w:val="0"/>
                <w:color w:val="auto"/>
                <w:sz w:val="24"/>
                <w:szCs w:val="24"/>
                <w:highlight w:val="none"/>
                <w:u w:val="none" w:color="auto"/>
                <w:lang w:val="en-US" w:eastAsia="zh-CN"/>
              </w:rPr>
              <w:t>生活污水</w:t>
            </w:r>
            <w:r>
              <w:rPr>
                <w:rFonts w:hint="eastAsia" w:cs="Times New Roman"/>
                <w:b w:val="0"/>
                <w:bCs w:val="0"/>
                <w:color w:val="auto"/>
                <w:sz w:val="24"/>
                <w:szCs w:val="24"/>
                <w:highlight w:val="none"/>
                <w:u w:val="none" w:color="auto"/>
                <w:lang w:val="en-US" w:eastAsia="zh-CN"/>
              </w:rPr>
              <w:t>经</w:t>
            </w:r>
            <w:r>
              <w:rPr>
                <w:rFonts w:hint="eastAsia" w:ascii="Times New Roman" w:hAnsi="Times New Roman" w:eastAsia="宋体" w:cs="Times New Roman"/>
                <w:b w:val="0"/>
                <w:bCs w:val="0"/>
                <w:color w:val="auto"/>
                <w:sz w:val="24"/>
                <w:szCs w:val="24"/>
                <w:highlight w:val="none"/>
                <w:u w:val="none" w:color="auto"/>
                <w:lang w:val="en-US" w:eastAsia="zh-CN"/>
              </w:rPr>
              <w:t>化粪池处理后经厂区总排口排入市政管网</w:t>
            </w:r>
            <w:r>
              <w:rPr>
                <w:rFonts w:hint="eastAsia"/>
                <w:b w:val="0"/>
                <w:bCs w:val="0"/>
                <w:color w:val="000000"/>
              </w:rPr>
              <w:t>进入淮阳区第</w:t>
            </w:r>
            <w:r>
              <w:rPr>
                <w:rFonts w:hint="eastAsia"/>
                <w:b w:val="0"/>
                <w:bCs w:val="0"/>
                <w:color w:val="000000"/>
                <w:lang w:val="en-US" w:eastAsia="zh-CN"/>
              </w:rPr>
              <w:t>二</w:t>
            </w:r>
            <w:r>
              <w:rPr>
                <w:rFonts w:hint="eastAsia"/>
                <w:b w:val="0"/>
                <w:bCs w:val="0"/>
                <w:color w:val="000000"/>
              </w:rPr>
              <w:t>污水处理厂进一步处理</w:t>
            </w:r>
            <w:r>
              <w:rPr>
                <w:rFonts w:hint="eastAsia"/>
                <w:b w:val="0"/>
                <w:bCs w:val="0"/>
                <w:color w:val="000000"/>
                <w:lang w:val="en-US" w:eastAsia="zh-CN"/>
              </w:rPr>
              <w:t>后排放。</w:t>
            </w:r>
            <w:r>
              <w:rPr>
                <w:rFonts w:hint="eastAsia" w:ascii="Times New Roman" w:hAnsi="Times New Roman" w:cs="Times New Roman"/>
                <w:b w:val="0"/>
                <w:bCs w:val="0"/>
                <w:snapToGrid w:val="0"/>
                <w:color w:val="000000"/>
                <w:kern w:val="0"/>
                <w:sz w:val="24"/>
                <w:szCs w:val="24"/>
                <w:lang w:val="en-US" w:eastAsia="zh-CN"/>
              </w:rPr>
              <w:t>生产废水</w:t>
            </w:r>
            <w:r>
              <w:rPr>
                <w:rFonts w:hint="eastAsia" w:cs="Times New Roman"/>
                <w:b w:val="0"/>
                <w:bCs w:val="0"/>
                <w:snapToGrid w:val="0"/>
                <w:color w:val="000000"/>
                <w:kern w:val="0"/>
                <w:sz w:val="24"/>
                <w:szCs w:val="24"/>
                <w:lang w:val="en-US" w:eastAsia="zh-CN"/>
              </w:rPr>
              <w:t>中的玻璃原片清洗废水经循环水箱沉淀后回用于清洗玻璃原片；镀膜及夹胶、中空工序对应玻璃清洗废水经收集后回用于玻璃原片清洗用水；磨边废水经沉淀及过滤处理后回用于磨边；纯水制备系统排水收集后用于厂区洒水</w:t>
            </w:r>
            <w:r>
              <w:rPr>
                <w:rFonts w:hint="eastAsia"/>
                <w:b w:val="0"/>
                <w:bCs w:val="0"/>
                <w:color w:val="000000"/>
                <w:lang w:val="en-US" w:eastAsia="zh-CN"/>
              </w:rPr>
              <w:t>。</w:t>
            </w:r>
          </w:p>
          <w:p w14:paraId="1C63453E">
            <w:pPr>
              <w:pStyle w:val="129"/>
              <w:ind w:firstLine="480"/>
              <w:rPr>
                <w:rFonts w:hint="eastAsia"/>
                <w:b w:val="0"/>
                <w:bCs w:val="0"/>
                <w:color w:val="000000"/>
                <w:lang w:val="en-US" w:eastAsia="zh-CN"/>
              </w:rPr>
            </w:pPr>
          </w:p>
          <w:p w14:paraId="227101D5">
            <w:pPr>
              <w:pStyle w:val="129"/>
              <w:ind w:firstLine="480"/>
              <w:rPr>
                <w:rFonts w:hint="eastAsia"/>
                <w:b w:val="0"/>
                <w:bCs w:val="0"/>
                <w:color w:val="000000"/>
                <w:lang w:val="en-US" w:eastAsia="zh-CN"/>
              </w:rPr>
            </w:pPr>
          </w:p>
          <w:p w14:paraId="33026C95">
            <w:pPr>
              <w:pStyle w:val="129"/>
              <w:ind w:firstLine="480"/>
              <w:rPr>
                <w:rFonts w:hint="eastAsia"/>
                <w:b w:val="0"/>
                <w:bCs w:val="0"/>
                <w:color w:val="000000"/>
                <w:lang w:val="en-US" w:eastAsia="zh-CN"/>
              </w:rPr>
            </w:pPr>
          </w:p>
          <w:p w14:paraId="3BB2668D">
            <w:pPr>
              <w:pStyle w:val="129"/>
              <w:ind w:firstLine="480"/>
              <w:rPr>
                <w:rFonts w:hint="eastAsia"/>
                <w:b w:val="0"/>
                <w:bCs w:val="0"/>
                <w:color w:val="000000"/>
                <w:lang w:val="en-US" w:eastAsia="zh-CN"/>
              </w:rPr>
            </w:pPr>
          </w:p>
          <w:p w14:paraId="3B34D28F">
            <w:pPr>
              <w:pStyle w:val="129"/>
              <w:ind w:firstLine="480"/>
              <w:rPr>
                <w:rFonts w:hint="eastAsia"/>
                <w:b w:val="0"/>
                <w:bCs w:val="0"/>
                <w:color w:val="000000"/>
                <w:lang w:val="en-US" w:eastAsia="zh-CN"/>
              </w:rPr>
            </w:pPr>
          </w:p>
          <w:p w14:paraId="3543DC36">
            <w:pPr>
              <w:pStyle w:val="129"/>
              <w:ind w:firstLine="480"/>
              <w:rPr>
                <w:rFonts w:hint="eastAsia"/>
                <w:b w:val="0"/>
                <w:bCs w:val="0"/>
                <w:color w:val="000000"/>
                <w:lang w:val="en-US" w:eastAsia="zh-CN"/>
              </w:rPr>
            </w:pPr>
          </w:p>
          <w:p w14:paraId="765A9623">
            <w:pPr>
              <w:pStyle w:val="129"/>
              <w:ind w:firstLine="480"/>
              <w:rPr>
                <w:rFonts w:hint="eastAsia"/>
                <w:b w:val="0"/>
                <w:bCs w:val="0"/>
                <w:color w:val="000000"/>
                <w:lang w:val="en-US" w:eastAsia="zh-CN"/>
              </w:rPr>
            </w:pPr>
          </w:p>
          <w:p w14:paraId="2F16BC93">
            <w:pPr>
              <w:pStyle w:val="129"/>
              <w:ind w:left="0" w:leftChars="0" w:firstLine="0" w:firstLineChars="0"/>
              <w:rPr>
                <w:rFonts w:hint="eastAsia"/>
                <w:b w:val="0"/>
                <w:bCs w:val="0"/>
                <w:color w:val="000000"/>
                <w:lang w:val="en-US" w:eastAsia="zh-CN"/>
              </w:rPr>
            </w:pPr>
          </w:p>
          <w:p w14:paraId="1E0EC7C3">
            <w:pPr>
              <w:pStyle w:val="129"/>
              <w:ind w:left="0" w:leftChars="0" w:firstLine="0" w:firstLineChars="0"/>
              <w:rPr>
                <w:rFonts w:hint="eastAsia"/>
                <w:b w:val="0"/>
                <w:bCs w:val="0"/>
                <w:color w:val="000000"/>
                <w:lang w:val="en-US" w:eastAsia="zh-CN"/>
              </w:rPr>
            </w:pPr>
            <w:r>
              <w:rPr>
                <w:sz w:val="24"/>
              </w:rPr>
              <mc:AlternateContent>
                <mc:Choice Requires="wpg">
                  <w:drawing>
                    <wp:anchor distT="0" distB="0" distL="114300" distR="114300" simplePos="0" relativeHeight="251659264" behindDoc="0" locked="0" layoutInCell="1" allowOverlap="1">
                      <wp:simplePos x="0" y="0"/>
                      <wp:positionH relativeFrom="column">
                        <wp:posOffset>325755</wp:posOffset>
                      </wp:positionH>
                      <wp:positionV relativeFrom="paragraph">
                        <wp:posOffset>27940</wp:posOffset>
                      </wp:positionV>
                      <wp:extent cx="4507230" cy="4758690"/>
                      <wp:effectExtent l="0" t="0" r="0" b="0"/>
                      <wp:wrapNone/>
                      <wp:docPr id="127" name="组合 127"/>
                      <wp:cNvGraphicFramePr/>
                      <a:graphic xmlns:a="http://schemas.openxmlformats.org/drawingml/2006/main">
                        <a:graphicData uri="http://schemas.microsoft.com/office/word/2010/wordprocessingGroup">
                          <wpg:wgp>
                            <wpg:cNvGrpSpPr/>
                            <wpg:grpSpPr>
                              <a:xfrm>
                                <a:off x="0" y="0"/>
                                <a:ext cx="4507230" cy="4758690"/>
                                <a:chOff x="8313" y="295562"/>
                                <a:chExt cx="7098" cy="7494"/>
                              </a:xfrm>
                            </wpg:grpSpPr>
                            <wps:wsp>
                              <wps:cNvPr id="46" name="任意多边形 46"/>
                              <wps:cNvSpPr/>
                              <wps:spPr>
                                <a:xfrm>
                                  <a:off x="12497" y="296224"/>
                                  <a:ext cx="270" cy="257"/>
                                </a:xfrm>
                                <a:custGeom>
                                  <a:avLst/>
                                  <a:gdLst/>
                                  <a:ahLst/>
                                  <a:cxnLst/>
                                  <a:pathLst>
                                    <a:path w="308" h="269">
                                      <a:moveTo>
                                        <a:pt x="0" y="269"/>
                                      </a:moveTo>
                                      <a:cubicBezTo>
                                        <a:pt x="24" y="220"/>
                                        <a:pt x="95" y="54"/>
                                        <a:pt x="119" y="40"/>
                                      </a:cubicBezTo>
                                      <a:cubicBezTo>
                                        <a:pt x="143" y="26"/>
                                        <a:pt x="81" y="205"/>
                                        <a:pt x="119" y="197"/>
                                      </a:cubicBezTo>
                                      <a:cubicBezTo>
                                        <a:pt x="157" y="189"/>
                                        <a:pt x="270" y="43"/>
                                        <a:pt x="308" y="0"/>
                                      </a:cubicBezTo>
                                    </a:path>
                                  </a:pathLst>
                                </a:custGeom>
                                <a:noFill/>
                                <a:ln w="6350" cap="flat" cmpd="sng">
                                  <a:solidFill>
                                    <a:srgbClr val="000000"/>
                                  </a:solidFill>
                                  <a:prstDash val="dash"/>
                                  <a:headEnd type="none" w="med" len="med"/>
                                  <a:tailEnd type="triangle" w="med" len="med"/>
                                </a:ln>
                              </wps:spPr>
                              <wps:bodyPr upright="1"/>
                            </wps:wsp>
                            <wps:wsp>
                              <wps:cNvPr id="47" name="任意多边形 47"/>
                              <wps:cNvSpPr/>
                              <wps:spPr>
                                <a:xfrm>
                                  <a:off x="12517" y="297798"/>
                                  <a:ext cx="270" cy="257"/>
                                </a:xfrm>
                                <a:custGeom>
                                  <a:avLst/>
                                  <a:gdLst/>
                                  <a:ahLst/>
                                  <a:cxnLst/>
                                  <a:pathLst>
                                    <a:path w="308" h="269">
                                      <a:moveTo>
                                        <a:pt x="0" y="269"/>
                                      </a:moveTo>
                                      <a:cubicBezTo>
                                        <a:pt x="24" y="220"/>
                                        <a:pt x="95" y="54"/>
                                        <a:pt x="119" y="40"/>
                                      </a:cubicBezTo>
                                      <a:cubicBezTo>
                                        <a:pt x="143" y="26"/>
                                        <a:pt x="81" y="205"/>
                                        <a:pt x="119" y="197"/>
                                      </a:cubicBezTo>
                                      <a:cubicBezTo>
                                        <a:pt x="157" y="189"/>
                                        <a:pt x="270" y="43"/>
                                        <a:pt x="308" y="0"/>
                                      </a:cubicBezTo>
                                    </a:path>
                                  </a:pathLst>
                                </a:custGeom>
                                <a:noFill/>
                                <a:ln w="6350" cap="flat" cmpd="sng">
                                  <a:solidFill>
                                    <a:srgbClr val="000000"/>
                                  </a:solidFill>
                                  <a:prstDash val="dash"/>
                                  <a:headEnd type="none" w="med" len="med"/>
                                  <a:tailEnd type="triangle" w="med" len="med"/>
                                </a:ln>
                              </wps:spPr>
                              <wps:bodyPr upright="1"/>
                            </wps:wsp>
                            <wps:wsp>
                              <wps:cNvPr id="49" name="任意多边形 49"/>
                              <wps:cNvSpPr/>
                              <wps:spPr>
                                <a:xfrm>
                                  <a:off x="12990" y="299127"/>
                                  <a:ext cx="307" cy="312"/>
                                </a:xfrm>
                                <a:custGeom>
                                  <a:avLst/>
                                  <a:gdLst/>
                                  <a:ahLst/>
                                  <a:cxnLst/>
                                  <a:pathLst>
                                    <a:path w="308" h="269">
                                      <a:moveTo>
                                        <a:pt x="0" y="269"/>
                                      </a:moveTo>
                                      <a:cubicBezTo>
                                        <a:pt x="24" y="220"/>
                                        <a:pt x="95" y="54"/>
                                        <a:pt x="119" y="40"/>
                                      </a:cubicBezTo>
                                      <a:cubicBezTo>
                                        <a:pt x="143" y="26"/>
                                        <a:pt x="81" y="205"/>
                                        <a:pt x="119" y="197"/>
                                      </a:cubicBezTo>
                                      <a:cubicBezTo>
                                        <a:pt x="157" y="189"/>
                                        <a:pt x="270" y="43"/>
                                        <a:pt x="308" y="0"/>
                                      </a:cubicBezTo>
                                    </a:path>
                                  </a:pathLst>
                                </a:custGeom>
                                <a:noFill/>
                                <a:ln w="6350" cap="flat" cmpd="sng">
                                  <a:solidFill>
                                    <a:srgbClr val="000000"/>
                                  </a:solidFill>
                                  <a:prstDash val="dash"/>
                                  <a:headEnd type="none" w="med" len="med"/>
                                  <a:tailEnd type="triangle" w="med" len="med"/>
                                </a:ln>
                              </wps:spPr>
                              <wps:bodyPr upright="1"/>
                            </wps:wsp>
                            <wps:wsp>
                              <wps:cNvPr id="51" name="矩形 51"/>
                              <wps:cNvSpPr/>
                              <wps:spPr>
                                <a:xfrm>
                                  <a:off x="8313" y="298941"/>
                                  <a:ext cx="472" cy="971"/>
                                </a:xfrm>
                                <a:prstGeom prst="rect">
                                  <a:avLst/>
                                </a:prstGeom>
                                <a:noFill/>
                                <a:ln>
                                  <a:noFill/>
                                </a:ln>
                              </wps:spPr>
                              <wps:txbx>
                                <w:txbxContent>
                                  <w:p w14:paraId="7AE5B9A6">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新鲜水</w:t>
                                    </w:r>
                                  </w:p>
                                </w:txbxContent>
                              </wps:txbx>
                              <wps:bodyPr upright="1"/>
                            </wps:wsp>
                            <wps:wsp>
                              <wps:cNvPr id="52" name="直接连接符 52"/>
                              <wps:cNvCnPr/>
                              <wps:spPr>
                                <a:xfrm flipV="1">
                                  <a:off x="8804" y="299360"/>
                                  <a:ext cx="760" cy="8"/>
                                </a:xfrm>
                                <a:prstGeom prst="line">
                                  <a:avLst/>
                                </a:prstGeom>
                                <a:ln w="6350" cap="flat" cmpd="sng">
                                  <a:solidFill>
                                    <a:srgbClr val="000000"/>
                                  </a:solidFill>
                                  <a:prstDash val="solid"/>
                                  <a:headEnd type="none" w="med" len="med"/>
                                  <a:tailEnd type="triangle" w="med" len="med"/>
                                </a:ln>
                              </wps:spPr>
                              <wps:bodyPr upright="1"/>
                            </wps:wsp>
                            <wps:wsp>
                              <wps:cNvPr id="53" name="矩形 53"/>
                              <wps:cNvSpPr/>
                              <wps:spPr>
                                <a:xfrm>
                                  <a:off x="8799" y="299029"/>
                                  <a:ext cx="663" cy="374"/>
                                </a:xfrm>
                                <a:prstGeom prst="rect">
                                  <a:avLst/>
                                </a:prstGeom>
                                <a:noFill/>
                                <a:ln>
                                  <a:noFill/>
                                </a:ln>
                              </wps:spPr>
                              <wps:txbx>
                                <w:txbxContent>
                                  <w:p w14:paraId="490E3DDC">
                                    <w:pPr>
                                      <w:keepNext w:val="0"/>
                                      <w:keepLines w:val="0"/>
                                      <w:pageBreakBefore w:val="0"/>
                                      <w:widowControl w:val="0"/>
                                      <w:kinsoku/>
                                      <w:wordWrap/>
                                      <w:overflowPunct/>
                                      <w:topLinePunct w:val="0"/>
                                      <w:bidi w:val="0"/>
                                      <w:adjustRightInd w:val="0"/>
                                      <w:snapToGrid w:val="0"/>
                                      <w:jc w:val="center"/>
                                      <w:textAlignment w:val="auto"/>
                                      <w:rPr>
                                        <w:rFonts w:hint="default" w:eastAsia="宋体"/>
                                        <w:color w:val="auto"/>
                                        <w:sz w:val="21"/>
                                        <w:szCs w:val="21"/>
                                        <w:lang w:val="en-US" w:eastAsia="zh-CN"/>
                                      </w:rPr>
                                    </w:pPr>
                                    <w:r>
                                      <w:rPr>
                                        <w:rFonts w:hint="eastAsia"/>
                                        <w:color w:val="auto"/>
                                        <w:sz w:val="21"/>
                                        <w:szCs w:val="21"/>
                                        <w:lang w:val="en-US" w:eastAsia="zh-CN"/>
                                      </w:rPr>
                                      <w:t>10.26</w:t>
                                    </w:r>
                                  </w:p>
                                </w:txbxContent>
                              </wps:txbx>
                              <wps:bodyPr upright="1"/>
                            </wps:wsp>
                            <wps:wsp>
                              <wps:cNvPr id="57" name="任意多边形 57"/>
                              <wps:cNvSpPr/>
                              <wps:spPr>
                                <a:xfrm>
                                  <a:off x="10773" y="301894"/>
                                  <a:ext cx="270" cy="257"/>
                                </a:xfrm>
                                <a:custGeom>
                                  <a:avLst/>
                                  <a:gdLst/>
                                  <a:ahLst/>
                                  <a:cxnLst/>
                                  <a:pathLst>
                                    <a:path w="308" h="269">
                                      <a:moveTo>
                                        <a:pt x="0" y="269"/>
                                      </a:moveTo>
                                      <a:cubicBezTo>
                                        <a:pt x="24" y="220"/>
                                        <a:pt x="95" y="54"/>
                                        <a:pt x="119" y="40"/>
                                      </a:cubicBezTo>
                                      <a:cubicBezTo>
                                        <a:pt x="143" y="26"/>
                                        <a:pt x="81" y="205"/>
                                        <a:pt x="119" y="197"/>
                                      </a:cubicBezTo>
                                      <a:cubicBezTo>
                                        <a:pt x="157" y="189"/>
                                        <a:pt x="270" y="43"/>
                                        <a:pt x="308" y="0"/>
                                      </a:cubicBezTo>
                                    </a:path>
                                  </a:pathLst>
                                </a:custGeom>
                                <a:noFill/>
                                <a:ln w="6350" cap="flat" cmpd="sng">
                                  <a:solidFill>
                                    <a:srgbClr val="000000"/>
                                  </a:solidFill>
                                  <a:prstDash val="dash"/>
                                  <a:headEnd type="none" w="med" len="med"/>
                                  <a:tailEnd type="triangle" w="med" len="med"/>
                                </a:ln>
                              </wps:spPr>
                              <wps:bodyPr upright="1"/>
                            </wps:wsp>
                            <wps:wsp>
                              <wps:cNvPr id="58" name="矩形 58"/>
                              <wps:cNvSpPr/>
                              <wps:spPr>
                                <a:xfrm>
                                  <a:off x="10160" y="302157"/>
                                  <a:ext cx="1199" cy="395"/>
                                </a:xfrm>
                                <a:prstGeom prst="rect">
                                  <a:avLst/>
                                </a:prstGeom>
                                <a:noFill/>
                                <a:ln w="6350" cap="flat" cmpd="sng">
                                  <a:solidFill>
                                    <a:srgbClr val="000000"/>
                                  </a:solidFill>
                                  <a:prstDash val="solid"/>
                                  <a:miter/>
                                  <a:headEnd type="none" w="med" len="med"/>
                                  <a:tailEnd type="none" w="med" len="med"/>
                                </a:ln>
                              </wps:spPr>
                              <wps:txbx>
                                <w:txbxContent>
                                  <w:p w14:paraId="22139CC8">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生活用水</w:t>
                                    </w:r>
                                  </w:p>
                                </w:txbxContent>
                              </wps:txbx>
                              <wps:bodyPr upright="1"/>
                            </wps:wsp>
                            <wps:wsp>
                              <wps:cNvPr id="59" name="直接连接符 59"/>
                              <wps:cNvCnPr/>
                              <wps:spPr>
                                <a:xfrm>
                                  <a:off x="9614" y="302394"/>
                                  <a:ext cx="583" cy="16"/>
                                </a:xfrm>
                                <a:prstGeom prst="line">
                                  <a:avLst/>
                                </a:prstGeom>
                                <a:ln w="6350" cap="flat" cmpd="sng">
                                  <a:solidFill>
                                    <a:srgbClr val="000000"/>
                                  </a:solidFill>
                                  <a:prstDash val="solid"/>
                                  <a:headEnd type="none" w="med" len="med"/>
                                  <a:tailEnd type="triangle" w="med" len="med"/>
                                </a:ln>
                              </wps:spPr>
                              <wps:bodyPr upright="1"/>
                            </wps:wsp>
                            <wps:wsp>
                              <wps:cNvPr id="60" name="矩形 60"/>
                              <wps:cNvSpPr/>
                              <wps:spPr>
                                <a:xfrm>
                                  <a:off x="9598" y="302018"/>
                                  <a:ext cx="614" cy="374"/>
                                </a:xfrm>
                                <a:prstGeom prst="rect">
                                  <a:avLst/>
                                </a:prstGeom>
                                <a:noFill/>
                                <a:ln>
                                  <a:noFill/>
                                </a:ln>
                              </wps:spPr>
                              <wps:txbx>
                                <w:txbxContent>
                                  <w:p w14:paraId="33CFFF0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w:t>
                                    </w:r>
                                  </w:p>
                                </w:txbxContent>
                              </wps:txbx>
                              <wps:bodyPr upright="1"/>
                            </wps:wsp>
                            <wps:wsp>
                              <wps:cNvPr id="61" name="直接连接符 61"/>
                              <wps:cNvCnPr/>
                              <wps:spPr>
                                <a:xfrm flipV="1">
                                  <a:off x="11287" y="302359"/>
                                  <a:ext cx="687" cy="8"/>
                                </a:xfrm>
                                <a:prstGeom prst="line">
                                  <a:avLst/>
                                </a:prstGeom>
                                <a:ln w="6350" cap="flat" cmpd="sng">
                                  <a:solidFill>
                                    <a:srgbClr val="000000"/>
                                  </a:solidFill>
                                  <a:prstDash val="solid"/>
                                  <a:headEnd type="none" w="med" len="med"/>
                                  <a:tailEnd type="triangle" w="med" len="med"/>
                                </a:ln>
                              </wps:spPr>
                              <wps:bodyPr upright="1"/>
                            </wps:wsp>
                            <wps:wsp>
                              <wps:cNvPr id="62" name="矩形 62"/>
                              <wps:cNvSpPr/>
                              <wps:spPr>
                                <a:xfrm>
                                  <a:off x="11262" y="302036"/>
                                  <a:ext cx="594" cy="374"/>
                                </a:xfrm>
                                <a:prstGeom prst="rect">
                                  <a:avLst/>
                                </a:prstGeom>
                                <a:noFill/>
                                <a:ln>
                                  <a:noFill/>
                                </a:ln>
                              </wps:spPr>
                              <wps:txbx>
                                <w:txbxContent>
                                  <w:p w14:paraId="720979C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3.2</w:t>
                                    </w:r>
                                  </w:p>
                                </w:txbxContent>
                              </wps:txbx>
                              <wps:bodyPr upright="1"/>
                            </wps:wsp>
                            <wps:wsp>
                              <wps:cNvPr id="63" name="矩形 63"/>
                              <wps:cNvSpPr/>
                              <wps:spPr>
                                <a:xfrm>
                                  <a:off x="11968" y="302166"/>
                                  <a:ext cx="1158" cy="413"/>
                                </a:xfrm>
                                <a:prstGeom prst="rect">
                                  <a:avLst/>
                                </a:prstGeom>
                                <a:noFill/>
                                <a:ln w="6350" cap="flat" cmpd="sng">
                                  <a:solidFill>
                                    <a:srgbClr val="000000"/>
                                  </a:solidFill>
                                  <a:prstDash val="solid"/>
                                  <a:miter/>
                                  <a:headEnd type="none" w="med" len="med"/>
                                  <a:tailEnd type="none" w="med" len="med"/>
                                </a:ln>
                              </wps:spPr>
                              <wps:txbx>
                                <w:txbxContent>
                                  <w:p w14:paraId="35F38E4F">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化粪池</w:t>
                                    </w:r>
                                  </w:p>
                                </w:txbxContent>
                              </wps:txbx>
                              <wps:bodyPr upright="1"/>
                            </wps:wsp>
                            <wps:wsp>
                              <wps:cNvPr id="64" name="矩形 64"/>
                              <wps:cNvSpPr/>
                              <wps:spPr>
                                <a:xfrm>
                                  <a:off x="14356" y="301817"/>
                                  <a:ext cx="1055" cy="1239"/>
                                </a:xfrm>
                                <a:prstGeom prst="rect">
                                  <a:avLst/>
                                </a:prstGeom>
                                <a:noFill/>
                                <a:ln w="6350" cap="flat" cmpd="sng">
                                  <a:noFill/>
                                  <a:prstDash val="solid"/>
                                  <a:miter/>
                                  <a:headEnd type="none" w="med" len="med"/>
                                  <a:tailEnd type="none" w="med" len="med"/>
                                </a:ln>
                              </wps:spPr>
                              <wps:txbx>
                                <w:txbxContent>
                                  <w:p w14:paraId="48BD4DC6">
                                    <w:pPr>
                                      <w:rPr>
                                        <w:rFonts w:hint="default"/>
                                        <w:lang w:val="en-US" w:eastAsia="zh-CN"/>
                                      </w:rPr>
                                    </w:pPr>
                                    <w:r>
                                      <w:rPr>
                                        <w:rFonts w:hint="eastAsia"/>
                                        <w:b w:val="0"/>
                                        <w:bCs w:val="0"/>
                                        <w:color w:val="000000"/>
                                      </w:rPr>
                                      <w:t>淮阳区第</w:t>
                                    </w:r>
                                    <w:r>
                                      <w:rPr>
                                        <w:rFonts w:hint="eastAsia"/>
                                        <w:b w:val="0"/>
                                        <w:bCs w:val="0"/>
                                        <w:color w:val="000000"/>
                                        <w:lang w:val="en-US" w:eastAsia="zh-CN"/>
                                      </w:rPr>
                                      <w:t>二</w:t>
                                    </w:r>
                                    <w:r>
                                      <w:rPr>
                                        <w:rFonts w:hint="eastAsia"/>
                                        <w:b w:val="0"/>
                                        <w:bCs w:val="0"/>
                                        <w:color w:val="000000"/>
                                      </w:rPr>
                                      <w:t>污水处理厂</w:t>
                                    </w:r>
                                  </w:p>
                                </w:txbxContent>
                              </wps:txbx>
                              <wps:bodyPr upright="1"/>
                            </wps:wsp>
                            <wps:wsp>
                              <wps:cNvPr id="65" name="直接连接符 65"/>
                              <wps:cNvCnPr/>
                              <wps:spPr>
                                <a:xfrm flipV="1">
                                  <a:off x="13125" y="302344"/>
                                  <a:ext cx="1225" cy="28"/>
                                </a:xfrm>
                                <a:prstGeom prst="line">
                                  <a:avLst/>
                                </a:prstGeom>
                                <a:ln w="6350" cap="flat" cmpd="sng">
                                  <a:solidFill>
                                    <a:srgbClr val="000000"/>
                                  </a:solidFill>
                                  <a:prstDash val="solid"/>
                                  <a:headEnd type="none" w="med" len="med"/>
                                  <a:tailEnd type="triangle" w="med" len="med"/>
                                </a:ln>
                              </wps:spPr>
                              <wps:bodyPr upright="1"/>
                            </wps:wsp>
                            <wps:wsp>
                              <wps:cNvPr id="67" name="矩形 67"/>
                              <wps:cNvSpPr/>
                              <wps:spPr>
                                <a:xfrm>
                                  <a:off x="10831" y="301618"/>
                                  <a:ext cx="616" cy="374"/>
                                </a:xfrm>
                                <a:prstGeom prst="rect">
                                  <a:avLst/>
                                </a:prstGeom>
                                <a:noFill/>
                                <a:ln>
                                  <a:noFill/>
                                </a:ln>
                              </wps:spPr>
                              <wps:txbx>
                                <w:txbxContent>
                                  <w:p w14:paraId="17D963EE">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0.8</w:t>
                                    </w:r>
                                  </w:p>
                                </w:txbxContent>
                              </wps:txbx>
                              <wps:bodyPr upright="1"/>
                            </wps:wsp>
                            <wps:wsp>
                              <wps:cNvPr id="69" name="矩形 69"/>
                              <wps:cNvSpPr/>
                              <wps:spPr>
                                <a:xfrm>
                                  <a:off x="13321" y="302038"/>
                                  <a:ext cx="631" cy="374"/>
                                </a:xfrm>
                                <a:prstGeom prst="rect">
                                  <a:avLst/>
                                </a:prstGeom>
                                <a:noFill/>
                                <a:ln>
                                  <a:noFill/>
                                </a:ln>
                              </wps:spPr>
                              <wps:txbx>
                                <w:txbxContent>
                                  <w:p w14:paraId="04EE8E1C">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3.2</w:t>
                                    </w:r>
                                  </w:p>
                                </w:txbxContent>
                              </wps:txbx>
                              <wps:bodyPr upright="1"/>
                            </wps:wsp>
                            <wps:wsp>
                              <wps:cNvPr id="74" name="直接连接符 74"/>
                              <wps:cNvCnPr/>
                              <wps:spPr>
                                <a:xfrm flipV="1">
                                  <a:off x="9627" y="296737"/>
                                  <a:ext cx="1890" cy="8"/>
                                </a:xfrm>
                                <a:prstGeom prst="line">
                                  <a:avLst/>
                                </a:prstGeom>
                                <a:ln w="6350" cap="flat" cmpd="sng">
                                  <a:solidFill>
                                    <a:srgbClr val="000000"/>
                                  </a:solidFill>
                                  <a:prstDash val="solid"/>
                                  <a:headEnd type="none" w="med" len="med"/>
                                  <a:tailEnd type="triangle" w="med" len="med"/>
                                </a:ln>
                              </wps:spPr>
                              <wps:bodyPr upright="1"/>
                            </wps:wsp>
                            <wps:wsp>
                              <wps:cNvPr id="75" name="矩形 75"/>
                              <wps:cNvSpPr/>
                              <wps:spPr>
                                <a:xfrm>
                                  <a:off x="11496" y="296477"/>
                                  <a:ext cx="1529" cy="682"/>
                                </a:xfrm>
                                <a:prstGeom prst="rect">
                                  <a:avLst/>
                                </a:prstGeom>
                                <a:noFill/>
                                <a:ln w="6350" cap="flat" cmpd="sng">
                                  <a:solidFill>
                                    <a:srgbClr val="000000"/>
                                  </a:solidFill>
                                  <a:prstDash val="solid"/>
                                  <a:miter/>
                                  <a:headEnd type="none" w="med" len="med"/>
                                  <a:tailEnd type="none" w="med" len="med"/>
                                </a:ln>
                              </wps:spPr>
                              <wps:txbx>
                                <w:txbxContent>
                                  <w:p w14:paraId="1EF5680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玻璃原片清洗用水</w:t>
                                    </w:r>
                                  </w:p>
                                </w:txbxContent>
                              </wps:txbx>
                              <wps:bodyPr upright="1"/>
                            </wps:wsp>
                            <wps:wsp>
                              <wps:cNvPr id="76" name="矩形 76"/>
                              <wps:cNvSpPr/>
                              <wps:spPr>
                                <a:xfrm>
                                  <a:off x="12924" y="297186"/>
                                  <a:ext cx="611" cy="356"/>
                                </a:xfrm>
                                <a:prstGeom prst="rect">
                                  <a:avLst/>
                                </a:prstGeom>
                                <a:noFill/>
                                <a:ln>
                                  <a:noFill/>
                                </a:ln>
                              </wps:spPr>
                              <wps:txbx>
                                <w:txbxContent>
                                  <w:p w14:paraId="3B9044DA">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w:t>
                                    </w:r>
                                  </w:p>
                                </w:txbxContent>
                              </wps:txbx>
                              <wps:bodyPr upright="1"/>
                            </wps:wsp>
                            <wps:wsp>
                              <wps:cNvPr id="77" name="矩形 77"/>
                              <wps:cNvSpPr/>
                              <wps:spPr>
                                <a:xfrm>
                                  <a:off x="12661" y="295898"/>
                                  <a:ext cx="873" cy="355"/>
                                </a:xfrm>
                                <a:prstGeom prst="rect">
                                  <a:avLst/>
                                </a:prstGeom>
                                <a:noFill/>
                                <a:ln>
                                  <a:noFill/>
                                </a:ln>
                              </wps:spPr>
                              <wps:txbx>
                                <w:txbxContent>
                                  <w:p w14:paraId="77C37A90">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3.0</w:t>
                                    </w:r>
                                  </w:p>
                                </w:txbxContent>
                              </wps:txbx>
                              <wps:bodyPr upright="1"/>
                            </wps:wsp>
                            <wps:wsp>
                              <wps:cNvPr id="78" name="矩形 78"/>
                              <wps:cNvSpPr/>
                              <wps:spPr>
                                <a:xfrm>
                                  <a:off x="10091" y="296367"/>
                                  <a:ext cx="705" cy="374"/>
                                </a:xfrm>
                                <a:prstGeom prst="rect">
                                  <a:avLst/>
                                </a:prstGeom>
                                <a:noFill/>
                                <a:ln>
                                  <a:noFill/>
                                </a:ln>
                              </wps:spPr>
                              <wps:txbx>
                                <w:txbxContent>
                                  <w:p w14:paraId="77F295D7">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0.3</w:t>
                                    </w:r>
                                  </w:p>
                                </w:txbxContent>
                              </wps:txbx>
                              <wps:bodyPr upright="1"/>
                            </wps:wsp>
                            <wps:wsp>
                              <wps:cNvPr id="79" name="直接连接符 79"/>
                              <wps:cNvCnPr/>
                              <wps:spPr>
                                <a:xfrm flipV="1">
                                  <a:off x="9592" y="298318"/>
                                  <a:ext cx="1795" cy="7"/>
                                </a:xfrm>
                                <a:prstGeom prst="line">
                                  <a:avLst/>
                                </a:prstGeom>
                                <a:ln w="6350" cap="flat" cmpd="sng">
                                  <a:solidFill>
                                    <a:srgbClr val="000000"/>
                                  </a:solidFill>
                                  <a:prstDash val="solid"/>
                                  <a:headEnd type="none" w="med" len="med"/>
                                  <a:tailEnd type="triangle" w="med" len="med"/>
                                </a:ln>
                              </wps:spPr>
                              <wps:bodyPr upright="1"/>
                            </wps:wsp>
                            <wps:wsp>
                              <wps:cNvPr id="80" name="矩形 80"/>
                              <wps:cNvSpPr/>
                              <wps:spPr>
                                <a:xfrm>
                                  <a:off x="11371" y="298054"/>
                                  <a:ext cx="1653" cy="498"/>
                                </a:xfrm>
                                <a:prstGeom prst="rect">
                                  <a:avLst/>
                                </a:prstGeom>
                                <a:noFill/>
                                <a:ln w="6350" cap="flat" cmpd="sng">
                                  <a:solidFill>
                                    <a:srgbClr val="000000"/>
                                  </a:solidFill>
                                  <a:prstDash val="solid"/>
                                  <a:miter/>
                                  <a:headEnd type="none" w="med" len="med"/>
                                  <a:tailEnd type="none" w="med" len="med"/>
                                </a:ln>
                              </wps:spPr>
                              <wps:txbx>
                                <w:txbxContent>
                                  <w:p w14:paraId="5C864DF0">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eastAsia="宋体"/>
                                        <w:sz w:val="21"/>
                                        <w:szCs w:val="21"/>
                                        <w:lang w:val="en-US" w:eastAsia="zh-CN"/>
                                      </w:rPr>
                                      <w:t>磨边工序用水</w:t>
                                    </w:r>
                                  </w:p>
                                </w:txbxContent>
                              </wps:txbx>
                              <wps:bodyPr upright="1"/>
                            </wps:wsp>
                            <wps:wsp>
                              <wps:cNvPr id="81" name="矩形 81"/>
                              <wps:cNvSpPr/>
                              <wps:spPr>
                                <a:xfrm>
                                  <a:off x="12743" y="297543"/>
                                  <a:ext cx="580" cy="374"/>
                                </a:xfrm>
                                <a:prstGeom prst="rect">
                                  <a:avLst/>
                                </a:prstGeom>
                                <a:noFill/>
                                <a:ln>
                                  <a:noFill/>
                                </a:ln>
                              </wps:spPr>
                              <wps:txbx>
                                <w:txbxContent>
                                  <w:p w14:paraId="129CAA62">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1.22</w:t>
                                    </w:r>
                                  </w:p>
                                </w:txbxContent>
                              </wps:txbx>
                              <wps:bodyPr upright="1"/>
                            </wps:wsp>
                            <wps:wsp>
                              <wps:cNvPr id="84" name="矩形 84"/>
                              <wps:cNvSpPr/>
                              <wps:spPr>
                                <a:xfrm>
                                  <a:off x="10101" y="297958"/>
                                  <a:ext cx="580" cy="374"/>
                                </a:xfrm>
                                <a:prstGeom prst="rect">
                                  <a:avLst/>
                                </a:prstGeom>
                                <a:noFill/>
                                <a:ln>
                                  <a:noFill/>
                                </a:ln>
                              </wps:spPr>
                              <wps:txbx>
                                <w:txbxContent>
                                  <w:p w14:paraId="7CB401FF">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1.28</w:t>
                                    </w:r>
                                  </w:p>
                                </w:txbxContent>
                              </wps:txbx>
                              <wps:bodyPr upright="1"/>
                            </wps:wsp>
                            <wps:wsp>
                              <wps:cNvPr id="91" name="矩形 91"/>
                              <wps:cNvSpPr/>
                              <wps:spPr>
                                <a:xfrm>
                                  <a:off x="11454" y="299427"/>
                                  <a:ext cx="2040" cy="976"/>
                                </a:xfrm>
                                <a:prstGeom prst="rect">
                                  <a:avLst/>
                                </a:prstGeom>
                                <a:noFill/>
                                <a:ln w="6350" cap="flat" cmpd="sng">
                                  <a:solidFill>
                                    <a:srgbClr val="000000"/>
                                  </a:solidFill>
                                  <a:prstDash val="solid"/>
                                  <a:miter/>
                                  <a:headEnd type="none" w="med" len="med"/>
                                  <a:tailEnd type="none" w="med" len="med"/>
                                </a:ln>
                              </wps:spPr>
                              <wps:txbx>
                                <w:txbxContent>
                                  <w:p w14:paraId="01C2B48D">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镀膜、夹胶、中空工序前对玻璃进行清洗用水</w:t>
                                    </w:r>
                                  </w:p>
                                </w:txbxContent>
                              </wps:txbx>
                              <wps:bodyPr upright="1"/>
                            </wps:wsp>
                            <wps:wsp>
                              <wps:cNvPr id="92" name="矩形 92"/>
                              <wps:cNvSpPr/>
                              <wps:spPr>
                                <a:xfrm>
                                  <a:off x="13269" y="298949"/>
                                  <a:ext cx="580" cy="374"/>
                                </a:xfrm>
                                <a:prstGeom prst="rect">
                                  <a:avLst/>
                                </a:prstGeom>
                                <a:noFill/>
                                <a:ln>
                                  <a:noFill/>
                                </a:ln>
                              </wps:spPr>
                              <wps:txbx>
                                <w:txbxContent>
                                  <w:p w14:paraId="10E6636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0.3</w:t>
                                    </w:r>
                                  </w:p>
                                </w:txbxContent>
                              </wps:txbx>
                              <wps:bodyPr upright="1"/>
                            </wps:wsp>
                            <wps:wsp>
                              <wps:cNvPr id="93" name="矩形 93"/>
                              <wps:cNvSpPr/>
                              <wps:spPr>
                                <a:xfrm>
                                  <a:off x="13735" y="299446"/>
                                  <a:ext cx="773" cy="524"/>
                                </a:xfrm>
                                <a:prstGeom prst="rect">
                                  <a:avLst/>
                                </a:prstGeom>
                                <a:noFill/>
                                <a:ln>
                                  <a:noFill/>
                                </a:ln>
                              </wps:spPr>
                              <wps:txbx>
                                <w:txbxContent>
                                  <w:p w14:paraId="20A03A5B">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2.7</w:t>
                                    </w:r>
                                  </w:p>
                                </w:txbxContent>
                              </wps:txbx>
                              <wps:bodyPr upright="1"/>
                            </wps:wsp>
                            <wps:wsp>
                              <wps:cNvPr id="104" name="矩形 104"/>
                              <wps:cNvSpPr/>
                              <wps:spPr>
                                <a:xfrm>
                                  <a:off x="10104" y="299492"/>
                                  <a:ext cx="864" cy="657"/>
                                </a:xfrm>
                                <a:prstGeom prst="rect">
                                  <a:avLst/>
                                </a:prstGeom>
                                <a:noFill/>
                                <a:ln w="6350" cap="flat" cmpd="sng">
                                  <a:solidFill>
                                    <a:srgbClr val="000000"/>
                                  </a:solidFill>
                                  <a:prstDash val="solid"/>
                                  <a:miter/>
                                  <a:headEnd type="none" w="med" len="med"/>
                                  <a:tailEnd type="none" w="med" len="med"/>
                                </a:ln>
                              </wps:spPr>
                              <wps:txbx>
                                <w:txbxContent>
                                  <w:p w14:paraId="63ABCF56">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纯水制备用水</w:t>
                                    </w:r>
                                  </w:p>
                                </w:txbxContent>
                              </wps:txbx>
                              <wps:bodyPr upright="1"/>
                            </wps:wsp>
                            <wps:wsp>
                              <wps:cNvPr id="107" name="任意多边形 107"/>
                              <wps:cNvSpPr/>
                              <wps:spPr>
                                <a:xfrm>
                                  <a:off x="12509" y="296775"/>
                                  <a:ext cx="1275" cy="695"/>
                                </a:xfrm>
                                <a:custGeom>
                                  <a:avLst/>
                                  <a:gdLst/>
                                  <a:ahLst/>
                                  <a:cxnLst/>
                                  <a:pathLst>
                                    <a:path w="1452" h="727">
                                      <a:moveTo>
                                        <a:pt x="603" y="0"/>
                                      </a:moveTo>
                                      <a:lnTo>
                                        <a:pt x="1452" y="0"/>
                                      </a:lnTo>
                                      <a:lnTo>
                                        <a:pt x="1452" y="727"/>
                                      </a:lnTo>
                                      <a:lnTo>
                                        <a:pt x="9" y="727"/>
                                      </a:lnTo>
                                      <a:lnTo>
                                        <a:pt x="0" y="405"/>
                                      </a:lnTo>
                                    </a:path>
                                  </a:pathLst>
                                </a:custGeom>
                                <a:noFill/>
                                <a:ln w="6350" cap="flat" cmpd="sng">
                                  <a:solidFill>
                                    <a:srgbClr val="000000"/>
                                  </a:solidFill>
                                  <a:prstDash val="solid"/>
                                  <a:headEnd type="none" w="med" len="med"/>
                                  <a:tailEnd type="triangle" w="med" len="med"/>
                                </a:ln>
                              </wps:spPr>
                              <wps:bodyPr upright="1"/>
                            </wps:wsp>
                            <wps:wsp>
                              <wps:cNvPr id="108" name="直接连接符 108"/>
                              <wps:cNvCnPr/>
                              <wps:spPr>
                                <a:xfrm flipV="1">
                                  <a:off x="10973" y="299796"/>
                                  <a:ext cx="487" cy="16"/>
                                </a:xfrm>
                                <a:prstGeom prst="line">
                                  <a:avLst/>
                                </a:prstGeom>
                                <a:ln w="6350" cap="flat" cmpd="sng">
                                  <a:solidFill>
                                    <a:srgbClr val="000000"/>
                                  </a:solidFill>
                                  <a:prstDash val="solid"/>
                                  <a:headEnd type="none" w="med" len="med"/>
                                  <a:tailEnd type="triangle" w="med" len="med"/>
                                </a:ln>
                              </wps:spPr>
                              <wps:bodyPr upright="1"/>
                            </wps:wsp>
                            <wps:wsp>
                              <wps:cNvPr id="109" name="直接连接符 109"/>
                              <wps:cNvCnPr/>
                              <wps:spPr>
                                <a:xfrm flipV="1">
                                  <a:off x="9595" y="299853"/>
                                  <a:ext cx="487" cy="16"/>
                                </a:xfrm>
                                <a:prstGeom prst="line">
                                  <a:avLst/>
                                </a:prstGeom>
                                <a:ln w="6350" cap="flat" cmpd="sng">
                                  <a:solidFill>
                                    <a:srgbClr val="000000"/>
                                  </a:solidFill>
                                  <a:prstDash val="solid"/>
                                  <a:headEnd type="none" w="med" len="med"/>
                                  <a:tailEnd type="triangle" w="med" len="med"/>
                                </a:ln>
                              </wps:spPr>
                              <wps:bodyPr upright="1"/>
                            </wps:wsp>
                            <wps:wsp>
                              <wps:cNvPr id="110" name="任意多边形 110"/>
                              <wps:cNvSpPr/>
                              <wps:spPr>
                                <a:xfrm>
                                  <a:off x="10499" y="300143"/>
                                  <a:ext cx="2017" cy="548"/>
                                </a:xfrm>
                                <a:custGeom>
                                  <a:avLst/>
                                  <a:gdLst/>
                                  <a:ahLst/>
                                  <a:cxnLst/>
                                  <a:pathLst>
                                    <a:path w="4689" h="4005">
                                      <a:moveTo>
                                        <a:pt x="0" y="0"/>
                                      </a:moveTo>
                                      <a:lnTo>
                                        <a:pt x="10" y="4005"/>
                                      </a:lnTo>
                                      <a:lnTo>
                                        <a:pt x="4689" y="4005"/>
                                      </a:lnTo>
                                    </a:path>
                                  </a:pathLst>
                                </a:custGeom>
                                <a:noFill/>
                                <a:ln w="6350" cap="flat" cmpd="sng">
                                  <a:solidFill>
                                    <a:srgbClr val="000000"/>
                                  </a:solidFill>
                                  <a:prstDash val="solid"/>
                                  <a:headEnd type="none" w="med" len="med"/>
                                  <a:tailEnd type="triangle" w="med" len="med"/>
                                </a:ln>
                              </wps:spPr>
                              <wps:bodyPr upright="1"/>
                            </wps:wsp>
                            <wps:wsp>
                              <wps:cNvPr id="111" name="任意多边形 111"/>
                              <wps:cNvSpPr/>
                              <wps:spPr>
                                <a:xfrm flipH="1">
                                  <a:off x="9458" y="296723"/>
                                  <a:ext cx="136" cy="5706"/>
                                </a:xfrm>
                                <a:custGeom>
                                  <a:avLst/>
                                  <a:gdLst/>
                                  <a:ahLst/>
                                  <a:cxnLst/>
                                  <a:pathLst>
                                    <a:path w="1" h="3600">
                                      <a:moveTo>
                                        <a:pt x="0" y="0"/>
                                      </a:moveTo>
                                      <a:lnTo>
                                        <a:pt x="0" y="3600"/>
                                      </a:lnTo>
                                    </a:path>
                                  </a:pathLst>
                                </a:custGeom>
                                <a:noFill/>
                                <a:ln w="6350" cap="flat" cmpd="sng">
                                  <a:solidFill>
                                    <a:srgbClr val="000000"/>
                                  </a:solidFill>
                                  <a:prstDash val="solid"/>
                                  <a:headEnd type="none" w="med" len="med"/>
                                  <a:tailEnd type="none" w="med" len="med"/>
                                </a:ln>
                              </wps:spPr>
                              <wps:bodyPr upright="1"/>
                            </wps:wsp>
                            <wps:wsp>
                              <wps:cNvPr id="112" name="矩形 112"/>
                              <wps:cNvSpPr/>
                              <wps:spPr>
                                <a:xfrm>
                                  <a:off x="10915" y="299469"/>
                                  <a:ext cx="671" cy="374"/>
                                </a:xfrm>
                                <a:prstGeom prst="rect">
                                  <a:avLst/>
                                </a:prstGeom>
                                <a:noFill/>
                                <a:ln>
                                  <a:noFill/>
                                </a:ln>
                              </wps:spPr>
                              <wps:txbx>
                                <w:txbxContent>
                                  <w:p w14:paraId="7932C1EB">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3.0</w:t>
                                    </w:r>
                                  </w:p>
                                </w:txbxContent>
                              </wps:txbx>
                              <wps:bodyPr upright="1"/>
                            </wps:wsp>
                            <wps:wsp>
                              <wps:cNvPr id="113" name="矩形 113"/>
                              <wps:cNvSpPr/>
                              <wps:spPr>
                                <a:xfrm>
                                  <a:off x="9438" y="299463"/>
                                  <a:ext cx="784" cy="391"/>
                                </a:xfrm>
                                <a:prstGeom prst="rect">
                                  <a:avLst/>
                                </a:prstGeom>
                                <a:noFill/>
                                <a:ln>
                                  <a:noFill/>
                                </a:ln>
                              </wps:spPr>
                              <wps:txbx>
                                <w:txbxContent>
                                  <w:p w14:paraId="61635F11">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4.2</w:t>
                                    </w:r>
                                  </w:p>
                                </w:txbxContent>
                              </wps:txbx>
                              <wps:bodyPr upright="1"/>
                            </wps:wsp>
                            <wps:wsp>
                              <wps:cNvPr id="114" name="矩形 114"/>
                              <wps:cNvSpPr/>
                              <wps:spPr>
                                <a:xfrm>
                                  <a:off x="10768" y="300364"/>
                                  <a:ext cx="622" cy="374"/>
                                </a:xfrm>
                                <a:prstGeom prst="rect">
                                  <a:avLst/>
                                </a:prstGeom>
                                <a:noFill/>
                                <a:ln>
                                  <a:noFill/>
                                </a:ln>
                              </wps:spPr>
                              <wps:txbx>
                                <w:txbxContent>
                                  <w:p w14:paraId="5BDD0E5D">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1.22</w:t>
                                    </w:r>
                                  </w:p>
                                </w:txbxContent>
                              </wps:txbx>
                              <wps:bodyPr upright="1"/>
                            </wps:wsp>
                            <wps:wsp>
                              <wps:cNvPr id="115" name="矩形 115"/>
                              <wps:cNvSpPr/>
                              <wps:spPr>
                                <a:xfrm>
                                  <a:off x="12888" y="298571"/>
                                  <a:ext cx="569" cy="374"/>
                                </a:xfrm>
                                <a:prstGeom prst="rect">
                                  <a:avLst/>
                                </a:prstGeom>
                                <a:noFill/>
                                <a:ln>
                                  <a:noFill/>
                                </a:ln>
                              </wps:spPr>
                              <wps:txbx>
                                <w:txbxContent>
                                  <w:p w14:paraId="2D5DE145">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4.86</w:t>
                                    </w:r>
                                  </w:p>
                                </w:txbxContent>
                              </wps:txbx>
                              <wps:bodyPr upright="1"/>
                            </wps:wsp>
                            <wps:wsp>
                              <wps:cNvPr id="117" name="任意多边形 117"/>
                              <wps:cNvSpPr/>
                              <wps:spPr>
                                <a:xfrm>
                                  <a:off x="12505" y="298233"/>
                                  <a:ext cx="1275" cy="695"/>
                                </a:xfrm>
                                <a:custGeom>
                                  <a:avLst/>
                                  <a:gdLst/>
                                  <a:ahLst/>
                                  <a:cxnLst/>
                                  <a:pathLst>
                                    <a:path w="1452" h="727">
                                      <a:moveTo>
                                        <a:pt x="603" y="0"/>
                                      </a:moveTo>
                                      <a:lnTo>
                                        <a:pt x="1452" y="0"/>
                                      </a:lnTo>
                                      <a:lnTo>
                                        <a:pt x="1452" y="727"/>
                                      </a:lnTo>
                                      <a:lnTo>
                                        <a:pt x="9" y="727"/>
                                      </a:lnTo>
                                      <a:lnTo>
                                        <a:pt x="0" y="405"/>
                                      </a:lnTo>
                                    </a:path>
                                  </a:pathLst>
                                </a:custGeom>
                                <a:noFill/>
                                <a:ln w="6350" cap="flat" cmpd="sng">
                                  <a:solidFill>
                                    <a:srgbClr val="000000"/>
                                  </a:solidFill>
                                  <a:prstDash val="solid"/>
                                  <a:headEnd type="none" w="med" len="med"/>
                                  <a:tailEnd type="triangle" w="med" len="med"/>
                                </a:ln>
                              </wps:spPr>
                              <wps:bodyPr upright="1"/>
                            </wps:wsp>
                            <wps:wsp>
                              <wps:cNvPr id="118" name="矩形 118"/>
                              <wps:cNvSpPr/>
                              <wps:spPr>
                                <a:xfrm>
                                  <a:off x="12447" y="300435"/>
                                  <a:ext cx="2054" cy="430"/>
                                </a:xfrm>
                                <a:prstGeom prst="rect">
                                  <a:avLst/>
                                </a:prstGeom>
                                <a:noFill/>
                                <a:ln>
                                  <a:noFill/>
                                </a:ln>
                              </wps:spPr>
                              <wps:txbx>
                                <w:txbxContent>
                                  <w:p w14:paraId="055FC927">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用于厂区洒水抑尘</w:t>
                                    </w:r>
                                  </w:p>
                                </w:txbxContent>
                              </wps:txbx>
                              <wps:bodyPr upright="1"/>
                            </wps:wsp>
                            <wps:wsp>
                              <wps:cNvPr id="119" name="直接连接符 119"/>
                              <wps:cNvCnPr/>
                              <wps:spPr>
                                <a:xfrm>
                                  <a:off x="11045" y="295562"/>
                                  <a:ext cx="0" cy="1200"/>
                                </a:xfrm>
                                <a:prstGeom prst="line">
                                  <a:avLst/>
                                </a:prstGeom>
                                <a:ln w="12700" cmpd="sng">
                                  <a:solidFill>
                                    <a:schemeClr val="tx1"/>
                                  </a:solidFill>
                                  <a:prstDash val="sysDot"/>
                                  <a:tailEnd type="arrow"/>
                                </a:ln>
                              </wps:spPr>
                              <wps:style>
                                <a:lnRef idx="2">
                                  <a:schemeClr val="accent1"/>
                                </a:lnRef>
                                <a:fillRef idx="0">
                                  <a:srgbClr val="FFFFFF"/>
                                </a:fillRef>
                                <a:effectRef idx="0">
                                  <a:srgbClr val="FFFFFF"/>
                                </a:effectRef>
                                <a:fontRef idx="minor">
                                  <a:schemeClr val="tx1"/>
                                </a:fontRef>
                              </wps:style>
                              <wps:bodyPr/>
                            </wps:wsp>
                            <wps:wsp>
                              <wps:cNvPr id="120" name="直接连接符 120"/>
                              <wps:cNvCnPr/>
                              <wps:spPr>
                                <a:xfrm>
                                  <a:off x="11026" y="295581"/>
                                  <a:ext cx="3732" cy="0"/>
                                </a:xfrm>
                                <a:prstGeom prst="line">
                                  <a:avLst/>
                                </a:prstGeom>
                                <a:ln w="12700" cmpd="sng">
                                  <a:solidFill>
                                    <a:schemeClr val="tx1"/>
                                  </a:solidFill>
                                  <a:prstDash val="sysDot"/>
                                  <a:tailEnd type="none"/>
                                </a:ln>
                              </wps:spPr>
                              <wps:style>
                                <a:lnRef idx="2">
                                  <a:schemeClr val="accent1"/>
                                </a:lnRef>
                                <a:fillRef idx="0">
                                  <a:srgbClr val="FFFFFF"/>
                                </a:fillRef>
                                <a:effectRef idx="0">
                                  <a:srgbClr val="FFFFFF"/>
                                </a:effectRef>
                                <a:fontRef idx="minor">
                                  <a:schemeClr val="tx1"/>
                                </a:fontRef>
                              </wps:style>
                              <wps:bodyPr/>
                            </wps:wsp>
                            <wps:wsp>
                              <wps:cNvPr id="121" name="直接连接符 121"/>
                              <wps:cNvCnPr/>
                              <wps:spPr>
                                <a:xfrm flipH="1">
                                  <a:off x="14664" y="295562"/>
                                  <a:ext cx="56" cy="4294"/>
                                </a:xfrm>
                                <a:prstGeom prst="line">
                                  <a:avLst/>
                                </a:prstGeom>
                                <a:ln w="12700" cmpd="sng">
                                  <a:solidFill>
                                    <a:schemeClr val="tx1"/>
                                  </a:solidFill>
                                  <a:prstDash val="sysDot"/>
                                  <a:tailEnd type="none"/>
                                </a:ln>
                              </wps:spPr>
                              <wps:style>
                                <a:lnRef idx="2">
                                  <a:schemeClr val="accent1"/>
                                </a:lnRef>
                                <a:fillRef idx="0">
                                  <a:srgbClr val="FFFFFF"/>
                                </a:fillRef>
                                <a:effectRef idx="0">
                                  <a:srgbClr val="FFFFFF"/>
                                </a:effectRef>
                                <a:fontRef idx="minor">
                                  <a:schemeClr val="tx1"/>
                                </a:fontRef>
                              </wps:style>
                              <wps:bodyPr/>
                            </wps:wsp>
                            <wps:wsp>
                              <wps:cNvPr id="122" name="直接连接符 122"/>
                              <wps:cNvCnPr/>
                              <wps:spPr>
                                <a:xfrm flipV="1">
                                  <a:off x="13498" y="299837"/>
                                  <a:ext cx="1147" cy="15"/>
                                </a:xfrm>
                                <a:prstGeom prst="line">
                                  <a:avLst/>
                                </a:prstGeom>
                                <a:ln w="12700" cmpd="sng">
                                  <a:solidFill>
                                    <a:schemeClr val="tx1"/>
                                  </a:solidFill>
                                  <a:prstDash val="sysDot"/>
                                  <a:headEnd type="none"/>
                                  <a:tailEnd type="none"/>
                                </a:ln>
                              </wps:spPr>
                              <wps:style>
                                <a:lnRef idx="2">
                                  <a:schemeClr val="accent1"/>
                                </a:lnRef>
                                <a:fillRef idx="0">
                                  <a:srgbClr val="FFFFFF"/>
                                </a:fillRef>
                                <a:effectRef idx="0">
                                  <a:srgbClr val="FFFFFF"/>
                                </a:effectRef>
                                <a:fontRef idx="minor">
                                  <a:schemeClr val="tx1"/>
                                </a:fontRef>
                              </wps:style>
                              <wps:bodyPr/>
                            </wps:wsp>
                          </wpg:wgp>
                        </a:graphicData>
                      </a:graphic>
                    </wp:anchor>
                  </w:drawing>
                </mc:Choice>
                <mc:Fallback>
                  <w:pict>
                    <v:group id="_x0000_s1026" o:spid="_x0000_s1026" o:spt="203" style="position:absolute;left:0pt;margin-left:25.65pt;margin-top:2.2pt;height:374.7pt;width:354.9pt;z-index:251659264;mso-width-relative:page;mso-height-relative:page;" coordorigin="8313,295562" coordsize="7098,7494" o:gfxdata="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">
                      <o:lock v:ext="edit" aspectratio="f"/>
                      <v:shape id="_x0000_s1026" o:spid="_x0000_s1026" o:spt="100" style="position:absolute;left:12497;top:296224;height:257;width:270;" filled="f" stroked="t" coordsize="308,269" o:gfxdata="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d83C8AAAA&#10;2wAAAA8AAAAAAAAAAQAgAAAAIgAAAGRycy9kb3ducmV2LnhtbFBLAQIUABQAAAAIAIdO4kAzLwWe&#10;OwAAADkAAAAQAAAAAAAAAAEAIAAAAAsBAABkcnMvc2hhcGV4bWwueG1sUEsFBgAAAAAGAAYAWwEA&#10;ALUDAAAAAA==&#10;" path="m0,269c24,220,95,54,119,40c143,26,81,205,119,197c157,189,270,43,308,0e">
                        <v:fill on="f" focussize="0,0"/>
                        <v:stroke weight="0.5pt" color="#000000" joinstyle="round" dashstyle="dash" endarrow="block"/>
                        <v:imagedata o:title=""/>
                        <o:lock v:ext="edit" aspectratio="f"/>
                      </v:shape>
                      <v:shape id="_x0000_s1026" o:spid="_x0000_s1026" o:spt="100" style="position:absolute;left:12517;top:297798;height:257;width:270;" filled="f" stroked="t" coordsize="308,269" o:gfxdata="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VbrvQAA&#10;ANsAAAAPAAAAAAAAAAEAIAAAACIAAABkcnMvZG93bnJldi54bWxQSwECFAAUAAAACACHTuJAMy8F&#10;njsAAAA5AAAAEAAAAAAAAAABACAAAAAMAQAAZHJzL3NoYXBleG1sLnhtbFBLBQYAAAAABgAGAFsB&#10;AAC2AwAAAAA=&#10;" path="m0,269c24,220,95,54,119,40c143,26,81,205,119,197c157,189,270,43,308,0e">
                        <v:fill on="f" focussize="0,0"/>
                        <v:stroke weight="0.5pt" color="#000000" joinstyle="round" dashstyle="dash" endarrow="block"/>
                        <v:imagedata o:title=""/>
                        <o:lock v:ext="edit" aspectratio="f"/>
                      </v:shape>
                      <v:shape id="_x0000_s1026" o:spid="_x0000_s1026" o:spt="100" style="position:absolute;left:12990;top:299127;height:312;width:307;" filled="f" stroked="t" coordsize="308,269" o:gfxdata="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QmcCvQAA&#10;ANsAAAAPAAAAAAAAAAEAIAAAACIAAABkcnMvZG93bnJldi54bWxQSwECFAAUAAAACACHTuJAMy8F&#10;njsAAAA5AAAAEAAAAAAAAAABACAAAAAMAQAAZHJzL3NoYXBleG1sLnhtbFBLBQYAAAAABgAGAFsB&#10;AAC2AwAAAAA=&#10;" path="m0,269c24,220,95,54,119,40c143,26,81,205,119,197c157,189,270,43,308,0e">
                        <v:fill on="f" focussize="0,0"/>
                        <v:stroke weight="0.5pt" color="#000000" joinstyle="round" dashstyle="dash" endarrow="block"/>
                        <v:imagedata o:title=""/>
                        <o:lock v:ext="edit" aspectratio="f"/>
                      </v:shape>
                      <v:rect id="_x0000_s1026" o:spid="_x0000_s1026" o:spt="1" style="position:absolute;left:8313;top:298941;height:971;width:472;" filled="f" stroked="f" coordsize="21600,21600" o:gfxdata="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GbhL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7AE5B9A6">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新鲜水</w:t>
                              </w:r>
                            </w:p>
                          </w:txbxContent>
                        </v:textbox>
                      </v:rect>
                      <v:line id="_x0000_s1026" o:spid="_x0000_s1026" o:spt="20" style="position:absolute;left:8804;top:299360;flip:y;height:8;width:760;" filled="f" stroked="t" coordsize="21600,21600" o:gfxdata="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qyKka&#10;wAAAANsAAAAPAAAAAAAAAAEAIAAAACIAAABkcnMvZG93bnJldi54bWxQSwECFAAUAAAACACHTuJA&#10;My8FnjsAAAA5AAAAEAAAAAAAAAABACAAAAAPAQAAZHJzL3NoYXBleG1sLnhtbFBLBQYAAAAABgAG&#10;AFsBAAC5AwAAAAA=&#10;">
                        <v:fill on="f" focussize="0,0"/>
                        <v:stroke weight="0.5pt" color="#000000" joinstyle="round" endarrow="block"/>
                        <v:imagedata o:title=""/>
                        <o:lock v:ext="edit" aspectratio="f"/>
                      </v:line>
                      <v:rect id="_x0000_s1026" o:spid="_x0000_s1026" o:spt="1" style="position:absolute;left:8799;top:299029;height:374;width:663;" filled="f" stroked="f" coordsize="21600,21600" o:gfxdata="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oeDp7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490E3DDC">
                              <w:pPr>
                                <w:keepNext w:val="0"/>
                                <w:keepLines w:val="0"/>
                                <w:pageBreakBefore w:val="0"/>
                                <w:widowControl w:val="0"/>
                                <w:kinsoku/>
                                <w:wordWrap/>
                                <w:overflowPunct/>
                                <w:topLinePunct w:val="0"/>
                                <w:bidi w:val="0"/>
                                <w:adjustRightInd w:val="0"/>
                                <w:snapToGrid w:val="0"/>
                                <w:jc w:val="center"/>
                                <w:textAlignment w:val="auto"/>
                                <w:rPr>
                                  <w:rFonts w:hint="default" w:eastAsia="宋体"/>
                                  <w:color w:val="auto"/>
                                  <w:sz w:val="21"/>
                                  <w:szCs w:val="21"/>
                                  <w:lang w:val="en-US" w:eastAsia="zh-CN"/>
                                </w:rPr>
                              </w:pPr>
                              <w:r>
                                <w:rPr>
                                  <w:rFonts w:hint="eastAsia"/>
                                  <w:color w:val="auto"/>
                                  <w:sz w:val="21"/>
                                  <w:szCs w:val="21"/>
                                  <w:lang w:val="en-US" w:eastAsia="zh-CN"/>
                                </w:rPr>
                                <w:t>10.26</w:t>
                              </w:r>
                            </w:p>
                          </w:txbxContent>
                        </v:textbox>
                      </v:rect>
                      <v:shape id="_x0000_s1026" o:spid="_x0000_s1026" o:spt="100" style="position:absolute;left:10773;top:301894;height:257;width:270;" filled="f" stroked="t" coordsize="308,269" o:gfxdata="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7SMA2vQAA&#10;ANsAAAAPAAAAAAAAAAEAIAAAACIAAABkcnMvZG93bnJldi54bWxQSwECFAAUAAAACACHTuJAMy8F&#10;njsAAAA5AAAAEAAAAAAAAAABACAAAAAMAQAAZHJzL3NoYXBleG1sLnhtbFBLBQYAAAAABgAGAFsB&#10;AAC2AwAAAAA=&#10;" path="m0,269c24,220,95,54,119,40c143,26,81,205,119,197c157,189,270,43,308,0e">
                        <v:fill on="f" focussize="0,0"/>
                        <v:stroke weight="0.5pt" color="#000000" joinstyle="round" dashstyle="dash" endarrow="block"/>
                        <v:imagedata o:title=""/>
                        <o:lock v:ext="edit" aspectratio="f"/>
                      </v:shape>
                      <v:rect id="_x0000_s1026" o:spid="_x0000_s1026" o:spt="1" style="position:absolute;left:10160;top:302157;height:395;width:1199;" filled="f" stroked="t" coordsize="21600,21600" o:gfxdata="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TiVK7gAAADbAAAA&#10;DwAAAAAAAAABACAAAAAiAAAAZHJzL2Rvd25yZXYueG1sUEsBAhQAFAAAAAgAh07iQDMvBZ47AAAA&#10;OQAAABAAAAAAAAAAAQAgAAAABwEAAGRycy9zaGFwZXhtbC54bWxQSwUGAAAAAAYABgBbAQAAsQMA&#10;AAAA&#10;">
                        <v:fill on="f" focussize="0,0"/>
                        <v:stroke weight="0.5pt" color="#000000" joinstyle="miter"/>
                        <v:imagedata o:title=""/>
                        <o:lock v:ext="edit" aspectratio="f"/>
                        <v:textbox>
                          <w:txbxContent>
                            <w:p w14:paraId="22139CC8">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生活用水</w:t>
                              </w:r>
                            </w:p>
                          </w:txbxContent>
                        </v:textbox>
                      </v:rect>
                      <v:line id="_x0000_s1026" o:spid="_x0000_s1026" o:spt="20" style="position:absolute;left:9614;top:302394;height:16;width:583;" filled="f" stroked="t" coordsize="21600,21600" o:gfxdata="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vn/L4A&#10;AADbAAAADwAAAAAAAAABACAAAAAiAAAAZHJzL2Rvd25yZXYueG1sUEsBAhQAFAAAAAgAh07iQDMv&#10;BZ47AAAAOQAAABAAAAAAAAAAAQAgAAAADQEAAGRycy9zaGFwZXhtbC54bWxQSwUGAAAAAAYABgBb&#10;AQAAtwMAAAAA&#10;">
                        <v:fill on="f" focussize="0,0"/>
                        <v:stroke weight="0.5pt" color="#000000" joinstyle="round" endarrow="block"/>
                        <v:imagedata o:title=""/>
                        <o:lock v:ext="edit" aspectratio="f"/>
                      </v:line>
                      <v:rect id="_x0000_s1026" o:spid="_x0000_s1026" o:spt="1" style="position:absolute;left:9598;top:302018;height:374;width:614;" filled="f" stroked="f" coordsize="21600,21600" o:gfxdata="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DnXbb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33CFFF0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w:t>
                              </w:r>
                            </w:p>
                          </w:txbxContent>
                        </v:textbox>
                      </v:rect>
                      <v:line id="_x0000_s1026" o:spid="_x0000_s1026" o:spt="20" style="position:absolute;left:11287;top:302359;flip:y;height:8;width:687;" filled="f" stroked="t" coordsize="21600,21600" o:gfxdata="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b90L4A&#10;AADbAAAADwAAAAAAAAABACAAAAAiAAAAZHJzL2Rvd25yZXYueG1sUEsBAhQAFAAAAAgAh07iQDMv&#10;BZ47AAAAOQAAABAAAAAAAAAAAQAgAAAADQEAAGRycy9zaGFwZXhtbC54bWxQSwUGAAAAAAYABgBb&#10;AQAAtwMAAAAA&#10;">
                        <v:fill on="f" focussize="0,0"/>
                        <v:stroke weight="0.5pt" color="#000000" joinstyle="round" endarrow="block"/>
                        <v:imagedata o:title=""/>
                        <o:lock v:ext="edit" aspectratio="f"/>
                      </v:line>
                      <v:rect id="_x0000_s1026" o:spid="_x0000_s1026" o:spt="1" style="position:absolute;left:11262;top:302036;height:374;width:594;" filled="f" stroked="f" coordsize="21600,21600" o:gfxdata="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en7IG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720979C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3.2</w:t>
                              </w:r>
                            </w:p>
                          </w:txbxContent>
                        </v:textbox>
                      </v:rect>
                      <v:rect id="_x0000_s1026" o:spid="_x0000_s1026" o:spt="1" style="position:absolute;left:11968;top:302166;height:413;width:1158;" filled="f" stroked="t" coordsize="21600,21600" o:gfxdata="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fDN57sAAADb&#10;AAAADwAAAAAAAAABACAAAAAiAAAAZHJzL2Rvd25yZXYueG1sUEsBAhQAFAAAAAgAh07iQDMvBZ47&#10;AAAAOQAAABAAAAAAAAAAAQAgAAAACgEAAGRycy9zaGFwZXhtbC54bWxQSwUGAAAAAAYABgBbAQAA&#10;tAMAAAAA&#10;">
                        <v:fill on="f" focussize="0,0"/>
                        <v:stroke weight="0.5pt" color="#000000" joinstyle="miter"/>
                        <v:imagedata o:title=""/>
                        <o:lock v:ext="edit" aspectratio="f"/>
                        <v:textbox>
                          <w:txbxContent>
                            <w:p w14:paraId="35F38E4F">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化粪池</w:t>
                              </w:r>
                            </w:p>
                          </w:txbxContent>
                        </v:textbox>
                      </v:rect>
                      <v:rect id="_x0000_s1026" o:spid="_x0000_s1026" o:spt="1" style="position:absolute;left:14356;top:301817;height:1239;width:1055;" filled="f" stroked="f" coordsize="21600,21600" o:gfxdata="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sDgJs&#10;wAAAANsAAAAPAAAAAAAAAAEAIAAAACIAAABkcnMvZG93bnJldi54bWxQSwECFAAUAAAACACHTuJA&#10;My8FnjsAAAA5AAAAEAAAAAAAAAABACAAAAAPAQAAZHJzL3NoYXBleG1sLnhtbFBLBQYAAAAABgAG&#10;AFsBAAC5AwAAAAA=&#10;">
                        <v:fill on="f" focussize="0,0"/>
                        <v:stroke on="f" weight="0.5pt" joinstyle="miter"/>
                        <v:imagedata o:title=""/>
                        <o:lock v:ext="edit" aspectratio="f"/>
                        <v:textbox>
                          <w:txbxContent>
                            <w:p w14:paraId="48BD4DC6">
                              <w:pPr>
                                <w:rPr>
                                  <w:rFonts w:hint="default"/>
                                  <w:lang w:val="en-US" w:eastAsia="zh-CN"/>
                                </w:rPr>
                              </w:pPr>
                              <w:r>
                                <w:rPr>
                                  <w:rFonts w:hint="eastAsia"/>
                                  <w:b w:val="0"/>
                                  <w:bCs w:val="0"/>
                                  <w:color w:val="000000"/>
                                </w:rPr>
                                <w:t>淮阳区第</w:t>
                              </w:r>
                              <w:r>
                                <w:rPr>
                                  <w:rFonts w:hint="eastAsia"/>
                                  <w:b w:val="0"/>
                                  <w:bCs w:val="0"/>
                                  <w:color w:val="000000"/>
                                  <w:lang w:val="en-US" w:eastAsia="zh-CN"/>
                                </w:rPr>
                                <w:t>二</w:t>
                              </w:r>
                              <w:r>
                                <w:rPr>
                                  <w:rFonts w:hint="eastAsia"/>
                                  <w:b w:val="0"/>
                                  <w:bCs w:val="0"/>
                                  <w:color w:val="000000"/>
                                </w:rPr>
                                <w:t>污水处理厂</w:t>
                              </w:r>
                            </w:p>
                          </w:txbxContent>
                        </v:textbox>
                      </v:rect>
                      <v:line id="_x0000_s1026" o:spid="_x0000_s1026" o:spt="20" style="position:absolute;left:13125;top:302344;flip:y;height:28;width:1225;" filled="f" stroked="t" coordsize="21600,21600" o:gfxdata="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tN+9O/&#10;AAAA2wAAAA8AAAAAAAAAAQAgAAAAIgAAAGRycy9kb3ducmV2LnhtbFBLAQIUABQAAAAIAIdO4kAz&#10;LwWeOwAAADkAAAAQAAAAAAAAAAEAIAAAAA4BAABkcnMvc2hhcGV4bWwueG1sUEsFBgAAAAAGAAYA&#10;WwEAALgDAAAAAA==&#10;">
                        <v:fill on="f" focussize="0,0"/>
                        <v:stroke weight="0.5pt" color="#000000" joinstyle="round" endarrow="block"/>
                        <v:imagedata o:title=""/>
                        <o:lock v:ext="edit" aspectratio="f"/>
                      </v:line>
                      <v:rect id="_x0000_s1026" o:spid="_x0000_s1026" o:spt="1" style="position:absolute;left:10831;top:301618;height:374;width:616;" filled="f" stroked="f" coordsize="21600,21600" o:gfxdata="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BPG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17D963EE">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0.8</w:t>
                              </w:r>
                            </w:p>
                          </w:txbxContent>
                        </v:textbox>
                      </v:rect>
                      <v:rect id="_x0000_s1026" o:spid="_x0000_s1026" o:spt="1" style="position:absolute;left:13321;top:302038;height:374;width:631;" filled="f" stroked="f" coordsize="21600,21600" o:gfxdata="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QN+8L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04EE8E1C">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3.2</w:t>
                              </w:r>
                            </w:p>
                          </w:txbxContent>
                        </v:textbox>
                      </v:rect>
                      <v:line id="_x0000_s1026" o:spid="_x0000_s1026" o:spt="20" style="position:absolute;left:9627;top:296737;flip:y;height:8;width:1890;" filled="f" stroked="t" coordsize="21600,21600" o:gfxdata="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HYyJW/&#10;AAAA2wAAAA8AAAAAAAAAAQAgAAAAIgAAAGRycy9kb3ducmV2LnhtbFBLAQIUABQAAAAIAIdO4kAz&#10;LwWeOwAAADkAAAAQAAAAAAAAAAEAIAAAAA4BAABkcnMvc2hhcGV4bWwueG1sUEsFBgAAAAAGAAYA&#10;WwEAALgDAAAAAA==&#10;">
                        <v:fill on="f" focussize="0,0"/>
                        <v:stroke weight="0.5pt" color="#000000" joinstyle="round" endarrow="block"/>
                        <v:imagedata o:title=""/>
                        <o:lock v:ext="edit" aspectratio="f"/>
                      </v:line>
                      <v:rect id="_x0000_s1026" o:spid="_x0000_s1026" o:spt="1" style="position:absolute;left:11496;top:296477;height:682;width:1529;" filled="f" stroked="t" coordsize="21600,21600" o:gfxdata="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Ixm1bsAAADb&#10;AAAADwAAAAAAAAABACAAAAAiAAAAZHJzL2Rvd25yZXYueG1sUEsBAhQAFAAAAAgAh07iQDMvBZ47&#10;AAAAOQAAABAAAAAAAAAAAQAgAAAACgEAAGRycy9zaGFwZXhtbC54bWxQSwUGAAAAAAYABgBbAQAA&#10;tAMAAAAA&#10;">
                        <v:fill on="f" focussize="0,0"/>
                        <v:stroke weight="0.5pt" color="#000000" joinstyle="miter"/>
                        <v:imagedata o:title=""/>
                        <o:lock v:ext="edit" aspectratio="f"/>
                        <v:textbox>
                          <w:txbxContent>
                            <w:p w14:paraId="1EF5680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玻璃原片清洗用水</w:t>
                              </w:r>
                            </w:p>
                          </w:txbxContent>
                        </v:textbox>
                      </v:rect>
                      <v:rect id="_x0000_s1026" o:spid="_x0000_s1026" o:spt="1" style="position:absolute;left:12924;top:297186;height:356;width:611;" filled="f" stroked="f" coordsize="21600,21600" o:gfxdata="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UV8X7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3B9044DA">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w:t>
                              </w:r>
                            </w:p>
                          </w:txbxContent>
                        </v:textbox>
                      </v:rect>
                      <v:rect id="_x0000_s1026" o:spid="_x0000_s1026" o:spt="1" style="position:absolute;left:12661;top:295898;height:355;width:873;" filled="f" stroked="f" coordsize="21600,21600" o:gfxdata="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CdnE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77C37A90">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3.0</w:t>
                              </w:r>
                            </w:p>
                          </w:txbxContent>
                        </v:textbox>
                      </v:rect>
                      <v:rect id="_x0000_s1026" o:spid="_x0000_s1026" o:spt="1" style="position:absolute;left:10091;top:296367;height:374;width:705;" filled="f" stroked="f" coordsize="21600,21600" o:gfxdata="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5ZNtr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7F295D7">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0.3</w:t>
                              </w:r>
                            </w:p>
                          </w:txbxContent>
                        </v:textbox>
                      </v:rect>
                      <v:line id="_x0000_s1026" o:spid="_x0000_s1026" o:spt="20" style="position:absolute;left:9592;top:298318;flip:y;height:7;width:1795;" filled="f" stroked="t" coordsize="21600,21600" o:gfxdata="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9lnC74A&#10;AADbAAAADwAAAAAAAAABACAAAAAiAAAAZHJzL2Rvd25yZXYueG1sUEsBAhQAFAAAAAgAh07iQDMv&#10;BZ47AAAAOQAAABAAAAAAAAAAAQAgAAAADQEAAGRycy9zaGFwZXhtbC54bWxQSwUGAAAAAAYABgBb&#10;AQAAtwMAAAAA&#10;">
                        <v:fill on="f" focussize="0,0"/>
                        <v:stroke weight="0.5pt" color="#000000" joinstyle="round" endarrow="block"/>
                        <v:imagedata o:title=""/>
                        <o:lock v:ext="edit" aspectratio="f"/>
                      </v:line>
                      <v:rect id="_x0000_s1026" o:spid="_x0000_s1026" o:spt="1" style="position:absolute;left:11371;top:298054;height:498;width:1653;" filled="f" stroked="t" coordsize="21600,21600" o:gfxdata="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tLrVqtwAAANsAAAAP&#10;AAAAAAAAAAEAIAAAACIAAABkcnMvZG93bnJldi54bWxQSwECFAAUAAAACACHTuJAMy8FnjsAAAA5&#10;AAAAEAAAAAAAAAABACAAAAAGAQAAZHJzL3NoYXBleG1sLnhtbFBLBQYAAAAABgAGAFsBAACwAwAA&#10;AAA=&#10;">
                        <v:fill on="f" focussize="0,0"/>
                        <v:stroke weight="0.5pt" color="#000000" joinstyle="miter"/>
                        <v:imagedata o:title=""/>
                        <o:lock v:ext="edit" aspectratio="f"/>
                        <v:textbox>
                          <w:txbxContent>
                            <w:p w14:paraId="5C864DF0">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eastAsia="宋体"/>
                                  <w:sz w:val="21"/>
                                  <w:szCs w:val="21"/>
                                  <w:lang w:val="en-US" w:eastAsia="zh-CN"/>
                                </w:rPr>
                                <w:t>磨边工序用水</w:t>
                              </w:r>
                            </w:p>
                          </w:txbxContent>
                        </v:textbox>
                      </v:rect>
                      <v:rect id="_x0000_s1026" o:spid="_x0000_s1026" o:spt="1" style="position:absolute;left:12743;top:297543;height:374;width:580;" filled="f" stroked="f" coordsize="21600,21600" o:gfxdata="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3mUDL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129CAA62">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1.22</w:t>
                              </w:r>
                            </w:p>
                          </w:txbxContent>
                        </v:textbox>
                      </v:rect>
                      <v:rect id="_x0000_s1026" o:spid="_x0000_s1026" o:spt="1" style="position:absolute;left:10101;top:297958;height:374;width:580;" filled="f" stroked="f" coordsize="21600,21600" o:gfxdata="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43lL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7CB401FF">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1.28</w:t>
                              </w:r>
                            </w:p>
                          </w:txbxContent>
                        </v:textbox>
                      </v:rect>
                      <v:rect id="_x0000_s1026" o:spid="_x0000_s1026" o:spt="1" style="position:absolute;left:11454;top:299427;height:976;width:2040;" filled="f" stroked="t" coordsize="21600,21600" o:gfxdata="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7uGLLsAAADb&#10;AAAADwAAAAAAAAABACAAAAAiAAAAZHJzL2Rvd25yZXYueG1sUEsBAhQAFAAAAAgAh07iQDMvBZ47&#10;AAAAOQAAABAAAAAAAAAAAQAgAAAACgEAAGRycy9zaGFwZXhtbC54bWxQSwUGAAAAAAYABgBbAQAA&#10;tAMAAAAA&#10;">
                        <v:fill on="f" focussize="0,0"/>
                        <v:stroke weight="0.5pt" color="#000000" joinstyle="miter"/>
                        <v:imagedata o:title=""/>
                        <o:lock v:ext="edit" aspectratio="f"/>
                        <v:textbox>
                          <w:txbxContent>
                            <w:p w14:paraId="01C2B48D">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镀膜、夹胶、中空工序前对玻璃进行清洗用水</w:t>
                              </w:r>
                            </w:p>
                          </w:txbxContent>
                        </v:textbox>
                      </v:rect>
                      <v:rect id="_x0000_s1026" o:spid="_x0000_s1026" o:spt="1" style="position:absolute;left:13269;top:298949;height:374;width:580;" filled="f" stroked="f" coordsize="21600,21600" o:gfxdata="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cpym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10E66369">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0.3</w:t>
                              </w:r>
                            </w:p>
                          </w:txbxContent>
                        </v:textbox>
                      </v:rect>
                      <v:rect id="_x0000_s1026" o:spid="_x0000_s1026" o:spt="1" style="position:absolute;left:13735;top:299446;height:524;width:773;" filled="f" stroked="f" coordsize="21600,21600" o:gfxdata="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T45P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20A03A5B">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2.7</w:t>
                              </w:r>
                            </w:p>
                          </w:txbxContent>
                        </v:textbox>
                      </v:rect>
                      <v:rect id="_x0000_s1026" o:spid="_x0000_s1026" o:spt="1" style="position:absolute;left:10104;top:299492;height:657;width:864;" filled="f" stroked="t" coordsize="21600,21600" o:gfxdata="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td5qugAAANwA&#10;AAAPAAAAAAAAAAEAIAAAACIAAABkcnMvZG93bnJldi54bWxQSwECFAAUAAAACACHTuJAMy8FnjsA&#10;AAA5AAAAEAAAAAAAAAABACAAAAAJAQAAZHJzL3NoYXBleG1sLnhtbFBLBQYAAAAABgAGAFsBAACz&#10;AwAAAAA=&#10;">
                        <v:fill on="f" focussize="0,0"/>
                        <v:stroke weight="0.5pt" color="#000000" joinstyle="miter"/>
                        <v:imagedata o:title=""/>
                        <o:lock v:ext="edit" aspectratio="f"/>
                        <v:textbox>
                          <w:txbxContent>
                            <w:p w14:paraId="63ABCF56">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纯水制备用水</w:t>
                              </w:r>
                            </w:p>
                          </w:txbxContent>
                        </v:textbox>
                      </v:rect>
                      <v:shape id="_x0000_s1026" o:spid="_x0000_s1026" o:spt="100" style="position:absolute;left:12509;top:296775;height:695;width:1275;" filled="f" stroked="t" coordsize="1452,727" o:gfxdata="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QzBny8AAAA&#10;3AAAAA8AAAAAAAAAAQAgAAAAIgAAAGRycy9kb3ducmV2LnhtbFBLAQIUABQAAAAIAIdO4kAzLwWe&#10;OwAAADkAAAAQAAAAAAAAAAEAIAAAAAsBAABkcnMvc2hhcGV4bWwueG1sUEsFBgAAAAAGAAYAWwEA&#10;ALUDAAAAAA==&#10;" path="m603,0l1452,0,1452,727,9,727,0,405e">
                        <v:fill on="f" focussize="0,0"/>
                        <v:stroke weight="0.5pt" color="#000000" joinstyle="round" endarrow="block"/>
                        <v:imagedata o:title=""/>
                        <o:lock v:ext="edit" aspectratio="f"/>
                      </v:shape>
                      <v:line id="_x0000_s1026" o:spid="_x0000_s1026" o:spt="20" style="position:absolute;left:10973;top:299796;flip:y;height:16;width:487;" filled="f" stroked="t" coordsize="21600,21600" o:gfxdata="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N97L&#10;wAAAANwAAAAPAAAAAAAAAAEAIAAAACIAAABkcnMvZG93bnJldi54bWxQSwECFAAUAAAACACHTuJA&#10;My8FnjsAAAA5AAAAEAAAAAAAAAABACAAAAAPAQAAZHJzL3NoYXBleG1sLnhtbFBLBQYAAAAABgAG&#10;AFsBAAC5AwAAAAA=&#10;">
                        <v:fill on="f" focussize="0,0"/>
                        <v:stroke weight="0.5pt" color="#000000" joinstyle="round" endarrow="block"/>
                        <v:imagedata o:title=""/>
                        <o:lock v:ext="edit" aspectratio="f"/>
                      </v:line>
                      <v:line id="_x0000_s1026" o:spid="_x0000_s1026" o:spt="20" style="position:absolute;left:9595;top:299853;flip:y;height:16;width:487;" filled="f" stroked="t" coordsize="21600,21600" o:gfxdata="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e3tQvQAA&#10;ANwAAAAPAAAAAAAAAAEAIAAAACIAAABkcnMvZG93bnJldi54bWxQSwECFAAUAAAACACHTuJAMy8F&#10;njsAAAA5AAAAEAAAAAAAAAABACAAAAAMAQAAZHJzL3NoYXBleG1sLnhtbFBLBQYAAAAABgAGAFsB&#10;AAC2AwAAAAA=&#10;">
                        <v:fill on="f" focussize="0,0"/>
                        <v:stroke weight="0.5pt" color="#000000" joinstyle="round" endarrow="block"/>
                        <v:imagedata o:title=""/>
                        <o:lock v:ext="edit" aspectratio="f"/>
                      </v:line>
                      <v:shape id="_x0000_s1026" o:spid="_x0000_s1026" o:spt="100" style="position:absolute;left:10499;top:300143;height:548;width:2017;" filled="f" stroked="t" coordsize="4689,4005" o:gfxdata="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tveQvQAA&#10;ANwAAAAPAAAAAAAAAAEAIAAAACIAAABkcnMvZG93bnJldi54bWxQSwECFAAUAAAACACHTuJAMy8F&#10;njsAAAA5AAAAEAAAAAAAAAABACAAAAAMAQAAZHJzL3NoYXBleG1sLnhtbFBLBQYAAAAABgAGAFsB&#10;AAC2AwAAAAA=&#10;" path="m0,0l10,4005,4689,4005e">
                        <v:fill on="f" focussize="0,0"/>
                        <v:stroke weight="0.5pt" color="#000000" joinstyle="round" endarrow="block"/>
                        <v:imagedata o:title=""/>
                        <o:lock v:ext="edit" aspectratio="f"/>
                      </v:shape>
                      <v:shape id="_x0000_s1026" o:spid="_x0000_s1026" o:spt="100" style="position:absolute;left:9458;top:296723;flip:x;height:5706;width:136;" filled="f" stroked="t" coordsize="1,3600" o:gfxdata="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GYAlbsAAADc&#10;AAAADwAAAAAAAAABACAAAAAiAAAAZHJzL2Rvd25yZXYueG1sUEsBAhQAFAAAAAgAh07iQDMvBZ47&#10;AAAAOQAAABAAAAAAAAAAAQAgAAAACgEAAGRycy9zaGFwZXhtbC54bWxQSwUGAAAAAAYABgBbAQAA&#10;tAMAAAAA&#10;" path="m0,0l0,3600e">
                        <v:fill on="f" focussize="0,0"/>
                        <v:stroke weight="0.5pt" color="#000000" joinstyle="round"/>
                        <v:imagedata o:title=""/>
                        <o:lock v:ext="edit" aspectratio="f"/>
                      </v:shape>
                      <v:rect id="_x0000_s1026" o:spid="_x0000_s1026" o:spt="1" style="position:absolute;left:10915;top:299469;height:374;width:671;" filled="f" stroked="f" coordsize="21600,21600" o:gfxdata="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JrMa6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7932C1EB">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3.0</w:t>
                              </w:r>
                            </w:p>
                          </w:txbxContent>
                        </v:textbox>
                      </v:rect>
                      <v:rect id="_x0000_s1026" o:spid="_x0000_s1026" o:spt="1" style="position:absolute;left:9438;top:299463;height:391;width:784;" filled="f" stroked="f" coordsize="21600,21600" o:gfxdata="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SeUNb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61635F11">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4.2</w:t>
                              </w:r>
                            </w:p>
                          </w:txbxContent>
                        </v:textbox>
                      </v:rect>
                      <v:rect id="_x0000_s1026" o:spid="_x0000_s1026" o:spt="1" style="position:absolute;left:10768;top:300364;height:374;width:622;" filled="f" stroked="f" coordsize="21600,21600" o:gfxdata="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s4MQb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BDD0E5D">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1.22</w:t>
                              </w:r>
                            </w:p>
                          </w:txbxContent>
                        </v:textbox>
                      </v:rect>
                      <v:rect id="_x0000_s1026" o:spid="_x0000_s1026" o:spt="1" style="position:absolute;left:12888;top:298571;height:374;width:569;" filled="f" stroked="f" coordsize="21600,21600" o:gfxdata="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YKp2r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2D5DE145">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4.86</w:t>
                              </w:r>
                            </w:p>
                          </w:txbxContent>
                        </v:textbox>
                      </v:rect>
                      <v:shape id="_x0000_s1026" o:spid="_x0000_s1026" o:spt="100" style="position:absolute;left:12505;top:298233;height:695;width:1275;" filled="f" stroked="t" coordsize="1452,727" o:gfxdata="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HqkKG8AAAA&#10;3AAAAA8AAAAAAAAAAQAgAAAAIgAAAGRycy9kb3ducmV2LnhtbFBLAQIUABQAAAAIAIdO4kAzLwWe&#10;OwAAADkAAAAQAAAAAAAAAAEAIAAAAAsBAABkcnMvc2hhcGV4bWwueG1sUEsFBgAAAAAGAAYAWwEA&#10;ALUDAAAAAA==&#10;" path="m603,0l1452,0,1452,727,9,727,0,405e">
                        <v:fill on="f" focussize="0,0"/>
                        <v:stroke weight="0.5pt" color="#000000" joinstyle="round" endarrow="block"/>
                        <v:imagedata o:title=""/>
                        <o:lock v:ext="edit" aspectratio="f"/>
                      </v:shape>
                      <v:rect id="_x0000_s1026" o:spid="_x0000_s1026" o:spt="1" style="position:absolute;left:12447;top:300435;height:430;width:2054;" filled="f" stroked="f" coordsize="21600,21600" o:gfxdata="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4MGR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055FC927">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用于厂区洒水抑尘</w:t>
                              </w:r>
                            </w:p>
                          </w:txbxContent>
                        </v:textbox>
                      </v:rect>
                      <v:line id="_x0000_s1026" o:spid="_x0000_s1026" o:spt="20" style="position:absolute;left:11045;top:295562;height:1200;width:0;" filled="f" stroked="t" coordsize="21600,21600" o:gfxdata="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hirTvQAA&#10;ANwAAAAPAAAAAAAAAAEAIAAAACIAAABkcnMvZG93bnJldi54bWxQSwECFAAUAAAACACHTuJAMy8F&#10;njsAAAA5AAAAEAAAAAAAAAABACAAAAAMAQAAZHJzL3NoYXBleG1sLnhtbFBLBQYAAAAABgAGAFsB&#10;AAC2AwAAAAA=&#10;">
                        <v:fill on="f" focussize="0,0"/>
                        <v:stroke weight="1pt" color="#000000 [3213]" joinstyle="round" dashstyle="1 1" endarrow="open"/>
                        <v:imagedata o:title=""/>
                        <o:lock v:ext="edit" aspectratio="f"/>
                      </v:line>
                      <v:line id="_x0000_s1026" o:spid="_x0000_s1026" o:spt="20" style="position:absolute;left:11026;top:295581;height:0;width:3732;" filled="f" stroked="t" coordsize="21600,21600" o:gfxdata="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V8ePvQAA&#10;ANwAAAAPAAAAAAAAAAEAIAAAACIAAABkcnMvZG93bnJldi54bWxQSwECFAAUAAAACACHTuJAMy8F&#10;njsAAAA5AAAAEAAAAAAAAAABACAAAAAMAQAAZHJzL3NoYXBleG1sLnhtbFBLBQYAAAAABgAGAFsB&#10;AAC2AwAAAAA=&#10;">
                        <v:fill on="f" focussize="0,0"/>
                        <v:stroke weight="1pt" color="#000000 [3213]" joinstyle="round" dashstyle="1 1"/>
                        <v:imagedata o:title=""/>
                        <o:lock v:ext="edit" aspectratio="f"/>
                      </v:line>
                      <v:line id="_x0000_s1026" o:spid="_x0000_s1026" o:spt="20" style="position:absolute;left:14664;top:295562;flip:x;height:4294;width:56;" filled="f" stroked="t" coordsize="21600,21600" o:gfxdata="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phyy/7UAAADcAAAADwAA&#10;AAAAAAABACAAAAAiAAAAZHJzL2Rvd25yZXYueG1sUEsBAhQAFAAAAAgAh07iQDMvBZ47AAAAOQAA&#10;ABAAAAAAAAAAAQAgAAAABAEAAGRycy9zaGFwZXhtbC54bWxQSwUGAAAAAAYABgBbAQAArgMAAAAA&#10;">
                        <v:fill on="f" focussize="0,0"/>
                        <v:stroke weight="1pt" color="#000000 [3213]" joinstyle="round" dashstyle="1 1"/>
                        <v:imagedata o:title=""/>
                        <o:lock v:ext="edit" aspectratio="f"/>
                      </v:line>
                      <v:line id="_x0000_s1026" o:spid="_x0000_s1026" o:spt="20" style="position:absolute;left:13498;top:299837;flip:y;height:15;width:1147;" filled="f" stroked="t" coordsize="21600,21600" o:gfxdata="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s4siLUAAADcAAAADwAA&#10;AAAAAAABACAAAAAiAAAAZHJzL2Rvd25yZXYueG1sUEsBAhQAFAAAAAgAh07iQDMvBZ47AAAAOQAA&#10;ABAAAAAAAAAAAQAgAAAABAEAAGRycy9zaGFwZXhtbC54bWxQSwUGAAAAAAYABgBbAQAArgMAAAAA&#10;">
                        <v:fill on="f" focussize="0,0"/>
                        <v:stroke weight="1pt" color="#000000 [3213]" joinstyle="round" dashstyle="1 1"/>
                        <v:imagedata o:title=""/>
                        <o:lock v:ext="edit" aspectratio="f"/>
                      </v:line>
                    </v:group>
                  </w:pict>
                </mc:Fallback>
              </mc:AlternateContent>
            </w:r>
          </w:p>
          <w:p w14:paraId="2110327D">
            <w:pPr>
              <w:pStyle w:val="129"/>
              <w:ind w:firstLine="480"/>
              <w:rPr>
                <w:rFonts w:hint="eastAsia"/>
                <w:b w:val="0"/>
                <w:bCs w:val="0"/>
                <w:color w:val="000000"/>
                <w:lang w:val="en-US" w:eastAsia="zh-CN"/>
              </w:rPr>
            </w:pPr>
          </w:p>
          <w:p w14:paraId="69FA977A">
            <w:pPr>
              <w:pStyle w:val="129"/>
              <w:ind w:firstLine="480"/>
              <w:rPr>
                <w:rFonts w:hint="eastAsia"/>
                <w:b w:val="0"/>
                <w:bCs w:val="0"/>
                <w:color w:val="000000"/>
                <w:lang w:val="en-US" w:eastAsia="zh-CN"/>
              </w:rPr>
            </w:pPr>
          </w:p>
          <w:p w14:paraId="2CCC8FC2">
            <w:pPr>
              <w:pStyle w:val="129"/>
              <w:ind w:firstLine="480"/>
              <w:rPr>
                <w:rFonts w:hint="eastAsia"/>
                <w:b w:val="0"/>
                <w:bCs w:val="0"/>
                <w:color w:val="000000"/>
                <w:lang w:val="en-US" w:eastAsia="zh-CN"/>
              </w:rPr>
            </w:pPr>
          </w:p>
          <w:p w14:paraId="52850A70">
            <w:pPr>
              <w:pStyle w:val="129"/>
              <w:ind w:firstLine="480"/>
              <w:rPr>
                <w:rFonts w:hint="eastAsia"/>
                <w:b w:val="0"/>
                <w:bCs w:val="0"/>
                <w:color w:val="000000"/>
                <w:lang w:val="en-US" w:eastAsia="zh-CN"/>
              </w:rPr>
            </w:pPr>
          </w:p>
          <w:p w14:paraId="1D90136C">
            <w:pPr>
              <w:pStyle w:val="129"/>
              <w:ind w:firstLine="480"/>
              <w:rPr>
                <w:rFonts w:hint="eastAsia"/>
                <w:b w:val="0"/>
                <w:bCs w:val="0"/>
                <w:color w:val="000000"/>
                <w:lang w:val="en-US" w:eastAsia="zh-CN"/>
              </w:rPr>
            </w:pPr>
          </w:p>
          <w:p w14:paraId="255A6FE0">
            <w:pPr>
              <w:pStyle w:val="129"/>
              <w:ind w:firstLine="480"/>
              <w:rPr>
                <w:rFonts w:hint="eastAsia"/>
                <w:b w:val="0"/>
                <w:bCs w:val="0"/>
                <w:color w:val="000000"/>
                <w:lang w:val="en-US" w:eastAsia="zh-CN"/>
              </w:rPr>
            </w:pPr>
          </w:p>
          <w:p w14:paraId="62265CE1">
            <w:pPr>
              <w:pStyle w:val="129"/>
              <w:ind w:firstLine="480"/>
              <w:rPr>
                <w:rFonts w:hint="eastAsia"/>
                <w:b w:val="0"/>
                <w:bCs w:val="0"/>
                <w:color w:val="000000"/>
                <w:lang w:val="en-US" w:eastAsia="zh-CN"/>
              </w:rPr>
            </w:pPr>
          </w:p>
          <w:p w14:paraId="331EE2A4">
            <w:pPr>
              <w:pStyle w:val="129"/>
              <w:ind w:firstLine="480"/>
              <w:rPr>
                <w:rFonts w:hint="eastAsia"/>
                <w:b w:val="0"/>
                <w:bCs w:val="0"/>
                <w:color w:val="000000"/>
                <w:lang w:val="en-US" w:eastAsia="zh-CN"/>
              </w:rPr>
            </w:pPr>
          </w:p>
          <w:p w14:paraId="616AA01E">
            <w:pPr>
              <w:pStyle w:val="129"/>
              <w:ind w:firstLine="480"/>
              <w:rPr>
                <w:rFonts w:hint="eastAsia"/>
                <w:b w:val="0"/>
                <w:bCs w:val="0"/>
                <w:color w:val="000000"/>
                <w:lang w:val="en-US" w:eastAsia="zh-CN"/>
              </w:rPr>
            </w:pPr>
          </w:p>
          <w:p w14:paraId="05AC4BDC">
            <w:pPr>
              <w:pStyle w:val="129"/>
              <w:ind w:firstLine="480"/>
              <w:rPr>
                <w:rFonts w:hint="eastAsia"/>
                <w:b w:val="0"/>
                <w:bCs w:val="0"/>
                <w:color w:val="000000"/>
                <w:lang w:val="en-US" w:eastAsia="zh-CN"/>
              </w:rPr>
            </w:pPr>
          </w:p>
          <w:p w14:paraId="55B3E25F">
            <w:pPr>
              <w:pStyle w:val="129"/>
              <w:ind w:firstLine="480"/>
              <w:rPr>
                <w:rFonts w:hint="eastAsia"/>
                <w:b w:val="0"/>
                <w:bCs w:val="0"/>
                <w:color w:val="000000"/>
                <w:lang w:val="en-US" w:eastAsia="zh-CN"/>
              </w:rPr>
            </w:pPr>
          </w:p>
          <w:p w14:paraId="7E8EF64B">
            <w:pPr>
              <w:pStyle w:val="129"/>
              <w:ind w:firstLine="480"/>
              <w:rPr>
                <w:rFonts w:hint="eastAsia"/>
                <w:b w:val="0"/>
                <w:bCs w:val="0"/>
                <w:color w:val="000000"/>
                <w:lang w:val="en-US" w:eastAsia="zh-CN"/>
              </w:rPr>
            </w:pPr>
            <w:r>
              <mc:AlternateContent>
                <mc:Choice Requires="wps">
                  <w:drawing>
                    <wp:anchor distT="0" distB="0" distL="114300" distR="114300" simplePos="0" relativeHeight="251666432" behindDoc="0" locked="0" layoutInCell="1" allowOverlap="1">
                      <wp:simplePos x="0" y="0"/>
                      <wp:positionH relativeFrom="column">
                        <wp:posOffset>1170940</wp:posOffset>
                      </wp:positionH>
                      <wp:positionV relativeFrom="paragraph">
                        <wp:posOffset>261620</wp:posOffset>
                      </wp:positionV>
                      <wp:extent cx="391160" cy="237490"/>
                      <wp:effectExtent l="0" t="0" r="0" b="0"/>
                      <wp:wrapNone/>
                      <wp:docPr id="73" name="矩形 73"/>
                      <wp:cNvGraphicFramePr/>
                      <a:graphic xmlns:a="http://schemas.openxmlformats.org/drawingml/2006/main">
                        <a:graphicData uri="http://schemas.microsoft.com/office/word/2010/wordprocessingShape">
                          <wps:wsp>
                            <wps:cNvSpPr/>
                            <wps:spPr>
                              <a:xfrm>
                                <a:off x="0" y="0"/>
                                <a:ext cx="391160" cy="237490"/>
                              </a:xfrm>
                              <a:prstGeom prst="rect">
                                <a:avLst/>
                              </a:prstGeom>
                              <a:noFill/>
                              <a:ln>
                                <a:noFill/>
                              </a:ln>
                            </wps:spPr>
                            <wps:txbx>
                              <w:txbxContent>
                                <w:p w14:paraId="6A8158DA">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0.5</w:t>
                                  </w:r>
                                </w:p>
                              </w:txbxContent>
                            </wps:txbx>
                            <wps:bodyPr upright="1"/>
                          </wps:wsp>
                        </a:graphicData>
                      </a:graphic>
                    </wp:anchor>
                  </w:drawing>
                </mc:Choice>
                <mc:Fallback>
                  <w:pict>
                    <v:rect id="_x0000_s1026" o:spid="_x0000_s1026" o:spt="1" style="position:absolute;left:0pt;margin-left:92.2pt;margin-top:20.6pt;height:18.7pt;width:30.8pt;z-index:251666432;mso-width-relative:page;mso-height-relative:page;" filled="f" stroked="f" coordsize="21600,21600" o:gfxdata="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m1VrMtkAAAAJAQAADwAA&#10;AAAAAAABACAAAAAiAAAAZHJzL2Rvd25yZXYueG1sUEsBAhQAFAAAAAgAh07iQGwKZ/+jAQAAQgMA&#10;AA4AAAAAAAAAAQAgAAAAKAEAAGRycy9lMm9Eb2MueG1sUEsFBgAAAAAGAAYAWQEAAD0FAAAAAA==&#10;">
                      <v:fill on="f" focussize="0,0"/>
                      <v:stroke on="f"/>
                      <v:imagedata o:title=""/>
                      <o:lock v:ext="edit" aspectratio="f"/>
                      <v:textbox>
                        <w:txbxContent>
                          <w:p w14:paraId="6A8158DA">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0.5</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2098040</wp:posOffset>
                      </wp:positionH>
                      <wp:positionV relativeFrom="paragraph">
                        <wp:posOffset>140970</wp:posOffset>
                      </wp:positionV>
                      <wp:extent cx="391160" cy="237490"/>
                      <wp:effectExtent l="0" t="0" r="0" b="0"/>
                      <wp:wrapNone/>
                      <wp:docPr id="72" name="矩形 72"/>
                      <wp:cNvGraphicFramePr/>
                      <a:graphic xmlns:a="http://schemas.openxmlformats.org/drawingml/2006/main">
                        <a:graphicData uri="http://schemas.microsoft.com/office/word/2010/wordprocessingShape">
                          <wps:wsp>
                            <wps:cNvSpPr/>
                            <wps:spPr>
                              <a:xfrm>
                                <a:off x="0" y="0"/>
                                <a:ext cx="391160" cy="237490"/>
                              </a:xfrm>
                              <a:prstGeom prst="rect">
                                <a:avLst/>
                              </a:prstGeom>
                              <a:noFill/>
                              <a:ln>
                                <a:noFill/>
                              </a:ln>
                            </wps:spPr>
                            <wps:txbx>
                              <w:txbxContent>
                                <w:p w14:paraId="229910D1">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0.5</w:t>
                                  </w:r>
                                </w:p>
                              </w:txbxContent>
                            </wps:txbx>
                            <wps:bodyPr upright="1"/>
                          </wps:wsp>
                        </a:graphicData>
                      </a:graphic>
                    </wp:anchor>
                  </w:drawing>
                </mc:Choice>
                <mc:Fallback>
                  <w:pict>
                    <v:rect id="_x0000_s1026" o:spid="_x0000_s1026" o:spt="1" style="position:absolute;left:0pt;margin-left:165.2pt;margin-top:11.1pt;height:18.7pt;width:30.8pt;z-index:251665408;mso-width-relative:page;mso-height-relative:page;" filled="f" stroked="f" coordsize="21600,21600" o:gfxdata="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P4tivaAAAACQEAAA8A&#10;AAAAAAAAAQAgAAAAIgAAAGRycy9kb3ducmV2LnhtbFBLAQIUABQAAAAIAIdO4kDq9cdkowEAAEID&#10;AAAOAAAAAAAAAAEAIAAAACkBAABkcnMvZTJvRG9jLnhtbFBLBQYAAAAABgAGAFkBAAA+BQAAAAA=&#10;">
                      <v:fill on="f" focussize="0,0"/>
                      <v:stroke on="f"/>
                      <v:imagedata o:title=""/>
                      <o:lock v:ext="edit" aspectratio="f"/>
                      <v:textbox>
                        <w:txbxContent>
                          <w:p w14:paraId="229910D1">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0.5</w:t>
                            </w:r>
                          </w:p>
                        </w:txbxContent>
                      </v:textbox>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2009140</wp:posOffset>
                      </wp:positionH>
                      <wp:positionV relativeFrom="paragraph">
                        <wp:posOffset>200025</wp:posOffset>
                      </wp:positionV>
                      <wp:extent cx="171450" cy="163195"/>
                      <wp:effectExtent l="4445" t="0" r="14605" b="8255"/>
                      <wp:wrapNone/>
                      <wp:docPr id="70" name="任意多边形 70"/>
                      <wp:cNvGraphicFramePr/>
                      <a:graphic xmlns:a="http://schemas.openxmlformats.org/drawingml/2006/main">
                        <a:graphicData uri="http://schemas.microsoft.com/office/word/2010/wordprocessingShape">
                          <wps:wsp>
                            <wps:cNvSpPr/>
                            <wps:spPr>
                              <a:xfrm>
                                <a:off x="0" y="0"/>
                                <a:ext cx="171450" cy="163195"/>
                              </a:xfrm>
                              <a:custGeom>
                                <a:avLst/>
                                <a:gdLst/>
                                <a:ahLst/>
                                <a:cxnLst/>
                                <a:pathLst>
                                  <a:path w="308" h="269">
                                    <a:moveTo>
                                      <a:pt x="0" y="269"/>
                                    </a:moveTo>
                                    <a:cubicBezTo>
                                      <a:pt x="24" y="220"/>
                                      <a:pt x="95" y="54"/>
                                      <a:pt x="119" y="40"/>
                                    </a:cubicBezTo>
                                    <a:cubicBezTo>
                                      <a:pt x="143" y="26"/>
                                      <a:pt x="81" y="205"/>
                                      <a:pt x="119" y="197"/>
                                    </a:cubicBezTo>
                                    <a:cubicBezTo>
                                      <a:pt x="157" y="189"/>
                                      <a:pt x="270" y="43"/>
                                      <a:pt x="308" y="0"/>
                                    </a:cubicBezTo>
                                  </a:path>
                                </a:pathLst>
                              </a:custGeom>
                              <a:noFill/>
                              <a:ln w="6350" cap="flat" cmpd="sng">
                                <a:solidFill>
                                  <a:srgbClr val="000000"/>
                                </a:solidFill>
                                <a:prstDash val="dash"/>
                                <a:headEnd type="none" w="med" len="med"/>
                                <a:tailEnd type="triangle" w="med" len="med"/>
                              </a:ln>
                            </wps:spPr>
                            <wps:bodyPr upright="1"/>
                          </wps:wsp>
                        </a:graphicData>
                      </a:graphic>
                    </wp:anchor>
                  </w:drawing>
                </mc:Choice>
                <mc:Fallback>
                  <w:pict>
                    <v:shape id="_x0000_s1026" o:spid="_x0000_s1026" o:spt="100" style="position:absolute;left:0pt;margin-left:158.2pt;margin-top:15.75pt;height:12.85pt;width:13.5pt;z-index:251663360;mso-width-relative:page;mso-height-relative:page;" filled="f" stroked="t" coordsize="308,269" o:gfxdata="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" path="m0,269c24,220,95,54,119,40c143,26,81,205,119,197c157,189,270,43,308,0e">
                      <v:fill on="f" focussize="0,0"/>
                      <v:stroke weight="0.5pt" color="#000000" joinstyle="round" dashstyle="dash" endarrow="block"/>
                      <v:imagedata o:title=""/>
                      <o:lock v:ext="edit" aspectratio="f"/>
                    </v:shape>
                  </w:pict>
                </mc:Fallback>
              </mc:AlternateContent>
            </w:r>
          </w:p>
          <w:p w14:paraId="6EE31C8B">
            <w:pPr>
              <w:pStyle w:val="129"/>
              <w:ind w:firstLine="480"/>
              <w:rPr>
                <w:rFonts w:hint="eastAsia"/>
                <w:b w:val="0"/>
                <w:bCs w:val="0"/>
                <w:color w:val="000000"/>
                <w:lang w:val="en-US" w:eastAsia="zh-CN"/>
              </w:rPr>
            </w:pPr>
            <w:r>
              <mc:AlternateContent>
                <mc:Choice Requires="wps">
                  <w:drawing>
                    <wp:anchor distT="0" distB="0" distL="114300" distR="114300" simplePos="0" relativeHeight="251664384" behindDoc="0" locked="0" layoutInCell="1" allowOverlap="1">
                      <wp:simplePos x="0" y="0"/>
                      <wp:positionH relativeFrom="column">
                        <wp:posOffset>2272665</wp:posOffset>
                      </wp:positionH>
                      <wp:positionV relativeFrom="paragraph">
                        <wp:posOffset>194310</wp:posOffset>
                      </wp:positionV>
                      <wp:extent cx="809625" cy="325120"/>
                      <wp:effectExtent l="35560" t="4445" r="12065" b="13335"/>
                      <wp:wrapNone/>
                      <wp:docPr id="71" name="任意多边形 71"/>
                      <wp:cNvGraphicFramePr/>
                      <a:graphic xmlns:a="http://schemas.openxmlformats.org/drawingml/2006/main">
                        <a:graphicData uri="http://schemas.microsoft.com/office/word/2010/wordprocessingShape">
                          <wps:wsp>
                            <wps:cNvSpPr/>
                            <wps:spPr>
                              <a:xfrm>
                                <a:off x="0" y="0"/>
                                <a:ext cx="809625" cy="325120"/>
                              </a:xfrm>
                              <a:custGeom>
                                <a:avLst/>
                                <a:gdLst/>
                                <a:ahLst/>
                                <a:cxnLst/>
                                <a:pathLst>
                                  <a:path w="1452" h="727">
                                    <a:moveTo>
                                      <a:pt x="603" y="0"/>
                                    </a:moveTo>
                                    <a:lnTo>
                                      <a:pt x="1452" y="0"/>
                                    </a:lnTo>
                                    <a:lnTo>
                                      <a:pt x="1452" y="727"/>
                                    </a:lnTo>
                                    <a:lnTo>
                                      <a:pt x="9" y="727"/>
                                    </a:lnTo>
                                    <a:lnTo>
                                      <a:pt x="0" y="405"/>
                                    </a:lnTo>
                                  </a:path>
                                </a:pathLst>
                              </a:custGeom>
                              <a:noFill/>
                              <a:ln w="6350" cap="flat" cmpd="sng">
                                <a:solidFill>
                                  <a:srgbClr val="000000"/>
                                </a:solidFill>
                                <a:prstDash val="solid"/>
                                <a:headEnd type="none" w="med" len="med"/>
                                <a:tailEnd type="triangle" w="med" len="med"/>
                              </a:ln>
                            </wps:spPr>
                            <wps:bodyPr upright="1"/>
                          </wps:wsp>
                        </a:graphicData>
                      </a:graphic>
                    </wp:anchor>
                  </w:drawing>
                </mc:Choice>
                <mc:Fallback>
                  <w:pict>
                    <v:shape id="_x0000_s1026" o:spid="_x0000_s1026" o:spt="100" style="position:absolute;left:0pt;margin-left:178.95pt;margin-top:15.3pt;height:25.6pt;width:63.75pt;z-index:251664384;mso-width-relative:page;mso-height-relative:page;" filled="f" stroked="t" coordsize="1452,727" o:gfxdata="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Erq1m2QAAAAkBAAAPAAAAAAAAAAEAIAAAACIAAABkcnMvZG93bnJldi54bWxQSwECFAAUAAAA&#10;CACHTuJA+wfZnF8CAAALBQAADgAAAAAAAAABACAAAAAoAQAAZHJzL2Uyb0RvYy54bWxQSwUGAAAA&#10;AAYABgBZAQAA+QUAAAAA&#10;" path="m603,0l1452,0,1452,727,9,727,0,405e">
                      <v:fill on="f" focussize="0,0"/>
                      <v:stroke weight="0.5pt" color="#000000" joinstyle="round" endarrow="block"/>
                      <v:imagedata o:title=""/>
                      <o:lock v:ext="edit" aspectratio="f"/>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1563370</wp:posOffset>
                      </wp:positionH>
                      <wp:positionV relativeFrom="paragraph">
                        <wp:posOffset>104775</wp:posOffset>
                      </wp:positionV>
                      <wp:extent cx="1024255" cy="280035"/>
                      <wp:effectExtent l="5080" t="4445" r="18415" b="20320"/>
                      <wp:wrapNone/>
                      <wp:docPr id="66" name="矩形 66"/>
                      <wp:cNvGraphicFramePr/>
                      <a:graphic xmlns:a="http://schemas.openxmlformats.org/drawingml/2006/main">
                        <a:graphicData uri="http://schemas.microsoft.com/office/word/2010/wordprocessingShape">
                          <wps:wsp>
                            <wps:cNvSpPr/>
                            <wps:spPr>
                              <a:xfrm>
                                <a:off x="0" y="0"/>
                                <a:ext cx="1024255" cy="280035"/>
                              </a:xfrm>
                              <a:prstGeom prst="rect">
                                <a:avLst/>
                              </a:prstGeom>
                              <a:noFill/>
                              <a:ln w="6350" cap="flat" cmpd="sng">
                                <a:solidFill>
                                  <a:srgbClr val="000000"/>
                                </a:solidFill>
                                <a:prstDash val="solid"/>
                                <a:miter/>
                                <a:headEnd type="none" w="med" len="med"/>
                                <a:tailEnd type="none" w="med" len="med"/>
                              </a:ln>
                            </wps:spPr>
                            <wps:txbx>
                              <w:txbxContent>
                                <w:p w14:paraId="5D7E30EE">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设备冷却用水</w:t>
                                  </w:r>
                                </w:p>
                              </w:txbxContent>
                            </wps:txbx>
                            <wps:bodyPr upright="1"/>
                          </wps:wsp>
                        </a:graphicData>
                      </a:graphic>
                    </wp:anchor>
                  </w:drawing>
                </mc:Choice>
                <mc:Fallback>
                  <w:pict>
                    <v:rect id="_x0000_s1026" o:spid="_x0000_s1026" o:spt="1" style="position:absolute;left:0pt;margin-left:123.1pt;margin-top:8.25pt;height:22.05pt;width:80.65pt;z-index:251661312;mso-width-relative:page;mso-height-relative:page;" filled="f" stroked="t" coordsize="21600,21600" o:gfxdata="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xa9dD1QAAAAkBAAAPAAAAAAAAAAEAIAAAACIAAABkcnMvZG93bnJldi54&#10;bWxQSwECFAAUAAAACACHTuJAhsOs+P0BAAACBAAADgAAAAAAAAABACAAAAAkAQAAZHJzL2Uyb0Rv&#10;Yy54bWxQSwUGAAAAAAYABgBZAQAAkwUAAAAA&#10;">
                      <v:fill on="f" focussize="0,0"/>
                      <v:stroke weight="0.5pt" color="#000000" joinstyle="miter"/>
                      <v:imagedata o:title=""/>
                      <o:lock v:ext="edit" aspectratio="f"/>
                      <v:textbox>
                        <w:txbxContent>
                          <w:p w14:paraId="5D7E30EE">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设备冷却用水</w:t>
                            </w:r>
                          </w:p>
                        </w:txbxContent>
                      </v:textbox>
                    </v:rect>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1134745</wp:posOffset>
                      </wp:positionH>
                      <wp:positionV relativeFrom="paragraph">
                        <wp:posOffset>243840</wp:posOffset>
                      </wp:positionV>
                      <wp:extent cx="428625" cy="1270"/>
                      <wp:effectExtent l="0" t="36830" r="9525" b="38100"/>
                      <wp:wrapNone/>
                      <wp:docPr id="68" name="直接连接符 68"/>
                      <wp:cNvGraphicFramePr/>
                      <a:graphic xmlns:a="http://schemas.openxmlformats.org/drawingml/2006/main">
                        <a:graphicData uri="http://schemas.microsoft.com/office/word/2010/wordprocessingShape">
                          <wps:wsp>
                            <wps:cNvCnPr>
                              <a:endCxn id="66" idx="1"/>
                            </wps:cNvCnPr>
                            <wps:spPr>
                              <a:xfrm>
                                <a:off x="0" y="0"/>
                                <a:ext cx="428625" cy="1270"/>
                              </a:xfrm>
                              <a:prstGeom prst="line">
                                <a:avLst/>
                              </a:prstGeom>
                              <a:ln w="6350"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89.35pt;margin-top:19.2pt;height:0.1pt;width:33.75pt;z-index:251662336;mso-width-relative:page;mso-height-relative:page;" filled="f" stroked="t" coordsize="21600,21600" o:gfxdata="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C02GTXAAAACQEAAA8AAAAAAAAAAQAg&#10;AAAAIgAAAGRycy9kb3ducmV2LnhtbFBLAQIUABQAAAAIAIdO4kAzxrznDwIAABQEAAAOAAAAAAAA&#10;AAEAIAAAACYBAABkcnMvZTJvRG9jLnhtbFBLBQYAAAAABgAGAFkBAACnBQAAAAA=&#10;">
                      <v:fill on="f" focussize="0,0"/>
                      <v:stroke weight="0.5pt" color="#000000" joinstyle="round" endarrow="block"/>
                      <v:imagedata o:title=""/>
                      <o:lock v:ext="edit" aspectratio="f"/>
                    </v:line>
                  </w:pict>
                </mc:Fallback>
              </mc:AlternateContent>
            </w:r>
          </w:p>
          <w:p w14:paraId="662E01CB">
            <w:pPr>
              <w:pStyle w:val="129"/>
              <w:ind w:firstLine="480"/>
              <w:rPr>
                <w:rFonts w:hint="eastAsia"/>
                <w:b w:val="0"/>
                <w:bCs w:val="0"/>
                <w:color w:val="000000"/>
                <w:lang w:val="en-US" w:eastAsia="zh-CN"/>
              </w:rPr>
            </w:pPr>
            <w:r>
              <mc:AlternateContent>
                <mc:Choice Requires="wps">
                  <w:drawing>
                    <wp:anchor distT="0" distB="0" distL="114300" distR="114300" simplePos="0" relativeHeight="251667456" behindDoc="0" locked="0" layoutInCell="1" allowOverlap="1">
                      <wp:simplePos x="0" y="0"/>
                      <wp:positionH relativeFrom="column">
                        <wp:posOffset>2557780</wp:posOffset>
                      </wp:positionH>
                      <wp:positionV relativeFrom="paragraph">
                        <wp:posOffset>31750</wp:posOffset>
                      </wp:positionV>
                      <wp:extent cx="391160" cy="237490"/>
                      <wp:effectExtent l="0" t="0" r="0" b="0"/>
                      <wp:wrapNone/>
                      <wp:docPr id="82" name="矩形 82"/>
                      <wp:cNvGraphicFramePr/>
                      <a:graphic xmlns:a="http://schemas.openxmlformats.org/drawingml/2006/main">
                        <a:graphicData uri="http://schemas.microsoft.com/office/word/2010/wordprocessingShape">
                          <wps:wsp>
                            <wps:cNvSpPr/>
                            <wps:spPr>
                              <a:xfrm>
                                <a:off x="0" y="0"/>
                                <a:ext cx="391160" cy="237490"/>
                              </a:xfrm>
                              <a:prstGeom prst="rect">
                                <a:avLst/>
                              </a:prstGeom>
                              <a:noFill/>
                              <a:ln>
                                <a:noFill/>
                              </a:ln>
                            </wps:spPr>
                            <wps:txbx>
                              <w:txbxContent>
                                <w:p w14:paraId="73FE7EAF">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4.5</w:t>
                                  </w:r>
                                </w:p>
                              </w:txbxContent>
                            </wps:txbx>
                            <wps:bodyPr upright="1"/>
                          </wps:wsp>
                        </a:graphicData>
                      </a:graphic>
                    </wp:anchor>
                  </w:drawing>
                </mc:Choice>
                <mc:Fallback>
                  <w:pict>
                    <v:rect id="_x0000_s1026" o:spid="_x0000_s1026" o:spt="1" style="position:absolute;left:0pt;margin-left:201.4pt;margin-top:2.5pt;height:18.7pt;width:30.8pt;z-index:251667456;mso-width-relative:page;mso-height-relative:page;" filled="f" stroked="f" coordsize="21600,21600" o:gfxdata="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8kjIR9kAAAAIAQAADwAA&#10;AAAAAAABACAAAAAiAAAAZHJzL2Rvd25yZXYueG1sUEsBAhQAFAAAAAgAh07iQCxSAFujAQAAQgMA&#10;AA4AAAAAAAAAAQAgAAAAKAEAAGRycy9lMm9Eb2MueG1sUEsFBgAAAAAGAAYAWQEAAD0FAAAAAA==&#10;">
                      <v:fill on="f" focussize="0,0"/>
                      <v:stroke on="f"/>
                      <v:imagedata o:title=""/>
                      <o:lock v:ext="edit" aspectratio="f"/>
                      <v:textbox>
                        <w:txbxContent>
                          <w:p w14:paraId="73FE7EAF">
                            <w:pPr>
                              <w:keepNext w:val="0"/>
                              <w:keepLines w:val="0"/>
                              <w:pageBreakBefore w:val="0"/>
                              <w:widowControl w:val="0"/>
                              <w:kinsoku/>
                              <w:wordWrap/>
                              <w:overflowPunct/>
                              <w:topLinePunct w:val="0"/>
                              <w:bidi w:val="0"/>
                              <w:adjustRightInd w:val="0"/>
                              <w:snapToGrid w:val="0"/>
                              <w:jc w:val="center"/>
                              <w:textAlignment w:val="auto"/>
                              <w:rPr>
                                <w:rFonts w:hint="default" w:eastAsia="宋体"/>
                                <w:sz w:val="21"/>
                                <w:szCs w:val="21"/>
                                <w:lang w:val="en-US" w:eastAsia="zh-CN"/>
                              </w:rPr>
                            </w:pPr>
                            <w:r>
                              <w:rPr>
                                <w:rFonts w:hint="eastAsia"/>
                                <w:sz w:val="21"/>
                                <w:szCs w:val="21"/>
                                <w:lang w:val="en-US" w:eastAsia="zh-CN"/>
                              </w:rPr>
                              <w:t>4.5</w:t>
                            </w:r>
                          </w:p>
                        </w:txbxContent>
                      </v:textbox>
                    </v:rect>
                  </w:pict>
                </mc:Fallback>
              </mc:AlternateContent>
            </w:r>
          </w:p>
          <w:p w14:paraId="14115223">
            <w:pPr>
              <w:pStyle w:val="129"/>
              <w:ind w:firstLine="480"/>
              <w:rPr>
                <w:rFonts w:hint="eastAsia"/>
                <w:b w:val="0"/>
                <w:bCs w:val="0"/>
                <w:color w:val="000000"/>
                <w:lang w:val="en-US" w:eastAsia="zh-CN"/>
              </w:rPr>
            </w:pPr>
          </w:p>
          <w:p w14:paraId="0DB5F4F3">
            <w:pPr>
              <w:pStyle w:val="129"/>
              <w:ind w:firstLine="480"/>
              <w:rPr>
                <w:rFonts w:hint="eastAsia"/>
                <w:b w:val="0"/>
                <w:bCs w:val="0"/>
                <w:color w:val="000000"/>
                <w:lang w:val="en-US" w:eastAsia="zh-CN"/>
              </w:rPr>
            </w:pPr>
          </w:p>
          <w:p w14:paraId="193B7C58">
            <w:pPr>
              <w:pStyle w:val="129"/>
              <w:ind w:left="0" w:leftChars="0" w:firstLine="0" w:firstLineChars="0"/>
              <w:rPr>
                <w:rFonts w:hint="eastAsia"/>
                <w:b w:val="0"/>
                <w:bCs w:val="0"/>
                <w:color w:val="000000"/>
                <w:lang w:val="en-US" w:eastAsia="zh-CN"/>
              </w:rPr>
            </w:pPr>
          </w:p>
          <w:p w14:paraId="49127B76">
            <w:pPr>
              <w:pStyle w:val="129"/>
              <w:ind w:left="0" w:leftChars="0" w:firstLine="0" w:firstLineChars="0"/>
              <w:jc w:val="center"/>
              <w:rPr>
                <w:rFonts w:hint="eastAsia"/>
                <w:b/>
                <w:bCs/>
                <w:color w:val="000000"/>
                <w:u w:val="single"/>
                <w:lang w:val="en-US" w:eastAsia="zh-CN"/>
              </w:rPr>
            </w:pPr>
            <w:r>
              <w:rPr>
                <w:rFonts w:hint="eastAsia"/>
                <w:b/>
                <w:bCs/>
                <w:color w:val="000000"/>
                <w:u w:val="single"/>
                <w:lang w:val="en-US" w:eastAsia="zh-CN"/>
              </w:rPr>
              <w:t>图1       本项目水平衡图       单位：m</w:t>
            </w:r>
            <w:r>
              <w:rPr>
                <w:rFonts w:hint="eastAsia"/>
                <w:b/>
                <w:bCs/>
                <w:color w:val="000000"/>
                <w:u w:val="single"/>
                <w:vertAlign w:val="superscript"/>
                <w:lang w:val="en-US" w:eastAsia="zh-CN"/>
              </w:rPr>
              <w:t>3</w:t>
            </w:r>
            <w:r>
              <w:rPr>
                <w:rFonts w:hint="eastAsia"/>
                <w:b/>
                <w:bCs/>
                <w:color w:val="000000"/>
                <w:u w:val="single"/>
                <w:lang w:val="en-US" w:eastAsia="zh-CN"/>
              </w:rPr>
              <w:t>/d</w:t>
            </w:r>
          </w:p>
          <w:p w14:paraId="1D569970">
            <w:pPr>
              <w:pStyle w:val="129"/>
              <w:ind w:left="0" w:leftChars="0" w:firstLine="0" w:firstLineChars="0"/>
              <w:jc w:val="center"/>
              <w:rPr>
                <w:rFonts w:hint="default"/>
                <w:b/>
                <w:bCs/>
                <w:color w:val="000000"/>
                <w:u w:val="single"/>
                <w:lang w:val="en-US" w:eastAsia="zh-CN"/>
              </w:rPr>
            </w:pPr>
            <w:r>
              <w:rPr>
                <w:rFonts w:hint="eastAsia"/>
                <w:b/>
                <w:bCs/>
                <w:color w:val="000000"/>
                <w:u w:val="single"/>
                <w:lang w:val="en-US" w:eastAsia="zh-CN"/>
              </w:rPr>
              <w:t>（因本项目为异地扩建项目，且与现有工程没有依托关系，本次不再分析全厂水平衡情况）</w:t>
            </w:r>
          </w:p>
          <w:p w14:paraId="0A2EFB60">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line="360" w:lineRule="auto"/>
              <w:jc w:val="left"/>
              <w:textAlignment w:val="auto"/>
              <w:rPr>
                <w:rFonts w:hint="default" w:ascii="Times New Roman" w:hAnsi="Times New Roman" w:eastAsia="宋体" w:cs="Times New Roman"/>
                <w:b w:val="0"/>
                <w:bCs w:val="0"/>
                <w:color w:val="000000"/>
                <w:sz w:val="24"/>
                <w:szCs w:val="24"/>
              </w:rPr>
            </w:pPr>
            <w:r>
              <w:rPr>
                <w:rFonts w:hint="eastAsia" w:ascii="Times New Roman" w:hAnsi="Times New Roman" w:eastAsia="宋体" w:cs="Times New Roman"/>
                <w:b w:val="0"/>
                <w:bCs w:val="0"/>
                <w:color w:val="000000"/>
                <w:sz w:val="24"/>
                <w:szCs w:val="24"/>
                <w:lang w:eastAsia="zh-CN"/>
              </w:rPr>
              <w:t>（</w:t>
            </w:r>
            <w:r>
              <w:rPr>
                <w:rFonts w:hint="eastAsia" w:ascii="Times New Roman" w:hAnsi="Times New Roman" w:eastAsia="宋体" w:cs="Times New Roman"/>
                <w:b w:val="0"/>
                <w:bCs w:val="0"/>
                <w:color w:val="000000"/>
                <w:sz w:val="24"/>
                <w:szCs w:val="24"/>
                <w:lang w:val="en-US" w:eastAsia="zh-CN"/>
              </w:rPr>
              <w:t>3）</w:t>
            </w:r>
            <w:r>
              <w:rPr>
                <w:rFonts w:hint="default" w:ascii="Times New Roman" w:hAnsi="Times New Roman" w:eastAsia="宋体" w:cs="Times New Roman"/>
                <w:b w:val="0"/>
                <w:bCs w:val="0"/>
                <w:color w:val="000000"/>
                <w:sz w:val="24"/>
                <w:szCs w:val="24"/>
              </w:rPr>
              <w:t>供电</w:t>
            </w:r>
          </w:p>
          <w:p w14:paraId="607B16CB">
            <w:pPr>
              <w:adjustRightInd w:val="0"/>
              <w:snapToGrid w:val="0"/>
              <w:spacing w:line="360" w:lineRule="auto"/>
              <w:ind w:firstLine="480" w:firstLineChars="200"/>
              <w:jc w:val="left"/>
              <w:rPr>
                <w:rFonts w:hint="default" w:ascii="Times New Roman" w:hAnsi="Times New Roman" w:eastAsia="宋体" w:cs="Times New Roman"/>
                <w:b w:val="0"/>
                <w:bCs w:val="0"/>
                <w:color w:val="000000"/>
                <w:sz w:val="24"/>
                <w:szCs w:val="24"/>
              </w:rPr>
            </w:pPr>
            <w:r>
              <w:rPr>
                <w:rFonts w:hint="default" w:ascii="Times New Roman" w:hAnsi="Times New Roman" w:eastAsia="宋体" w:cs="Times New Roman"/>
                <w:b w:val="0"/>
                <w:bCs w:val="0"/>
                <w:color w:val="000000"/>
                <w:sz w:val="24"/>
                <w:szCs w:val="24"/>
              </w:rPr>
              <w:t>本项目用电主要为生产设</w:t>
            </w:r>
            <w:r>
              <w:rPr>
                <w:rFonts w:hint="default" w:ascii="Times New Roman" w:hAnsi="Times New Roman" w:eastAsia="宋体" w:cs="Times New Roman"/>
                <w:b w:val="0"/>
                <w:bCs w:val="0"/>
                <w:color w:val="000000"/>
                <w:sz w:val="24"/>
                <w:szCs w:val="24"/>
                <w:highlight w:val="none"/>
              </w:rPr>
              <w:t>备用电</w:t>
            </w:r>
            <w:r>
              <w:rPr>
                <w:rFonts w:hint="eastAsia" w:ascii="Times New Roman" w:hAnsi="Times New Roman" w:eastAsia="宋体" w:cs="Times New Roman"/>
                <w:b w:val="0"/>
                <w:bCs w:val="0"/>
                <w:color w:val="000000"/>
                <w:sz w:val="24"/>
                <w:szCs w:val="24"/>
                <w:highlight w:val="none"/>
                <w:lang w:eastAsia="zh-CN"/>
              </w:rPr>
              <w:t>，</w:t>
            </w:r>
            <w:r>
              <w:rPr>
                <w:rFonts w:hint="default" w:ascii="Times New Roman" w:hAnsi="Times New Roman" w:eastAsia="宋体" w:cs="Times New Roman"/>
                <w:b w:val="0"/>
                <w:bCs w:val="0"/>
                <w:color w:val="000000"/>
                <w:sz w:val="24"/>
                <w:szCs w:val="24"/>
                <w:highlight w:val="none"/>
              </w:rPr>
              <w:t>年用电量</w:t>
            </w:r>
            <w:r>
              <w:rPr>
                <w:rFonts w:hint="eastAsia" w:cs="Times New Roman"/>
                <w:b w:val="0"/>
                <w:bCs w:val="0"/>
                <w:color w:val="000000"/>
                <w:sz w:val="24"/>
                <w:szCs w:val="24"/>
                <w:highlight w:val="none"/>
                <w:lang w:val="en-US" w:eastAsia="zh-CN"/>
              </w:rPr>
              <w:t>5000</w:t>
            </w:r>
            <w:r>
              <w:rPr>
                <w:rFonts w:hint="default" w:ascii="Times New Roman" w:hAnsi="Times New Roman" w:eastAsia="宋体" w:cs="Times New Roman"/>
                <w:b w:val="0"/>
                <w:bCs w:val="0"/>
                <w:color w:val="000000"/>
                <w:sz w:val="24"/>
                <w:szCs w:val="24"/>
                <w:highlight w:val="none"/>
              </w:rPr>
              <w:t>万</w:t>
            </w:r>
            <w:r>
              <w:rPr>
                <w:rFonts w:hint="eastAsia" w:ascii="Times New Roman" w:hAnsi="Times New Roman" w:eastAsia="宋体" w:cs="Times New Roman"/>
                <w:b w:val="0"/>
                <w:bCs w:val="0"/>
                <w:color w:val="000000"/>
                <w:sz w:val="24"/>
                <w:szCs w:val="24"/>
                <w:highlight w:val="none"/>
                <w:lang w:val="en-US" w:eastAsia="zh-CN"/>
              </w:rPr>
              <w:t>度</w:t>
            </w:r>
            <w:r>
              <w:rPr>
                <w:rFonts w:hint="default" w:ascii="Times New Roman" w:hAnsi="Times New Roman" w:eastAsia="宋体" w:cs="Times New Roman"/>
                <w:b w:val="0"/>
                <w:bCs w:val="0"/>
                <w:color w:val="000000"/>
                <w:sz w:val="24"/>
                <w:szCs w:val="24"/>
                <w:highlight w:val="none"/>
              </w:rPr>
              <w:t>，由</w:t>
            </w:r>
            <w:r>
              <w:rPr>
                <w:rFonts w:hint="eastAsia" w:ascii="Times New Roman" w:hAnsi="Times New Roman" w:eastAsia="宋体" w:cs="Times New Roman"/>
                <w:b w:val="0"/>
                <w:bCs w:val="0"/>
                <w:color w:val="000000"/>
                <w:sz w:val="24"/>
                <w:szCs w:val="24"/>
                <w:highlight w:val="none"/>
                <w:lang w:val="en-US" w:eastAsia="zh-CN"/>
              </w:rPr>
              <w:t>淮阳</w:t>
            </w:r>
            <w:r>
              <w:rPr>
                <w:rFonts w:hint="default" w:ascii="Times New Roman" w:hAnsi="Times New Roman" w:eastAsia="宋体" w:cs="Times New Roman"/>
                <w:b w:val="0"/>
                <w:bCs w:val="0"/>
                <w:color w:val="000000"/>
                <w:sz w:val="24"/>
                <w:szCs w:val="24"/>
                <w:highlight w:val="none"/>
              </w:rPr>
              <w:t>县产业集聚区市政电网供给</w:t>
            </w:r>
            <w:r>
              <w:rPr>
                <w:rFonts w:hint="default" w:ascii="Times New Roman" w:hAnsi="Times New Roman" w:eastAsia="宋体" w:cs="Times New Roman"/>
                <w:b w:val="0"/>
                <w:bCs w:val="0"/>
                <w:color w:val="000000"/>
                <w:sz w:val="24"/>
                <w:szCs w:val="24"/>
              </w:rPr>
              <w:t>。</w:t>
            </w:r>
          </w:p>
          <w:p w14:paraId="0531B12D">
            <w:pPr>
              <w:pStyle w:val="2"/>
              <w:rPr>
                <w:rFonts w:hint="default" w:ascii="Times New Roman" w:hAnsi="Times New Roman" w:eastAsia="宋体" w:cs="Times New Roman"/>
                <w:b/>
                <w:bCs/>
                <w:color w:val="000000"/>
                <w:lang w:val="en-US" w:eastAsia="zh-CN"/>
              </w:rPr>
            </w:pPr>
            <w:bookmarkStart w:id="74" w:name="_Toc25029"/>
            <w:bookmarkStart w:id="75" w:name="_Toc20430"/>
            <w:r>
              <w:rPr>
                <w:rFonts w:hint="eastAsia" w:ascii="Times New Roman" w:hAnsi="Times New Roman" w:eastAsia="宋体" w:cs="Times New Roman"/>
                <w:b/>
                <w:bCs/>
                <w:color w:val="000000"/>
                <w:lang w:val="en-US" w:eastAsia="zh-CN"/>
              </w:rPr>
              <w:t>10</w:t>
            </w:r>
            <w:r>
              <w:rPr>
                <w:rFonts w:hint="default" w:ascii="Times New Roman" w:hAnsi="Times New Roman" w:eastAsia="宋体" w:cs="Times New Roman"/>
                <w:b/>
                <w:bCs/>
                <w:color w:val="000000"/>
                <w:lang w:val="en-US" w:eastAsia="zh-CN"/>
              </w:rPr>
              <w:t>、总平面布置</w:t>
            </w:r>
            <w:bookmarkEnd w:id="74"/>
            <w:bookmarkEnd w:id="75"/>
          </w:p>
          <w:p w14:paraId="08D560C7">
            <w:pPr>
              <w:spacing w:line="360" w:lineRule="auto"/>
              <w:ind w:firstLine="480" w:firstLineChars="200"/>
              <w:jc w:val="left"/>
              <w:rPr>
                <w:b w:val="0"/>
                <w:bCs w:val="0"/>
                <w:color w:val="FF0000"/>
                <w:szCs w:val="21"/>
              </w:rPr>
            </w:pPr>
            <w:r>
              <w:rPr>
                <w:rFonts w:hint="default" w:ascii="Times New Roman" w:hAnsi="Times New Roman" w:cs="Times New Roman"/>
                <w:b w:val="0"/>
                <w:bCs w:val="0"/>
                <w:color w:val="auto"/>
                <w:sz w:val="24"/>
                <w:highlight w:val="none"/>
                <w:u w:val="none"/>
              </w:rPr>
              <w:t>本项目</w:t>
            </w:r>
            <w:r>
              <w:rPr>
                <w:rFonts w:hint="eastAsia" w:cs="Times New Roman"/>
                <w:b w:val="0"/>
                <w:bCs w:val="0"/>
                <w:color w:val="auto"/>
                <w:sz w:val="24"/>
                <w:highlight w:val="none"/>
                <w:u w:val="none"/>
                <w:lang w:val="en-US" w:eastAsia="zh-CN"/>
              </w:rPr>
              <w:t>主要建设</w:t>
            </w:r>
            <w:r>
              <w:rPr>
                <w:rFonts w:hint="default" w:ascii="Times New Roman" w:hAnsi="Times New Roman" w:eastAsia="宋体" w:cs="Times New Roman"/>
                <w:b w:val="0"/>
                <w:bCs w:val="0"/>
                <w:color w:val="auto"/>
                <w:sz w:val="24"/>
                <w:highlight w:val="none"/>
                <w:u w:val="none"/>
                <w:lang w:val="en-US" w:eastAsia="zh-CN"/>
              </w:rPr>
              <w:t>生产厂房</w:t>
            </w:r>
            <w:r>
              <w:rPr>
                <w:rFonts w:hint="eastAsia" w:cs="Times New Roman"/>
                <w:b w:val="0"/>
                <w:bCs w:val="0"/>
                <w:color w:val="auto"/>
                <w:sz w:val="24"/>
                <w:highlight w:val="none"/>
                <w:u w:val="none"/>
                <w:lang w:val="en-US" w:eastAsia="zh-CN"/>
              </w:rPr>
              <w:t>、办公室及研发楼等，各自独立设置，其中生产厂房内部</w:t>
            </w:r>
            <w:r>
              <w:rPr>
                <w:rFonts w:hint="default" w:ascii="Times New Roman" w:hAnsi="Times New Roman" w:eastAsia="宋体" w:cs="Times New Roman"/>
                <w:b w:val="0"/>
                <w:bCs w:val="0"/>
                <w:color w:val="auto"/>
                <w:sz w:val="24"/>
                <w:highlight w:val="none"/>
                <w:u w:val="none"/>
                <w:lang w:val="en-US" w:eastAsia="zh-CN"/>
              </w:rPr>
              <w:t>按照工艺流程进行分区布局</w:t>
            </w:r>
            <w:r>
              <w:rPr>
                <w:rFonts w:hint="eastAsia" w:cs="Times New Roman"/>
                <w:b w:val="0"/>
                <w:bCs w:val="0"/>
                <w:color w:val="auto"/>
                <w:sz w:val="24"/>
                <w:highlight w:val="none"/>
                <w:u w:val="none"/>
                <w:lang w:val="en-US" w:eastAsia="zh-CN"/>
              </w:rPr>
              <w:t>。本项目</w:t>
            </w:r>
            <w:r>
              <w:rPr>
                <w:rFonts w:hint="default" w:ascii="Times New Roman" w:hAnsi="Times New Roman" w:eastAsia="宋体" w:cs="Times New Roman"/>
                <w:b w:val="0"/>
                <w:bCs w:val="0"/>
                <w:color w:val="auto"/>
                <w:sz w:val="24"/>
                <w:highlight w:val="none"/>
                <w:u w:val="none"/>
                <w:lang w:val="en-US" w:eastAsia="zh-CN"/>
              </w:rPr>
              <w:t>按照工艺流程</w:t>
            </w:r>
            <w:r>
              <w:rPr>
                <w:rFonts w:hint="eastAsia" w:ascii="Times New Roman" w:hAnsi="Times New Roman" w:eastAsia="宋体" w:cs="Times New Roman"/>
                <w:b w:val="0"/>
                <w:bCs w:val="0"/>
                <w:color w:val="auto"/>
                <w:sz w:val="24"/>
                <w:highlight w:val="none"/>
                <w:u w:val="none"/>
                <w:lang w:val="en-US" w:eastAsia="zh-CN"/>
              </w:rPr>
              <w:t>各工序特性</w:t>
            </w:r>
            <w:r>
              <w:rPr>
                <w:rFonts w:hint="default" w:ascii="Times New Roman" w:hAnsi="Times New Roman" w:eastAsia="宋体" w:cs="Times New Roman"/>
                <w:b w:val="0"/>
                <w:bCs w:val="0"/>
                <w:color w:val="auto"/>
                <w:sz w:val="24"/>
                <w:highlight w:val="none"/>
                <w:u w:val="none"/>
                <w:lang w:val="en-US" w:eastAsia="zh-CN"/>
              </w:rPr>
              <w:t>进行分区布局，</w:t>
            </w:r>
            <w:r>
              <w:rPr>
                <w:rFonts w:hint="eastAsia" w:ascii="Times New Roman" w:hAnsi="Times New Roman" w:eastAsia="宋体" w:cs="Times New Roman"/>
                <w:b w:val="0"/>
                <w:bCs w:val="0"/>
                <w:color w:val="auto"/>
                <w:sz w:val="24"/>
                <w:highlight w:val="none"/>
                <w:u w:val="none"/>
                <w:lang w:val="en-US" w:eastAsia="zh-CN"/>
              </w:rPr>
              <w:t>便于</w:t>
            </w:r>
            <w:r>
              <w:rPr>
                <w:rFonts w:hint="default" w:ascii="Times New Roman" w:hAnsi="Times New Roman" w:cs="Times New Roman"/>
                <w:b w:val="0"/>
                <w:bCs w:val="0"/>
                <w:color w:val="auto"/>
                <w:sz w:val="24"/>
                <w:highlight w:val="none"/>
                <w:u w:val="none"/>
              </w:rPr>
              <w:t>管理，评价认为，总平面布置功能分区清晰，工艺流程顺畅，较合理。</w:t>
            </w:r>
          </w:p>
        </w:tc>
      </w:tr>
      <w:tr w14:paraId="511235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06" w:type="dxa"/>
            <w:noWrap w:val="0"/>
            <w:vAlign w:val="center"/>
          </w:tcPr>
          <w:p w14:paraId="78430E76">
            <w:pPr>
              <w:pStyle w:val="34"/>
              <w:adjustRightInd w:val="0"/>
              <w:snapToGrid w:val="0"/>
              <w:spacing w:before="0" w:beforeAutospacing="0" w:after="0" w:afterAutospacing="0"/>
              <w:jc w:val="center"/>
              <w:rPr>
                <w:rFonts w:ascii="Times New Roman" w:hAnsi="Times New Roman"/>
                <w:b w:val="0"/>
                <w:bCs w:val="0"/>
                <w:color w:val="auto"/>
                <w:sz w:val="21"/>
                <w:szCs w:val="21"/>
              </w:rPr>
            </w:pPr>
          </w:p>
          <w:p w14:paraId="04509ABD">
            <w:pPr>
              <w:pStyle w:val="34"/>
              <w:adjustRightInd w:val="0"/>
              <w:snapToGrid w:val="0"/>
              <w:spacing w:before="0" w:beforeAutospacing="0" w:after="0" w:afterAutospacing="0"/>
              <w:jc w:val="center"/>
              <w:rPr>
                <w:rFonts w:ascii="Times New Roman" w:hAnsi="Times New Roman"/>
                <w:b w:val="0"/>
                <w:bCs w:val="0"/>
                <w:color w:val="auto"/>
                <w:sz w:val="21"/>
                <w:szCs w:val="21"/>
              </w:rPr>
            </w:pPr>
          </w:p>
          <w:p w14:paraId="26146B57">
            <w:pPr>
              <w:pStyle w:val="34"/>
              <w:adjustRightInd w:val="0"/>
              <w:snapToGrid w:val="0"/>
              <w:spacing w:before="0" w:beforeAutospacing="0" w:after="0" w:afterAutospacing="0"/>
              <w:jc w:val="center"/>
              <w:rPr>
                <w:rFonts w:ascii="Times New Roman" w:hAnsi="Times New Roman"/>
                <w:b w:val="0"/>
                <w:bCs w:val="0"/>
                <w:color w:val="auto"/>
                <w:sz w:val="21"/>
                <w:szCs w:val="21"/>
              </w:rPr>
            </w:pPr>
            <w:r>
              <w:rPr>
                <w:b w:val="0"/>
                <w:bCs w:val="0"/>
                <w:color w:val="auto"/>
              </w:rPr>
              <w:t>工艺流程和产排污环节</w:t>
            </w:r>
          </w:p>
          <w:p w14:paraId="1BFE65B2">
            <w:pPr>
              <w:pStyle w:val="34"/>
              <w:adjustRightInd w:val="0"/>
              <w:snapToGrid w:val="0"/>
              <w:spacing w:before="0" w:beforeAutospacing="0" w:after="0" w:afterAutospacing="0"/>
              <w:jc w:val="center"/>
              <w:rPr>
                <w:rFonts w:ascii="Times New Roman" w:hAnsi="Times New Roman"/>
                <w:b w:val="0"/>
                <w:bCs w:val="0"/>
                <w:color w:val="auto"/>
                <w:sz w:val="21"/>
                <w:szCs w:val="21"/>
              </w:rPr>
            </w:pPr>
          </w:p>
          <w:p w14:paraId="48207DC2">
            <w:pPr>
              <w:pStyle w:val="34"/>
              <w:adjustRightInd w:val="0"/>
              <w:snapToGrid w:val="0"/>
              <w:spacing w:before="0" w:beforeAutospacing="0" w:after="0" w:afterAutospacing="0"/>
              <w:jc w:val="center"/>
              <w:rPr>
                <w:rFonts w:ascii="Times New Roman" w:hAnsi="Times New Roman"/>
                <w:b w:val="0"/>
                <w:bCs w:val="0"/>
                <w:color w:val="auto"/>
                <w:sz w:val="21"/>
                <w:szCs w:val="21"/>
              </w:rPr>
            </w:pPr>
          </w:p>
          <w:p w14:paraId="653F6B28">
            <w:pPr>
              <w:pStyle w:val="34"/>
              <w:adjustRightInd w:val="0"/>
              <w:snapToGrid w:val="0"/>
              <w:spacing w:before="0" w:beforeAutospacing="0" w:after="0" w:afterAutospacing="0"/>
              <w:jc w:val="center"/>
              <w:rPr>
                <w:rFonts w:ascii="Times New Roman" w:hAnsi="Times New Roman"/>
                <w:b w:val="0"/>
                <w:bCs w:val="0"/>
                <w:color w:val="auto"/>
                <w:sz w:val="21"/>
                <w:szCs w:val="21"/>
              </w:rPr>
            </w:pPr>
          </w:p>
          <w:p w14:paraId="24F48C0B">
            <w:pPr>
              <w:pStyle w:val="34"/>
              <w:adjustRightInd w:val="0"/>
              <w:snapToGrid w:val="0"/>
              <w:spacing w:before="0" w:beforeAutospacing="0" w:after="0" w:afterAutospacing="0"/>
              <w:jc w:val="center"/>
              <w:rPr>
                <w:rFonts w:ascii="Times New Roman" w:hAnsi="Times New Roman"/>
                <w:b w:val="0"/>
                <w:bCs w:val="0"/>
                <w:color w:val="auto"/>
                <w:sz w:val="21"/>
                <w:szCs w:val="21"/>
              </w:rPr>
            </w:pPr>
          </w:p>
          <w:p w14:paraId="10DD8C08">
            <w:pPr>
              <w:pStyle w:val="34"/>
              <w:adjustRightInd w:val="0"/>
              <w:snapToGrid w:val="0"/>
              <w:spacing w:before="0" w:beforeAutospacing="0" w:after="0" w:afterAutospacing="0"/>
              <w:jc w:val="both"/>
              <w:rPr>
                <w:rFonts w:ascii="Times New Roman" w:hAnsi="Times New Roman"/>
                <w:b w:val="0"/>
                <w:bCs w:val="0"/>
                <w:color w:val="auto"/>
                <w:sz w:val="21"/>
                <w:szCs w:val="21"/>
              </w:rPr>
            </w:pPr>
          </w:p>
          <w:p w14:paraId="5EAB78C1">
            <w:pPr>
              <w:pStyle w:val="34"/>
              <w:adjustRightInd w:val="0"/>
              <w:snapToGrid w:val="0"/>
              <w:spacing w:before="0" w:beforeAutospacing="0" w:after="0" w:afterAutospacing="0"/>
              <w:jc w:val="center"/>
              <w:rPr>
                <w:rFonts w:ascii="Times New Roman" w:hAnsi="Times New Roman"/>
                <w:b w:val="0"/>
                <w:bCs w:val="0"/>
                <w:color w:val="auto"/>
                <w:sz w:val="21"/>
                <w:szCs w:val="21"/>
              </w:rPr>
            </w:pPr>
          </w:p>
        </w:tc>
        <w:tc>
          <w:tcPr>
            <w:tcW w:w="8454" w:type="dxa"/>
            <w:noWrap w:val="0"/>
            <w:vAlign w:val="top"/>
          </w:tcPr>
          <w:p w14:paraId="6C593093">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6BB3C541">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5EE6C5F9">
            <w:pPr>
              <w:pStyle w:val="2"/>
              <w:rPr>
                <w:rFonts w:hint="eastAsia" w:ascii="Times New Roman" w:hAnsi="Times New Roman" w:eastAsia="宋体" w:cs="Times New Roman"/>
                <w:b/>
                <w:bCs/>
                <w:color w:val="000000"/>
                <w:lang w:val="en-US" w:eastAsia="zh-CN"/>
              </w:rPr>
            </w:pPr>
            <w:bookmarkStart w:id="76" w:name="_Toc14854"/>
            <w:bookmarkStart w:id="77" w:name="_Toc17102"/>
            <w:r>
              <w:rPr>
                <w:rFonts w:hint="eastAsia" w:ascii="Times New Roman" w:hAnsi="Times New Roman" w:eastAsia="宋体" w:cs="Times New Roman"/>
                <w:b/>
                <w:bCs/>
                <w:color w:val="000000"/>
                <w:lang w:val="en-US" w:eastAsia="zh-CN"/>
              </w:rPr>
              <w:t>1、营运期工艺流程</w:t>
            </w:r>
            <w:bookmarkEnd w:id="76"/>
            <w:bookmarkEnd w:id="77"/>
          </w:p>
          <w:p w14:paraId="6589D16D">
            <w:pPr>
              <w:numPr>
                <w:ilvl w:val="0"/>
                <w:numId w:val="0"/>
              </w:numPr>
              <w:spacing w:line="360" w:lineRule="auto"/>
              <w:ind w:firstLine="480" w:firstLineChars="200"/>
              <w:rPr>
                <w:rFonts w:hint="eastAsia"/>
                <w:sz w:val="24"/>
                <w:szCs w:val="24"/>
                <w:lang w:val="en-US" w:eastAsia="zh-CN"/>
              </w:rPr>
            </w:pPr>
            <w:r>
              <w:rPr>
                <w:rFonts w:hint="eastAsia"/>
                <w:sz w:val="24"/>
                <w:szCs w:val="24"/>
                <w:lang w:val="en-US" w:eastAsia="zh-CN"/>
              </w:rPr>
              <w:t>本项目生产的产品包括夹胶玻璃、中空玻璃、LOW-E镀膜玻璃、彩色成像钢化玻璃。</w:t>
            </w:r>
          </w:p>
          <w:p w14:paraId="777510F7">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6D68A5BF">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1CC4F64E">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02D9BBC2">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756361B4">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43F4E813">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7C4E5BCC">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4A8DB0BC">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1684D19F">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1B21A3DF">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6FDDF814">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430016FD">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01B8B177">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0FAD3D52">
            <w:pPr>
              <w:spacing w:line="360" w:lineRule="auto"/>
              <w:ind w:firstLine="480" w:firstLineChars="200"/>
              <w:jc w:val="left"/>
              <w:rPr>
                <w:rFonts w:hint="default" w:ascii="Times New Roman" w:hAnsi="Times New Roman" w:cs="Times New Roman"/>
                <w:b w:val="0"/>
                <w:bCs w:val="0"/>
                <w:color w:val="auto"/>
                <w:sz w:val="24"/>
                <w:highlight w:val="yellow"/>
                <w:u w:val="none"/>
              </w:rPr>
            </w:pPr>
          </w:p>
          <w:p w14:paraId="752E5B82">
            <w:pPr>
              <w:spacing w:line="360" w:lineRule="auto"/>
              <w:jc w:val="left"/>
              <w:rPr>
                <w:rFonts w:hint="default" w:ascii="Times New Roman" w:hAnsi="Times New Roman" w:cs="Times New Roman"/>
                <w:b w:val="0"/>
                <w:bCs w:val="0"/>
                <w:color w:val="auto"/>
                <w:sz w:val="24"/>
                <w:highlight w:val="yellow"/>
                <w:u w:val="none"/>
              </w:rPr>
            </w:pPr>
          </w:p>
          <w:p w14:paraId="572DC2E9">
            <w:pPr>
              <w:pStyle w:val="48"/>
              <w:rPr>
                <w:rFonts w:hint="default" w:ascii="Times New Roman" w:hAnsi="Times New Roman" w:cs="Times New Roman"/>
                <w:b w:val="0"/>
                <w:bCs w:val="0"/>
                <w:color w:val="auto"/>
                <w:sz w:val="24"/>
                <w:highlight w:val="yellow"/>
                <w:u w:val="none"/>
              </w:rPr>
            </w:pPr>
          </w:p>
          <w:p w14:paraId="714DD0A3">
            <w:pPr>
              <w:pStyle w:val="48"/>
              <w:rPr>
                <w:rFonts w:hint="default" w:ascii="Times New Roman" w:hAnsi="Times New Roman" w:cs="Times New Roman"/>
                <w:b w:val="0"/>
                <w:bCs w:val="0"/>
                <w:color w:val="auto"/>
                <w:sz w:val="24"/>
                <w:highlight w:val="yellow"/>
                <w:u w:val="none"/>
              </w:rPr>
            </w:pPr>
          </w:p>
          <w:p w14:paraId="0AC2D399">
            <w:pPr>
              <w:pStyle w:val="48"/>
              <w:rPr>
                <w:rFonts w:hint="default" w:ascii="Times New Roman" w:hAnsi="Times New Roman" w:cs="Times New Roman"/>
                <w:b w:val="0"/>
                <w:bCs w:val="0"/>
                <w:color w:val="auto"/>
                <w:sz w:val="24"/>
                <w:highlight w:val="yellow"/>
                <w:u w:val="none"/>
              </w:rPr>
            </w:pPr>
          </w:p>
          <w:p w14:paraId="52ACA53A">
            <w:pPr>
              <w:pStyle w:val="48"/>
              <w:rPr>
                <w:rFonts w:hint="default" w:ascii="Times New Roman" w:hAnsi="Times New Roman" w:cs="Times New Roman"/>
                <w:b w:val="0"/>
                <w:bCs w:val="0"/>
                <w:color w:val="auto"/>
                <w:sz w:val="24"/>
                <w:highlight w:val="yellow"/>
                <w:u w:val="none"/>
              </w:rPr>
            </w:pPr>
          </w:p>
          <w:p w14:paraId="518D2F92">
            <w:pPr>
              <w:pStyle w:val="48"/>
              <w:rPr>
                <w:rFonts w:hint="default" w:ascii="Times New Roman" w:hAnsi="Times New Roman" w:cs="Times New Roman"/>
                <w:b w:val="0"/>
                <w:bCs w:val="0"/>
                <w:color w:val="auto"/>
                <w:sz w:val="24"/>
                <w:highlight w:val="yellow"/>
                <w:u w:val="none"/>
              </w:rPr>
            </w:pPr>
          </w:p>
          <w:p w14:paraId="7FF48DD4">
            <w:pPr>
              <w:pStyle w:val="48"/>
              <w:rPr>
                <w:rFonts w:hint="default" w:ascii="Times New Roman" w:hAnsi="Times New Roman" w:cs="Times New Roman"/>
                <w:b w:val="0"/>
                <w:bCs w:val="0"/>
                <w:color w:val="auto"/>
                <w:sz w:val="24"/>
                <w:highlight w:val="yellow"/>
                <w:u w:val="none"/>
              </w:rPr>
            </w:pPr>
          </w:p>
          <w:p w14:paraId="63B5218B">
            <w:pPr>
              <w:pStyle w:val="48"/>
              <w:rPr>
                <w:rFonts w:hint="default" w:ascii="Times New Roman" w:hAnsi="Times New Roman" w:cs="Times New Roman"/>
                <w:b w:val="0"/>
                <w:bCs w:val="0"/>
                <w:color w:val="auto"/>
                <w:sz w:val="24"/>
                <w:highlight w:val="yellow"/>
                <w:u w:val="none"/>
              </w:rPr>
            </w:pPr>
          </w:p>
          <w:p w14:paraId="44246045">
            <w:pPr>
              <w:pStyle w:val="48"/>
              <w:rPr>
                <w:rFonts w:hint="default" w:ascii="Times New Roman" w:hAnsi="Times New Roman" w:cs="Times New Roman"/>
                <w:b w:val="0"/>
                <w:bCs w:val="0"/>
                <w:color w:val="auto"/>
                <w:sz w:val="24"/>
                <w:highlight w:val="yellow"/>
                <w:u w:val="none"/>
              </w:rPr>
            </w:pPr>
          </w:p>
          <w:p w14:paraId="34189A81">
            <w:pPr>
              <w:pStyle w:val="48"/>
              <w:rPr>
                <w:rFonts w:hint="default" w:ascii="Times New Roman" w:hAnsi="Times New Roman" w:cs="Times New Roman"/>
                <w:b w:val="0"/>
                <w:bCs w:val="0"/>
                <w:color w:val="auto"/>
                <w:sz w:val="24"/>
                <w:highlight w:val="yellow"/>
                <w:u w:val="none"/>
              </w:rPr>
            </w:pPr>
          </w:p>
          <w:p w14:paraId="2387F72B">
            <w:pPr>
              <w:spacing w:line="360" w:lineRule="auto"/>
              <w:jc w:val="left"/>
              <w:rPr>
                <w:rFonts w:hint="default" w:ascii="Times New Roman" w:hAnsi="Times New Roman" w:cs="Times New Roman"/>
                <w:b w:val="0"/>
                <w:bCs w:val="0"/>
                <w:color w:val="auto"/>
                <w:sz w:val="24"/>
                <w:highlight w:val="yellow"/>
                <w:u w:val="none"/>
              </w:rPr>
            </w:pPr>
          </w:p>
        </w:tc>
      </w:tr>
    </w:tbl>
    <w:p w14:paraId="5DF23B1A">
      <w:pPr>
        <w:pStyle w:val="96"/>
        <w:spacing w:line="240" w:lineRule="auto"/>
        <w:ind w:firstLine="0" w:firstLineChars="0"/>
        <w:jc w:val="center"/>
        <w:rPr>
          <w:b w:val="0"/>
          <w:bCs w:val="0"/>
          <w:color w:val="auto"/>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13117"/>
      </w:tblGrid>
      <w:tr w14:paraId="38BD5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5" w:hRule="atLeast"/>
        </w:trPr>
        <w:tc>
          <w:tcPr>
            <w:tcW w:w="535" w:type="dxa"/>
          </w:tcPr>
          <w:p w14:paraId="6A6AECF7">
            <w:pPr>
              <w:pStyle w:val="34"/>
              <w:adjustRightInd w:val="0"/>
              <w:snapToGrid w:val="0"/>
              <w:spacing w:before="0" w:beforeAutospacing="0" w:after="0" w:afterAutospacing="0"/>
              <w:jc w:val="center"/>
              <w:rPr>
                <w:b w:val="0"/>
                <w:bCs w:val="0"/>
                <w:color w:val="auto"/>
              </w:rPr>
            </w:pPr>
          </w:p>
          <w:p w14:paraId="24967F7B">
            <w:pPr>
              <w:pStyle w:val="34"/>
              <w:adjustRightInd w:val="0"/>
              <w:snapToGrid w:val="0"/>
              <w:spacing w:before="0" w:beforeAutospacing="0" w:after="0" w:afterAutospacing="0"/>
              <w:jc w:val="center"/>
              <w:rPr>
                <w:b w:val="0"/>
                <w:bCs w:val="0"/>
                <w:color w:val="auto"/>
              </w:rPr>
            </w:pPr>
          </w:p>
          <w:p w14:paraId="614F47A3">
            <w:pPr>
              <w:pStyle w:val="34"/>
              <w:adjustRightInd w:val="0"/>
              <w:snapToGrid w:val="0"/>
              <w:spacing w:before="0" w:beforeAutospacing="0" w:after="0" w:afterAutospacing="0"/>
              <w:jc w:val="center"/>
              <w:rPr>
                <w:b w:val="0"/>
                <w:bCs w:val="0"/>
                <w:color w:val="auto"/>
              </w:rPr>
            </w:pPr>
          </w:p>
          <w:p w14:paraId="0F5340ED">
            <w:pPr>
              <w:pStyle w:val="34"/>
              <w:adjustRightInd w:val="0"/>
              <w:snapToGrid w:val="0"/>
              <w:spacing w:before="0" w:beforeAutospacing="0" w:after="0" w:afterAutospacing="0"/>
              <w:jc w:val="center"/>
              <w:rPr>
                <w:b w:val="0"/>
                <w:bCs w:val="0"/>
                <w:color w:val="auto"/>
              </w:rPr>
            </w:pPr>
          </w:p>
          <w:p w14:paraId="487BB51E">
            <w:pPr>
              <w:pStyle w:val="34"/>
              <w:adjustRightInd w:val="0"/>
              <w:snapToGrid w:val="0"/>
              <w:spacing w:before="0" w:beforeAutospacing="0" w:after="0" w:afterAutospacing="0"/>
              <w:jc w:val="center"/>
              <w:rPr>
                <w:b w:val="0"/>
                <w:bCs w:val="0"/>
                <w:color w:val="auto"/>
              </w:rPr>
            </w:pPr>
          </w:p>
          <w:p w14:paraId="18F7C0E1">
            <w:pPr>
              <w:pStyle w:val="34"/>
              <w:adjustRightInd w:val="0"/>
              <w:snapToGrid w:val="0"/>
              <w:spacing w:before="0" w:beforeAutospacing="0" w:after="0" w:afterAutospacing="0"/>
              <w:jc w:val="center"/>
              <w:rPr>
                <w:b w:val="0"/>
                <w:bCs w:val="0"/>
                <w:color w:val="auto"/>
              </w:rPr>
            </w:pPr>
          </w:p>
          <w:p w14:paraId="64FA41D3">
            <w:pPr>
              <w:pStyle w:val="34"/>
              <w:adjustRightInd w:val="0"/>
              <w:snapToGrid w:val="0"/>
              <w:spacing w:before="0" w:beforeAutospacing="0" w:after="0" w:afterAutospacing="0"/>
              <w:jc w:val="center"/>
              <w:rPr>
                <w:b w:val="0"/>
                <w:bCs w:val="0"/>
                <w:color w:val="auto"/>
              </w:rPr>
            </w:pPr>
          </w:p>
          <w:p w14:paraId="3597E678">
            <w:pPr>
              <w:pStyle w:val="34"/>
              <w:adjustRightInd w:val="0"/>
              <w:snapToGrid w:val="0"/>
              <w:spacing w:before="0" w:beforeAutospacing="0" w:after="0" w:afterAutospacing="0"/>
              <w:jc w:val="center"/>
              <w:rPr>
                <w:rFonts w:ascii="Times New Roman" w:hAnsi="Times New Roman"/>
                <w:b w:val="0"/>
                <w:bCs w:val="0"/>
                <w:color w:val="auto"/>
                <w:sz w:val="21"/>
                <w:szCs w:val="21"/>
              </w:rPr>
            </w:pPr>
            <w:r>
              <w:rPr>
                <w:b w:val="0"/>
                <w:bCs w:val="0"/>
                <w:color w:val="auto"/>
              </w:rPr>
              <w:t>工艺流程和产排污环节</w:t>
            </w:r>
          </w:p>
          <w:p w14:paraId="326F391A">
            <w:pPr>
              <w:pStyle w:val="96"/>
              <w:spacing w:line="240" w:lineRule="auto"/>
              <w:jc w:val="center"/>
              <w:rPr>
                <w:b w:val="0"/>
                <w:bCs w:val="0"/>
                <w:color w:val="auto"/>
                <w:vertAlign w:val="baseline"/>
              </w:rPr>
            </w:pPr>
          </w:p>
        </w:tc>
        <w:tc>
          <w:tcPr>
            <w:tcW w:w="13117" w:type="dxa"/>
          </w:tcPr>
          <w:p w14:paraId="5C3DCE45">
            <w:pPr>
              <w:pStyle w:val="96"/>
              <w:spacing w:line="240" w:lineRule="auto"/>
              <w:jc w:val="center"/>
              <w:rPr>
                <w:rFonts w:hint="eastAsia"/>
                <w:b w:val="0"/>
                <w:bCs w:val="0"/>
                <w:color w:val="auto"/>
                <w:vertAlign w:val="baseline"/>
                <w:lang w:val="en-US" w:eastAsia="zh-CN"/>
              </w:rPr>
            </w:pPr>
          </w:p>
          <w:p w14:paraId="7217F8A9">
            <w:pPr>
              <w:pStyle w:val="96"/>
              <w:spacing w:line="240" w:lineRule="auto"/>
              <w:jc w:val="center"/>
              <w:rPr>
                <w:rFonts w:hint="eastAsia"/>
                <w:b w:val="0"/>
                <w:bCs w:val="0"/>
                <w:color w:val="auto"/>
                <w:vertAlign w:val="baseline"/>
                <w:lang w:val="en-US" w:eastAsia="zh-CN"/>
              </w:rPr>
            </w:pPr>
          </w:p>
          <w:p w14:paraId="421F6857">
            <w:pPr>
              <w:pStyle w:val="96"/>
              <w:spacing w:line="240" w:lineRule="auto"/>
              <w:jc w:val="center"/>
              <w:rPr>
                <w:rFonts w:hint="eastAsia"/>
                <w:b w:val="0"/>
                <w:bCs w:val="0"/>
                <w:color w:val="auto"/>
                <w:vertAlign w:val="baseline"/>
                <w:lang w:val="en-US" w:eastAsia="zh-CN"/>
              </w:rPr>
            </w:pPr>
          </w:p>
          <w:p w14:paraId="741ED85B">
            <w:pPr>
              <w:pStyle w:val="96"/>
              <w:spacing w:line="240" w:lineRule="auto"/>
              <w:jc w:val="center"/>
              <w:rPr>
                <w:rFonts w:hint="eastAsia"/>
                <w:b w:val="0"/>
                <w:bCs w:val="0"/>
                <w:color w:val="auto"/>
                <w:vertAlign w:val="baseline"/>
                <w:lang w:val="en-US" w:eastAsia="zh-CN"/>
              </w:rPr>
            </w:pPr>
            <w:r>
              <w:rPr>
                <w:sz w:val="24"/>
              </w:rPr>
              <mc:AlternateContent>
                <mc:Choice Requires="wpg">
                  <w:drawing>
                    <wp:anchor distT="0" distB="0" distL="114300" distR="114300" simplePos="0" relativeHeight="251668480" behindDoc="0" locked="0" layoutInCell="1" allowOverlap="1">
                      <wp:simplePos x="0" y="0"/>
                      <wp:positionH relativeFrom="column">
                        <wp:posOffset>-17145</wp:posOffset>
                      </wp:positionH>
                      <wp:positionV relativeFrom="paragraph">
                        <wp:posOffset>27305</wp:posOffset>
                      </wp:positionV>
                      <wp:extent cx="8056880" cy="4451350"/>
                      <wp:effectExtent l="0" t="0" r="0" b="6350"/>
                      <wp:wrapNone/>
                      <wp:docPr id="95" name="组合 95"/>
                      <wp:cNvGraphicFramePr/>
                      <a:graphic xmlns:a="http://schemas.openxmlformats.org/drawingml/2006/main">
                        <a:graphicData uri="http://schemas.microsoft.com/office/word/2010/wordprocessingGroup">
                          <wpg:wgp>
                            <wpg:cNvGrpSpPr/>
                            <wpg:grpSpPr>
                              <a:xfrm>
                                <a:off x="0" y="0"/>
                                <a:ext cx="8056880" cy="4451350"/>
                                <a:chOff x="15512" y="347580"/>
                                <a:chExt cx="12688" cy="7010"/>
                              </a:xfrm>
                            </wpg:grpSpPr>
                            <wps:wsp>
                              <wps:cNvPr id="15" name="文本框 159"/>
                              <wps:cNvSpPr txBox="1"/>
                              <wps:spPr>
                                <a:xfrm>
                                  <a:off x="16855" y="353047"/>
                                  <a:ext cx="1200" cy="1543"/>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2F15C7B0">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图例：</w:t>
                                    </w:r>
                                  </w:p>
                                  <w:p w14:paraId="423DA005">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废气：G</w:t>
                                    </w:r>
                                  </w:p>
                                  <w:p w14:paraId="467CAAC4">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噪声：N</w:t>
                                    </w:r>
                                  </w:p>
                                  <w:p w14:paraId="20737A8D">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废水：W</w:t>
                                    </w:r>
                                  </w:p>
                                  <w:p w14:paraId="62292524">
                                    <w:pPr>
                                      <w:pStyle w:val="96"/>
                                      <w:spacing w:line="240" w:lineRule="auto"/>
                                      <w:ind w:left="0" w:leftChars="0" w:firstLine="0" w:firstLineChars="0"/>
                                      <w:jc w:val="both"/>
                                      <w:rPr>
                                        <w:rFonts w:hint="default"/>
                                        <w:b w:val="0"/>
                                        <w:bCs w:val="0"/>
                                        <w:color w:val="auto"/>
                                        <w:sz w:val="21"/>
                                        <w:szCs w:val="21"/>
                                        <w:vertAlign w:val="baseline"/>
                                        <w:lang w:val="en-US" w:eastAsia="zh-CN"/>
                                      </w:rPr>
                                    </w:pPr>
                                    <w:r>
                                      <w:rPr>
                                        <w:rFonts w:hint="eastAsia"/>
                                        <w:b w:val="0"/>
                                        <w:bCs w:val="0"/>
                                        <w:color w:val="auto"/>
                                        <w:sz w:val="21"/>
                                        <w:szCs w:val="21"/>
                                        <w:vertAlign w:val="baseline"/>
                                        <w:lang w:val="en-US" w:eastAsia="zh-CN"/>
                                      </w:rPr>
                                      <w:t>固废：S</w:t>
                                    </w:r>
                                  </w:p>
                                  <w:p w14:paraId="311A2F9E"/>
                                </w:txbxContent>
                              </wps:txbx>
                              <wps:bodyPr vert="horz" anchor="t" anchorCtr="0" upright="1"/>
                            </wps:wsp>
                            <pic:pic xmlns:pic="http://schemas.openxmlformats.org/drawingml/2006/picture">
                              <pic:nvPicPr>
                                <pic:cNvPr id="3" name="ECB019B1-382A-4266-B25C-5B523AA43C14-3" descr="C:/Users/Administrator/AppData/Local/Temp/wps.Wravcswps"/>
                                <pic:cNvPicPr>
                                  <a:picLocks noChangeAspect="1"/>
                                </pic:cNvPicPr>
                              </pic:nvPicPr>
                              <pic:blipFill>
                                <a:blip r:embed="rId7"/>
                                <a:stretch>
                                  <a:fillRect/>
                                </a:stretch>
                              </pic:blipFill>
                              <pic:spPr>
                                <a:xfrm>
                                  <a:off x="15512" y="347580"/>
                                  <a:ext cx="12688" cy="5040"/>
                                </a:xfrm>
                                <a:prstGeom prst="rect">
                                  <a:avLst/>
                                </a:prstGeom>
                                <a:noFill/>
                                <a:ln>
                                  <a:noFill/>
                                </a:ln>
                              </pic:spPr>
                            </pic:pic>
                            <wps:wsp>
                              <wps:cNvPr id="16" name="文本框 160"/>
                              <wps:cNvSpPr txBox="1"/>
                              <wps:spPr>
                                <a:xfrm>
                                  <a:off x="16917" y="348522"/>
                                  <a:ext cx="829" cy="460"/>
                                </a:xfrm>
                                <a:prstGeom prst="rect">
                                  <a:avLst/>
                                </a:prstGeom>
                                <a:noFill/>
                                <a:ln w="9525">
                                  <a:noFill/>
                                </a:ln>
                              </wps:spPr>
                              <wps:txbx>
                                <w:txbxContent>
                                  <w:p w14:paraId="3168B5A7">
                                    <w:pPr>
                                      <w:rPr>
                                        <w:rFonts w:hint="default" w:eastAsia="宋体"/>
                                        <w:sz w:val="18"/>
                                        <w:szCs w:val="18"/>
                                        <w:lang w:val="en-US" w:eastAsia="zh-CN"/>
                                      </w:rPr>
                                    </w:pPr>
                                    <w:r>
                                      <w:rPr>
                                        <w:rFonts w:hint="eastAsia"/>
                                        <w:sz w:val="18"/>
                                        <w:szCs w:val="18"/>
                                        <w:lang w:val="en-US" w:eastAsia="zh-CN"/>
                                      </w:rPr>
                                      <w:t>N、S</w:t>
                                    </w:r>
                                  </w:p>
                                </w:txbxContent>
                              </wps:txbx>
                              <wps:bodyPr vert="horz" anchor="t" anchorCtr="0" upright="1"/>
                            </wps:wsp>
                            <wps:wsp>
                              <wps:cNvPr id="17" name="文本框 161"/>
                              <wps:cNvSpPr txBox="1"/>
                              <wps:spPr>
                                <a:xfrm>
                                  <a:off x="18183" y="348516"/>
                                  <a:ext cx="829" cy="460"/>
                                </a:xfrm>
                                <a:prstGeom prst="rect">
                                  <a:avLst/>
                                </a:prstGeom>
                                <a:noFill/>
                                <a:ln>
                                  <a:noFill/>
                                </a:ln>
                              </wps:spPr>
                              <wps:txbx>
                                <w:txbxContent>
                                  <w:p w14:paraId="1FC75275">
                                    <w:pPr>
                                      <w:rPr>
                                        <w:rFonts w:hint="default" w:eastAsia="宋体"/>
                                        <w:sz w:val="18"/>
                                        <w:szCs w:val="18"/>
                                        <w:lang w:val="en-US" w:eastAsia="zh-CN"/>
                                      </w:rPr>
                                    </w:pPr>
                                    <w:r>
                                      <w:rPr>
                                        <w:rFonts w:hint="eastAsia"/>
                                        <w:sz w:val="18"/>
                                        <w:szCs w:val="18"/>
                                        <w:lang w:val="en-US" w:eastAsia="zh-CN"/>
                                      </w:rPr>
                                      <w:t>N、W</w:t>
                                    </w:r>
                                  </w:p>
                                </w:txbxContent>
                              </wps:txbx>
                              <wps:bodyPr upright="1"/>
                            </wps:wsp>
                            <wps:wsp>
                              <wps:cNvPr id="18" name="文本框 162"/>
                              <wps:cNvSpPr txBox="1"/>
                              <wps:spPr>
                                <a:xfrm>
                                  <a:off x="20098" y="348078"/>
                                  <a:ext cx="576" cy="460"/>
                                </a:xfrm>
                                <a:prstGeom prst="rect">
                                  <a:avLst/>
                                </a:prstGeom>
                                <a:noFill/>
                                <a:ln>
                                  <a:noFill/>
                                </a:ln>
                              </wps:spPr>
                              <wps:txbx>
                                <w:txbxContent>
                                  <w:p w14:paraId="283F8224">
                                    <w:pPr>
                                      <w:rPr>
                                        <w:rFonts w:hint="default" w:eastAsia="宋体"/>
                                        <w:sz w:val="18"/>
                                        <w:szCs w:val="18"/>
                                        <w:lang w:val="en-US" w:eastAsia="zh-CN"/>
                                      </w:rPr>
                                    </w:pPr>
                                    <w:r>
                                      <w:rPr>
                                        <w:rFonts w:hint="eastAsia"/>
                                        <w:sz w:val="18"/>
                                        <w:szCs w:val="18"/>
                                        <w:lang w:val="en-US" w:eastAsia="zh-CN"/>
                                      </w:rPr>
                                      <w:t>W</w:t>
                                    </w:r>
                                  </w:p>
                                </w:txbxContent>
                              </wps:txbx>
                              <wps:bodyPr vert="horz" anchor="t" anchorCtr="0" upright="1"/>
                            </wps:wsp>
                            <wps:wsp>
                              <wps:cNvPr id="19" name="文本框 163"/>
                              <wps:cNvSpPr txBox="1"/>
                              <wps:spPr>
                                <a:xfrm>
                                  <a:off x="21463" y="348042"/>
                                  <a:ext cx="576" cy="460"/>
                                </a:xfrm>
                                <a:prstGeom prst="rect">
                                  <a:avLst/>
                                </a:prstGeom>
                                <a:noFill/>
                                <a:ln>
                                  <a:noFill/>
                                </a:ln>
                              </wps:spPr>
                              <wps:txbx>
                                <w:txbxContent>
                                  <w:p w14:paraId="3A31D6C6">
                                    <w:pPr>
                                      <w:rPr>
                                        <w:rFonts w:hint="default" w:eastAsia="宋体"/>
                                        <w:sz w:val="18"/>
                                        <w:szCs w:val="18"/>
                                        <w:lang w:val="en-US" w:eastAsia="zh-CN"/>
                                      </w:rPr>
                                    </w:pPr>
                                    <w:r>
                                      <w:rPr>
                                        <w:rFonts w:hint="eastAsia"/>
                                        <w:sz w:val="18"/>
                                        <w:szCs w:val="18"/>
                                        <w:lang w:val="en-US" w:eastAsia="zh-CN"/>
                                      </w:rPr>
                                      <w:t>S</w:t>
                                    </w:r>
                                  </w:p>
                                </w:txbxContent>
                              </wps:txbx>
                              <wps:bodyPr upright="1"/>
                            </wps:wsp>
                            <wps:wsp>
                              <wps:cNvPr id="20" name="文本框 164"/>
                              <wps:cNvSpPr txBox="1"/>
                              <wps:spPr>
                                <a:xfrm>
                                  <a:off x="23431" y="349891"/>
                                  <a:ext cx="576" cy="460"/>
                                </a:xfrm>
                                <a:prstGeom prst="rect">
                                  <a:avLst/>
                                </a:prstGeom>
                                <a:noFill/>
                                <a:ln>
                                  <a:noFill/>
                                </a:ln>
                              </wps:spPr>
                              <wps:txbx>
                                <w:txbxContent>
                                  <w:p w14:paraId="1B67D9A9">
                                    <w:pPr>
                                      <w:rPr>
                                        <w:rFonts w:hint="default" w:eastAsia="宋体"/>
                                        <w:sz w:val="18"/>
                                        <w:szCs w:val="18"/>
                                        <w:lang w:val="en-US" w:eastAsia="zh-CN"/>
                                      </w:rPr>
                                    </w:pPr>
                                    <w:r>
                                      <w:rPr>
                                        <w:rFonts w:hint="eastAsia"/>
                                        <w:sz w:val="18"/>
                                        <w:szCs w:val="18"/>
                                        <w:lang w:val="en-US" w:eastAsia="zh-CN"/>
                                      </w:rPr>
                                      <w:t>S</w:t>
                                    </w:r>
                                  </w:p>
                                </w:txbxContent>
                              </wps:txbx>
                              <wps:bodyPr upright="1"/>
                            </wps:wsp>
                            <wps:wsp>
                              <wps:cNvPr id="21" name="文本框 165"/>
                              <wps:cNvSpPr txBox="1"/>
                              <wps:spPr>
                                <a:xfrm>
                                  <a:off x="22534" y="350555"/>
                                  <a:ext cx="576" cy="460"/>
                                </a:xfrm>
                                <a:prstGeom prst="rect">
                                  <a:avLst/>
                                </a:prstGeom>
                                <a:noFill/>
                                <a:ln>
                                  <a:noFill/>
                                </a:ln>
                              </wps:spPr>
                              <wps:txbx>
                                <w:txbxContent>
                                  <w:p w14:paraId="2D153FBD">
                                    <w:pPr>
                                      <w:rPr>
                                        <w:rFonts w:hint="default" w:eastAsia="宋体"/>
                                        <w:sz w:val="18"/>
                                        <w:szCs w:val="18"/>
                                        <w:lang w:val="en-US" w:eastAsia="zh-CN"/>
                                      </w:rPr>
                                    </w:pPr>
                                    <w:r>
                                      <w:rPr>
                                        <w:rFonts w:hint="eastAsia"/>
                                        <w:sz w:val="18"/>
                                        <w:szCs w:val="18"/>
                                        <w:lang w:val="en-US" w:eastAsia="zh-CN"/>
                                      </w:rPr>
                                      <w:t>G</w:t>
                                    </w:r>
                                  </w:p>
                                </w:txbxContent>
                              </wps:txbx>
                              <wps:bodyPr upright="1"/>
                            </wps:wsp>
                            <wps:wsp>
                              <wps:cNvPr id="22" name="文本框 166"/>
                              <wps:cNvSpPr txBox="1"/>
                              <wps:spPr>
                                <a:xfrm>
                                  <a:off x="27183" y="351397"/>
                                  <a:ext cx="576" cy="356"/>
                                </a:xfrm>
                                <a:prstGeom prst="rect">
                                  <a:avLst/>
                                </a:prstGeom>
                                <a:noFill/>
                                <a:ln>
                                  <a:noFill/>
                                </a:ln>
                              </wps:spPr>
                              <wps:txbx>
                                <w:txbxContent>
                                  <w:p w14:paraId="04A5B477">
                                    <w:pPr>
                                      <w:rPr>
                                        <w:rFonts w:hint="default" w:eastAsia="宋体"/>
                                        <w:sz w:val="18"/>
                                        <w:szCs w:val="18"/>
                                        <w:lang w:val="en-US" w:eastAsia="zh-CN"/>
                                      </w:rPr>
                                    </w:pPr>
                                    <w:r>
                                      <w:rPr>
                                        <w:rFonts w:hint="eastAsia" w:eastAsia="宋体"/>
                                        <w:sz w:val="18"/>
                                        <w:szCs w:val="18"/>
                                        <w:lang w:val="en-US" w:eastAsia="zh-CN"/>
                                      </w:rPr>
                                      <w:t>W</w:t>
                                    </w:r>
                                  </w:p>
                                </w:txbxContent>
                              </wps:txbx>
                              <wps:bodyPr vert="horz" anchor="t" anchorCtr="0" upright="1"/>
                            </wps:wsp>
                            <wps:wsp>
                              <wps:cNvPr id="23" name="文本框 167"/>
                              <wps:cNvSpPr txBox="1"/>
                              <wps:spPr>
                                <a:xfrm>
                                  <a:off x="24172" y="350947"/>
                                  <a:ext cx="576" cy="460"/>
                                </a:xfrm>
                                <a:prstGeom prst="rect">
                                  <a:avLst/>
                                </a:prstGeom>
                                <a:noFill/>
                                <a:ln>
                                  <a:noFill/>
                                </a:ln>
                              </wps:spPr>
                              <wps:txbx>
                                <w:txbxContent>
                                  <w:p w14:paraId="1AABD095">
                                    <w:pPr>
                                      <w:rPr>
                                        <w:rFonts w:hint="default" w:eastAsia="宋体"/>
                                        <w:sz w:val="18"/>
                                        <w:szCs w:val="18"/>
                                        <w:lang w:val="en-US" w:eastAsia="zh-CN"/>
                                      </w:rPr>
                                    </w:pPr>
                                    <w:r>
                                      <w:rPr>
                                        <w:rFonts w:hint="eastAsia"/>
                                        <w:sz w:val="18"/>
                                        <w:szCs w:val="18"/>
                                        <w:lang w:val="en-US" w:eastAsia="zh-CN"/>
                                      </w:rPr>
                                      <w:t>G</w:t>
                                    </w:r>
                                  </w:p>
                                </w:txbxContent>
                              </wps:txbx>
                              <wps:bodyPr upright="1"/>
                            </wps:wsp>
                            <wps:wsp>
                              <wps:cNvPr id="25" name="文本框 168"/>
                              <wps:cNvSpPr txBox="1"/>
                              <wps:spPr>
                                <a:xfrm>
                                  <a:off x="22852" y="350957"/>
                                  <a:ext cx="576" cy="460"/>
                                </a:xfrm>
                                <a:prstGeom prst="rect">
                                  <a:avLst/>
                                </a:prstGeom>
                                <a:noFill/>
                                <a:ln>
                                  <a:noFill/>
                                </a:ln>
                              </wps:spPr>
                              <wps:txbx>
                                <w:txbxContent>
                                  <w:p w14:paraId="48942ECC">
                                    <w:pPr>
                                      <w:rPr>
                                        <w:rFonts w:hint="default" w:eastAsia="宋体"/>
                                        <w:sz w:val="18"/>
                                        <w:szCs w:val="18"/>
                                        <w:lang w:val="en-US" w:eastAsia="zh-CN"/>
                                      </w:rPr>
                                    </w:pPr>
                                    <w:r>
                                      <w:rPr>
                                        <w:rFonts w:hint="eastAsia"/>
                                        <w:sz w:val="18"/>
                                        <w:szCs w:val="18"/>
                                        <w:lang w:val="en-US" w:eastAsia="zh-CN"/>
                                      </w:rPr>
                                      <w:t>S</w:t>
                                    </w:r>
                                  </w:p>
                                </w:txbxContent>
                              </wps:txbx>
                              <wps:bodyPr upright="1"/>
                            </wps:wsp>
                            <wps:wsp>
                              <wps:cNvPr id="26" name="文本框 169"/>
                              <wps:cNvSpPr txBox="1"/>
                              <wps:spPr>
                                <a:xfrm>
                                  <a:off x="22811" y="351731"/>
                                  <a:ext cx="484" cy="460"/>
                                </a:xfrm>
                                <a:prstGeom prst="rect">
                                  <a:avLst/>
                                </a:prstGeom>
                                <a:noFill/>
                                <a:ln>
                                  <a:noFill/>
                                </a:ln>
                              </wps:spPr>
                              <wps:txbx>
                                <w:txbxContent>
                                  <w:p w14:paraId="4DB983DD">
                                    <w:pPr>
                                      <w:rPr>
                                        <w:rFonts w:hint="default" w:eastAsia="宋体"/>
                                        <w:sz w:val="18"/>
                                        <w:szCs w:val="18"/>
                                        <w:lang w:val="en-US" w:eastAsia="zh-CN"/>
                                      </w:rPr>
                                    </w:pPr>
                                    <w:r>
                                      <w:rPr>
                                        <w:rFonts w:hint="eastAsia" w:eastAsia="宋体"/>
                                        <w:sz w:val="18"/>
                                        <w:szCs w:val="18"/>
                                        <w:lang w:val="en-US" w:eastAsia="zh-CN"/>
                                      </w:rPr>
                                      <w:t>G</w:t>
                                    </w:r>
                                  </w:p>
                                </w:txbxContent>
                              </wps:txbx>
                              <wps:bodyPr vert="horz" anchor="t" anchorCtr="0" upright="1"/>
                            </wps:wsp>
                            <wps:wsp>
                              <wps:cNvPr id="27" name="文本框 170"/>
                              <wps:cNvSpPr txBox="1"/>
                              <wps:spPr>
                                <a:xfrm>
                                  <a:off x="18631" y="351728"/>
                                  <a:ext cx="576" cy="460"/>
                                </a:xfrm>
                                <a:prstGeom prst="rect">
                                  <a:avLst/>
                                </a:prstGeom>
                                <a:noFill/>
                                <a:ln>
                                  <a:noFill/>
                                </a:ln>
                              </wps:spPr>
                              <wps:txbx>
                                <w:txbxContent>
                                  <w:p w14:paraId="03A17067">
                                    <w:pPr>
                                      <w:rPr>
                                        <w:rFonts w:hint="default" w:eastAsia="宋体"/>
                                        <w:sz w:val="18"/>
                                        <w:szCs w:val="18"/>
                                        <w:lang w:val="en-US" w:eastAsia="zh-CN"/>
                                      </w:rPr>
                                    </w:pPr>
                                    <w:r>
                                      <w:rPr>
                                        <w:rFonts w:hint="eastAsia"/>
                                        <w:sz w:val="18"/>
                                        <w:szCs w:val="18"/>
                                        <w:lang w:val="en-US" w:eastAsia="zh-CN"/>
                                      </w:rPr>
                                      <w:t>S</w:t>
                                    </w:r>
                                  </w:p>
                                </w:txbxContent>
                              </wps:txbx>
                              <wps:bodyPr upright="1"/>
                            </wps:wsp>
                            <wps:wsp>
                              <wps:cNvPr id="28" name="文本框 171"/>
                              <wps:cNvSpPr txBox="1"/>
                              <wps:spPr>
                                <a:xfrm>
                                  <a:off x="19973" y="351743"/>
                                  <a:ext cx="576" cy="460"/>
                                </a:xfrm>
                                <a:prstGeom prst="rect">
                                  <a:avLst/>
                                </a:prstGeom>
                                <a:noFill/>
                                <a:ln>
                                  <a:noFill/>
                                </a:ln>
                              </wps:spPr>
                              <wps:txbx>
                                <w:txbxContent>
                                  <w:p w14:paraId="7C945167">
                                    <w:pPr>
                                      <w:rPr>
                                        <w:rFonts w:hint="default" w:eastAsia="宋体"/>
                                        <w:sz w:val="18"/>
                                        <w:szCs w:val="18"/>
                                        <w:lang w:val="en-US" w:eastAsia="zh-CN"/>
                                      </w:rPr>
                                    </w:pPr>
                                    <w:r>
                                      <w:rPr>
                                        <w:rFonts w:hint="eastAsia"/>
                                        <w:sz w:val="18"/>
                                        <w:szCs w:val="18"/>
                                        <w:lang w:val="en-US" w:eastAsia="zh-CN"/>
                                      </w:rPr>
                                      <w:t>G</w:t>
                                    </w:r>
                                  </w:p>
                                </w:txbxContent>
                              </wps:txbx>
                              <wps:bodyPr upright="1"/>
                            </wps:wsp>
                            <wps:wsp>
                              <wps:cNvPr id="29" name="文本框 172"/>
                              <wps:cNvSpPr txBox="1"/>
                              <wps:spPr>
                                <a:xfrm>
                                  <a:off x="21445" y="351733"/>
                                  <a:ext cx="576" cy="460"/>
                                </a:xfrm>
                                <a:prstGeom prst="rect">
                                  <a:avLst/>
                                </a:prstGeom>
                                <a:noFill/>
                                <a:ln>
                                  <a:noFill/>
                                </a:ln>
                              </wps:spPr>
                              <wps:txbx>
                                <w:txbxContent>
                                  <w:p w14:paraId="49A0A8BF">
                                    <w:pPr>
                                      <w:rPr>
                                        <w:rFonts w:hint="default" w:eastAsia="宋体"/>
                                        <w:sz w:val="18"/>
                                        <w:szCs w:val="18"/>
                                        <w:lang w:val="en-US" w:eastAsia="zh-CN"/>
                                      </w:rPr>
                                    </w:pPr>
                                    <w:r>
                                      <w:rPr>
                                        <w:rFonts w:hint="eastAsia"/>
                                        <w:sz w:val="18"/>
                                        <w:szCs w:val="18"/>
                                        <w:lang w:val="en-US" w:eastAsia="zh-CN"/>
                                      </w:rPr>
                                      <w:t>S</w:t>
                                    </w:r>
                                  </w:p>
                                </w:txbxContent>
                              </wps:txbx>
                              <wps:bodyPr upright="1"/>
                            </wps:wsp>
                            <wps:wsp>
                              <wps:cNvPr id="30" name="文本框 173"/>
                              <wps:cNvSpPr txBox="1"/>
                              <wps:spPr>
                                <a:xfrm>
                                  <a:off x="18107" y="350106"/>
                                  <a:ext cx="829" cy="460"/>
                                </a:xfrm>
                                <a:prstGeom prst="rect">
                                  <a:avLst/>
                                </a:prstGeom>
                                <a:noFill/>
                                <a:ln>
                                  <a:noFill/>
                                </a:ln>
                              </wps:spPr>
                              <wps:txbx>
                                <w:txbxContent>
                                  <w:p w14:paraId="5628EC63">
                                    <w:pPr>
                                      <w:rPr>
                                        <w:rFonts w:hint="default" w:eastAsia="宋体"/>
                                        <w:sz w:val="18"/>
                                        <w:szCs w:val="18"/>
                                        <w:lang w:val="en-US" w:eastAsia="zh-CN"/>
                                      </w:rPr>
                                    </w:pPr>
                                    <w:r>
                                      <w:rPr>
                                        <w:rFonts w:hint="eastAsia"/>
                                        <w:sz w:val="18"/>
                                        <w:szCs w:val="18"/>
                                        <w:lang w:val="en-US" w:eastAsia="zh-CN"/>
                                      </w:rPr>
                                      <w:t>N、W</w:t>
                                    </w:r>
                                  </w:p>
                                </w:txbxContent>
                              </wps:txbx>
                              <wps:bodyPr upright="1"/>
                            </wps:wsp>
                            <wps:wsp>
                              <wps:cNvPr id="31" name="文本框 174"/>
                              <wps:cNvSpPr txBox="1"/>
                              <wps:spPr>
                                <a:xfrm>
                                  <a:off x="19213" y="348815"/>
                                  <a:ext cx="353" cy="579"/>
                                </a:xfrm>
                                <a:prstGeom prst="rect">
                                  <a:avLst/>
                                </a:prstGeom>
                                <a:noFill/>
                                <a:ln w="9525">
                                  <a:noFill/>
                                </a:ln>
                              </wps:spPr>
                              <wps:txbx>
                                <w:txbxContent>
                                  <w:p w14:paraId="24C219C3">
                                    <w:pPr>
                                      <w:keepNext w:val="0"/>
                                      <w:keepLines w:val="0"/>
                                      <w:pageBreakBefore w:val="0"/>
                                      <w:widowControl w:val="0"/>
                                      <w:kinsoku/>
                                      <w:wordWrap/>
                                      <w:overflowPunct/>
                                      <w:topLinePunct w:val="0"/>
                                      <w:bidi w:val="0"/>
                                      <w:adjustRightInd w:val="0"/>
                                      <w:snapToGrid w:val="0"/>
                                      <w:jc w:val="left"/>
                                      <w:textAlignment w:val="auto"/>
                                      <w:rPr>
                                        <w:rFonts w:hint="eastAsia" w:eastAsia="宋体"/>
                                        <w:b/>
                                        <w:bCs/>
                                        <w:sz w:val="18"/>
                                        <w:szCs w:val="18"/>
                                        <w:lang w:val="en-US" w:eastAsia="zh-CN"/>
                                      </w:rPr>
                                    </w:pPr>
                                    <w:r>
                                      <w:rPr>
                                        <w:rFonts w:hint="eastAsia"/>
                                        <w:b/>
                                        <w:bCs/>
                                        <w:sz w:val="15"/>
                                        <w:szCs w:val="15"/>
                                        <w:lang w:val="en-US" w:eastAsia="zh-CN"/>
                                      </w:rPr>
                                      <w:t>清洗</w:t>
                                    </w:r>
                                  </w:p>
                                </w:txbxContent>
                              </wps:txbx>
                              <wps:bodyPr vert="horz" anchor="t" anchorCtr="0" upright="1"/>
                            </wps:wsp>
                            <wps:wsp>
                              <wps:cNvPr id="32" name="矩形 175"/>
                              <wps:cNvSpPr/>
                              <wps:spPr>
                                <a:xfrm>
                                  <a:off x="19296" y="348863"/>
                                  <a:ext cx="247" cy="439"/>
                                </a:xfrm>
                                <a:prstGeom prst="rect">
                                  <a:avLst/>
                                </a:prstGeom>
                                <a:noFill/>
                                <a:ln w="9525" cap="flat" cmpd="sng">
                                  <a:solidFill>
                                    <a:srgbClr val="000000"/>
                                  </a:solidFill>
                                  <a:prstDash val="solid"/>
                                  <a:miter/>
                                  <a:headEnd type="none" w="med" len="med"/>
                                  <a:tailEnd type="triangle" w="med" len="med"/>
                                </a:ln>
                              </wps:spPr>
                              <wps:bodyPr vert="horz" anchor="t" anchorCtr="0" upright="1"/>
                            </wps:wsp>
                            <wps:wsp>
                              <wps:cNvPr id="33" name="文本框 176"/>
                              <wps:cNvSpPr txBox="1"/>
                              <wps:spPr>
                                <a:xfrm>
                                  <a:off x="19198" y="348558"/>
                                  <a:ext cx="576" cy="460"/>
                                </a:xfrm>
                                <a:prstGeom prst="rect">
                                  <a:avLst/>
                                </a:prstGeom>
                                <a:noFill/>
                                <a:ln>
                                  <a:noFill/>
                                </a:ln>
                              </wps:spPr>
                              <wps:txbx>
                                <w:txbxContent>
                                  <w:p w14:paraId="47CCBF23">
                                    <w:pPr>
                                      <w:rPr>
                                        <w:rFonts w:hint="default" w:eastAsia="宋体"/>
                                        <w:sz w:val="18"/>
                                        <w:szCs w:val="18"/>
                                        <w:lang w:val="en-US" w:eastAsia="zh-CN"/>
                                      </w:rPr>
                                    </w:pPr>
                                    <w:r>
                                      <w:rPr>
                                        <w:rFonts w:hint="eastAsia"/>
                                        <w:sz w:val="18"/>
                                        <w:szCs w:val="18"/>
                                        <w:lang w:val="en-US" w:eastAsia="zh-CN"/>
                                      </w:rPr>
                                      <w:t>W</w:t>
                                    </w:r>
                                  </w:p>
                                </w:txbxContent>
                              </wps:txbx>
                              <wps:bodyPr upright="1"/>
                            </wps:wsp>
                            <wps:wsp>
                              <wps:cNvPr id="34" name="文本框 170"/>
                              <wps:cNvSpPr txBox="1"/>
                              <wps:spPr>
                                <a:xfrm>
                                  <a:off x="22900" y="348035"/>
                                  <a:ext cx="576" cy="460"/>
                                </a:xfrm>
                                <a:prstGeom prst="rect">
                                  <a:avLst/>
                                </a:prstGeom>
                                <a:noFill/>
                                <a:ln>
                                  <a:noFill/>
                                </a:ln>
                              </wps:spPr>
                              <wps:txbx>
                                <w:txbxContent>
                                  <w:p w14:paraId="7592830E">
                                    <w:pPr>
                                      <w:rPr>
                                        <w:rFonts w:hint="default" w:eastAsia="宋体"/>
                                        <w:sz w:val="18"/>
                                        <w:szCs w:val="18"/>
                                        <w:lang w:val="en-US" w:eastAsia="zh-CN"/>
                                      </w:rPr>
                                    </w:pPr>
                                    <w:r>
                                      <w:rPr>
                                        <w:rFonts w:hint="eastAsia"/>
                                        <w:sz w:val="18"/>
                                        <w:szCs w:val="18"/>
                                        <w:lang w:val="en-US" w:eastAsia="zh-CN"/>
                                      </w:rPr>
                                      <w:t>S</w:t>
                                    </w:r>
                                  </w:p>
                                </w:txbxContent>
                              </wps:txbx>
                              <wps:bodyPr upright="1"/>
                            </wps:wsp>
                            <wps:wsp>
                              <wps:cNvPr id="35" name="文本框 170"/>
                              <wps:cNvSpPr txBox="1"/>
                              <wps:spPr>
                                <a:xfrm>
                                  <a:off x="24267" y="348069"/>
                                  <a:ext cx="576" cy="460"/>
                                </a:xfrm>
                                <a:prstGeom prst="rect">
                                  <a:avLst/>
                                </a:prstGeom>
                                <a:noFill/>
                                <a:ln>
                                  <a:noFill/>
                                </a:ln>
                              </wps:spPr>
                              <wps:txbx>
                                <w:txbxContent>
                                  <w:p w14:paraId="2C4D2D82">
                                    <w:pPr>
                                      <w:rPr>
                                        <w:rFonts w:hint="default" w:eastAsia="宋体"/>
                                        <w:sz w:val="18"/>
                                        <w:szCs w:val="18"/>
                                        <w:lang w:val="en-US" w:eastAsia="zh-CN"/>
                                      </w:rPr>
                                    </w:pPr>
                                    <w:r>
                                      <w:rPr>
                                        <w:rFonts w:hint="eastAsia"/>
                                        <w:sz w:val="18"/>
                                        <w:szCs w:val="18"/>
                                        <w:lang w:val="en-US" w:eastAsia="zh-CN"/>
                                      </w:rPr>
                                      <w:t>S</w:t>
                                    </w:r>
                                  </w:p>
                                </w:txbxContent>
                              </wps:txbx>
                              <wps:bodyPr upright="1"/>
                            </wps:wsp>
                            <wps:wsp>
                              <wps:cNvPr id="37" name="直接箭头连接符 37"/>
                              <wps:cNvCnPr>
                                <a:endCxn id="32" idx="2"/>
                              </wps:cNvCnPr>
                              <wps:spPr>
                                <a:xfrm flipV="1">
                                  <a:off x="19420" y="349302"/>
                                  <a:ext cx="0" cy="397"/>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38" name="文本框 38"/>
                              <wps:cNvSpPr txBox="1"/>
                              <wps:spPr>
                                <a:xfrm>
                                  <a:off x="19143" y="349618"/>
                                  <a:ext cx="367" cy="103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141C06">
                                    <w:pPr>
                                      <w:rPr>
                                        <w:rFonts w:hint="default" w:eastAsia="宋体"/>
                                        <w:b/>
                                        <w:bCs/>
                                        <w:sz w:val="15"/>
                                        <w:szCs w:val="15"/>
                                        <w:lang w:val="en-US" w:eastAsia="zh-CN"/>
                                      </w:rPr>
                                    </w:pPr>
                                    <w:r>
                                      <w:rPr>
                                        <w:rFonts w:hint="eastAsia"/>
                                        <w:b/>
                                        <w:bCs/>
                                        <w:sz w:val="15"/>
                                        <w:szCs w:val="15"/>
                                        <w:lang w:val="en-US" w:eastAsia="zh-CN"/>
                                      </w:rPr>
                                      <w:t>自来水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9" name="直接箭头连接符 39"/>
                              <wps:cNvCnPr/>
                              <wps:spPr>
                                <a:xfrm flipV="1">
                                  <a:off x="20341" y="348769"/>
                                  <a:ext cx="0" cy="397"/>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40" name="直接箭头连接符 40"/>
                              <wps:cNvCnPr/>
                              <wps:spPr>
                                <a:xfrm flipV="1">
                                  <a:off x="27216" y="352066"/>
                                  <a:ext cx="0" cy="397"/>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41" name="文本框 41"/>
                              <wps:cNvSpPr txBox="1"/>
                              <wps:spPr>
                                <a:xfrm>
                                  <a:off x="20027" y="349063"/>
                                  <a:ext cx="757" cy="39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73EF64">
                                    <w:pPr>
                                      <w:rPr>
                                        <w:rFonts w:hint="default" w:eastAsia="宋体"/>
                                        <w:b/>
                                        <w:bCs/>
                                        <w:sz w:val="15"/>
                                        <w:szCs w:val="15"/>
                                        <w:lang w:val="en-US" w:eastAsia="zh-CN"/>
                                      </w:rPr>
                                    </w:pPr>
                                    <w:r>
                                      <w:rPr>
                                        <w:rFonts w:hint="eastAsia"/>
                                        <w:b/>
                                        <w:bCs/>
                                        <w:sz w:val="15"/>
                                        <w:szCs w:val="15"/>
                                        <w:lang w:val="en-US" w:eastAsia="zh-CN"/>
                                      </w:rPr>
                                      <w:t>纯水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2" name="文本框 42"/>
                              <wps:cNvSpPr txBox="1"/>
                              <wps:spPr>
                                <a:xfrm>
                                  <a:off x="26890" y="352431"/>
                                  <a:ext cx="757" cy="39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646207">
                                    <w:pPr>
                                      <w:rPr>
                                        <w:rFonts w:hint="default" w:eastAsia="宋体"/>
                                        <w:b/>
                                        <w:bCs/>
                                        <w:sz w:val="15"/>
                                        <w:szCs w:val="15"/>
                                        <w:lang w:val="en-US" w:eastAsia="zh-CN"/>
                                      </w:rPr>
                                    </w:pPr>
                                    <w:r>
                                      <w:rPr>
                                        <w:rFonts w:hint="eastAsia"/>
                                        <w:b/>
                                        <w:bCs/>
                                        <w:sz w:val="15"/>
                                        <w:szCs w:val="15"/>
                                        <w:lang w:val="en-US" w:eastAsia="zh-CN"/>
                                      </w:rPr>
                                      <w:t>纯水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 name="直接箭头连接符 43"/>
                              <wps:cNvCnPr/>
                              <wps:spPr>
                                <a:xfrm flipV="1">
                                  <a:off x="23025" y="352410"/>
                                  <a:ext cx="0" cy="397"/>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44" name="文本框 44"/>
                              <wps:cNvSpPr txBox="1"/>
                              <wps:spPr>
                                <a:xfrm>
                                  <a:off x="22442" y="352747"/>
                                  <a:ext cx="1208" cy="67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3F750A">
                                    <w:pPr>
                                      <w:jc w:val="center"/>
                                      <w:rPr>
                                        <w:rFonts w:hint="default" w:ascii="Times New Roman" w:hAnsi="Times New Roman" w:eastAsia="宋体" w:cs="Times New Roman"/>
                                        <w:b/>
                                        <w:bCs/>
                                        <w:i w:val="0"/>
                                        <w:iCs w:val="0"/>
                                        <w:color w:val="000000"/>
                                        <w:kern w:val="0"/>
                                        <w:sz w:val="15"/>
                                        <w:szCs w:val="15"/>
                                        <w:u w:val="none"/>
                                        <w:lang w:val="en-US" w:eastAsia="zh-CN" w:bidi="ar"/>
                                      </w:rPr>
                                    </w:pPr>
                                    <w:r>
                                      <w:rPr>
                                        <w:rFonts w:hint="default" w:ascii="Times New Roman" w:hAnsi="Times New Roman" w:eastAsia="宋体" w:cs="Times New Roman"/>
                                        <w:b/>
                                        <w:bCs/>
                                        <w:i w:val="0"/>
                                        <w:iCs w:val="0"/>
                                        <w:color w:val="000000"/>
                                        <w:kern w:val="0"/>
                                        <w:sz w:val="15"/>
                                        <w:szCs w:val="15"/>
                                        <w:u w:val="none"/>
                                        <w:lang w:val="en-US" w:eastAsia="zh-CN" w:bidi="ar"/>
                                      </w:rPr>
                                      <w:t>丁基胶</w:t>
                                    </w:r>
                                  </w:p>
                                  <w:p w14:paraId="2D2F264E">
                                    <w:pPr>
                                      <w:jc w:val="center"/>
                                      <w:rPr>
                                        <w:rFonts w:hint="default"/>
                                        <w:b/>
                                        <w:bCs/>
                                        <w:sz w:val="15"/>
                                        <w:szCs w:val="15"/>
                                        <w:lang w:val="en-US" w:eastAsia="zh-CN"/>
                                      </w:rPr>
                                    </w:pPr>
                                    <w:r>
                                      <w:rPr>
                                        <w:rFonts w:hint="default" w:ascii="Times New Roman" w:hAnsi="Times New Roman" w:eastAsia="宋体" w:cs="Times New Roman"/>
                                        <w:b/>
                                        <w:bCs/>
                                        <w:i w:val="0"/>
                                        <w:iCs w:val="0"/>
                                        <w:color w:val="000000"/>
                                        <w:kern w:val="0"/>
                                        <w:sz w:val="15"/>
                                        <w:szCs w:val="15"/>
                                        <w:u w:val="none"/>
                                        <w:lang w:val="en-US" w:eastAsia="zh-CN" w:bidi="ar"/>
                                      </w:rPr>
                                      <w:t>硅酮密封胶</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 name="直接箭头连接符 7"/>
                              <wps:cNvCnPr/>
                              <wps:spPr>
                                <a:xfrm flipV="1">
                                  <a:off x="25813" y="352438"/>
                                  <a:ext cx="8" cy="286"/>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8" name="文本框 8"/>
                              <wps:cNvSpPr txBox="1"/>
                              <wps:spPr>
                                <a:xfrm>
                                  <a:off x="25032" y="352747"/>
                                  <a:ext cx="1697" cy="73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1FAFAA">
                                    <w:pPr>
                                      <w:jc w:val="center"/>
                                      <w:rPr>
                                        <w:rFonts w:hint="default" w:eastAsia="宋体"/>
                                        <w:b/>
                                        <w:bCs/>
                                        <w:sz w:val="15"/>
                                        <w:szCs w:val="15"/>
                                        <w:lang w:val="en-US" w:eastAsia="zh-CN"/>
                                      </w:rPr>
                                    </w:pPr>
                                    <w:r>
                                      <w:rPr>
                                        <w:rFonts w:hint="eastAsia"/>
                                        <w:b/>
                                        <w:bCs/>
                                        <w:sz w:val="15"/>
                                        <w:szCs w:val="15"/>
                                        <w:lang w:val="en-US" w:eastAsia="zh-CN"/>
                                      </w:rPr>
                                      <w:t>填充分子筛、铝条切割，加铝框进行合片前的准备</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3" name="直接箭头连接符 83"/>
                              <wps:cNvCnPr/>
                              <wps:spPr>
                                <a:xfrm>
                                  <a:off x="26765" y="347991"/>
                                  <a:ext cx="366" cy="16"/>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85" name="文本框 85"/>
                              <wps:cNvSpPr txBox="1"/>
                              <wps:spPr>
                                <a:xfrm>
                                  <a:off x="26971" y="347790"/>
                                  <a:ext cx="1109" cy="3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69F81F">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镀膜玻璃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 name="文本框 86"/>
                              <wps:cNvSpPr txBox="1"/>
                              <wps:spPr>
                                <a:xfrm>
                                  <a:off x="15578" y="352780"/>
                                  <a:ext cx="1109" cy="3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6E63DA">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中空玻璃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7" name="文本框 87"/>
                              <wps:cNvSpPr txBox="1"/>
                              <wps:spPr>
                                <a:xfrm>
                                  <a:off x="18618" y="351287"/>
                                  <a:ext cx="1109" cy="3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399BDB">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夹胶玻璃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8" name="文本框 88"/>
                              <wps:cNvSpPr txBox="1"/>
                              <wps:spPr>
                                <a:xfrm>
                                  <a:off x="25204" y="350677"/>
                                  <a:ext cx="1508" cy="344"/>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C46656">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彩色成像钢化玻璃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9" name="直接箭头连接符 89"/>
                              <wps:cNvCnPr/>
                              <wps:spPr>
                                <a:xfrm>
                                  <a:off x="25989" y="350514"/>
                                  <a:ext cx="10" cy="294"/>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90" name="直接箭头连接符 90"/>
                              <wps:cNvCnPr/>
                              <wps:spPr>
                                <a:xfrm flipH="1">
                                  <a:off x="19538" y="351458"/>
                                  <a:ext cx="360" cy="6"/>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s:wsp>
                              <wps:cNvPr id="94" name="直接箭头连接符 94"/>
                              <wps:cNvCnPr/>
                              <wps:spPr>
                                <a:xfrm flipH="1">
                                  <a:off x="16081" y="352432"/>
                                  <a:ext cx="7" cy="359"/>
                                </a:xfrm>
                                <a:prstGeom prst="straightConnector1">
                                  <a:avLst/>
                                </a:prstGeom>
                                <a:ln w="9525">
                                  <a:solidFill>
                                    <a:schemeClr val="tx1"/>
                                  </a:solidFill>
                                  <a:tailEnd type="arrow" w="sm" len="sm"/>
                                </a:ln>
                              </wps:spPr>
                              <wps:style>
                                <a:lnRef idx="2">
                                  <a:schemeClr val="accent1"/>
                                </a:lnRef>
                                <a:fillRef idx="0">
                                  <a:srgbClr val="FFFFFF"/>
                                </a:fillRef>
                                <a:effectRef idx="0">
                                  <a:srgbClr val="FFFFFF"/>
                                </a:effectRef>
                                <a:fontRef idx="minor">
                                  <a:schemeClr val="tx1"/>
                                </a:fontRef>
                              </wps:style>
                              <wps:bodyPr/>
                            </wps:wsp>
                          </wpg:wgp>
                        </a:graphicData>
                      </a:graphic>
                    </wp:anchor>
                  </w:drawing>
                </mc:Choice>
                <mc:Fallback>
                  <w:pict>
                    <v:group id="_x0000_s1026" o:spid="_x0000_s1026" o:spt="203" style="position:absolute;left:0pt;margin-left:-1.35pt;margin-top:2.15pt;height:350.5pt;width:634.4pt;z-index:251668480;mso-width-relative:page;mso-height-relative:page;" coordorigin="15512,347580" coordsize="12688,7010" o:gfxdata="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Bh3/w+G22hHChhbrgAAAABJRU5ErkJgg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">
                      <o:lock v:ext="edit" aspectratio="f"/>
                      <v:shape id="文本框 159" o:spid="_x0000_s1026" o:spt="202" type="#_x0000_t202" style="position:absolute;left:16855;top:353047;height:1543;width:1200;" fillcolor="#FFFFFF" filled="t" stroked="t" coordsize="21600,21600" o:gfxdata="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bp9hvQAA&#10;ANsAAAAPAAAAAAAAAAEAIAAAACIAAABkcnMvZG93bnJldi54bWxQSwECFAAUAAAACACHTuJAMy8F&#10;njsAAAA5AAAAEAAAAAAAAAABACAAAAAMAQAAZHJzL3NoYXBleG1sLnhtbFBLBQYAAAAABgAGAFsB&#10;AAC2AwAAAAA=&#10;">
                        <v:fill on="t" focussize="0,0"/>
                        <v:stroke color="#000000" joinstyle="miter" endarrow="block"/>
                        <v:imagedata o:title=""/>
                        <o:lock v:ext="edit" aspectratio="f"/>
                        <v:textbox>
                          <w:txbxContent>
                            <w:p w14:paraId="2F15C7B0">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图例：</w:t>
                              </w:r>
                            </w:p>
                            <w:p w14:paraId="423DA005">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废气：G</w:t>
                              </w:r>
                            </w:p>
                            <w:p w14:paraId="467CAAC4">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噪声：N</w:t>
                              </w:r>
                            </w:p>
                            <w:p w14:paraId="20737A8D">
                              <w:pPr>
                                <w:pStyle w:val="96"/>
                                <w:spacing w:line="240" w:lineRule="auto"/>
                                <w:ind w:left="0" w:leftChars="0" w:firstLine="0" w:firstLineChars="0"/>
                                <w:jc w:val="both"/>
                                <w:rPr>
                                  <w:rFonts w:hint="eastAsia"/>
                                  <w:b w:val="0"/>
                                  <w:bCs w:val="0"/>
                                  <w:color w:val="auto"/>
                                  <w:sz w:val="21"/>
                                  <w:szCs w:val="21"/>
                                  <w:vertAlign w:val="baseline"/>
                                  <w:lang w:val="en-US" w:eastAsia="zh-CN"/>
                                </w:rPr>
                              </w:pPr>
                              <w:r>
                                <w:rPr>
                                  <w:rFonts w:hint="eastAsia"/>
                                  <w:b w:val="0"/>
                                  <w:bCs w:val="0"/>
                                  <w:color w:val="auto"/>
                                  <w:sz w:val="21"/>
                                  <w:szCs w:val="21"/>
                                  <w:vertAlign w:val="baseline"/>
                                  <w:lang w:val="en-US" w:eastAsia="zh-CN"/>
                                </w:rPr>
                                <w:t>废水：W</w:t>
                              </w:r>
                            </w:p>
                            <w:p w14:paraId="62292524">
                              <w:pPr>
                                <w:pStyle w:val="96"/>
                                <w:spacing w:line="240" w:lineRule="auto"/>
                                <w:ind w:left="0" w:leftChars="0" w:firstLine="0" w:firstLineChars="0"/>
                                <w:jc w:val="both"/>
                                <w:rPr>
                                  <w:rFonts w:hint="default"/>
                                  <w:b w:val="0"/>
                                  <w:bCs w:val="0"/>
                                  <w:color w:val="auto"/>
                                  <w:sz w:val="21"/>
                                  <w:szCs w:val="21"/>
                                  <w:vertAlign w:val="baseline"/>
                                  <w:lang w:val="en-US" w:eastAsia="zh-CN"/>
                                </w:rPr>
                              </w:pPr>
                              <w:r>
                                <w:rPr>
                                  <w:rFonts w:hint="eastAsia"/>
                                  <w:b w:val="0"/>
                                  <w:bCs w:val="0"/>
                                  <w:color w:val="auto"/>
                                  <w:sz w:val="21"/>
                                  <w:szCs w:val="21"/>
                                  <w:vertAlign w:val="baseline"/>
                                  <w:lang w:val="en-US" w:eastAsia="zh-CN"/>
                                </w:rPr>
                                <w:t>固废：S</w:t>
                              </w:r>
                            </w:p>
                            <w:p w14:paraId="311A2F9E"/>
                          </w:txbxContent>
                        </v:textbox>
                      </v:shape>
                      <v:shape id="ECB019B1-382A-4266-B25C-5B523AA43C14-3" o:spid="_x0000_s1026" o:spt="75" alt="C:/Users/Administrator/AppData/Local/Temp/wps.Wravcswps" type="#_x0000_t75" style="position:absolute;left:15512;top:347580;height:5040;width:12688;" filled="f" o:preferrelative="t" stroked="f" coordsize="21600,21600" o:gfxdata="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RXehq5AAAA2gAA&#10;AA8AAAAAAAAAAQAgAAAAIgAAAGRycy9kb3ducmV2LnhtbFBLAQIUABQAAAAIAIdO4kAzLwWeOwAA&#10;ADkAAAAQAAAAAAAAAAEAIAAAAAgBAABkcnMvc2hhcGV4bWwueG1sUEsFBgAAAAAGAAYAWwEAALID&#10;AAAAAA==&#10;">
                        <v:fill on="f" focussize="0,0"/>
                        <v:stroke on="f"/>
                        <v:imagedata r:id="rId7" o:title=""/>
                        <o:lock v:ext="edit" aspectratio="t"/>
                      </v:shape>
                      <v:shape id="文本框 160" o:spid="_x0000_s1026" o:spt="202" type="#_x0000_t202" style="position:absolute;left:16917;top:348522;height:460;width:829;" filled="f" stroked="f" coordsize="21600,21600" o:gfxdata="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MWuxm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3168B5A7">
                              <w:pPr>
                                <w:rPr>
                                  <w:rFonts w:hint="default" w:eastAsia="宋体"/>
                                  <w:sz w:val="18"/>
                                  <w:szCs w:val="18"/>
                                  <w:lang w:val="en-US" w:eastAsia="zh-CN"/>
                                </w:rPr>
                              </w:pPr>
                              <w:r>
                                <w:rPr>
                                  <w:rFonts w:hint="eastAsia"/>
                                  <w:sz w:val="18"/>
                                  <w:szCs w:val="18"/>
                                  <w:lang w:val="en-US" w:eastAsia="zh-CN"/>
                                </w:rPr>
                                <w:t>N、S</w:t>
                              </w:r>
                            </w:p>
                          </w:txbxContent>
                        </v:textbox>
                      </v:shape>
                      <v:shape id="文本框 161" o:spid="_x0000_s1026" o:spt="202" type="#_x0000_t202" style="position:absolute;left:18183;top:348516;height:460;width:829;" filled="f" stroked="f" coordsize="21600,21600" o:gfxdata="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FoegrgAAADbAAAA&#10;DwAAAAAAAAABACAAAAAiAAAAZHJzL2Rvd25yZXYueG1sUEsBAhQAFAAAAAgAh07iQDMvBZ47AAAA&#10;OQAAABAAAAAAAAAAAQAgAAAABwEAAGRycy9zaGFwZXhtbC54bWxQSwUGAAAAAAYABgBbAQAAsQMA&#10;AAAA&#10;">
                        <v:fill on="f" focussize="0,0"/>
                        <v:stroke on="f"/>
                        <v:imagedata o:title=""/>
                        <o:lock v:ext="edit" aspectratio="f"/>
                        <v:textbox>
                          <w:txbxContent>
                            <w:p w14:paraId="1FC75275">
                              <w:pPr>
                                <w:rPr>
                                  <w:rFonts w:hint="default" w:eastAsia="宋体"/>
                                  <w:sz w:val="18"/>
                                  <w:szCs w:val="18"/>
                                  <w:lang w:val="en-US" w:eastAsia="zh-CN"/>
                                </w:rPr>
                              </w:pPr>
                              <w:r>
                                <w:rPr>
                                  <w:rFonts w:hint="eastAsia"/>
                                  <w:sz w:val="18"/>
                                  <w:szCs w:val="18"/>
                                  <w:lang w:val="en-US" w:eastAsia="zh-CN"/>
                                </w:rPr>
                                <w:t>N、W</w:t>
                              </w:r>
                            </w:p>
                          </w:txbxContent>
                        </v:textbox>
                      </v:shape>
                      <v:shape id="文本框 162" o:spid="_x0000_s1026" o:spt="202" type="#_x0000_t202" style="position:absolute;left:20098;top:348078;height:460;width:576;" filled="f" stroked="f" coordsize="21600,21600" o:gfxdata="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xYrw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83F8224">
                              <w:pPr>
                                <w:rPr>
                                  <w:rFonts w:hint="default" w:eastAsia="宋体"/>
                                  <w:sz w:val="18"/>
                                  <w:szCs w:val="18"/>
                                  <w:lang w:val="en-US" w:eastAsia="zh-CN"/>
                                </w:rPr>
                              </w:pPr>
                              <w:r>
                                <w:rPr>
                                  <w:rFonts w:hint="eastAsia"/>
                                  <w:sz w:val="18"/>
                                  <w:szCs w:val="18"/>
                                  <w:lang w:val="en-US" w:eastAsia="zh-CN"/>
                                </w:rPr>
                                <w:t>W</w:t>
                              </w:r>
                            </w:p>
                          </w:txbxContent>
                        </v:textbox>
                      </v:shape>
                      <v:shape id="文本框 163" o:spid="_x0000_s1026" o:spt="202" type="#_x0000_t202" style="position:absolute;left:21463;top:348042;height:460;width:576;" filled="f" stroked="f" coordsize="21600,21600" o:gfxdata="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okva7gAAADbAAAA&#10;DwAAAAAAAAABACAAAAAiAAAAZHJzL2Rvd25yZXYueG1sUEsBAhQAFAAAAAgAh07iQDMvBZ47AAAA&#10;OQAAABAAAAAAAAAAAQAgAAAABwEAAGRycy9zaGFwZXhtbC54bWxQSwUGAAAAAAYABgBbAQAAsQMA&#10;AAAA&#10;">
                        <v:fill on="f" focussize="0,0"/>
                        <v:stroke on="f"/>
                        <v:imagedata o:title=""/>
                        <o:lock v:ext="edit" aspectratio="f"/>
                        <v:textbox>
                          <w:txbxContent>
                            <w:p w14:paraId="3A31D6C6">
                              <w:pPr>
                                <w:rPr>
                                  <w:rFonts w:hint="default" w:eastAsia="宋体"/>
                                  <w:sz w:val="18"/>
                                  <w:szCs w:val="18"/>
                                  <w:lang w:val="en-US" w:eastAsia="zh-CN"/>
                                </w:rPr>
                              </w:pPr>
                              <w:r>
                                <w:rPr>
                                  <w:rFonts w:hint="eastAsia"/>
                                  <w:sz w:val="18"/>
                                  <w:szCs w:val="18"/>
                                  <w:lang w:val="en-US" w:eastAsia="zh-CN"/>
                                </w:rPr>
                                <w:t>S</w:t>
                              </w:r>
                            </w:p>
                          </w:txbxContent>
                        </v:textbox>
                      </v:shape>
                      <v:shape id="文本框 164" o:spid="_x0000_s1026" o:spt="202" type="#_x0000_t202" style="position:absolute;left:23431;top:349891;height:460;width:576;" filled="f" stroked="f" coordsize="21600,21600" o:gfxdata="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3fTEu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1B67D9A9">
                              <w:pPr>
                                <w:rPr>
                                  <w:rFonts w:hint="default" w:eastAsia="宋体"/>
                                  <w:sz w:val="18"/>
                                  <w:szCs w:val="18"/>
                                  <w:lang w:val="en-US" w:eastAsia="zh-CN"/>
                                </w:rPr>
                              </w:pPr>
                              <w:r>
                                <w:rPr>
                                  <w:rFonts w:hint="eastAsia"/>
                                  <w:sz w:val="18"/>
                                  <w:szCs w:val="18"/>
                                  <w:lang w:val="en-US" w:eastAsia="zh-CN"/>
                                </w:rPr>
                                <w:t>S</w:t>
                              </w:r>
                            </w:p>
                          </w:txbxContent>
                        </v:textbox>
                      </v:shape>
                      <v:shape id="文本框 165" o:spid="_x0000_s1026" o:spt="202" type="#_x0000_t202" style="position:absolute;left:22534;top:350555;height:460;width:576;" filled="f" stroked="f" coordsize="21600,21600" o:gfxdata="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k+nQ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D153FBD">
                              <w:pPr>
                                <w:rPr>
                                  <w:rFonts w:hint="default" w:eastAsia="宋体"/>
                                  <w:sz w:val="18"/>
                                  <w:szCs w:val="18"/>
                                  <w:lang w:val="en-US" w:eastAsia="zh-CN"/>
                                </w:rPr>
                              </w:pPr>
                              <w:r>
                                <w:rPr>
                                  <w:rFonts w:hint="eastAsia"/>
                                  <w:sz w:val="18"/>
                                  <w:szCs w:val="18"/>
                                  <w:lang w:val="en-US" w:eastAsia="zh-CN"/>
                                </w:rPr>
                                <w:t>G</w:t>
                              </w:r>
                            </w:p>
                          </w:txbxContent>
                        </v:textbox>
                      </v:shape>
                      <v:shape id="文本框 166" o:spid="_x0000_s1026" o:spt="202" type="#_x0000_t202" style="position:absolute;left:27183;top:351397;height:356;width:576;" filled="f" stroked="f" coordsize="21600,21600" o:gfxdata="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kF3p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04A5B477">
                              <w:pPr>
                                <w:rPr>
                                  <w:rFonts w:hint="default" w:eastAsia="宋体"/>
                                  <w:sz w:val="18"/>
                                  <w:szCs w:val="18"/>
                                  <w:lang w:val="en-US" w:eastAsia="zh-CN"/>
                                </w:rPr>
                              </w:pPr>
                              <w:r>
                                <w:rPr>
                                  <w:rFonts w:hint="eastAsia" w:eastAsia="宋体"/>
                                  <w:sz w:val="18"/>
                                  <w:szCs w:val="18"/>
                                  <w:lang w:val="en-US" w:eastAsia="zh-CN"/>
                                </w:rPr>
                                <w:t>W</w:t>
                              </w:r>
                            </w:p>
                          </w:txbxContent>
                        </v:textbox>
                      </v:shape>
                      <v:shape id="文本框 167" o:spid="_x0000_s1026" o:spt="202" type="#_x0000_t202" style="position:absolute;left:24172;top:350947;height:460;width:576;" filled="f" stroked="f" coordsize="21600,21600" o:gfxdata="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DdI8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1AABD095">
                              <w:pPr>
                                <w:rPr>
                                  <w:rFonts w:hint="default" w:eastAsia="宋体"/>
                                  <w:sz w:val="18"/>
                                  <w:szCs w:val="18"/>
                                  <w:lang w:val="en-US" w:eastAsia="zh-CN"/>
                                </w:rPr>
                              </w:pPr>
                              <w:r>
                                <w:rPr>
                                  <w:rFonts w:hint="eastAsia"/>
                                  <w:sz w:val="18"/>
                                  <w:szCs w:val="18"/>
                                  <w:lang w:val="en-US" w:eastAsia="zh-CN"/>
                                </w:rPr>
                                <w:t>G</w:t>
                              </w:r>
                            </w:p>
                          </w:txbxContent>
                        </v:textbox>
                      </v:shape>
                      <v:shape id="文本框 168" o:spid="_x0000_s1026" o:spt="202" type="#_x0000_t202" style="position:absolute;left:22852;top:350957;height:460;width:576;" filled="f" stroked="f" coordsize="21600,21600" o:gfxdata="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qO/T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48942ECC">
                              <w:pPr>
                                <w:rPr>
                                  <w:rFonts w:hint="default" w:eastAsia="宋体"/>
                                  <w:sz w:val="18"/>
                                  <w:szCs w:val="18"/>
                                  <w:lang w:val="en-US" w:eastAsia="zh-CN"/>
                                </w:rPr>
                              </w:pPr>
                              <w:r>
                                <w:rPr>
                                  <w:rFonts w:hint="eastAsia"/>
                                  <w:sz w:val="18"/>
                                  <w:szCs w:val="18"/>
                                  <w:lang w:val="en-US" w:eastAsia="zh-CN"/>
                                </w:rPr>
                                <w:t>S</w:t>
                              </w:r>
                            </w:p>
                          </w:txbxContent>
                        </v:textbox>
                      </v:shape>
                      <v:shape id="文本框 169" o:spid="_x0000_s1026" o:spt="202" type="#_x0000_t202" style="position:absolute;left:22811;top:351731;height:460;width:484;" filled="f" stroked="f" coordsize="21600,21600" o:gfxdata="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enGk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4DB983DD">
                              <w:pPr>
                                <w:rPr>
                                  <w:rFonts w:hint="default" w:eastAsia="宋体"/>
                                  <w:sz w:val="18"/>
                                  <w:szCs w:val="18"/>
                                  <w:lang w:val="en-US" w:eastAsia="zh-CN"/>
                                </w:rPr>
                              </w:pPr>
                              <w:r>
                                <w:rPr>
                                  <w:rFonts w:hint="eastAsia" w:eastAsia="宋体"/>
                                  <w:sz w:val="18"/>
                                  <w:szCs w:val="18"/>
                                  <w:lang w:val="en-US" w:eastAsia="zh-CN"/>
                                </w:rPr>
                                <w:t>G</w:t>
                              </w:r>
                            </w:p>
                          </w:txbxContent>
                        </v:textbox>
                      </v:shape>
                      <v:shape id="文本框 170" o:spid="_x0000_s1026" o:spt="202" type="#_x0000_t202" style="position:absolute;left:18631;top:351728;height:460;width:576;" filled="f" stroked="f" coordsize="21600,21600" o:gfxdata="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NtQ/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03A17067">
                              <w:pPr>
                                <w:rPr>
                                  <w:rFonts w:hint="default" w:eastAsia="宋体"/>
                                  <w:sz w:val="18"/>
                                  <w:szCs w:val="18"/>
                                  <w:lang w:val="en-US" w:eastAsia="zh-CN"/>
                                </w:rPr>
                              </w:pPr>
                              <w:r>
                                <w:rPr>
                                  <w:rFonts w:hint="eastAsia"/>
                                  <w:sz w:val="18"/>
                                  <w:szCs w:val="18"/>
                                  <w:lang w:val="en-US" w:eastAsia="zh-CN"/>
                                </w:rPr>
                                <w:t>S</w:t>
                              </w:r>
                            </w:p>
                          </w:txbxContent>
                        </v:textbox>
                      </v:shape>
                      <v:shape id="文本框 171" o:spid="_x0000_s1026" o:spt="202" type="#_x0000_t202" style="position:absolute;left:19973;top:351743;height:460;width:576;" filled="f" stroked="f" coordsize="21600,21600" o:gfxdata="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OpQE2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7C945167">
                              <w:pPr>
                                <w:rPr>
                                  <w:rFonts w:hint="default" w:eastAsia="宋体"/>
                                  <w:sz w:val="18"/>
                                  <w:szCs w:val="18"/>
                                  <w:lang w:val="en-US" w:eastAsia="zh-CN"/>
                                </w:rPr>
                              </w:pPr>
                              <w:r>
                                <w:rPr>
                                  <w:rFonts w:hint="eastAsia"/>
                                  <w:sz w:val="18"/>
                                  <w:szCs w:val="18"/>
                                  <w:lang w:val="en-US" w:eastAsia="zh-CN"/>
                                </w:rPr>
                                <w:t>G</w:t>
                              </w:r>
                            </w:p>
                          </w:txbxContent>
                        </v:textbox>
                      </v:shape>
                      <v:shape id="文本框 172" o:spid="_x0000_s1026" o:spt="202" type="#_x0000_t202" style="position:absolute;left:21445;top:351733;height:460;width:576;" filled="f" stroked="f" coordsize="21600,21600" o:gfxdata="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OXl1r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9A0A8BF">
                              <w:pPr>
                                <w:rPr>
                                  <w:rFonts w:hint="default" w:eastAsia="宋体"/>
                                  <w:sz w:val="18"/>
                                  <w:szCs w:val="18"/>
                                  <w:lang w:val="en-US" w:eastAsia="zh-CN"/>
                                </w:rPr>
                              </w:pPr>
                              <w:r>
                                <w:rPr>
                                  <w:rFonts w:hint="eastAsia"/>
                                  <w:sz w:val="18"/>
                                  <w:szCs w:val="18"/>
                                  <w:lang w:val="en-US" w:eastAsia="zh-CN"/>
                                </w:rPr>
                                <w:t>S</w:t>
                              </w:r>
                            </w:p>
                          </w:txbxContent>
                        </v:textbox>
                      </v:shape>
                      <v:shape id="文本框 173" o:spid="_x0000_s1026" o:spt="202" type="#_x0000_t202" style="position:absolute;left:18107;top:350106;height:460;width:829;" filled="f" stroked="f" coordsize="21600,21600" o:gfxdata="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gG2pa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14:paraId="5628EC63">
                              <w:pPr>
                                <w:rPr>
                                  <w:rFonts w:hint="default" w:eastAsia="宋体"/>
                                  <w:sz w:val="18"/>
                                  <w:szCs w:val="18"/>
                                  <w:lang w:val="en-US" w:eastAsia="zh-CN"/>
                                </w:rPr>
                              </w:pPr>
                              <w:r>
                                <w:rPr>
                                  <w:rFonts w:hint="eastAsia"/>
                                  <w:sz w:val="18"/>
                                  <w:szCs w:val="18"/>
                                  <w:lang w:val="en-US" w:eastAsia="zh-CN"/>
                                </w:rPr>
                                <w:t>N、W</w:t>
                              </w:r>
                            </w:p>
                          </w:txbxContent>
                        </v:textbox>
                      </v:shape>
                      <v:shape id="文本框 174" o:spid="_x0000_s1026" o:spt="202" type="#_x0000_t202" style="position:absolute;left:19213;top:348815;height:579;width:353;" filled="f" stroked="f" coordsize="21600,21600" o:gfxdata="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Sn8N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4C219C3">
                              <w:pPr>
                                <w:keepNext w:val="0"/>
                                <w:keepLines w:val="0"/>
                                <w:pageBreakBefore w:val="0"/>
                                <w:widowControl w:val="0"/>
                                <w:kinsoku/>
                                <w:wordWrap/>
                                <w:overflowPunct/>
                                <w:topLinePunct w:val="0"/>
                                <w:bidi w:val="0"/>
                                <w:adjustRightInd w:val="0"/>
                                <w:snapToGrid w:val="0"/>
                                <w:jc w:val="left"/>
                                <w:textAlignment w:val="auto"/>
                                <w:rPr>
                                  <w:rFonts w:hint="eastAsia" w:eastAsia="宋体"/>
                                  <w:b/>
                                  <w:bCs/>
                                  <w:sz w:val="18"/>
                                  <w:szCs w:val="18"/>
                                  <w:lang w:val="en-US" w:eastAsia="zh-CN"/>
                                </w:rPr>
                              </w:pPr>
                              <w:r>
                                <w:rPr>
                                  <w:rFonts w:hint="eastAsia"/>
                                  <w:b/>
                                  <w:bCs/>
                                  <w:sz w:val="15"/>
                                  <w:szCs w:val="15"/>
                                  <w:lang w:val="en-US" w:eastAsia="zh-CN"/>
                                </w:rPr>
                                <w:t>清洗</w:t>
                              </w:r>
                            </w:p>
                          </w:txbxContent>
                        </v:textbox>
                      </v:shape>
                      <v:rect id="矩形 175" o:spid="_x0000_s1026" o:spt="1" style="position:absolute;left:19296;top:348863;height:439;width:247;" filled="f" stroked="t" coordsize="21600,21600" o:gfxdata="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Nhh0vQAA&#10;ANsAAAAPAAAAAAAAAAEAIAAAACIAAABkcnMvZG93bnJldi54bWxQSwECFAAUAAAACACHTuJAMy8F&#10;njsAAAA5AAAAEAAAAAAAAAABACAAAAAMAQAAZHJzL3NoYXBleG1sLnhtbFBLBQYAAAAABgAGAFsB&#10;AAC2AwAAAAA=&#10;">
                        <v:fill on="f" focussize="0,0"/>
                        <v:stroke color="#000000" joinstyle="miter" endarrow="block"/>
                        <v:imagedata o:title=""/>
                        <o:lock v:ext="edit" aspectratio="f"/>
                      </v:rect>
                      <v:shape id="文本框 176" o:spid="_x0000_s1026" o:spt="202" type="#_x0000_t202" style="position:absolute;left:19198;top:348558;height:460;width:576;" filled="f" stroked="f" coordsize="21600,21600" o:gfxdata="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RE4b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7CCBF23">
                              <w:pPr>
                                <w:rPr>
                                  <w:rFonts w:hint="default" w:eastAsia="宋体"/>
                                  <w:sz w:val="18"/>
                                  <w:szCs w:val="18"/>
                                  <w:lang w:val="en-US" w:eastAsia="zh-CN"/>
                                </w:rPr>
                              </w:pPr>
                              <w:r>
                                <w:rPr>
                                  <w:rFonts w:hint="eastAsia"/>
                                  <w:sz w:val="18"/>
                                  <w:szCs w:val="18"/>
                                  <w:lang w:val="en-US" w:eastAsia="zh-CN"/>
                                </w:rPr>
                                <w:t>W</w:t>
                              </w:r>
                            </w:p>
                          </w:txbxContent>
                        </v:textbox>
                      </v:shape>
                      <v:shape id="文本框 170" o:spid="_x0000_s1026" o:spt="202" type="#_x0000_t202" style="position:absolute;left:22900;top:348035;height:460;width:576;" filled="f" stroked="f" coordsize="21600,21600" o:gfxdata="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PdyV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7592830E">
                              <w:pPr>
                                <w:rPr>
                                  <w:rFonts w:hint="default" w:eastAsia="宋体"/>
                                  <w:sz w:val="18"/>
                                  <w:szCs w:val="18"/>
                                  <w:lang w:val="en-US" w:eastAsia="zh-CN"/>
                                </w:rPr>
                              </w:pPr>
                              <w:r>
                                <w:rPr>
                                  <w:rFonts w:hint="eastAsia"/>
                                  <w:sz w:val="18"/>
                                  <w:szCs w:val="18"/>
                                  <w:lang w:val="en-US" w:eastAsia="zh-CN"/>
                                </w:rPr>
                                <w:t>S</w:t>
                              </w:r>
                            </w:p>
                          </w:txbxContent>
                        </v:textbox>
                      </v:shape>
                      <v:shape id="文本框 170" o:spid="_x0000_s1026" o:spt="202" type="#_x0000_t202" style="position:absolute;left:24267;top:348069;height:460;width:576;" filled="f" stroked="f" coordsize="21600,21600" o:gfxdata="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cXkO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2C4D2D82">
                              <w:pPr>
                                <w:rPr>
                                  <w:rFonts w:hint="default" w:eastAsia="宋体"/>
                                  <w:sz w:val="18"/>
                                  <w:szCs w:val="18"/>
                                  <w:lang w:val="en-US" w:eastAsia="zh-CN"/>
                                </w:rPr>
                              </w:pPr>
                              <w:r>
                                <w:rPr>
                                  <w:rFonts w:hint="eastAsia"/>
                                  <w:sz w:val="18"/>
                                  <w:szCs w:val="18"/>
                                  <w:lang w:val="en-US" w:eastAsia="zh-CN"/>
                                </w:rPr>
                                <w:t>S</w:t>
                              </w:r>
                            </w:p>
                          </w:txbxContent>
                        </v:textbox>
                      </v:shape>
                      <v:shape id="_x0000_s1026" o:spid="_x0000_s1026" o:spt="32" type="#_x0000_t32" style="position:absolute;left:19420;top:349302;flip:y;height:397;width:0;" filled="f" stroked="t" coordsize="21600,21600" o:gfxdata="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rBLCvQAA&#10;ANsAAAAPAAAAAAAAAAEAIAAAACIAAABkcnMvZG93bnJldi54bWxQSwECFAAUAAAACACHTuJAMy8F&#10;njsAAAA5AAAAEAAAAAAAAAABACAAAAAMAQAAZHJzL3NoYXBleG1sLnhtbFBLBQYAAAAABgAGAFsB&#10;AAC2AwAAAAA=&#10;">
                        <v:fill on="f" focussize="0,0"/>
                        <v:stroke color="#000000 [3213]" joinstyle="round" endarrow="open" endarrowwidth="narrow" endarrowlength="short"/>
                        <v:imagedata o:title=""/>
                        <o:lock v:ext="edit" aspectratio="f"/>
                      </v:shape>
                      <v:shape id="_x0000_s1026" o:spid="_x0000_s1026" o:spt="202" type="#_x0000_t202" style="position:absolute;left:19143;top:349618;height:1037;width:367;" filled="f" stroked="f" coordsize="21600,21600" o:gfxdata="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cZ5rsAAADb&#10;AAAADwAAAAAAAAABACAAAAAiAAAAZHJzL2Rvd25yZXYueG1sUEsBAhQAFAAAAAgAh07iQDMvBZ47&#10;AAAAOQAAABAAAAAAAAAAAQAgAAAACgEAAGRycy9zaGFwZXhtbC54bWxQSwUGAAAAAAYABgBbAQAA&#10;tAMAAAAA&#10;">
                        <v:fill on="f" focussize="0,0"/>
                        <v:stroke on="f" weight="0.5pt"/>
                        <v:imagedata o:title=""/>
                        <o:lock v:ext="edit" aspectratio="f"/>
                        <v:textbox>
                          <w:txbxContent>
                            <w:p w14:paraId="4A141C06">
                              <w:pPr>
                                <w:rPr>
                                  <w:rFonts w:hint="default" w:eastAsia="宋体"/>
                                  <w:b/>
                                  <w:bCs/>
                                  <w:sz w:val="15"/>
                                  <w:szCs w:val="15"/>
                                  <w:lang w:val="en-US" w:eastAsia="zh-CN"/>
                                </w:rPr>
                              </w:pPr>
                              <w:r>
                                <w:rPr>
                                  <w:rFonts w:hint="eastAsia"/>
                                  <w:b/>
                                  <w:bCs/>
                                  <w:sz w:val="15"/>
                                  <w:szCs w:val="15"/>
                                  <w:lang w:val="en-US" w:eastAsia="zh-CN"/>
                                </w:rPr>
                                <w:t>自来水</w:t>
                              </w:r>
                            </w:p>
                          </w:txbxContent>
                        </v:textbox>
                      </v:shape>
                      <v:shape id="_x0000_s1026" o:spid="_x0000_s1026" o:spt="32" type="#_x0000_t32" style="position:absolute;left:20341;top:348769;flip:y;height:397;width:0;" filled="f" stroked="t" coordsize="21600,21600" o:gfxdata="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n8jK7sAAADb&#10;AAAADwAAAAAAAAABACAAAAAiAAAAZHJzL2Rvd25yZXYueG1sUEsBAhQAFAAAAAgAh07iQDMvBZ47&#10;AAAAOQAAABAAAAAAAAAAAQAgAAAACgEAAGRycy9zaGFwZXhtbC54bWxQSwUGAAAAAAYABgBbAQAA&#10;tAMAAAAA&#10;">
                        <v:fill on="f" focussize="0,0"/>
                        <v:stroke color="#000000 [3213]" joinstyle="round" endarrow="open" endarrowwidth="narrow" endarrowlength="short"/>
                        <v:imagedata o:title=""/>
                        <o:lock v:ext="edit" aspectratio="f"/>
                      </v:shape>
                      <v:shape id="_x0000_s1026" o:spid="_x0000_s1026" o:spt="32" type="#_x0000_t32" style="position:absolute;left:27216;top:352066;flip:y;height:397;width:0;" filled="f" stroked="t" coordsize="21600,21600" o:gfxdata="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ND+cu5AAAA2wAA&#10;AA8AAAAAAAAAAQAgAAAAIgAAAGRycy9kb3ducmV2LnhtbFBLAQIUABQAAAAIAIdO4kAzLwWeOwAA&#10;ADkAAAAQAAAAAAAAAAEAIAAAAAgBAABkcnMvc2hhcGV4bWwueG1sUEsFBgAAAAAGAAYAWwEAALID&#10;AAAAAA==&#10;">
                        <v:fill on="f" focussize="0,0"/>
                        <v:stroke color="#000000 [3213]" joinstyle="round" endarrow="open" endarrowwidth="narrow" endarrowlength="short"/>
                        <v:imagedata o:title=""/>
                        <o:lock v:ext="edit" aspectratio="f"/>
                      </v:shape>
                      <v:shape id="_x0000_s1026" o:spid="_x0000_s1026" o:spt="202" type="#_x0000_t202" style="position:absolute;left:20027;top:349063;height:392;width:757;" filled="f" stroked="f" coordsize="21600,21600" o:gfxdata="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9vDBr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3673EF64">
                              <w:pPr>
                                <w:rPr>
                                  <w:rFonts w:hint="default" w:eastAsia="宋体"/>
                                  <w:b/>
                                  <w:bCs/>
                                  <w:sz w:val="15"/>
                                  <w:szCs w:val="15"/>
                                  <w:lang w:val="en-US" w:eastAsia="zh-CN"/>
                                </w:rPr>
                              </w:pPr>
                              <w:r>
                                <w:rPr>
                                  <w:rFonts w:hint="eastAsia"/>
                                  <w:b/>
                                  <w:bCs/>
                                  <w:sz w:val="15"/>
                                  <w:szCs w:val="15"/>
                                  <w:lang w:val="en-US" w:eastAsia="zh-CN"/>
                                </w:rPr>
                                <w:t>纯水</w:t>
                              </w:r>
                            </w:p>
                          </w:txbxContent>
                        </v:textbox>
                      </v:shape>
                      <v:shape id="_x0000_s1026" o:spid="_x0000_s1026" o:spt="202" type="#_x0000_t202" style="position:absolute;left:26890;top:352431;height:392;width:757;" filled="f" stroked="f" coordsize="21600,21600" o:gfxdata="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wldc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8646207">
                              <w:pPr>
                                <w:rPr>
                                  <w:rFonts w:hint="default" w:eastAsia="宋体"/>
                                  <w:b/>
                                  <w:bCs/>
                                  <w:sz w:val="15"/>
                                  <w:szCs w:val="15"/>
                                  <w:lang w:val="en-US" w:eastAsia="zh-CN"/>
                                </w:rPr>
                              </w:pPr>
                              <w:r>
                                <w:rPr>
                                  <w:rFonts w:hint="eastAsia"/>
                                  <w:b/>
                                  <w:bCs/>
                                  <w:sz w:val="15"/>
                                  <w:szCs w:val="15"/>
                                  <w:lang w:val="en-US" w:eastAsia="zh-CN"/>
                                </w:rPr>
                                <w:t>纯水</w:t>
                              </w:r>
                            </w:p>
                          </w:txbxContent>
                        </v:textbox>
                      </v:shape>
                      <v:shape id="_x0000_s1026" o:spid="_x0000_s1026" o:spt="32" type="#_x0000_t32" style="position:absolute;left:23025;top:352410;flip:y;height:397;width:0;" filled="f" stroked="t" coordsize="21600,21600" o:gfxdata="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ORZ7y8AAAA&#10;2wAAAA8AAAAAAAAAAQAgAAAAIgAAAGRycy9kb3ducmV2LnhtbFBLAQIUABQAAAAIAIdO4kAzLwWe&#10;OwAAADkAAAAQAAAAAAAAAAEAIAAAAAsBAABkcnMvc2hhcGV4bWwueG1sUEsFBgAAAAAGAAYAWwEA&#10;ALUDAAAAAA==&#10;">
                        <v:fill on="f" focussize="0,0"/>
                        <v:stroke color="#000000 [3213]" joinstyle="round" endarrow="open" endarrowwidth="narrow" endarrowlength="short"/>
                        <v:imagedata o:title=""/>
                        <o:lock v:ext="edit" aspectratio="f"/>
                      </v:shape>
                      <v:shape id="_x0000_s1026" o:spid="_x0000_s1026" o:spt="202" type="#_x0000_t202" style="position:absolute;left:22442;top:352747;height:677;width:1208;" filled="f" stroked="f" coordsize="21600,21600" o:gfxdata="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rGCe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593F750A">
                              <w:pPr>
                                <w:jc w:val="center"/>
                                <w:rPr>
                                  <w:rFonts w:hint="default" w:ascii="Times New Roman" w:hAnsi="Times New Roman" w:eastAsia="宋体" w:cs="Times New Roman"/>
                                  <w:b/>
                                  <w:bCs/>
                                  <w:i w:val="0"/>
                                  <w:iCs w:val="0"/>
                                  <w:color w:val="000000"/>
                                  <w:kern w:val="0"/>
                                  <w:sz w:val="15"/>
                                  <w:szCs w:val="15"/>
                                  <w:u w:val="none"/>
                                  <w:lang w:val="en-US" w:eastAsia="zh-CN" w:bidi="ar"/>
                                </w:rPr>
                              </w:pPr>
                              <w:r>
                                <w:rPr>
                                  <w:rFonts w:hint="default" w:ascii="Times New Roman" w:hAnsi="Times New Roman" w:eastAsia="宋体" w:cs="Times New Roman"/>
                                  <w:b/>
                                  <w:bCs/>
                                  <w:i w:val="0"/>
                                  <w:iCs w:val="0"/>
                                  <w:color w:val="000000"/>
                                  <w:kern w:val="0"/>
                                  <w:sz w:val="15"/>
                                  <w:szCs w:val="15"/>
                                  <w:u w:val="none"/>
                                  <w:lang w:val="en-US" w:eastAsia="zh-CN" w:bidi="ar"/>
                                </w:rPr>
                                <w:t>丁基胶</w:t>
                              </w:r>
                            </w:p>
                            <w:p w14:paraId="2D2F264E">
                              <w:pPr>
                                <w:jc w:val="center"/>
                                <w:rPr>
                                  <w:rFonts w:hint="default"/>
                                  <w:b/>
                                  <w:bCs/>
                                  <w:sz w:val="15"/>
                                  <w:szCs w:val="15"/>
                                  <w:lang w:val="en-US" w:eastAsia="zh-CN"/>
                                </w:rPr>
                              </w:pPr>
                              <w:r>
                                <w:rPr>
                                  <w:rFonts w:hint="default" w:ascii="Times New Roman" w:hAnsi="Times New Roman" w:eastAsia="宋体" w:cs="Times New Roman"/>
                                  <w:b/>
                                  <w:bCs/>
                                  <w:i w:val="0"/>
                                  <w:iCs w:val="0"/>
                                  <w:color w:val="000000"/>
                                  <w:kern w:val="0"/>
                                  <w:sz w:val="15"/>
                                  <w:szCs w:val="15"/>
                                  <w:u w:val="none"/>
                                  <w:lang w:val="en-US" w:eastAsia="zh-CN" w:bidi="ar"/>
                                </w:rPr>
                                <w:t>硅酮密封胶</w:t>
                              </w:r>
                            </w:p>
                          </w:txbxContent>
                        </v:textbox>
                      </v:shape>
                      <v:shape id="_x0000_s1026" o:spid="_x0000_s1026" o:spt="32" type="#_x0000_t32" style="position:absolute;left:25813;top:352438;flip:y;height:286;width:8;" filled="f" stroked="t" coordsize="21600,21600" o:gfxdata="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s8C3LsAAADa&#10;AAAADwAAAAAAAAABACAAAAAiAAAAZHJzL2Rvd25yZXYueG1sUEsBAhQAFAAAAAgAh07iQDMvBZ47&#10;AAAAOQAAABAAAAAAAAAAAQAgAAAACgEAAGRycy9zaGFwZXhtbC54bWxQSwUGAAAAAAYABgBbAQAA&#10;tAMAAAAA&#10;">
                        <v:fill on="f" focussize="0,0"/>
                        <v:stroke color="#000000 [3213]" joinstyle="round" endarrow="open" endarrowwidth="narrow" endarrowlength="short"/>
                        <v:imagedata o:title=""/>
                        <o:lock v:ext="edit" aspectratio="f"/>
                      </v:shape>
                      <v:shape id="_x0000_s1026" o:spid="_x0000_s1026" o:spt="202" type="#_x0000_t202" style="position:absolute;left:25032;top:352747;height:731;width:1697;" filled="f" stroked="f" coordsize="21600,21600" o:gfxdata="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SSIaCtwAAANoAAAAP&#10;AAAAAAAAAAEAIAAAACIAAABkcnMvZG93bnJldi54bWxQSwECFAAUAAAACACHTuJAMy8FnjsAAAA5&#10;AAAAEAAAAAAAAAABACAAAAAGAQAAZHJzL3NoYXBleG1sLnhtbFBLBQYAAAAABgAGAFsBAACwAwAA&#10;AAA=&#10;">
                        <v:fill on="f" focussize="0,0"/>
                        <v:stroke on="f" weight="0.5pt"/>
                        <v:imagedata o:title=""/>
                        <o:lock v:ext="edit" aspectratio="f"/>
                        <v:textbox>
                          <w:txbxContent>
                            <w:p w14:paraId="4E1FAFAA">
                              <w:pPr>
                                <w:jc w:val="center"/>
                                <w:rPr>
                                  <w:rFonts w:hint="default" w:eastAsia="宋体"/>
                                  <w:b/>
                                  <w:bCs/>
                                  <w:sz w:val="15"/>
                                  <w:szCs w:val="15"/>
                                  <w:lang w:val="en-US" w:eastAsia="zh-CN"/>
                                </w:rPr>
                              </w:pPr>
                              <w:r>
                                <w:rPr>
                                  <w:rFonts w:hint="eastAsia"/>
                                  <w:b/>
                                  <w:bCs/>
                                  <w:sz w:val="15"/>
                                  <w:szCs w:val="15"/>
                                  <w:lang w:val="en-US" w:eastAsia="zh-CN"/>
                                </w:rPr>
                                <w:t>填充分子筛、铝条切割，加铝框进行合片前的准备</w:t>
                              </w:r>
                            </w:p>
                          </w:txbxContent>
                        </v:textbox>
                      </v:shape>
                      <v:shape id="_x0000_s1026" o:spid="_x0000_s1026" o:spt="32" type="#_x0000_t32" style="position:absolute;left:26765;top:347991;height:16;width:366;" filled="f" stroked="t" coordsize="21600,21600" o:gfxdata="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eeHhr4A&#10;AADbAAAADwAAAAAAAAABACAAAAAiAAAAZHJzL2Rvd25yZXYueG1sUEsBAhQAFAAAAAgAh07iQDMv&#10;BZ47AAAAOQAAABAAAAAAAAAAAQAgAAAADQEAAGRycy9zaGFwZXhtbC54bWxQSwUGAAAAAAYABgBb&#10;AQAAtwMAAAAA&#10;">
                        <v:fill on="f" focussize="0,0"/>
                        <v:stroke color="#000000 [3213]" joinstyle="round" endarrow="open" endarrowwidth="narrow" endarrowlength="short"/>
                        <v:imagedata o:title=""/>
                        <o:lock v:ext="edit" aspectratio="f"/>
                      </v:shape>
                      <v:shape id="_x0000_s1026" o:spid="_x0000_s1026" o:spt="202" type="#_x0000_t202" style="position:absolute;left:26971;top:347790;height:360;width:1109;" filled="f" stroked="f" coordsize="21600,21600" o:gfxdata="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Zf5+/&#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2169F81F">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镀膜玻璃</w:t>
                              </w:r>
                            </w:p>
                          </w:txbxContent>
                        </v:textbox>
                      </v:shape>
                      <v:shape id="_x0000_s1026" o:spid="_x0000_s1026" o:spt="202" type="#_x0000_t202" style="position:absolute;left:15578;top:352780;height:360;width:1109;" filled="f" stroked="f" coordsize="21600,21600" o:gfxdata="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4vh6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4B6E63DA">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中空玻璃</w:t>
                              </w:r>
                            </w:p>
                          </w:txbxContent>
                        </v:textbox>
                      </v:shape>
                      <v:shape id="_x0000_s1026" o:spid="_x0000_s1026" o:spt="202" type="#_x0000_t202" style="position:absolute;left:18618;top:351287;height:360;width:1109;" filled="f" stroked="f" coordsize="21600,21600" o:gfxdata="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zHRHO/&#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5399BDB">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夹胶玻璃</w:t>
                              </w:r>
                            </w:p>
                          </w:txbxContent>
                        </v:textbox>
                      </v:shape>
                      <v:shape id="_x0000_s1026" o:spid="_x0000_s1026" o:spt="202" type="#_x0000_t202" style="position:absolute;left:25204;top:350677;height:344;width:1508;" filled="f" stroked="f" coordsize="21600,21600" o:gfxdata="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1Y0AG5AAAA2wAA&#10;AA8AAAAAAAAAAQAgAAAAIgAAAGRycy9kb3ducmV2LnhtbFBLAQIUABQAAAAIAIdO4kAzLwWeOwAA&#10;ADkAAAAQAAAAAAAAAAEAIAAAAAgBAABkcnMvc2hhcGV4bWwueG1sUEsFBgAAAAAGAAYAWwEAALID&#10;AAAAAA==&#10;">
                        <v:fill on="f" focussize="0,0"/>
                        <v:stroke on="f" weight="0.5pt"/>
                        <v:imagedata o:title=""/>
                        <o:lock v:ext="edit" aspectratio="f"/>
                        <v:textbox>
                          <w:txbxContent>
                            <w:p w14:paraId="46C46656">
                              <w:pPr>
                                <w:jc w:val="center"/>
                                <w:rPr>
                                  <w:rFonts w:hint="default"/>
                                  <w:b/>
                                  <w:bCs/>
                                  <w:sz w:val="15"/>
                                  <w:szCs w:val="15"/>
                                  <w:lang w:val="en-US" w:eastAsia="zh-CN"/>
                                </w:rPr>
                              </w:pPr>
                              <w:r>
                                <w:rPr>
                                  <w:rFonts w:hint="eastAsia" w:cs="Times New Roman"/>
                                  <w:b/>
                                  <w:bCs/>
                                  <w:i w:val="0"/>
                                  <w:iCs w:val="0"/>
                                  <w:color w:val="000000"/>
                                  <w:kern w:val="0"/>
                                  <w:sz w:val="15"/>
                                  <w:szCs w:val="15"/>
                                  <w:u w:val="none"/>
                                  <w:lang w:val="en-US" w:eastAsia="zh-CN" w:bidi="ar"/>
                                </w:rPr>
                                <w:t>彩色成像钢化玻璃</w:t>
                              </w:r>
                            </w:p>
                          </w:txbxContent>
                        </v:textbox>
                      </v:shape>
                      <v:shape id="_x0000_s1026" o:spid="_x0000_s1026" o:spt="32" type="#_x0000_t32" style="position:absolute;left:25989;top:350514;height:294;width:10;" filled="f" stroked="t" coordsize="21600,21600" o:gfxdata="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A+wbL4A&#10;AADbAAAADwAAAAAAAAABACAAAAAiAAAAZHJzL2Rvd25yZXYueG1sUEsBAhQAFAAAAAgAh07iQDMv&#10;BZ47AAAAOQAAABAAAAAAAAAAAQAgAAAADQEAAGRycy9zaGFwZXhtbC54bWxQSwUGAAAAAAYABgBb&#10;AQAAtwMAAAAA&#10;">
                        <v:fill on="f" focussize="0,0"/>
                        <v:stroke color="#000000 [3213]" joinstyle="round" endarrow="open" endarrowwidth="narrow" endarrowlength="short"/>
                        <v:imagedata o:title=""/>
                        <o:lock v:ext="edit" aspectratio="f"/>
                      </v:shape>
                      <v:shape id="_x0000_s1026" o:spid="_x0000_s1026" o:spt="32" type="#_x0000_t32" style="position:absolute;left:19538;top:351458;flip:x;height:6;width:360;" filled="f" stroked="t" coordsize="21600,21600" o:gfxdata="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nSPVjLgAAADbAAAA&#10;DwAAAAAAAAABACAAAAAiAAAAZHJzL2Rvd25yZXYueG1sUEsBAhQAFAAAAAgAh07iQDMvBZ47AAAA&#10;OQAAABAAAAAAAAAAAQAgAAAABwEAAGRycy9zaGFwZXhtbC54bWxQSwUGAAAAAAYABgBbAQAAsQMA&#10;AAAA&#10;">
                        <v:fill on="f" focussize="0,0"/>
                        <v:stroke color="#000000 [3213]" joinstyle="round" endarrow="open" endarrowwidth="narrow" endarrowlength="short"/>
                        <v:imagedata o:title=""/>
                        <o:lock v:ext="edit" aspectratio="f"/>
                      </v:shape>
                      <v:shape id="_x0000_s1026" o:spid="_x0000_s1026" o:spt="32" type="#_x0000_t32" style="position:absolute;left:16081;top:352432;flip:x;height:359;width:7;" filled="f" stroked="t" coordsize="21600,21600" o:gfxdata="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hjTj7sAAADb&#10;AAAADwAAAAAAAAABACAAAAAiAAAAZHJzL2Rvd25yZXYueG1sUEsBAhQAFAAAAAgAh07iQDMvBZ47&#10;AAAAOQAAABAAAAAAAAAAAQAgAAAACgEAAGRycy9zaGFwZXhtbC54bWxQSwUGAAAAAAYABgBbAQAA&#10;tAMAAAAA&#10;">
                        <v:fill on="f" focussize="0,0"/>
                        <v:stroke color="#000000 [3213]" joinstyle="round" endarrow="open" endarrowwidth="narrow" endarrowlength="short"/>
                        <v:imagedata o:title=""/>
                        <o:lock v:ext="edit" aspectratio="f"/>
                      </v:shape>
                    </v:group>
                  </w:pict>
                </mc:Fallback>
              </mc:AlternateContent>
            </w:r>
          </w:p>
          <w:p w14:paraId="507CEF16">
            <w:pPr>
              <w:pStyle w:val="96"/>
              <w:spacing w:line="240" w:lineRule="auto"/>
              <w:jc w:val="center"/>
              <w:rPr>
                <w:rFonts w:hint="eastAsia"/>
                <w:b w:val="0"/>
                <w:bCs w:val="0"/>
                <w:color w:val="auto"/>
                <w:vertAlign w:val="baseline"/>
                <w:lang w:val="en-US" w:eastAsia="zh-CN"/>
              </w:rPr>
            </w:pPr>
          </w:p>
          <w:p w14:paraId="7B472FE1">
            <w:pPr>
              <w:pStyle w:val="96"/>
              <w:spacing w:line="240" w:lineRule="auto"/>
              <w:jc w:val="center"/>
              <w:rPr>
                <w:rFonts w:hint="eastAsia"/>
                <w:b w:val="0"/>
                <w:bCs w:val="0"/>
                <w:color w:val="auto"/>
                <w:vertAlign w:val="baseline"/>
                <w:lang w:val="en-US" w:eastAsia="zh-CN"/>
              </w:rPr>
            </w:pPr>
          </w:p>
          <w:p w14:paraId="08C8DAA4">
            <w:pPr>
              <w:pStyle w:val="96"/>
              <w:spacing w:line="240" w:lineRule="auto"/>
              <w:jc w:val="center"/>
              <w:rPr>
                <w:rFonts w:hint="eastAsia"/>
                <w:b w:val="0"/>
                <w:bCs w:val="0"/>
                <w:color w:val="auto"/>
                <w:vertAlign w:val="baseline"/>
                <w:lang w:val="en-US" w:eastAsia="zh-CN"/>
              </w:rPr>
            </w:pPr>
          </w:p>
          <w:p w14:paraId="7B95C09D">
            <w:pPr>
              <w:pStyle w:val="96"/>
              <w:spacing w:line="240" w:lineRule="auto"/>
              <w:jc w:val="center"/>
              <w:rPr>
                <w:rFonts w:hint="eastAsia"/>
                <w:b w:val="0"/>
                <w:bCs w:val="0"/>
                <w:color w:val="auto"/>
                <w:vertAlign w:val="baseline"/>
                <w:lang w:val="en-US" w:eastAsia="zh-CN"/>
              </w:rPr>
            </w:pPr>
          </w:p>
          <w:p w14:paraId="38D670E4">
            <w:pPr>
              <w:pStyle w:val="96"/>
              <w:spacing w:line="240" w:lineRule="auto"/>
              <w:jc w:val="center"/>
              <w:rPr>
                <w:rFonts w:hint="eastAsia"/>
                <w:b w:val="0"/>
                <w:bCs w:val="0"/>
                <w:color w:val="auto"/>
                <w:vertAlign w:val="baseline"/>
                <w:lang w:val="en-US" w:eastAsia="zh-CN"/>
              </w:rPr>
            </w:pPr>
          </w:p>
          <w:p w14:paraId="63CA67BF">
            <w:pPr>
              <w:pStyle w:val="96"/>
              <w:spacing w:line="240" w:lineRule="auto"/>
              <w:jc w:val="center"/>
              <w:rPr>
                <w:rFonts w:hint="eastAsia"/>
                <w:b w:val="0"/>
                <w:bCs w:val="0"/>
                <w:color w:val="auto"/>
                <w:vertAlign w:val="baseline"/>
                <w:lang w:val="en-US" w:eastAsia="zh-CN"/>
              </w:rPr>
            </w:pPr>
          </w:p>
          <w:p w14:paraId="6A71650C">
            <w:pPr>
              <w:pStyle w:val="96"/>
              <w:spacing w:line="240" w:lineRule="auto"/>
              <w:jc w:val="center"/>
              <w:rPr>
                <w:rFonts w:hint="eastAsia"/>
                <w:b w:val="0"/>
                <w:bCs w:val="0"/>
                <w:color w:val="auto"/>
                <w:vertAlign w:val="baseline"/>
                <w:lang w:val="en-US" w:eastAsia="zh-CN"/>
              </w:rPr>
            </w:pPr>
          </w:p>
          <w:p w14:paraId="39AED83A">
            <w:pPr>
              <w:pStyle w:val="96"/>
              <w:spacing w:line="240" w:lineRule="auto"/>
              <w:jc w:val="center"/>
              <w:rPr>
                <w:rFonts w:hint="eastAsia"/>
                <w:b w:val="0"/>
                <w:bCs w:val="0"/>
                <w:color w:val="auto"/>
                <w:vertAlign w:val="baseline"/>
                <w:lang w:val="en-US" w:eastAsia="zh-CN"/>
              </w:rPr>
            </w:pPr>
          </w:p>
          <w:p w14:paraId="5957E5D8">
            <w:pPr>
              <w:pStyle w:val="96"/>
              <w:spacing w:line="240" w:lineRule="auto"/>
              <w:jc w:val="center"/>
              <w:rPr>
                <w:rFonts w:hint="eastAsia"/>
                <w:b w:val="0"/>
                <w:bCs w:val="0"/>
                <w:color w:val="auto"/>
                <w:vertAlign w:val="baseline"/>
                <w:lang w:val="en-US" w:eastAsia="zh-CN"/>
              </w:rPr>
            </w:pPr>
          </w:p>
          <w:p w14:paraId="4EAAA75B">
            <w:pPr>
              <w:pStyle w:val="96"/>
              <w:spacing w:line="240" w:lineRule="auto"/>
              <w:jc w:val="center"/>
              <w:rPr>
                <w:rFonts w:hint="eastAsia"/>
                <w:b w:val="0"/>
                <w:bCs w:val="0"/>
                <w:color w:val="auto"/>
                <w:vertAlign w:val="baseline"/>
                <w:lang w:val="en-US" w:eastAsia="zh-CN"/>
              </w:rPr>
            </w:pPr>
          </w:p>
          <w:p w14:paraId="7F1CEFCB">
            <w:pPr>
              <w:pStyle w:val="96"/>
              <w:spacing w:line="240" w:lineRule="auto"/>
              <w:jc w:val="center"/>
              <w:rPr>
                <w:rFonts w:hint="eastAsia"/>
                <w:b w:val="0"/>
                <w:bCs w:val="0"/>
                <w:color w:val="auto"/>
                <w:vertAlign w:val="baseline"/>
                <w:lang w:val="en-US" w:eastAsia="zh-CN"/>
              </w:rPr>
            </w:pPr>
          </w:p>
          <w:p w14:paraId="26BB337D">
            <w:pPr>
              <w:pStyle w:val="96"/>
              <w:spacing w:line="240" w:lineRule="auto"/>
              <w:jc w:val="center"/>
              <w:rPr>
                <w:rFonts w:hint="eastAsia"/>
                <w:b w:val="0"/>
                <w:bCs w:val="0"/>
                <w:color w:val="auto"/>
                <w:vertAlign w:val="baseline"/>
                <w:lang w:val="en-US" w:eastAsia="zh-CN"/>
              </w:rPr>
            </w:pPr>
          </w:p>
          <w:p w14:paraId="5E85B49C">
            <w:pPr>
              <w:pStyle w:val="96"/>
              <w:spacing w:line="240" w:lineRule="auto"/>
              <w:jc w:val="center"/>
              <w:rPr>
                <w:rFonts w:hint="eastAsia"/>
                <w:b w:val="0"/>
                <w:bCs w:val="0"/>
                <w:color w:val="auto"/>
                <w:vertAlign w:val="baseline"/>
                <w:lang w:val="en-US" w:eastAsia="zh-CN"/>
              </w:rPr>
            </w:pPr>
          </w:p>
          <w:p w14:paraId="57851173">
            <w:pPr>
              <w:pStyle w:val="96"/>
              <w:spacing w:line="240" w:lineRule="auto"/>
              <w:jc w:val="center"/>
              <w:rPr>
                <w:rFonts w:hint="eastAsia"/>
                <w:b w:val="0"/>
                <w:bCs w:val="0"/>
                <w:color w:val="auto"/>
                <w:vertAlign w:val="baseline"/>
                <w:lang w:val="en-US" w:eastAsia="zh-CN"/>
              </w:rPr>
            </w:pPr>
          </w:p>
          <w:p w14:paraId="0FD75BEF">
            <w:pPr>
              <w:pStyle w:val="96"/>
              <w:spacing w:line="240" w:lineRule="auto"/>
              <w:jc w:val="center"/>
              <w:rPr>
                <w:rFonts w:hint="eastAsia"/>
                <w:b w:val="0"/>
                <w:bCs w:val="0"/>
                <w:color w:val="auto"/>
                <w:vertAlign w:val="baseline"/>
                <w:lang w:val="en-US" w:eastAsia="zh-CN"/>
              </w:rPr>
            </w:pPr>
          </w:p>
          <w:p w14:paraId="2CB4384C">
            <w:pPr>
              <w:pStyle w:val="96"/>
              <w:spacing w:line="240" w:lineRule="auto"/>
              <w:jc w:val="center"/>
              <w:rPr>
                <w:rFonts w:hint="eastAsia"/>
                <w:b w:val="0"/>
                <w:bCs w:val="0"/>
                <w:color w:val="auto"/>
                <w:vertAlign w:val="baseline"/>
                <w:lang w:val="en-US" w:eastAsia="zh-CN"/>
              </w:rPr>
            </w:pPr>
          </w:p>
          <w:p w14:paraId="7B8E2612">
            <w:pPr>
              <w:pStyle w:val="96"/>
              <w:spacing w:line="240" w:lineRule="auto"/>
              <w:jc w:val="center"/>
              <w:rPr>
                <w:rFonts w:hint="eastAsia"/>
                <w:b w:val="0"/>
                <w:bCs w:val="0"/>
                <w:color w:val="auto"/>
                <w:vertAlign w:val="baseline"/>
                <w:lang w:val="en-US" w:eastAsia="zh-CN"/>
              </w:rPr>
            </w:pPr>
          </w:p>
          <w:p w14:paraId="6C7FCCDA">
            <w:pPr>
              <w:pStyle w:val="96"/>
              <w:spacing w:line="240" w:lineRule="auto"/>
              <w:jc w:val="center"/>
              <w:rPr>
                <w:rFonts w:hint="eastAsia"/>
                <w:b w:val="0"/>
                <w:bCs w:val="0"/>
                <w:color w:val="auto"/>
                <w:vertAlign w:val="baseline"/>
                <w:lang w:val="en-US" w:eastAsia="zh-CN"/>
              </w:rPr>
            </w:pPr>
          </w:p>
          <w:p w14:paraId="17AD9AA9">
            <w:pPr>
              <w:pStyle w:val="96"/>
              <w:spacing w:line="240" w:lineRule="auto"/>
              <w:jc w:val="center"/>
              <w:rPr>
                <w:rFonts w:hint="eastAsia"/>
                <w:b w:val="0"/>
                <w:bCs w:val="0"/>
                <w:color w:val="auto"/>
                <w:vertAlign w:val="baseline"/>
                <w:lang w:val="en-US" w:eastAsia="zh-CN"/>
              </w:rPr>
            </w:pPr>
          </w:p>
          <w:p w14:paraId="01250F2C">
            <w:pPr>
              <w:pStyle w:val="96"/>
              <w:spacing w:line="240" w:lineRule="auto"/>
              <w:jc w:val="center"/>
              <w:rPr>
                <w:rFonts w:hint="eastAsia"/>
                <w:b w:val="0"/>
                <w:bCs w:val="0"/>
                <w:color w:val="auto"/>
                <w:vertAlign w:val="baseline"/>
                <w:lang w:val="en-US" w:eastAsia="zh-CN"/>
              </w:rPr>
            </w:pPr>
          </w:p>
          <w:p w14:paraId="04FC2A27">
            <w:pPr>
              <w:pStyle w:val="96"/>
              <w:spacing w:line="240" w:lineRule="auto"/>
              <w:jc w:val="center"/>
              <w:rPr>
                <w:rFonts w:hint="eastAsia"/>
                <w:b w:val="0"/>
                <w:bCs w:val="0"/>
                <w:color w:val="auto"/>
                <w:vertAlign w:val="baseline"/>
                <w:lang w:val="en-US" w:eastAsia="zh-CN"/>
              </w:rPr>
            </w:pPr>
          </w:p>
          <w:p w14:paraId="4BBC7C7F">
            <w:pPr>
              <w:pStyle w:val="96"/>
              <w:spacing w:line="240" w:lineRule="auto"/>
              <w:jc w:val="center"/>
              <w:rPr>
                <w:rFonts w:hint="eastAsia"/>
                <w:b w:val="0"/>
                <w:bCs w:val="0"/>
                <w:color w:val="auto"/>
                <w:vertAlign w:val="baseline"/>
                <w:lang w:val="en-US" w:eastAsia="zh-CN"/>
              </w:rPr>
            </w:pPr>
          </w:p>
          <w:p w14:paraId="4E3A0DE8">
            <w:pPr>
              <w:pStyle w:val="96"/>
              <w:spacing w:line="240" w:lineRule="auto"/>
              <w:jc w:val="center"/>
              <w:rPr>
                <w:rFonts w:hint="eastAsia"/>
                <w:b w:val="0"/>
                <w:bCs w:val="0"/>
                <w:color w:val="auto"/>
                <w:vertAlign w:val="baseline"/>
                <w:lang w:val="en-US" w:eastAsia="zh-CN"/>
              </w:rPr>
            </w:pPr>
          </w:p>
          <w:p w14:paraId="26254C0C">
            <w:pPr>
              <w:pStyle w:val="96"/>
              <w:spacing w:line="240" w:lineRule="auto"/>
              <w:jc w:val="center"/>
              <w:rPr>
                <w:rFonts w:hint="default"/>
                <w:b w:val="0"/>
                <w:bCs w:val="0"/>
                <w:color w:val="auto"/>
                <w:vertAlign w:val="baseline"/>
                <w:lang w:val="en-US"/>
              </w:rPr>
            </w:pPr>
            <w:r>
              <w:rPr>
                <w:rFonts w:hint="eastAsia"/>
                <w:b/>
                <w:bCs/>
                <w:color w:val="auto"/>
                <w:vertAlign w:val="baseline"/>
                <w:lang w:val="en-US" w:eastAsia="zh-CN"/>
              </w:rPr>
              <w:t>图2      本项目生产工艺及产污环节图</w:t>
            </w:r>
          </w:p>
        </w:tc>
      </w:tr>
    </w:tbl>
    <w:p w14:paraId="129349C1">
      <w:pPr>
        <w:pStyle w:val="96"/>
        <w:spacing w:line="240" w:lineRule="auto"/>
        <w:ind w:firstLine="0" w:firstLineChars="0"/>
        <w:jc w:val="center"/>
        <w:rPr>
          <w:b w:val="0"/>
          <w:bCs w:val="0"/>
          <w:color w:val="auto"/>
        </w:rPr>
        <w:sectPr>
          <w:pgSz w:w="16838" w:h="11906" w:orient="landscape"/>
          <w:pgMar w:top="1531" w:right="1701" w:bottom="1531" w:left="1701" w:header="851" w:footer="851" w:gutter="0"/>
          <w:pgBorders>
            <w:top w:val="none" w:sz="0" w:space="0"/>
            <w:left w:val="none" w:sz="0" w:space="0"/>
            <w:bottom w:val="none" w:sz="0" w:space="0"/>
            <w:right w:val="none" w:sz="0" w:space="0"/>
          </w:pgBorders>
          <w:cols w:space="720" w:num="1"/>
          <w:docGrid w:linePitch="312" w:charSpace="0"/>
        </w:sectPr>
      </w:pPr>
    </w:p>
    <w:tbl>
      <w:tblPr>
        <w:tblStyle w:val="3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06"/>
        <w:gridCol w:w="8454"/>
      </w:tblGrid>
      <w:tr w14:paraId="341D5F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094" w:hRule="atLeast"/>
          <w:jc w:val="center"/>
        </w:trPr>
        <w:tc>
          <w:tcPr>
            <w:tcW w:w="606" w:type="dxa"/>
            <w:noWrap w:val="0"/>
            <w:vAlign w:val="center"/>
          </w:tcPr>
          <w:p w14:paraId="5DFEE1C4">
            <w:pPr>
              <w:pStyle w:val="96"/>
              <w:spacing w:line="240" w:lineRule="auto"/>
              <w:ind w:firstLine="0" w:firstLineChars="0"/>
              <w:jc w:val="center"/>
              <w:rPr>
                <w:b w:val="0"/>
                <w:bCs w:val="0"/>
                <w:color w:val="FF0000"/>
              </w:rPr>
            </w:pPr>
            <w:r>
              <w:rPr>
                <w:b w:val="0"/>
                <w:bCs w:val="0"/>
                <w:color w:val="auto"/>
              </w:rPr>
              <w:t>工艺流程和产排污环节</w:t>
            </w:r>
          </w:p>
        </w:tc>
        <w:tc>
          <w:tcPr>
            <w:tcW w:w="8454" w:type="dxa"/>
            <w:noWrap w:val="0"/>
            <w:vAlign w:val="top"/>
          </w:tcPr>
          <w:p w14:paraId="5C8894AA">
            <w:pPr>
              <w:widowControl w:val="0"/>
              <w:numPr>
                <w:ilvl w:val="0"/>
                <w:numId w:val="7"/>
              </w:numPr>
              <w:spacing w:line="360" w:lineRule="auto"/>
              <w:ind w:firstLine="480" w:firstLineChars="200"/>
              <w:jc w:val="both"/>
              <w:rPr>
                <w:rFonts w:hint="eastAsia"/>
                <w:sz w:val="24"/>
                <w:szCs w:val="24"/>
                <w:lang w:val="en-US" w:eastAsia="zh-CN"/>
              </w:rPr>
            </w:pPr>
            <w:r>
              <w:rPr>
                <w:rFonts w:hint="eastAsia"/>
                <w:sz w:val="24"/>
                <w:szCs w:val="24"/>
                <w:lang w:val="en-US" w:eastAsia="zh-CN"/>
              </w:rPr>
              <w:t>玻璃原片裁切、</w:t>
            </w:r>
            <w:r>
              <w:rPr>
                <w:rFonts w:hint="default"/>
                <w:sz w:val="24"/>
                <w:szCs w:val="24"/>
                <w:lang w:val="en-US" w:eastAsia="zh-CN"/>
              </w:rPr>
              <w:t>磨边</w:t>
            </w:r>
            <w:r>
              <w:rPr>
                <w:rFonts w:hint="eastAsia"/>
                <w:sz w:val="24"/>
                <w:szCs w:val="24"/>
                <w:lang w:val="en-US" w:eastAsia="zh-CN"/>
              </w:rPr>
              <w:t>、孔缺：</w:t>
            </w:r>
            <w:r>
              <w:rPr>
                <w:rFonts w:hint="default"/>
                <w:sz w:val="24"/>
                <w:szCs w:val="24"/>
                <w:lang w:val="en-US" w:eastAsia="zh-CN"/>
              </w:rPr>
              <w:t>将外购玻璃原片根据定制企业需求切割成合适尺寸，并进行磨边</w:t>
            </w:r>
            <w:r>
              <w:rPr>
                <w:rFonts w:hint="eastAsia"/>
                <w:sz w:val="24"/>
                <w:szCs w:val="24"/>
                <w:lang w:val="en-US" w:eastAsia="zh-CN"/>
              </w:rPr>
              <w:t>、孔缺，再送入清洗线进行玻璃原片的清洗，其中裁切、孔缺过程会产生玻璃边角料，磨边过程会产生磨边废水，</w:t>
            </w:r>
            <w:r>
              <w:rPr>
                <w:rFonts w:hint="default"/>
                <w:sz w:val="24"/>
                <w:szCs w:val="24"/>
                <w:lang w:val="en-US" w:eastAsia="zh-CN"/>
              </w:rPr>
              <w:t>磨边</w:t>
            </w:r>
            <w:r>
              <w:rPr>
                <w:rFonts w:hint="eastAsia"/>
                <w:sz w:val="24"/>
                <w:szCs w:val="24"/>
                <w:lang w:val="en-US" w:eastAsia="zh-CN"/>
              </w:rPr>
              <w:t>过程均在水下进行，该过程不产生粉尘。裁切采用全自动玻璃切割机、孔缺采用钻孔机，裁切过程是利用数控中心控制刀具在玻璃上划痕，然后经机器施加力，自动断裂为需要的尺寸，钻孔原理也一样。裁切、孔缺过程不产生粉尘。</w:t>
            </w:r>
          </w:p>
          <w:p w14:paraId="6A4057E8">
            <w:pPr>
              <w:widowControl w:val="0"/>
              <w:numPr>
                <w:ilvl w:val="0"/>
                <w:numId w:val="7"/>
              </w:numPr>
              <w:spacing w:line="360" w:lineRule="auto"/>
              <w:ind w:firstLine="480" w:firstLineChars="200"/>
              <w:jc w:val="both"/>
              <w:rPr>
                <w:rFonts w:hint="default"/>
                <w:sz w:val="24"/>
                <w:szCs w:val="24"/>
                <w:lang w:val="en-US" w:eastAsia="zh-CN"/>
              </w:rPr>
            </w:pPr>
            <w:r>
              <w:rPr>
                <w:rFonts w:hint="eastAsia"/>
                <w:sz w:val="24"/>
                <w:szCs w:val="24"/>
                <w:lang w:val="en-US" w:eastAsia="zh-CN"/>
              </w:rPr>
              <w:t>清洗：清洗过程包括清洗和干燥一体，主要在清洗线上将</w:t>
            </w:r>
            <w:r>
              <w:rPr>
                <w:rFonts w:hint="default"/>
                <w:sz w:val="24"/>
                <w:szCs w:val="24"/>
                <w:lang w:val="en-US" w:eastAsia="zh-CN"/>
              </w:rPr>
              <w:t>玻璃表面清洗干净，干燥后的玻璃</w:t>
            </w:r>
            <w:r>
              <w:rPr>
                <w:rFonts w:hint="eastAsia"/>
                <w:sz w:val="24"/>
                <w:szCs w:val="24"/>
                <w:lang w:val="en-US" w:eastAsia="zh-CN"/>
              </w:rPr>
              <w:t>再送入下一步工序（镀膜、钢化、彩色成像等工序）进行利用。</w:t>
            </w:r>
          </w:p>
          <w:p w14:paraId="4850372B">
            <w:pPr>
              <w:widowControl w:val="0"/>
              <w:numPr>
                <w:ilvl w:val="0"/>
                <w:numId w:val="7"/>
              </w:numPr>
              <w:spacing w:line="360" w:lineRule="auto"/>
              <w:ind w:left="0" w:leftChars="0" w:firstLine="480" w:firstLineChars="200"/>
              <w:jc w:val="both"/>
              <w:rPr>
                <w:rFonts w:hint="eastAsia"/>
                <w:sz w:val="24"/>
                <w:szCs w:val="24"/>
                <w:lang w:val="en-US" w:eastAsia="zh-CN"/>
              </w:rPr>
            </w:pPr>
            <w:r>
              <w:rPr>
                <w:rFonts w:hint="eastAsia"/>
                <w:sz w:val="24"/>
                <w:szCs w:val="24"/>
                <w:lang w:val="en-US" w:eastAsia="zh-CN"/>
              </w:rPr>
              <w:t>清洗、镀膜：经过首次清洗、干燥后的玻璃，再次用纯水进行清洗、干燥后送入镀膜生产线入口准备输送机上进行检验，采用人工视检（主要检查膜层是否均匀、有无色差、发白、发花、斑点、条纹等）。视检合格后的玻璃片接着被送入入口锁闭室。然后通过锁闭室关闭，抽真空系统工作将锁闭室的真空度抽至与镀膜室的真空度一 致后打开锁闭室出口锁闭阀将玻璃片送入镀膜室进行镀膜。</w:t>
            </w:r>
          </w:p>
          <w:p w14:paraId="3ED6BCDA">
            <w:pPr>
              <w:widowControl w:val="0"/>
              <w:numPr>
                <w:ilvl w:val="0"/>
                <w:numId w:val="0"/>
              </w:numPr>
              <w:spacing w:line="360" w:lineRule="auto"/>
              <w:ind w:firstLine="482" w:firstLineChars="200"/>
              <w:jc w:val="both"/>
              <w:rPr>
                <w:rFonts w:hint="eastAsia"/>
                <w:b/>
                <w:bCs/>
                <w:sz w:val="24"/>
                <w:szCs w:val="24"/>
                <w:u w:val="single"/>
                <w:lang w:val="en-US" w:eastAsia="zh-CN"/>
              </w:rPr>
            </w:pPr>
            <w:r>
              <w:rPr>
                <w:rFonts w:hint="eastAsia"/>
                <w:b/>
                <w:bCs/>
                <w:sz w:val="24"/>
                <w:szCs w:val="24"/>
                <w:u w:val="single"/>
                <w:lang w:val="en-US" w:eastAsia="zh-CN"/>
              </w:rPr>
              <w:t>镀膜过程根据膜层需要，选择不同的靶材和工艺气体。在镀膜室内阴极上施 以负电压，靶材后设有永久磁钢，并固定在阴极的顶面（面向玻璃的一面）。在 电场的作用下，辉光放电开始形成等离子体，等离子体内的气体正离子由于靶材 的负电荷吸引，向靶面飞去。当靶面材料受到足够强的碰撞，靶上的原子即被弹 出而溅射到玻璃表面上，即形成一层原子粒排成的薄膜。通常靶上的原子在磁场 的作用下可以得到较高的溅射率。采用多个工艺室，每个工艺室内选用不同的靶材和工艺气体，可在玻璃表面镀上不同要求的复合膜层。</w:t>
            </w:r>
            <w:r>
              <w:rPr>
                <w:rFonts w:hint="eastAsia" w:ascii="宋体" w:hAnsi="宋体" w:cs="宋体"/>
                <w:b/>
                <w:bCs/>
                <w:color w:val="000000"/>
                <w:kern w:val="0"/>
                <w:sz w:val="24"/>
                <w:szCs w:val="24"/>
                <w:u w:val="single"/>
                <w:lang w:val="en-US" w:eastAsia="zh-CN" w:bidi="ar"/>
              </w:rPr>
              <w:t>整个镀膜过程主要会产生废靶材。</w:t>
            </w:r>
            <w:r>
              <w:rPr>
                <w:rFonts w:hint="eastAsia" w:ascii="宋体" w:hAnsi="宋体" w:eastAsia="宋体" w:cs="宋体"/>
                <w:b/>
                <w:bCs/>
                <w:color w:val="000000"/>
                <w:kern w:val="0"/>
                <w:sz w:val="24"/>
                <w:szCs w:val="24"/>
                <w:u w:val="single"/>
                <w:lang w:val="en-US" w:eastAsia="zh-CN" w:bidi="ar"/>
              </w:rPr>
              <w:t xml:space="preserve"> </w:t>
            </w:r>
          </w:p>
          <w:p w14:paraId="0498C88C">
            <w:pPr>
              <w:keepNext w:val="0"/>
              <w:keepLines w:val="0"/>
              <w:widowControl/>
              <w:suppressLineNumbers w:val="0"/>
              <w:spacing w:line="360" w:lineRule="auto"/>
              <w:ind w:firstLine="482" w:firstLineChars="200"/>
              <w:jc w:val="left"/>
              <w:rPr>
                <w:rFonts w:hint="eastAsia" w:ascii="宋体" w:hAnsi="宋体" w:eastAsia="宋体" w:cs="宋体"/>
                <w:b/>
                <w:bCs/>
                <w:color w:val="000000"/>
                <w:kern w:val="0"/>
                <w:sz w:val="24"/>
                <w:szCs w:val="24"/>
                <w:u w:val="single"/>
                <w:lang w:val="en-US" w:eastAsia="zh-CN" w:bidi="ar"/>
              </w:rPr>
            </w:pPr>
            <w:r>
              <w:rPr>
                <w:rFonts w:hint="eastAsia" w:ascii="宋体" w:hAnsi="宋体" w:eastAsia="宋体" w:cs="宋体"/>
                <w:b/>
                <w:bCs/>
                <w:color w:val="000000"/>
                <w:kern w:val="0"/>
                <w:sz w:val="24"/>
                <w:szCs w:val="24"/>
                <w:u w:val="single"/>
                <w:lang w:val="en-US" w:eastAsia="zh-CN" w:bidi="ar"/>
              </w:rPr>
              <w:t>镀膜工艺主要分为以下几步：</w:t>
            </w:r>
          </w:p>
          <w:p w14:paraId="4269F0E8">
            <w:pPr>
              <w:keepNext w:val="0"/>
              <w:keepLines w:val="0"/>
              <w:widowControl/>
              <w:suppressLineNumbers w:val="0"/>
              <w:spacing w:line="360" w:lineRule="auto"/>
              <w:ind w:firstLine="482" w:firstLineChars="200"/>
              <w:jc w:val="left"/>
              <w:rPr>
                <w:rFonts w:hint="eastAsia" w:ascii="宋体" w:hAnsi="宋体" w:eastAsia="宋体" w:cs="宋体"/>
                <w:b/>
                <w:bCs/>
                <w:color w:val="000000"/>
                <w:kern w:val="0"/>
                <w:sz w:val="24"/>
                <w:szCs w:val="24"/>
                <w:u w:val="single"/>
                <w:lang w:val="en-US" w:eastAsia="zh-CN" w:bidi="ar"/>
              </w:rPr>
            </w:pPr>
            <w:r>
              <w:rPr>
                <w:rFonts w:hint="eastAsia" w:ascii="宋体" w:hAnsi="宋体" w:eastAsia="宋体" w:cs="宋体"/>
                <w:b/>
                <w:bCs/>
                <w:color w:val="000000"/>
                <w:kern w:val="0"/>
                <w:sz w:val="24"/>
                <w:szCs w:val="24"/>
                <w:u w:val="single"/>
                <w:lang w:val="en-US" w:eastAsia="zh-CN" w:bidi="ar"/>
              </w:rPr>
              <w:t>1）由装有玻璃盘的上片机将大片玻璃送到上片台，对于小玻璃片则可由人工上片至上片台。</w:t>
            </w:r>
          </w:p>
          <w:p w14:paraId="57F1489D">
            <w:pPr>
              <w:keepNext w:val="0"/>
              <w:keepLines w:val="0"/>
              <w:widowControl/>
              <w:suppressLineNumbers w:val="0"/>
              <w:spacing w:line="360" w:lineRule="auto"/>
              <w:ind w:firstLine="482" w:firstLineChars="200"/>
              <w:jc w:val="left"/>
              <w:rPr>
                <w:b/>
                <w:bCs/>
                <w:u w:val="single"/>
              </w:rPr>
            </w:pPr>
            <w:r>
              <w:rPr>
                <w:rFonts w:hint="default" w:ascii="Times New Roman" w:hAnsi="Times New Roman" w:eastAsia="宋体" w:cs="Times New Roman"/>
                <w:b/>
                <w:bCs/>
                <w:color w:val="000000"/>
                <w:kern w:val="0"/>
                <w:sz w:val="24"/>
                <w:szCs w:val="24"/>
                <w:u w:val="single"/>
                <w:lang w:val="en-US" w:eastAsia="zh-CN" w:bidi="ar"/>
              </w:rPr>
              <w:t>2</w:t>
            </w:r>
            <w:r>
              <w:rPr>
                <w:rFonts w:hint="eastAsia" w:ascii="宋体" w:hAnsi="宋体" w:eastAsia="宋体" w:cs="宋体"/>
                <w:b/>
                <w:bCs/>
                <w:color w:val="000000"/>
                <w:kern w:val="0"/>
                <w:sz w:val="24"/>
                <w:szCs w:val="24"/>
                <w:u w:val="single"/>
                <w:lang w:val="en-US" w:eastAsia="zh-CN" w:bidi="ar"/>
              </w:rPr>
              <w:t xml:space="preserve">）镀膜准备 </w:t>
            </w:r>
          </w:p>
          <w:p w14:paraId="46E0B66F">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①入口准备室：玻璃经清洗后在工序室等待进入镀膜室。为了防止空气中的尘埃进入，该室保持微量正压。 </w:t>
            </w:r>
          </w:p>
          <w:p w14:paraId="67D0F720">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②低真空室：玻璃在该室被快速送入低真空室，关闭门阀。由真空泵抽真空至 </w:t>
            </w:r>
            <w:r>
              <w:rPr>
                <w:rFonts w:hint="default" w:ascii="Times New Roman" w:hAnsi="Times New Roman" w:eastAsia="宋体" w:cs="Times New Roman"/>
                <w:b/>
                <w:bCs/>
                <w:color w:val="000000"/>
                <w:kern w:val="0"/>
                <w:sz w:val="24"/>
                <w:szCs w:val="24"/>
                <w:u w:val="single"/>
                <w:lang w:val="en-US" w:eastAsia="zh-CN" w:bidi="ar"/>
              </w:rPr>
              <w:t>10</w:t>
            </w:r>
            <w:r>
              <w:rPr>
                <w:rFonts w:hint="eastAsia" w:ascii="宋体" w:hAnsi="宋体" w:eastAsia="宋体" w:cs="宋体"/>
                <w:b/>
                <w:bCs/>
                <w:color w:val="000000"/>
                <w:kern w:val="0"/>
                <w:sz w:val="24"/>
                <w:szCs w:val="24"/>
                <w:u w:val="single"/>
                <w:lang w:val="en-US" w:eastAsia="zh-CN" w:bidi="ar"/>
              </w:rPr>
              <w:t>～</w:t>
            </w:r>
            <w:r>
              <w:rPr>
                <w:rFonts w:hint="default" w:ascii="Times New Roman" w:hAnsi="Times New Roman" w:eastAsia="宋体" w:cs="Times New Roman"/>
                <w:b/>
                <w:bCs/>
                <w:color w:val="000000"/>
                <w:kern w:val="0"/>
                <w:sz w:val="24"/>
                <w:szCs w:val="24"/>
                <w:u w:val="single"/>
                <w:lang w:val="en-US" w:eastAsia="zh-CN" w:bidi="ar"/>
              </w:rPr>
              <w:t>20mbar</w:t>
            </w:r>
            <w:r>
              <w:rPr>
                <w:rFonts w:hint="eastAsia" w:ascii="宋体" w:hAnsi="宋体" w:eastAsia="宋体" w:cs="宋体"/>
                <w:b/>
                <w:bCs/>
                <w:color w:val="000000"/>
                <w:kern w:val="0"/>
                <w:sz w:val="24"/>
                <w:szCs w:val="24"/>
                <w:u w:val="single"/>
                <w:lang w:val="en-US" w:eastAsia="zh-CN" w:bidi="ar"/>
              </w:rPr>
              <w:t xml:space="preserve">。 </w:t>
            </w:r>
          </w:p>
          <w:p w14:paraId="4149FBE3">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③高真空传送室：在高真空传送室中，玻璃板的传送方式由间歇模式转换为连续模式，玻璃板一片一片连续进入镀膜室。以最大限度提高产量，并使溅射材料得到充分利用。镀膜室由入口缓冲段（包括入口等待段）、溅射室、出口缓冲段（包括出口等待段）几部分组成，各段之间都设有锁闭阀可以单独锁闭一遍可以进行抽真空处理。镀膜完成后玻璃片被送入出口锁闭室进行压力处理，当出口锁闭室压力处理到与大气压相同时，出口锁闭室打开，玻璃片被送出并进入到下一道工序。 </w:t>
            </w:r>
          </w:p>
          <w:p w14:paraId="1D59087E">
            <w:pPr>
              <w:keepNext w:val="0"/>
              <w:keepLines w:val="0"/>
              <w:widowControl/>
              <w:suppressLineNumbers w:val="0"/>
              <w:spacing w:line="360" w:lineRule="auto"/>
              <w:ind w:firstLine="482" w:firstLineChars="200"/>
              <w:jc w:val="left"/>
              <w:rPr>
                <w:b/>
                <w:bCs/>
                <w:u w:val="single"/>
              </w:rPr>
            </w:pPr>
            <w:r>
              <w:rPr>
                <w:rFonts w:hint="default" w:ascii="Times New Roman" w:hAnsi="Times New Roman" w:eastAsia="宋体" w:cs="Times New Roman"/>
                <w:b/>
                <w:bCs/>
                <w:color w:val="000000"/>
                <w:kern w:val="0"/>
                <w:sz w:val="24"/>
                <w:szCs w:val="24"/>
                <w:u w:val="single"/>
                <w:lang w:val="en-US" w:eastAsia="zh-CN" w:bidi="ar"/>
              </w:rPr>
              <w:t>3</w:t>
            </w:r>
            <w:r>
              <w:rPr>
                <w:rFonts w:hint="eastAsia" w:ascii="宋体" w:hAnsi="宋体" w:eastAsia="宋体" w:cs="宋体"/>
                <w:b/>
                <w:bCs/>
                <w:color w:val="000000"/>
                <w:kern w:val="0"/>
                <w:sz w:val="24"/>
                <w:szCs w:val="24"/>
                <w:u w:val="single"/>
                <w:lang w:val="en-US" w:eastAsia="zh-CN" w:bidi="ar"/>
              </w:rPr>
              <w:t xml:space="preserve">）镀膜 </w:t>
            </w:r>
          </w:p>
          <w:p w14:paraId="71AB6B24">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磁控溅射镀膜的工作原理是：惰性气体在低压强下受电场的作用产生辉光放电，形成的离子轰击阴极表面产生溅射现象，溅射出的靶原子沉积在玻璃基片上就形成各种薄膜。当在放电气氛中充入惰性气体时，溅射出的靶原子在到达基片时与惰性气体反应而形成化合物膜。项目所用靶材为氧化锡，镀膜材质中功能层为银、铝和镍铬，保护层所使用的是</w:t>
            </w:r>
            <w:r>
              <w:rPr>
                <w:rFonts w:hint="default" w:ascii="Times New Roman" w:hAnsi="Times New Roman" w:eastAsia="宋体" w:cs="Times New Roman"/>
                <w:b/>
                <w:bCs/>
                <w:color w:val="000000"/>
                <w:kern w:val="0"/>
                <w:sz w:val="24"/>
                <w:szCs w:val="24"/>
                <w:u w:val="single"/>
                <w:lang w:val="en-US" w:eastAsia="zh-CN" w:bidi="ar"/>
              </w:rPr>
              <w:t>SiO</w:t>
            </w:r>
            <w:r>
              <w:rPr>
                <w:rFonts w:hint="default" w:ascii="Times New Roman" w:hAnsi="Times New Roman" w:eastAsia="宋体" w:cs="Times New Roman"/>
                <w:b/>
                <w:bCs/>
                <w:color w:val="000000"/>
                <w:kern w:val="0"/>
                <w:sz w:val="15"/>
                <w:szCs w:val="15"/>
                <w:u w:val="single"/>
                <w:lang w:val="en-US" w:eastAsia="zh-CN" w:bidi="ar"/>
              </w:rPr>
              <w:t>2</w:t>
            </w:r>
            <w:r>
              <w:rPr>
                <w:rFonts w:hint="eastAsia" w:ascii="宋体" w:hAnsi="宋体" w:eastAsia="宋体" w:cs="宋体"/>
                <w:b/>
                <w:bCs/>
                <w:color w:val="000000"/>
                <w:kern w:val="0"/>
                <w:sz w:val="24"/>
                <w:szCs w:val="24"/>
                <w:u w:val="single"/>
                <w:lang w:val="en-US" w:eastAsia="zh-CN" w:bidi="ar"/>
              </w:rPr>
              <w:t>，镀膜过程在专门的镀膜间完成，采用真空平面磁控溅射技术，镀膜作业不会对周围的环境产生不利影响</w:t>
            </w:r>
            <w:r>
              <w:rPr>
                <w:rFonts w:hint="eastAsia" w:ascii="宋体" w:hAnsi="宋体" w:cs="宋体"/>
                <w:b/>
                <w:bCs/>
                <w:color w:val="000000"/>
                <w:kern w:val="0"/>
                <w:sz w:val="24"/>
                <w:szCs w:val="24"/>
                <w:u w:val="single"/>
                <w:lang w:val="en-US" w:eastAsia="zh-CN" w:bidi="ar"/>
              </w:rPr>
              <w:t>。</w:t>
            </w:r>
          </w:p>
          <w:p w14:paraId="644298FD">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本工艺通过等离子体撞击能量轰击玻璃原片，清除表面水膜并形成绒面，随后在绒面上溅射沉积薄膜，最后对薄膜用等离子体刻蚀，形成绒面透明导电玻璃。 </w:t>
            </w:r>
          </w:p>
          <w:p w14:paraId="3EC0E709">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①第一工艺室：根据膜层的要求，选择不同的靶材和工艺气体，玻璃在第一工艺室被镀上第一层介质膜（锡）。 </w:t>
            </w:r>
          </w:p>
          <w:p w14:paraId="05FECAF2">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②第二工艺室：玻璃在第二工艺室被镀上起低辐射作用的功能膜和保护膜（银、铝、镍、铬、二氧化硅）。 </w:t>
            </w:r>
          </w:p>
          <w:p w14:paraId="035E9AC4">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③第三工艺室：被镀上第二层介质膜（锡）。 </w:t>
            </w:r>
          </w:p>
          <w:p w14:paraId="5C893C3E">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④第四工艺室：玻璃在第四工艺室被镀上起低辐射作用的第二层功能膜和保护膜（银、铝、镍铬、二氧化硅）。 </w:t>
            </w:r>
          </w:p>
          <w:p w14:paraId="1CBCF255">
            <w:pPr>
              <w:keepNext w:val="0"/>
              <w:keepLines w:val="0"/>
              <w:widowControl/>
              <w:suppressLineNumbers w:val="0"/>
              <w:spacing w:line="360" w:lineRule="auto"/>
              <w:ind w:firstLine="482" w:firstLineChars="200"/>
              <w:jc w:val="left"/>
              <w:rPr>
                <w:b/>
                <w:bCs/>
                <w:u w:val="single"/>
              </w:rPr>
            </w:pPr>
            <w:r>
              <w:rPr>
                <w:rFonts w:hint="eastAsia" w:ascii="宋体" w:hAnsi="宋体" w:eastAsia="宋体" w:cs="宋体"/>
                <w:b/>
                <w:bCs/>
                <w:color w:val="000000"/>
                <w:kern w:val="0"/>
                <w:sz w:val="24"/>
                <w:szCs w:val="24"/>
                <w:u w:val="single"/>
                <w:lang w:val="en-US" w:eastAsia="zh-CN" w:bidi="ar"/>
              </w:rPr>
              <w:t xml:space="preserve">⑤第五工艺室：被镀上外层保护膜（二氧化硅）。由以上分析可知玻璃镀膜室在真空状态下进行，真空度在 </w:t>
            </w:r>
            <w:r>
              <w:rPr>
                <w:rFonts w:hint="default" w:ascii="Times New Roman" w:hAnsi="Times New Roman" w:eastAsia="宋体" w:cs="Times New Roman"/>
                <w:b/>
                <w:bCs/>
                <w:color w:val="000000"/>
                <w:kern w:val="0"/>
                <w:sz w:val="24"/>
                <w:szCs w:val="24"/>
                <w:u w:val="single"/>
                <w:lang w:val="en-US" w:eastAsia="zh-CN" w:bidi="ar"/>
              </w:rPr>
              <w:t>9×10</w:t>
            </w:r>
            <w:r>
              <w:rPr>
                <w:rFonts w:hint="default" w:ascii="Times New Roman" w:hAnsi="Times New Roman" w:eastAsia="宋体" w:cs="Times New Roman"/>
                <w:b/>
                <w:bCs/>
                <w:color w:val="000000"/>
                <w:kern w:val="0"/>
                <w:sz w:val="24"/>
                <w:szCs w:val="24"/>
                <w:u w:val="single"/>
                <w:vertAlign w:val="superscript"/>
                <w:lang w:val="en-US" w:eastAsia="zh-CN" w:bidi="ar"/>
              </w:rPr>
              <w:t xml:space="preserve"> </w:t>
            </w:r>
            <w:r>
              <w:rPr>
                <w:rFonts w:hint="eastAsia" w:ascii="Times New Roman" w:hAnsi="Times New Roman" w:eastAsia="宋体" w:cs="Times New Roman"/>
                <w:b/>
                <w:bCs/>
                <w:color w:val="000000"/>
                <w:kern w:val="0"/>
                <w:sz w:val="24"/>
                <w:szCs w:val="24"/>
                <w:u w:val="single"/>
                <w:vertAlign w:val="superscript"/>
                <w:lang w:val="en-US" w:eastAsia="zh-CN" w:bidi="ar"/>
              </w:rPr>
              <w:t>-5</w:t>
            </w:r>
            <w:r>
              <w:rPr>
                <w:rFonts w:hint="default" w:ascii="Times New Roman" w:hAnsi="Times New Roman" w:eastAsia="宋体" w:cs="Times New Roman"/>
                <w:b/>
                <w:bCs/>
                <w:color w:val="000000"/>
                <w:kern w:val="0"/>
                <w:sz w:val="24"/>
                <w:szCs w:val="24"/>
                <w:u w:val="single"/>
                <w:lang w:val="en-US" w:eastAsia="zh-CN" w:bidi="ar"/>
              </w:rPr>
              <w:t xml:space="preserve">Pa </w:t>
            </w:r>
            <w:r>
              <w:rPr>
                <w:rFonts w:hint="eastAsia" w:ascii="宋体" w:hAnsi="宋体" w:eastAsia="宋体" w:cs="宋体"/>
                <w:b/>
                <w:bCs/>
                <w:color w:val="000000"/>
                <w:kern w:val="0"/>
                <w:sz w:val="24"/>
                <w:szCs w:val="24"/>
                <w:u w:val="single"/>
                <w:lang w:val="en-US" w:eastAsia="zh-CN" w:bidi="ar"/>
              </w:rPr>
              <w:t xml:space="preserve">到 </w:t>
            </w:r>
            <w:r>
              <w:rPr>
                <w:rFonts w:hint="default" w:ascii="Times New Roman" w:hAnsi="Times New Roman" w:eastAsia="宋体" w:cs="Times New Roman"/>
                <w:b/>
                <w:bCs/>
                <w:color w:val="000000"/>
                <w:kern w:val="0"/>
                <w:sz w:val="24"/>
                <w:szCs w:val="24"/>
                <w:u w:val="single"/>
                <w:lang w:val="en-US" w:eastAsia="zh-CN" w:bidi="ar"/>
              </w:rPr>
              <w:t>9×10</w:t>
            </w:r>
            <w:r>
              <w:rPr>
                <w:rFonts w:hint="eastAsia" w:ascii="Times New Roman" w:hAnsi="Times New Roman" w:eastAsia="宋体" w:cs="Times New Roman"/>
                <w:b/>
                <w:bCs/>
                <w:color w:val="000000"/>
                <w:kern w:val="0"/>
                <w:sz w:val="24"/>
                <w:szCs w:val="24"/>
                <w:u w:val="single"/>
                <w:vertAlign w:val="superscript"/>
                <w:lang w:val="en-US" w:eastAsia="zh-CN" w:bidi="ar"/>
              </w:rPr>
              <w:t>-6</w:t>
            </w:r>
            <w:r>
              <w:rPr>
                <w:rFonts w:hint="default" w:ascii="Times New Roman" w:hAnsi="Times New Roman" w:eastAsia="宋体" w:cs="Times New Roman"/>
                <w:b/>
                <w:bCs/>
                <w:color w:val="000000"/>
                <w:kern w:val="0"/>
                <w:sz w:val="24"/>
                <w:szCs w:val="24"/>
                <w:u w:val="single"/>
                <w:lang w:val="en-US" w:eastAsia="zh-CN" w:bidi="ar"/>
              </w:rPr>
              <w:t xml:space="preserve">Pa </w:t>
            </w:r>
            <w:r>
              <w:rPr>
                <w:rFonts w:hint="eastAsia" w:ascii="宋体" w:hAnsi="宋体" w:eastAsia="宋体" w:cs="宋体"/>
                <w:b/>
                <w:bCs/>
                <w:color w:val="000000"/>
                <w:kern w:val="0"/>
                <w:sz w:val="24"/>
                <w:szCs w:val="24"/>
                <w:u w:val="single"/>
                <w:lang w:val="en-US" w:eastAsia="zh-CN" w:bidi="ar"/>
              </w:rPr>
              <w:t>之间，使用的介质气体是氮气，镀膜空间没有氧元素，因此不会产生臭氧污染。同时，因镀膜腔室在一个密闭空间，要保障在真空镀膜时整个设备的稳定，不能有振动，腔室四壁比较厚重，厚度一般在</w:t>
            </w:r>
            <w:r>
              <w:rPr>
                <w:rFonts w:hint="default" w:ascii="Times New Roman" w:hAnsi="Times New Roman" w:eastAsia="宋体" w:cs="Times New Roman"/>
                <w:b/>
                <w:bCs/>
                <w:color w:val="000000"/>
                <w:kern w:val="0"/>
                <w:sz w:val="24"/>
                <w:szCs w:val="24"/>
                <w:u w:val="single"/>
                <w:lang w:val="en-US" w:eastAsia="zh-CN" w:bidi="ar"/>
              </w:rPr>
              <w:t>100-150mm</w:t>
            </w:r>
            <w:r>
              <w:rPr>
                <w:rFonts w:hint="eastAsia" w:ascii="宋体" w:hAnsi="宋体" w:eastAsia="宋体" w:cs="宋体"/>
                <w:b/>
                <w:bCs/>
                <w:color w:val="000000"/>
                <w:kern w:val="0"/>
                <w:sz w:val="24"/>
                <w:szCs w:val="24"/>
                <w:u w:val="single"/>
                <w:lang w:val="en-US" w:eastAsia="zh-CN" w:bidi="ar"/>
              </w:rPr>
              <w:t xml:space="preserve">，采用金属材料全封闭状态，所以对电子辐射有很好的阻碍作用。在设备周围使用精密仪器及电话通讯均无干扰现象，对人体及周围环境无辐射、无伤害。 </w:t>
            </w:r>
          </w:p>
          <w:p w14:paraId="45591534">
            <w:pPr>
              <w:keepNext w:val="0"/>
              <w:keepLines w:val="0"/>
              <w:widowControl/>
              <w:suppressLineNumbers w:val="0"/>
              <w:spacing w:line="360" w:lineRule="auto"/>
              <w:ind w:firstLine="480" w:firstLineChars="200"/>
              <w:jc w:val="left"/>
            </w:pPr>
            <w:r>
              <w:rPr>
                <w:rFonts w:hint="default" w:ascii="Times New Roman" w:hAnsi="Times New Roman" w:eastAsia="宋体" w:cs="Times New Roman"/>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 xml:space="preserve">）出片准备 </w:t>
            </w:r>
          </w:p>
          <w:p w14:paraId="02E088DC">
            <w:pPr>
              <w:keepNext w:val="0"/>
              <w:keepLines w:val="0"/>
              <w:widowControl/>
              <w:suppressLineNumbers w:val="0"/>
              <w:spacing w:line="360" w:lineRule="auto"/>
              <w:ind w:firstLine="480" w:firstLineChars="200"/>
              <w:jc w:val="left"/>
            </w:pPr>
            <w:r>
              <w:rPr>
                <w:rFonts w:hint="eastAsia" w:ascii="宋体" w:hAnsi="宋体" w:eastAsia="宋体" w:cs="宋体"/>
                <w:color w:val="000000"/>
                <w:kern w:val="0"/>
                <w:sz w:val="24"/>
                <w:szCs w:val="24"/>
                <w:lang w:val="en-US" w:eastAsia="zh-CN" w:bidi="ar"/>
              </w:rPr>
              <w:t xml:space="preserve">①高真空传送室：玻璃镀膜后由镀膜工艺室快速运至出口准备室。 </w:t>
            </w:r>
          </w:p>
          <w:p w14:paraId="7CCACC47">
            <w:pPr>
              <w:keepNext w:val="0"/>
              <w:keepLines w:val="0"/>
              <w:widowControl/>
              <w:suppressLineNumbers w:val="0"/>
              <w:spacing w:line="360" w:lineRule="auto"/>
              <w:ind w:firstLine="480" w:firstLineChars="200"/>
              <w:jc w:val="left"/>
            </w:pPr>
            <w:r>
              <w:rPr>
                <w:rFonts w:hint="eastAsia" w:ascii="宋体" w:hAnsi="宋体" w:eastAsia="宋体" w:cs="宋体"/>
                <w:color w:val="000000"/>
                <w:kern w:val="0"/>
                <w:sz w:val="24"/>
                <w:szCs w:val="24"/>
                <w:lang w:val="en-US" w:eastAsia="zh-CN" w:bidi="ar"/>
              </w:rPr>
              <w:t>②出口准备室：出口准备室的压强在</w:t>
            </w:r>
            <w:r>
              <w:rPr>
                <w:rFonts w:hint="default" w:ascii="Times New Roman" w:hAnsi="Times New Roman" w:eastAsia="宋体" w:cs="Times New Roman"/>
                <w:color w:val="000000"/>
                <w:kern w:val="0"/>
                <w:sz w:val="24"/>
                <w:szCs w:val="24"/>
                <w:lang w:val="en-US" w:eastAsia="zh-CN" w:bidi="ar"/>
              </w:rPr>
              <w:t>10</w:t>
            </w:r>
            <w:r>
              <w:rPr>
                <w:rFonts w:hint="eastAsia" w:ascii="宋体" w:hAnsi="宋体" w:eastAsia="宋体" w:cs="宋体"/>
                <w:color w:val="000000"/>
                <w:kern w:val="0"/>
                <w:sz w:val="24"/>
                <w:szCs w:val="24"/>
                <w:lang w:val="en-US" w:eastAsia="zh-CN" w:bidi="ar"/>
              </w:rPr>
              <w:t>～</w:t>
            </w:r>
            <w:r>
              <w:rPr>
                <w:rFonts w:hint="default" w:ascii="Times New Roman" w:hAnsi="Times New Roman" w:eastAsia="宋体" w:cs="Times New Roman"/>
                <w:color w:val="000000"/>
                <w:kern w:val="0"/>
                <w:sz w:val="24"/>
                <w:szCs w:val="24"/>
                <w:lang w:val="en-US" w:eastAsia="zh-CN" w:bidi="ar"/>
              </w:rPr>
              <w:t xml:space="preserve">20mbar </w:t>
            </w:r>
            <w:r>
              <w:rPr>
                <w:rFonts w:hint="eastAsia" w:ascii="宋体" w:hAnsi="宋体" w:eastAsia="宋体" w:cs="宋体"/>
                <w:color w:val="000000"/>
                <w:kern w:val="0"/>
                <w:sz w:val="24"/>
                <w:szCs w:val="24"/>
                <w:lang w:val="en-US" w:eastAsia="zh-CN" w:bidi="ar"/>
              </w:rPr>
              <w:t xml:space="preserve">至大气压间波动。当出口准备室放入大气后，玻璃被快速输送至出口传送辊道。 </w:t>
            </w:r>
          </w:p>
          <w:p w14:paraId="0EF48F3A">
            <w:pPr>
              <w:keepNext w:val="0"/>
              <w:keepLines w:val="0"/>
              <w:widowControl/>
              <w:suppressLineNumbers w:val="0"/>
              <w:spacing w:line="360" w:lineRule="auto"/>
              <w:ind w:firstLine="480" w:firstLineChars="200"/>
              <w:jc w:val="left"/>
            </w:pPr>
            <w:r>
              <w:rPr>
                <w:rFonts w:hint="default" w:ascii="Times New Roman" w:hAnsi="Times New Roman" w:eastAsia="宋体" w:cs="Times New Roman"/>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 xml:space="preserve">）光学质量检验 </w:t>
            </w:r>
          </w:p>
          <w:p w14:paraId="182912F0">
            <w:pPr>
              <w:keepNext w:val="0"/>
              <w:keepLines w:val="0"/>
              <w:widowControl/>
              <w:suppressLineNumbers w:val="0"/>
              <w:spacing w:line="360" w:lineRule="auto"/>
              <w:ind w:firstLine="480" w:firstLineChars="200"/>
              <w:jc w:val="left"/>
            </w:pPr>
            <w:r>
              <w:rPr>
                <w:rFonts w:hint="eastAsia" w:ascii="宋体" w:hAnsi="宋体" w:eastAsia="宋体" w:cs="宋体"/>
                <w:color w:val="000000"/>
                <w:kern w:val="0"/>
                <w:sz w:val="24"/>
                <w:szCs w:val="24"/>
                <w:lang w:val="en-US" w:eastAsia="zh-CN" w:bidi="ar"/>
              </w:rPr>
              <w:t xml:space="preserve">玻璃镀膜后由光谱光度计在线测量其透射率与反射率。 </w:t>
            </w:r>
          </w:p>
          <w:p w14:paraId="65964B89">
            <w:pPr>
              <w:keepNext w:val="0"/>
              <w:keepLines w:val="0"/>
              <w:widowControl/>
              <w:suppressLineNumbers w:val="0"/>
              <w:spacing w:line="360" w:lineRule="auto"/>
              <w:ind w:firstLine="480" w:firstLineChars="200"/>
              <w:jc w:val="left"/>
            </w:pPr>
            <w:r>
              <w:rPr>
                <w:rFonts w:hint="default" w:ascii="Times New Roman" w:hAnsi="Times New Roman" w:eastAsia="宋体" w:cs="Times New Roman"/>
                <w:color w:val="000000"/>
                <w:kern w:val="0"/>
                <w:sz w:val="24"/>
                <w:szCs w:val="24"/>
                <w:lang w:val="en-US" w:eastAsia="zh-CN" w:bidi="ar"/>
              </w:rPr>
              <w:t>6</w:t>
            </w:r>
            <w:r>
              <w:rPr>
                <w:rFonts w:hint="eastAsia" w:ascii="宋体" w:hAnsi="宋体" w:eastAsia="宋体" w:cs="宋体"/>
                <w:color w:val="000000"/>
                <w:kern w:val="0"/>
                <w:sz w:val="24"/>
                <w:szCs w:val="24"/>
                <w:lang w:val="en-US" w:eastAsia="zh-CN" w:bidi="ar"/>
              </w:rPr>
              <w:t xml:space="preserve">）卸片、包装、入库 </w:t>
            </w:r>
          </w:p>
          <w:p w14:paraId="1E96DDB5">
            <w:pPr>
              <w:widowControl w:val="0"/>
              <w:numPr>
                <w:ilvl w:val="0"/>
                <w:numId w:val="0"/>
              </w:numPr>
              <w:spacing w:line="360" w:lineRule="auto"/>
              <w:ind w:firstLine="480" w:firstLineChars="200"/>
              <w:jc w:val="both"/>
              <w:rPr>
                <w:rFonts w:hint="default"/>
                <w:sz w:val="24"/>
                <w:szCs w:val="24"/>
                <w:lang w:val="en-US" w:eastAsia="zh-CN"/>
              </w:rPr>
            </w:pPr>
            <w:r>
              <w:rPr>
                <w:rFonts w:hint="eastAsia" w:ascii="宋体" w:hAnsi="宋体" w:eastAsia="宋体" w:cs="宋体"/>
                <w:color w:val="000000"/>
                <w:kern w:val="0"/>
                <w:sz w:val="24"/>
                <w:szCs w:val="24"/>
                <w:lang w:val="en-US" w:eastAsia="zh-CN" w:bidi="ar"/>
              </w:rPr>
              <w:t>镀膜后的玻璃由机械或人工卸片，根据检验结果一部分作为产品分类包装入库，一部分直接用于生产中空玻璃和夹胶玻璃，另一部分经过钢化后再用于中空玻璃和夹胶玻璃的生产。</w:t>
            </w:r>
          </w:p>
          <w:p w14:paraId="3419F011">
            <w:pPr>
              <w:keepNext w:val="0"/>
              <w:keepLines w:val="0"/>
              <w:widowControl/>
              <w:suppressLineNumbers w:val="0"/>
              <w:spacing w:line="360" w:lineRule="auto"/>
              <w:ind w:firstLine="482" w:firstLineChars="200"/>
              <w:jc w:val="left"/>
              <w:rPr>
                <w:rFonts w:hint="eastAsia" w:ascii="宋体" w:hAnsi="宋体" w:eastAsia="宋体" w:cs="宋体"/>
                <w:b/>
                <w:bCs/>
                <w:color w:val="000000"/>
                <w:kern w:val="0"/>
                <w:sz w:val="24"/>
                <w:szCs w:val="24"/>
                <w:u w:val="single"/>
                <w:lang w:val="en-US" w:eastAsia="zh-CN" w:bidi="ar"/>
              </w:rPr>
            </w:pPr>
            <w:r>
              <w:rPr>
                <w:rFonts w:hint="eastAsia"/>
                <w:b/>
                <w:bCs/>
                <w:sz w:val="24"/>
                <w:szCs w:val="24"/>
                <w:u w:val="single"/>
                <w:lang w:val="en-US" w:eastAsia="zh-CN"/>
              </w:rPr>
              <w:t>（4）彩色成像、烘干固化：</w:t>
            </w:r>
            <w:r>
              <w:rPr>
                <w:rFonts w:hint="eastAsia" w:ascii="宋体" w:hAnsi="宋体" w:eastAsia="宋体" w:cs="宋体"/>
                <w:b/>
                <w:bCs/>
                <w:color w:val="000000"/>
                <w:kern w:val="0"/>
                <w:sz w:val="24"/>
                <w:szCs w:val="24"/>
                <w:u w:val="single"/>
                <w:lang w:val="en-US" w:eastAsia="zh-CN" w:bidi="ar"/>
              </w:rPr>
              <w:t>经过</w:t>
            </w:r>
            <w:r>
              <w:rPr>
                <w:rFonts w:hint="eastAsia"/>
                <w:b/>
                <w:bCs/>
                <w:sz w:val="24"/>
                <w:szCs w:val="24"/>
                <w:u w:val="single"/>
                <w:lang w:val="en-US" w:eastAsia="zh-CN"/>
              </w:rPr>
              <w:t>裁切、</w:t>
            </w:r>
            <w:r>
              <w:rPr>
                <w:rFonts w:hint="default"/>
                <w:b/>
                <w:bCs/>
                <w:sz w:val="24"/>
                <w:szCs w:val="24"/>
                <w:u w:val="single"/>
                <w:lang w:val="en-US" w:eastAsia="zh-CN"/>
              </w:rPr>
              <w:t>磨边</w:t>
            </w:r>
            <w:r>
              <w:rPr>
                <w:rFonts w:hint="eastAsia"/>
                <w:b/>
                <w:bCs/>
                <w:sz w:val="24"/>
                <w:szCs w:val="24"/>
                <w:u w:val="single"/>
                <w:lang w:val="en-US" w:eastAsia="zh-CN"/>
              </w:rPr>
              <w:t>、孔缺</w:t>
            </w:r>
            <w:r>
              <w:rPr>
                <w:rFonts w:hint="eastAsia" w:ascii="宋体" w:hAnsi="宋体" w:eastAsia="宋体" w:cs="宋体"/>
                <w:b/>
                <w:bCs/>
                <w:color w:val="000000"/>
                <w:kern w:val="0"/>
                <w:sz w:val="24"/>
                <w:szCs w:val="24"/>
                <w:u w:val="single"/>
                <w:lang w:val="en-US" w:eastAsia="zh-CN" w:bidi="ar"/>
              </w:rPr>
              <w:t>后的玻璃进行清洗干燥后一部分送入</w:t>
            </w:r>
            <w:r>
              <w:rPr>
                <w:rFonts w:hint="eastAsia" w:ascii="宋体" w:hAnsi="宋体" w:cs="宋体"/>
                <w:b/>
                <w:bCs/>
                <w:color w:val="000000"/>
                <w:kern w:val="0"/>
                <w:sz w:val="24"/>
                <w:szCs w:val="24"/>
                <w:u w:val="single"/>
                <w:lang w:val="en-US" w:eastAsia="zh-CN" w:bidi="ar"/>
              </w:rPr>
              <w:t>彩打线配套的数字喷墨设备进行彩打(根据设定好的图案，设备带动玻璃或喷头匀速移动，喷头根据数字信号，将玻璃专用彩色油墨以微小墨滴形式精准喷射到玻璃指定位置，通过墨滴密度与大小变化形成丰富色彩与层次，最终在玻璃表面呈现完整彩色图像，本项目外购的环保墨水直接使用，厂内不需要调配，也不用加稀释剂)</w:t>
            </w:r>
            <w:r>
              <w:rPr>
                <w:rFonts w:hint="eastAsia" w:ascii="宋体" w:hAnsi="宋体" w:eastAsia="宋体" w:cs="宋体"/>
                <w:b/>
                <w:bCs/>
                <w:color w:val="000000"/>
                <w:kern w:val="0"/>
                <w:sz w:val="24"/>
                <w:szCs w:val="24"/>
                <w:u w:val="single"/>
                <w:lang w:val="en-US" w:eastAsia="zh-CN" w:bidi="ar"/>
              </w:rPr>
              <w:t>，</w:t>
            </w:r>
            <w:r>
              <w:rPr>
                <w:rFonts w:hint="eastAsia" w:ascii="宋体" w:hAnsi="宋体" w:cs="宋体"/>
                <w:b/>
                <w:bCs/>
                <w:color w:val="000000"/>
                <w:kern w:val="0"/>
                <w:sz w:val="24"/>
                <w:szCs w:val="24"/>
                <w:u w:val="single"/>
                <w:lang w:val="en-US" w:eastAsia="zh-CN" w:bidi="ar"/>
              </w:rPr>
              <w:t>然后再进入彩打线配套的</w:t>
            </w:r>
            <w:r>
              <w:rPr>
                <w:rFonts w:hint="default" w:ascii="Times New Roman" w:hAnsi="Times New Roman" w:eastAsia="宋体" w:cs="Times New Roman"/>
                <w:b/>
                <w:bCs/>
                <w:color w:val="000000"/>
                <w:kern w:val="0"/>
                <w:sz w:val="24"/>
                <w:szCs w:val="24"/>
                <w:highlight w:val="none"/>
                <w:u w:val="single"/>
                <w:lang w:val="en-US" w:eastAsia="zh-CN" w:bidi="ar"/>
              </w:rPr>
              <w:t>1</w:t>
            </w:r>
            <w:r>
              <w:rPr>
                <w:rFonts w:hint="eastAsia" w:cs="Times New Roman"/>
                <w:b/>
                <w:bCs/>
                <w:color w:val="000000"/>
                <w:kern w:val="0"/>
                <w:sz w:val="24"/>
                <w:szCs w:val="24"/>
                <w:highlight w:val="none"/>
                <w:u w:val="single"/>
                <w:lang w:val="en-US" w:eastAsia="zh-CN" w:bidi="ar"/>
              </w:rPr>
              <w:t>2</w:t>
            </w:r>
            <w:r>
              <w:rPr>
                <w:rFonts w:hint="eastAsia" w:ascii="宋体" w:hAnsi="宋体" w:eastAsia="宋体" w:cs="宋体"/>
                <w:b/>
                <w:bCs/>
                <w:color w:val="000000"/>
                <w:kern w:val="0"/>
                <w:sz w:val="24"/>
                <w:szCs w:val="24"/>
                <w:highlight w:val="none"/>
                <w:u w:val="single"/>
                <w:lang w:val="en-US" w:eastAsia="zh-CN" w:bidi="ar"/>
              </w:rPr>
              <w:t>米</w:t>
            </w:r>
            <w:r>
              <w:rPr>
                <w:rFonts w:hint="default" w:ascii="Times New Roman" w:hAnsi="Times New Roman" w:eastAsia="宋体" w:cs="Times New Roman"/>
                <w:b/>
                <w:bCs/>
                <w:color w:val="000000"/>
                <w:kern w:val="0"/>
                <w:sz w:val="24"/>
                <w:szCs w:val="24"/>
                <w:highlight w:val="none"/>
                <w:u w:val="single"/>
                <w:lang w:val="en-US" w:eastAsia="zh-CN" w:bidi="ar"/>
              </w:rPr>
              <w:t>100℃</w:t>
            </w:r>
            <w:r>
              <w:rPr>
                <w:rFonts w:hint="eastAsia" w:ascii="宋体" w:hAnsi="宋体" w:eastAsia="宋体" w:cs="宋体"/>
                <w:b/>
                <w:bCs/>
                <w:color w:val="000000"/>
                <w:kern w:val="0"/>
                <w:sz w:val="24"/>
                <w:szCs w:val="24"/>
                <w:highlight w:val="none"/>
                <w:u w:val="single"/>
                <w:lang w:val="en-US" w:eastAsia="zh-CN" w:bidi="ar"/>
              </w:rPr>
              <w:t>高温隧道进行烘干固化，</w:t>
            </w:r>
            <w:r>
              <w:rPr>
                <w:rFonts w:hint="eastAsia" w:ascii="宋体" w:hAnsi="宋体" w:eastAsia="宋体" w:cs="宋体"/>
                <w:b/>
                <w:bCs/>
                <w:color w:val="000000"/>
                <w:kern w:val="0"/>
                <w:sz w:val="24"/>
                <w:szCs w:val="24"/>
                <w:u w:val="single"/>
                <w:lang w:val="en-US" w:eastAsia="zh-CN" w:bidi="ar"/>
              </w:rPr>
              <w:t>将无机高温颜料永久固化于玻璃表面</w:t>
            </w:r>
            <w:r>
              <w:rPr>
                <w:rFonts w:hint="eastAsia" w:ascii="宋体" w:hAnsi="宋体" w:cs="宋体"/>
                <w:b/>
                <w:bCs/>
                <w:color w:val="000000"/>
                <w:kern w:val="0"/>
                <w:sz w:val="24"/>
                <w:szCs w:val="24"/>
                <w:u w:val="single"/>
                <w:lang w:val="en-US" w:eastAsia="zh-CN" w:bidi="ar"/>
              </w:rPr>
              <w:t>，经过固化后，油墨在玻璃表面形成坚硬、耐磨、耐刮的彩色膜层，保证图案不脱落、不褪色</w:t>
            </w:r>
            <w:r>
              <w:rPr>
                <w:rFonts w:hint="eastAsia" w:ascii="宋体" w:hAnsi="宋体" w:eastAsia="宋体" w:cs="宋体"/>
                <w:b/>
                <w:bCs/>
                <w:color w:val="000000"/>
                <w:kern w:val="0"/>
                <w:sz w:val="24"/>
                <w:szCs w:val="24"/>
                <w:u w:val="single"/>
                <w:lang w:val="en-US" w:eastAsia="zh-CN" w:bidi="ar"/>
              </w:rPr>
              <w:t>。此处加热利用电能，故无燃料燃烧废气；颜料溶剂中的二丙二醇甲醚醋酸酯、丙二醇甲醚醋酸酯常温下稳定，在烘干固化过程中挥发，本次评价按全部挥发考虑。将固化后的半</w:t>
            </w:r>
            <w:r>
              <w:rPr>
                <w:rFonts w:hint="eastAsia" w:ascii="宋体" w:hAnsi="宋体" w:cs="宋体"/>
                <w:b/>
                <w:bCs/>
                <w:color w:val="000000"/>
                <w:kern w:val="0"/>
                <w:sz w:val="24"/>
                <w:szCs w:val="24"/>
                <w:u w:val="single"/>
                <w:lang w:val="en-US" w:eastAsia="zh-CN" w:bidi="ar"/>
              </w:rPr>
              <w:t>成</w:t>
            </w:r>
            <w:r>
              <w:rPr>
                <w:rFonts w:hint="eastAsia" w:ascii="宋体" w:hAnsi="宋体" w:eastAsia="宋体" w:cs="宋体"/>
                <w:b/>
                <w:bCs/>
                <w:color w:val="000000"/>
                <w:kern w:val="0"/>
                <w:sz w:val="24"/>
                <w:szCs w:val="24"/>
                <w:u w:val="single"/>
                <w:lang w:val="en-US" w:eastAsia="zh-CN" w:bidi="ar"/>
              </w:rPr>
              <w:t>品</w:t>
            </w:r>
            <w:r>
              <w:rPr>
                <w:rFonts w:hint="eastAsia" w:ascii="宋体" w:hAnsi="宋体" w:cs="宋体"/>
                <w:b/>
                <w:bCs/>
                <w:color w:val="000000"/>
                <w:kern w:val="0"/>
                <w:sz w:val="24"/>
                <w:szCs w:val="24"/>
                <w:u w:val="single"/>
                <w:lang w:val="en-US" w:eastAsia="zh-CN" w:bidi="ar"/>
              </w:rPr>
              <w:t>再</w:t>
            </w:r>
            <w:r>
              <w:rPr>
                <w:rFonts w:hint="eastAsia" w:ascii="宋体" w:hAnsi="宋体" w:eastAsia="宋体" w:cs="宋体"/>
                <w:b/>
                <w:bCs/>
                <w:color w:val="000000"/>
                <w:kern w:val="0"/>
                <w:sz w:val="24"/>
                <w:szCs w:val="24"/>
                <w:u w:val="single"/>
                <w:lang w:val="en-US" w:eastAsia="zh-CN" w:bidi="ar"/>
              </w:rPr>
              <w:t>送入钢化炉进行</w:t>
            </w:r>
            <w:r>
              <w:rPr>
                <w:rFonts w:hint="eastAsia" w:ascii="宋体" w:hAnsi="宋体" w:cs="宋体"/>
                <w:b/>
                <w:bCs/>
                <w:color w:val="000000"/>
                <w:kern w:val="0"/>
                <w:sz w:val="24"/>
                <w:szCs w:val="24"/>
                <w:u w:val="single"/>
                <w:lang w:val="en-US" w:eastAsia="zh-CN" w:bidi="ar"/>
              </w:rPr>
              <w:t>钢化，</w:t>
            </w:r>
            <w:r>
              <w:rPr>
                <w:rFonts w:hint="eastAsia" w:ascii="宋体" w:hAnsi="宋体" w:eastAsia="宋体" w:cs="宋体"/>
                <w:b/>
                <w:bCs/>
                <w:color w:val="000000"/>
                <w:kern w:val="0"/>
                <w:sz w:val="24"/>
                <w:szCs w:val="24"/>
                <w:u w:val="single"/>
                <w:lang w:val="en-US" w:eastAsia="zh-CN" w:bidi="ar"/>
              </w:rPr>
              <w:t>然后生产彩色成像钢化玻璃</w:t>
            </w:r>
            <w:r>
              <w:rPr>
                <w:rFonts w:hint="eastAsia" w:ascii="宋体" w:hAnsi="宋体" w:cs="宋体"/>
                <w:b/>
                <w:bCs/>
                <w:color w:val="000000"/>
                <w:kern w:val="0"/>
                <w:sz w:val="24"/>
                <w:szCs w:val="24"/>
                <w:u w:val="single"/>
                <w:lang w:val="en-US" w:eastAsia="zh-CN" w:bidi="ar"/>
              </w:rPr>
              <w:t>。该过程会产生彩色成像烘干固化废气。</w:t>
            </w:r>
            <w:r>
              <w:rPr>
                <w:rFonts w:hint="eastAsia" w:ascii="宋体" w:hAnsi="宋体" w:eastAsia="宋体" w:cs="宋体"/>
                <w:b/>
                <w:bCs/>
                <w:color w:val="000000"/>
                <w:kern w:val="0"/>
                <w:sz w:val="24"/>
                <w:szCs w:val="24"/>
                <w:u w:val="single"/>
                <w:lang w:val="en-US" w:eastAsia="zh-CN" w:bidi="ar"/>
              </w:rPr>
              <w:t xml:space="preserve"> </w:t>
            </w:r>
          </w:p>
          <w:p w14:paraId="086313D0">
            <w:pPr>
              <w:widowControl w:val="0"/>
              <w:numPr>
                <w:ilvl w:val="0"/>
                <w:numId w:val="0"/>
              </w:numPr>
              <w:spacing w:line="360" w:lineRule="auto"/>
              <w:ind w:firstLine="480" w:firstLineChars="200"/>
              <w:jc w:val="both"/>
              <w:rPr>
                <w:rFonts w:hint="eastAsia"/>
                <w:sz w:val="24"/>
                <w:szCs w:val="24"/>
                <w:lang w:val="en-US" w:eastAsia="zh-CN"/>
              </w:rPr>
            </w:pPr>
            <w:r>
              <w:rPr>
                <w:rFonts w:hint="eastAsia"/>
                <w:sz w:val="24"/>
                <w:szCs w:val="24"/>
                <w:lang w:val="en-US" w:eastAsia="zh-CN"/>
              </w:rPr>
              <w:t>（5）钢化、均质、急冷风处理、检测：</w:t>
            </w:r>
            <w:r>
              <w:rPr>
                <w:rFonts w:hint="eastAsia"/>
                <w:b/>
                <w:bCs/>
                <w:sz w:val="24"/>
                <w:szCs w:val="24"/>
                <w:u w:val="single"/>
                <w:lang w:val="en-US" w:eastAsia="zh-CN"/>
              </w:rPr>
              <w:t>送入钢化炉的玻璃主要有三个部分，一部分为</w:t>
            </w:r>
            <w:r>
              <w:rPr>
                <w:rFonts w:hint="eastAsia" w:ascii="宋体" w:hAnsi="宋体" w:eastAsia="宋体" w:cs="宋体"/>
                <w:b/>
                <w:bCs/>
                <w:color w:val="000000"/>
                <w:kern w:val="0"/>
                <w:sz w:val="24"/>
                <w:szCs w:val="24"/>
                <w:u w:val="single"/>
                <w:lang w:val="en-US" w:eastAsia="zh-CN" w:bidi="ar"/>
              </w:rPr>
              <w:t>经过</w:t>
            </w:r>
            <w:r>
              <w:rPr>
                <w:rFonts w:hint="eastAsia"/>
                <w:b/>
                <w:bCs/>
                <w:sz w:val="24"/>
                <w:szCs w:val="24"/>
                <w:u w:val="single"/>
                <w:lang w:val="en-US" w:eastAsia="zh-CN"/>
              </w:rPr>
              <w:t>裁切、</w:t>
            </w:r>
            <w:r>
              <w:rPr>
                <w:rFonts w:hint="default"/>
                <w:b/>
                <w:bCs/>
                <w:sz w:val="24"/>
                <w:szCs w:val="24"/>
                <w:u w:val="single"/>
                <w:lang w:val="en-US" w:eastAsia="zh-CN"/>
              </w:rPr>
              <w:t>磨边</w:t>
            </w:r>
            <w:r>
              <w:rPr>
                <w:rFonts w:hint="eastAsia"/>
                <w:b/>
                <w:bCs/>
                <w:sz w:val="24"/>
                <w:szCs w:val="24"/>
                <w:u w:val="single"/>
                <w:lang w:val="en-US" w:eastAsia="zh-CN"/>
              </w:rPr>
              <w:t>、孔缺、清洗</w:t>
            </w:r>
            <w:r>
              <w:rPr>
                <w:rFonts w:hint="eastAsia" w:ascii="宋体" w:hAnsi="宋体" w:eastAsia="宋体" w:cs="宋体"/>
                <w:b/>
                <w:bCs/>
                <w:color w:val="000000"/>
                <w:kern w:val="0"/>
                <w:sz w:val="24"/>
                <w:szCs w:val="24"/>
                <w:u w:val="single"/>
                <w:lang w:val="en-US" w:eastAsia="zh-CN" w:bidi="ar"/>
              </w:rPr>
              <w:t>后的玻璃片、一部分为彩色成像玻璃片、一部分为镀膜玻璃片</w:t>
            </w:r>
            <w:r>
              <w:rPr>
                <w:rFonts w:hint="eastAsia" w:ascii="宋体" w:hAnsi="宋体" w:eastAsia="宋体" w:cs="宋体"/>
                <w:color w:val="000000"/>
                <w:kern w:val="0"/>
                <w:sz w:val="24"/>
                <w:szCs w:val="24"/>
                <w:lang w:val="en-US" w:eastAsia="zh-CN" w:bidi="ar"/>
              </w:rPr>
              <w:t>。根据生产设置</w:t>
            </w:r>
            <w:r>
              <w:rPr>
                <w:rFonts w:hint="eastAsia" w:ascii="宋体" w:hAnsi="宋体" w:cs="宋体"/>
                <w:color w:val="000000"/>
                <w:kern w:val="0"/>
                <w:sz w:val="24"/>
                <w:szCs w:val="24"/>
                <w:lang w:val="en-US" w:eastAsia="zh-CN" w:bidi="ar"/>
              </w:rPr>
              <w:t>需要</w:t>
            </w:r>
            <w:r>
              <w:rPr>
                <w:rFonts w:hint="eastAsia" w:ascii="宋体" w:hAnsi="宋体" w:eastAsia="宋体" w:cs="宋体"/>
                <w:color w:val="000000"/>
                <w:kern w:val="0"/>
                <w:sz w:val="24"/>
                <w:szCs w:val="24"/>
                <w:lang w:val="en-US" w:eastAsia="zh-CN" w:bidi="ar"/>
              </w:rPr>
              <w:t>，送入钢化炉进行钢化。钢化过程主要</w:t>
            </w:r>
            <w:r>
              <w:rPr>
                <w:rFonts w:hint="default"/>
                <w:sz w:val="24"/>
                <w:szCs w:val="24"/>
                <w:lang w:val="en-US" w:eastAsia="zh-CN"/>
              </w:rPr>
              <w:t>根据玻璃厚度控制通过速度， 一般加热时间在 15-30min 之间，加热温度 600℃左右，刚好到玻璃软化点，然后出炉经多头喷嘴向两面喷吹空气，使之迅速地、均匀地冷却，当冷却至室温时，就形成了高强度的钢化玻璃</w:t>
            </w:r>
            <w:r>
              <w:rPr>
                <w:rFonts w:hint="eastAsia"/>
                <w:sz w:val="24"/>
                <w:szCs w:val="24"/>
                <w:lang w:val="en-US" w:eastAsia="zh-CN"/>
              </w:rPr>
              <w:t>。</w:t>
            </w:r>
            <w:r>
              <w:rPr>
                <w:rFonts w:hint="eastAsia"/>
                <w:b/>
                <w:bCs/>
                <w:sz w:val="24"/>
                <w:szCs w:val="24"/>
                <w:u w:val="single"/>
                <w:lang w:val="en-US" w:eastAsia="zh-CN"/>
              </w:rPr>
              <w:t>对于需要进行均质的钢化玻璃送入均质炉进行均质，均质的目的主要是减少玻璃中张应力区出现的硫化镍晶体，从而防止因晶体转变而导致的自爆现象。这样做可以提升玻璃的使用安全性</w:t>
            </w:r>
            <w:r>
              <w:rPr>
                <w:rFonts w:hint="default"/>
                <w:sz w:val="24"/>
                <w:szCs w:val="24"/>
                <w:lang w:val="en-US" w:eastAsia="zh-CN"/>
              </w:rPr>
              <w:t>。</w:t>
            </w:r>
            <w:r>
              <w:rPr>
                <w:rFonts w:hint="eastAsia"/>
                <w:sz w:val="24"/>
                <w:szCs w:val="24"/>
                <w:lang w:val="en-US" w:eastAsia="zh-CN"/>
              </w:rPr>
              <w:t>然后</w:t>
            </w:r>
            <w:r>
              <w:rPr>
                <w:rFonts w:hint="default"/>
                <w:sz w:val="24"/>
                <w:szCs w:val="24"/>
                <w:lang w:val="en-US" w:eastAsia="zh-CN"/>
              </w:rPr>
              <w:t>完成钢化</w:t>
            </w:r>
            <w:r>
              <w:rPr>
                <w:rFonts w:hint="eastAsia"/>
                <w:sz w:val="24"/>
                <w:szCs w:val="24"/>
                <w:lang w:val="en-US" w:eastAsia="zh-CN"/>
              </w:rPr>
              <w:t>、均质</w:t>
            </w:r>
            <w:r>
              <w:rPr>
                <w:rFonts w:hint="default"/>
                <w:sz w:val="24"/>
                <w:szCs w:val="24"/>
                <w:lang w:val="en-US" w:eastAsia="zh-CN"/>
              </w:rPr>
              <w:t>的玻璃进行抗冲击试验、耐热试验等检测，合格的产品</w:t>
            </w:r>
            <w:r>
              <w:rPr>
                <w:rFonts w:hint="eastAsia"/>
                <w:sz w:val="24"/>
                <w:szCs w:val="24"/>
                <w:lang w:val="en-US" w:eastAsia="zh-CN"/>
              </w:rPr>
              <w:t>包括单层</w:t>
            </w:r>
            <w:r>
              <w:rPr>
                <w:rFonts w:hint="eastAsia" w:ascii="宋体" w:hAnsi="宋体" w:eastAsia="宋体" w:cs="宋体"/>
                <w:color w:val="000000"/>
                <w:kern w:val="0"/>
                <w:sz w:val="24"/>
                <w:szCs w:val="24"/>
                <w:lang w:val="en-US" w:eastAsia="zh-CN" w:bidi="ar"/>
              </w:rPr>
              <w:t>彩色成像钢化玻璃、单层镀膜钢化玻璃，单层钢化玻璃，其中</w:t>
            </w:r>
            <w:r>
              <w:rPr>
                <w:rFonts w:hint="eastAsia"/>
                <w:sz w:val="24"/>
                <w:szCs w:val="24"/>
                <w:lang w:val="en-US" w:eastAsia="zh-CN"/>
              </w:rPr>
              <w:t>单层</w:t>
            </w:r>
            <w:r>
              <w:rPr>
                <w:rFonts w:hint="eastAsia" w:ascii="宋体" w:hAnsi="宋体" w:eastAsia="宋体" w:cs="宋体"/>
                <w:color w:val="000000"/>
                <w:kern w:val="0"/>
                <w:sz w:val="24"/>
                <w:szCs w:val="24"/>
                <w:lang w:val="en-US" w:eastAsia="zh-CN" w:bidi="ar"/>
              </w:rPr>
              <w:t>彩色成像钢化玻璃一部分做为产品外售，一部分用于生产夹胶玻璃，单层钢化玻璃和单层镀膜钢化玻璃则全部用于生产中空玻璃和夹胶玻璃</w:t>
            </w:r>
            <w:r>
              <w:rPr>
                <w:rFonts w:hint="eastAsia"/>
                <w:sz w:val="24"/>
                <w:szCs w:val="24"/>
                <w:lang w:val="en-US" w:eastAsia="zh-CN"/>
              </w:rPr>
              <w:t>。</w:t>
            </w:r>
          </w:p>
          <w:p w14:paraId="0699D574">
            <w:pPr>
              <w:keepNext w:val="0"/>
              <w:keepLines w:val="0"/>
              <w:widowControl/>
              <w:suppressLineNumbers w:val="0"/>
              <w:spacing w:line="360" w:lineRule="auto"/>
              <w:ind w:firstLine="480" w:firstLineChars="200"/>
              <w:jc w:val="left"/>
              <w:rPr>
                <w:rFonts w:hint="eastAsia" w:ascii="宋体" w:hAnsi="宋体" w:eastAsia="宋体" w:cs="宋体"/>
                <w:color w:val="000000"/>
                <w:kern w:val="0"/>
                <w:sz w:val="24"/>
                <w:szCs w:val="24"/>
                <w:lang w:val="en-US" w:eastAsia="zh-CN" w:bidi="ar"/>
              </w:rPr>
            </w:pPr>
            <w:r>
              <w:rPr>
                <w:rFonts w:hint="eastAsia"/>
                <w:sz w:val="24"/>
                <w:szCs w:val="24"/>
                <w:lang w:val="en-US" w:eastAsia="zh-CN"/>
              </w:rPr>
              <w:t>（6）清洗：前端生产的用于生产中空玻璃和夹胶玻璃的单层镀膜玻璃、单层钢化玻璃、单层镀膜钢化玻璃、单层</w:t>
            </w:r>
            <w:r>
              <w:rPr>
                <w:rFonts w:hint="eastAsia" w:ascii="宋体" w:hAnsi="宋体" w:eastAsia="宋体" w:cs="宋体"/>
                <w:color w:val="000000"/>
                <w:kern w:val="0"/>
                <w:sz w:val="24"/>
                <w:szCs w:val="24"/>
                <w:lang w:val="en-US" w:eastAsia="zh-CN" w:bidi="ar"/>
              </w:rPr>
              <w:t>彩色成像钢化玻璃分别送入清洗线再次用纯水进行清洗、干燥。</w:t>
            </w:r>
          </w:p>
          <w:p w14:paraId="44EBEBA4">
            <w:pPr>
              <w:keepNext w:val="0"/>
              <w:keepLines w:val="0"/>
              <w:widowControl/>
              <w:suppressLineNumbers w:val="0"/>
              <w:spacing w:line="360" w:lineRule="auto"/>
              <w:ind w:firstLine="480" w:firstLineChars="200"/>
              <w:jc w:val="left"/>
              <w:rPr>
                <w:rFonts w:hint="default"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（7）夹胶合片、固化、检测：根据企业生产需求，夹胶玻璃生产选择</w:t>
            </w:r>
            <w:r>
              <w:rPr>
                <w:rFonts w:hint="eastAsia"/>
                <w:sz w:val="24"/>
                <w:szCs w:val="24"/>
                <w:lang w:val="en-US" w:eastAsia="zh-CN"/>
              </w:rPr>
              <w:t>单层镀膜玻璃、单层钢化玻璃、单层镀膜钢化玻璃、单层</w:t>
            </w:r>
            <w:r>
              <w:rPr>
                <w:rFonts w:hint="eastAsia" w:ascii="宋体" w:hAnsi="宋体" w:eastAsia="宋体" w:cs="宋体"/>
                <w:color w:val="000000"/>
                <w:kern w:val="0"/>
                <w:sz w:val="24"/>
                <w:szCs w:val="24"/>
                <w:lang w:val="en-US" w:eastAsia="zh-CN" w:bidi="ar"/>
              </w:rPr>
              <w:t>彩色成像钢化玻璃中的一种或两种进行生产，其中双层夹胶玻璃主要为两片钢化玻璃，或一片钢化玻璃，一片其他玻璃进行组合，多层夹胶玻璃则是多片钢化玻璃，或是多片钢化玻璃，一片其他玻璃进行组合。</w:t>
            </w:r>
          </w:p>
          <w:p w14:paraId="72D2E039">
            <w:pPr>
              <w:widowControl w:val="0"/>
              <w:numPr>
                <w:ilvl w:val="0"/>
                <w:numId w:val="0"/>
              </w:numPr>
              <w:spacing w:line="360" w:lineRule="auto"/>
              <w:ind w:firstLine="480" w:firstLineChars="200"/>
              <w:jc w:val="both"/>
              <w:rPr>
                <w:rFonts w:hint="default"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夹胶玻璃主要是在两片钢化玻璃成品中间加上</w:t>
            </w:r>
            <w:r>
              <w:rPr>
                <w:rFonts w:hint="default" w:ascii="Times New Roman" w:hAnsi="Times New Roman" w:eastAsia="宋体" w:cs="Times New Roman"/>
                <w:color w:val="000000"/>
                <w:kern w:val="0"/>
                <w:sz w:val="24"/>
                <w:szCs w:val="24"/>
                <w:lang w:val="en-US" w:eastAsia="zh-CN" w:bidi="ar"/>
              </w:rPr>
              <w:t xml:space="preserve">PVB </w:t>
            </w:r>
            <w:r>
              <w:rPr>
                <w:rFonts w:hint="eastAsia" w:ascii="宋体" w:hAnsi="宋体" w:eastAsia="宋体" w:cs="宋体"/>
                <w:color w:val="000000"/>
                <w:kern w:val="0"/>
                <w:sz w:val="24"/>
                <w:szCs w:val="24"/>
                <w:lang w:val="en-US" w:eastAsia="zh-CN" w:bidi="ar"/>
              </w:rPr>
              <w:t>膜，放进高压釜中进行固化，压力范围为</w:t>
            </w:r>
            <w:r>
              <w:rPr>
                <w:rFonts w:hint="default" w:ascii="Times New Roman" w:hAnsi="Times New Roman" w:eastAsia="宋体" w:cs="Times New Roman"/>
                <w:color w:val="000000"/>
                <w:kern w:val="0"/>
                <w:sz w:val="24"/>
                <w:szCs w:val="24"/>
                <w:lang w:val="en-US" w:eastAsia="zh-CN" w:bidi="ar"/>
              </w:rPr>
              <w:t>8bar~15bar</w:t>
            </w:r>
            <w:r>
              <w:rPr>
                <w:rFonts w:hint="eastAsia" w:ascii="宋体" w:hAnsi="宋体" w:eastAsia="宋体" w:cs="宋体"/>
                <w:color w:val="000000"/>
                <w:kern w:val="0"/>
                <w:sz w:val="24"/>
                <w:szCs w:val="24"/>
                <w:lang w:val="en-US" w:eastAsia="zh-CN" w:bidi="ar"/>
              </w:rPr>
              <w:t>，温度控制在</w:t>
            </w:r>
            <w:r>
              <w:rPr>
                <w:rFonts w:hint="default" w:ascii="Times New Roman" w:hAnsi="Times New Roman" w:eastAsia="宋体" w:cs="Times New Roman"/>
                <w:color w:val="000000"/>
                <w:kern w:val="0"/>
                <w:sz w:val="24"/>
                <w:szCs w:val="24"/>
                <w:lang w:val="en-US" w:eastAsia="zh-CN" w:bidi="ar"/>
              </w:rPr>
              <w:t>125~ 150℃</w:t>
            </w:r>
            <w:r>
              <w:rPr>
                <w:rFonts w:hint="eastAsia" w:ascii="宋体" w:hAnsi="宋体" w:eastAsia="宋体" w:cs="宋体"/>
                <w:color w:val="000000"/>
                <w:kern w:val="0"/>
                <w:sz w:val="24"/>
                <w:szCs w:val="24"/>
                <w:lang w:val="en-US" w:eastAsia="zh-CN" w:bidi="ar"/>
              </w:rPr>
              <w:t>约</w:t>
            </w:r>
            <w:r>
              <w:rPr>
                <w:rFonts w:hint="default" w:ascii="Times New Roman" w:hAnsi="Times New Roman" w:eastAsia="宋体" w:cs="Times New Roman"/>
                <w:color w:val="000000"/>
                <w:kern w:val="0"/>
                <w:sz w:val="24"/>
                <w:szCs w:val="24"/>
                <w:lang w:val="en-US" w:eastAsia="zh-CN" w:bidi="ar"/>
              </w:rPr>
              <w:t>2h</w:t>
            </w:r>
            <w:r>
              <w:rPr>
                <w:rFonts w:hint="eastAsia" w:ascii="宋体" w:hAnsi="宋体" w:eastAsia="宋体" w:cs="宋体"/>
                <w:color w:val="000000"/>
                <w:kern w:val="0"/>
                <w:sz w:val="24"/>
                <w:szCs w:val="24"/>
                <w:lang w:val="en-US" w:eastAsia="zh-CN" w:bidi="ar"/>
              </w:rPr>
              <w:t>，高温过程中</w:t>
            </w:r>
            <w:r>
              <w:rPr>
                <w:rFonts w:hint="default" w:ascii="Times New Roman" w:hAnsi="Times New Roman" w:eastAsia="宋体" w:cs="Times New Roman"/>
                <w:color w:val="000000"/>
                <w:kern w:val="0"/>
                <w:sz w:val="24"/>
                <w:szCs w:val="24"/>
                <w:lang w:val="en-US" w:eastAsia="zh-CN" w:bidi="ar"/>
              </w:rPr>
              <w:t xml:space="preserve">PVB </w:t>
            </w:r>
            <w:r>
              <w:rPr>
                <w:rFonts w:hint="eastAsia" w:ascii="宋体" w:hAnsi="宋体" w:eastAsia="宋体" w:cs="宋体"/>
                <w:color w:val="000000"/>
                <w:kern w:val="0"/>
                <w:sz w:val="24"/>
                <w:szCs w:val="24"/>
                <w:lang w:val="en-US" w:eastAsia="zh-CN" w:bidi="ar"/>
              </w:rPr>
              <w:t>软化将两层玻璃粘合为一体，经自然冷却后，再进行人工检测</w:t>
            </w:r>
            <w:r>
              <w:rPr>
                <w:rFonts w:hint="eastAsia" w:ascii="宋体" w:hAnsi="宋体" w:cs="宋体"/>
                <w:color w:val="000000"/>
                <w:kern w:val="0"/>
                <w:sz w:val="24"/>
                <w:szCs w:val="24"/>
                <w:lang w:val="en-US" w:eastAsia="zh-CN" w:bidi="ar"/>
              </w:rPr>
              <w:t>（主要是检查</w:t>
            </w:r>
            <w:r>
              <w:rPr>
                <w:rFonts w:hint="default" w:ascii="Times New Roman" w:hAnsi="Times New Roman" w:cs="Times New Roman"/>
                <w:color w:val="000000"/>
                <w:kern w:val="0"/>
                <w:sz w:val="24"/>
                <w:szCs w:val="24"/>
                <w:lang w:val="en-US" w:eastAsia="zh-CN" w:bidi="ar"/>
              </w:rPr>
              <w:t>PVB胶片是</w:t>
            </w:r>
            <w:r>
              <w:rPr>
                <w:rFonts w:hint="eastAsia" w:ascii="宋体" w:hAnsi="宋体" w:cs="宋体"/>
                <w:color w:val="000000"/>
                <w:kern w:val="0"/>
                <w:sz w:val="24"/>
                <w:szCs w:val="24"/>
                <w:lang w:val="en-US" w:eastAsia="zh-CN" w:bidi="ar"/>
              </w:rPr>
              <w:t>否均匀、无褶皱、无脱胶、无开胶、无气泡、无夹杂物等异常，确保胶片与玻璃粘结良好）</w:t>
            </w:r>
            <w:r>
              <w:rPr>
                <w:rFonts w:hint="eastAsia" w:ascii="宋体" w:hAnsi="宋体" w:eastAsia="宋体" w:cs="宋体"/>
                <w:color w:val="000000"/>
                <w:kern w:val="0"/>
                <w:sz w:val="24"/>
                <w:szCs w:val="24"/>
                <w:lang w:val="en-US" w:eastAsia="zh-CN" w:bidi="ar"/>
              </w:rPr>
              <w:t>即得到夹胶玻璃成品。该过程主要产生检测不合格品。</w:t>
            </w:r>
          </w:p>
          <w:p w14:paraId="021DF6B5">
            <w:pPr>
              <w:widowControl w:val="0"/>
              <w:numPr>
                <w:ilvl w:val="0"/>
                <w:numId w:val="0"/>
              </w:numPr>
              <w:spacing w:line="360" w:lineRule="auto"/>
              <w:ind w:firstLine="480" w:firstLineChars="200"/>
              <w:jc w:val="both"/>
              <w:rPr>
                <w:rFonts w:hint="eastAsia" w:ascii="宋体" w:hAnsi="宋体" w:eastAsia="宋体" w:cs="宋体"/>
                <w:color w:val="000000"/>
                <w:kern w:val="0"/>
                <w:sz w:val="24"/>
                <w:szCs w:val="24"/>
                <w:lang w:val="en-US" w:eastAsia="zh-CN" w:bidi="ar"/>
              </w:rPr>
            </w:pPr>
            <w:r>
              <w:rPr>
                <w:rFonts w:hint="default" w:ascii="Times New Roman" w:hAnsi="Times New Roman" w:eastAsia="宋体" w:cs="Times New Roman"/>
                <w:color w:val="000000"/>
                <w:kern w:val="0"/>
                <w:sz w:val="24"/>
                <w:szCs w:val="24"/>
                <w:lang w:val="en-US" w:eastAsia="zh-CN" w:bidi="ar"/>
              </w:rPr>
              <w:t>PVB</w:t>
            </w:r>
            <w:r>
              <w:rPr>
                <w:rFonts w:hint="eastAsia" w:ascii="宋体" w:hAnsi="宋体" w:eastAsia="宋体" w:cs="宋体"/>
                <w:color w:val="000000"/>
                <w:kern w:val="0"/>
                <w:sz w:val="24"/>
                <w:szCs w:val="24"/>
                <w:lang w:val="en-US" w:eastAsia="zh-CN" w:bidi="ar"/>
              </w:rPr>
              <w:t>中间膜是半透明的薄膜，由聚乙烯醇缩丁醛树脂经增塑剂塑化挤压成型的一种高分子材料，性能稳定，软化温度为</w:t>
            </w:r>
            <w:r>
              <w:rPr>
                <w:rFonts w:hint="default" w:ascii="Times New Roman" w:hAnsi="Times New Roman" w:eastAsia="宋体" w:cs="Times New Roman"/>
                <w:color w:val="000000"/>
                <w:kern w:val="0"/>
                <w:sz w:val="24"/>
                <w:szCs w:val="24"/>
                <w:lang w:val="en-US" w:eastAsia="zh-CN" w:bidi="ar"/>
              </w:rPr>
              <w:t>60~65℃</w:t>
            </w:r>
            <w:r>
              <w:rPr>
                <w:rFonts w:hint="eastAsia" w:ascii="宋体" w:hAnsi="宋体" w:eastAsia="宋体" w:cs="宋体"/>
                <w:color w:val="000000"/>
                <w:kern w:val="0"/>
                <w:sz w:val="24"/>
                <w:szCs w:val="24"/>
                <w:lang w:val="en-US" w:eastAsia="zh-CN" w:bidi="ar"/>
              </w:rPr>
              <w:t xml:space="preserve">，分解温度为 </w:t>
            </w:r>
            <w:r>
              <w:rPr>
                <w:rFonts w:hint="default" w:ascii="Times New Roman" w:hAnsi="Times New Roman" w:eastAsia="宋体" w:cs="Times New Roman"/>
                <w:color w:val="000000"/>
                <w:kern w:val="0"/>
                <w:sz w:val="24"/>
                <w:szCs w:val="24"/>
                <w:lang w:val="en-US" w:eastAsia="zh-CN" w:bidi="ar"/>
              </w:rPr>
              <w:t>400~600℃</w:t>
            </w:r>
            <w:r>
              <w:rPr>
                <w:rFonts w:hint="eastAsia" w:ascii="宋体" w:hAnsi="宋体" w:eastAsia="宋体" w:cs="宋体"/>
                <w:color w:val="000000"/>
                <w:kern w:val="0"/>
                <w:sz w:val="24"/>
                <w:szCs w:val="24"/>
                <w:lang w:val="en-US" w:eastAsia="zh-CN" w:bidi="ar"/>
              </w:rPr>
              <w:t>，分解产物主要为丁醛废气等。本项目高压釜温度控制在</w:t>
            </w:r>
            <w:r>
              <w:rPr>
                <w:rFonts w:hint="default" w:ascii="Times New Roman" w:hAnsi="Times New Roman" w:eastAsia="宋体" w:cs="Times New Roman"/>
                <w:color w:val="000000"/>
                <w:kern w:val="0"/>
                <w:sz w:val="24"/>
                <w:szCs w:val="24"/>
                <w:lang w:val="en-US" w:eastAsia="zh-CN" w:bidi="ar"/>
              </w:rPr>
              <w:t>125~ 150℃</w:t>
            </w:r>
            <w:r>
              <w:rPr>
                <w:rFonts w:hint="eastAsia" w:ascii="宋体" w:hAnsi="宋体" w:eastAsia="宋体" w:cs="宋体"/>
                <w:color w:val="000000"/>
                <w:kern w:val="0"/>
                <w:sz w:val="24"/>
                <w:szCs w:val="24"/>
                <w:lang w:val="en-US" w:eastAsia="zh-CN" w:bidi="ar"/>
              </w:rPr>
              <w:t>约</w:t>
            </w:r>
            <w:r>
              <w:rPr>
                <w:rFonts w:hint="default" w:ascii="Times New Roman" w:hAnsi="Times New Roman" w:eastAsia="宋体" w:cs="Times New Roman"/>
                <w:color w:val="000000"/>
                <w:kern w:val="0"/>
                <w:sz w:val="24"/>
                <w:szCs w:val="24"/>
                <w:lang w:val="en-US" w:eastAsia="zh-CN" w:bidi="ar"/>
              </w:rPr>
              <w:t>2h</w:t>
            </w:r>
            <w:r>
              <w:rPr>
                <w:rFonts w:hint="eastAsia" w:ascii="宋体" w:hAnsi="宋体" w:eastAsia="宋体" w:cs="宋体"/>
                <w:color w:val="000000"/>
                <w:kern w:val="0"/>
                <w:sz w:val="24"/>
                <w:szCs w:val="24"/>
                <w:lang w:val="en-US" w:eastAsia="zh-CN" w:bidi="ar"/>
              </w:rPr>
              <w:t>，</w:t>
            </w:r>
            <w:r>
              <w:rPr>
                <w:rFonts w:hint="default" w:ascii="Times New Roman" w:hAnsi="Times New Roman" w:eastAsia="宋体" w:cs="Times New Roman"/>
                <w:color w:val="000000"/>
                <w:kern w:val="0"/>
                <w:sz w:val="24"/>
                <w:szCs w:val="24"/>
                <w:lang w:val="en-US" w:eastAsia="zh-CN" w:bidi="ar"/>
              </w:rPr>
              <w:t>PVB</w:t>
            </w:r>
            <w:r>
              <w:rPr>
                <w:rFonts w:hint="eastAsia" w:ascii="宋体" w:hAnsi="宋体" w:eastAsia="宋体" w:cs="宋体"/>
                <w:color w:val="000000"/>
                <w:kern w:val="0"/>
                <w:sz w:val="24"/>
                <w:szCs w:val="24"/>
                <w:lang w:val="en-US" w:eastAsia="zh-CN" w:bidi="ar"/>
              </w:rPr>
              <w:t xml:space="preserve">膜不会分解，因此夹胶玻璃在高压釜中固化过程中不会产生 </w:t>
            </w:r>
            <w:r>
              <w:rPr>
                <w:rFonts w:hint="default" w:ascii="Times New Roman" w:hAnsi="Times New Roman" w:eastAsia="宋体" w:cs="Times New Roman"/>
                <w:color w:val="000000"/>
                <w:kern w:val="0"/>
                <w:sz w:val="24"/>
                <w:szCs w:val="24"/>
                <w:lang w:val="en-US" w:eastAsia="zh-CN" w:bidi="ar"/>
              </w:rPr>
              <w:t xml:space="preserve">PVB </w:t>
            </w:r>
            <w:r>
              <w:rPr>
                <w:rFonts w:hint="eastAsia" w:ascii="宋体" w:hAnsi="宋体" w:eastAsia="宋体" w:cs="宋体"/>
                <w:color w:val="000000"/>
                <w:kern w:val="0"/>
                <w:sz w:val="24"/>
                <w:szCs w:val="24"/>
                <w:lang w:val="en-US" w:eastAsia="zh-CN" w:bidi="ar"/>
              </w:rPr>
              <w:t>分解废气。</w:t>
            </w:r>
          </w:p>
          <w:p w14:paraId="54D09299">
            <w:pPr>
              <w:keepNext w:val="0"/>
              <w:keepLines w:val="0"/>
              <w:widowControl/>
              <w:suppressLineNumbers w:val="0"/>
              <w:spacing w:line="360" w:lineRule="auto"/>
              <w:ind w:firstLine="480" w:firstLineChars="200"/>
              <w:jc w:val="left"/>
              <w:rPr>
                <w:rFonts w:hint="default"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（8）合片：根据企业生产需求，选择双层或多层夹胶玻璃与前端清洗干燥好的</w:t>
            </w:r>
            <w:r>
              <w:rPr>
                <w:rFonts w:hint="eastAsia"/>
                <w:sz w:val="24"/>
                <w:szCs w:val="24"/>
                <w:lang w:val="en-US" w:eastAsia="zh-CN"/>
              </w:rPr>
              <w:t>单层镀膜玻璃、单层钢化玻璃、单层镀膜钢化玻璃、单层</w:t>
            </w:r>
            <w:r>
              <w:rPr>
                <w:rFonts w:hint="eastAsia" w:ascii="宋体" w:hAnsi="宋体" w:eastAsia="宋体" w:cs="宋体"/>
                <w:color w:val="000000"/>
                <w:kern w:val="0"/>
                <w:sz w:val="24"/>
                <w:szCs w:val="24"/>
                <w:lang w:val="en-US" w:eastAsia="zh-CN" w:bidi="ar"/>
              </w:rPr>
              <w:t>彩色成像钢化玻璃进行合片生产中空玻璃。</w:t>
            </w:r>
          </w:p>
          <w:p w14:paraId="0738FEFE">
            <w:pPr>
              <w:keepNext w:val="0"/>
              <w:keepLines w:val="0"/>
              <w:widowControl/>
              <w:suppressLineNumbers w:val="0"/>
              <w:spacing w:line="360" w:lineRule="auto"/>
              <w:ind w:firstLine="480" w:firstLineChars="200"/>
              <w:jc w:val="left"/>
              <w:rPr>
                <w:rFonts w:hint="default" w:ascii="Times New Roman" w:hAnsi="Times New Roman" w:cs="Times New Roman"/>
              </w:rPr>
            </w:pPr>
            <w:r>
              <w:rPr>
                <w:rFonts w:hint="default" w:ascii="Times New Roman" w:hAnsi="Times New Roman" w:eastAsia="宋体" w:cs="Times New Roman"/>
                <w:color w:val="000000"/>
                <w:kern w:val="0"/>
                <w:sz w:val="24"/>
                <w:szCs w:val="24"/>
                <w:lang w:val="en-US" w:eastAsia="zh-CN" w:bidi="ar"/>
              </w:rPr>
              <w:t>1）铝框。</w:t>
            </w:r>
            <w:r>
              <w:rPr>
                <w:rFonts w:hint="eastAsia" w:cs="Times New Roman"/>
                <w:color w:val="000000"/>
                <w:kern w:val="0"/>
                <w:sz w:val="24"/>
                <w:szCs w:val="24"/>
                <w:lang w:val="en-US" w:eastAsia="zh-CN" w:bidi="ar"/>
              </w:rPr>
              <w:t>本项目铝框直接外购，厂内不生产</w:t>
            </w:r>
            <w:r>
              <w:rPr>
                <w:rFonts w:hint="default" w:ascii="Times New Roman" w:hAnsi="Times New Roman" w:eastAsia="宋体" w:cs="Times New Roman"/>
                <w:color w:val="000000"/>
                <w:kern w:val="0"/>
                <w:sz w:val="24"/>
                <w:szCs w:val="24"/>
                <w:lang w:val="en-US" w:eastAsia="zh-CN" w:bidi="ar"/>
              </w:rPr>
              <w:t xml:space="preserve">。 </w:t>
            </w:r>
          </w:p>
          <w:p w14:paraId="03E4AC28">
            <w:pPr>
              <w:keepNext w:val="0"/>
              <w:keepLines w:val="0"/>
              <w:widowControl/>
              <w:suppressLineNumbers w:val="0"/>
              <w:spacing w:line="360" w:lineRule="auto"/>
              <w:ind w:firstLine="480" w:firstLineChars="200"/>
              <w:jc w:val="left"/>
              <w:rPr>
                <w:rFonts w:hint="default" w:ascii="Times New Roman" w:hAnsi="Times New Roman" w:eastAsia="宋体" w:cs="Times New Roman"/>
                <w:color w:val="000000"/>
                <w:kern w:val="0"/>
                <w:sz w:val="24"/>
                <w:szCs w:val="24"/>
                <w:lang w:val="en-US" w:eastAsia="zh-CN" w:bidi="ar"/>
              </w:rPr>
            </w:pPr>
            <w:r>
              <w:rPr>
                <w:rFonts w:hint="default" w:ascii="Times New Roman" w:hAnsi="Times New Roman" w:eastAsia="宋体" w:cs="Times New Roman"/>
                <w:color w:val="000000"/>
                <w:kern w:val="0"/>
                <w:sz w:val="24"/>
                <w:szCs w:val="24"/>
                <w:lang w:val="en-US" w:eastAsia="zh-CN" w:bidi="ar"/>
              </w:rPr>
              <w:t>2）分子筛填充于组筛。</w:t>
            </w:r>
            <w:r>
              <w:rPr>
                <w:rFonts w:hint="eastAsia" w:cs="Times New Roman"/>
                <w:color w:val="000000"/>
                <w:kern w:val="0"/>
                <w:sz w:val="24"/>
                <w:szCs w:val="24"/>
                <w:lang w:val="en-US" w:eastAsia="zh-CN" w:bidi="ar"/>
              </w:rPr>
              <w:t>外购</w:t>
            </w:r>
            <w:r>
              <w:rPr>
                <w:rFonts w:hint="default" w:ascii="Times New Roman" w:hAnsi="Times New Roman" w:eastAsia="宋体" w:cs="Times New Roman"/>
                <w:color w:val="000000"/>
                <w:kern w:val="0"/>
                <w:sz w:val="24"/>
                <w:szCs w:val="24"/>
                <w:lang w:val="en-US" w:eastAsia="zh-CN" w:bidi="ar"/>
              </w:rPr>
              <w:t>的铝框</w:t>
            </w:r>
            <w:r>
              <w:rPr>
                <w:rFonts w:hint="eastAsia" w:cs="Times New Roman"/>
                <w:color w:val="000000"/>
                <w:kern w:val="0"/>
                <w:sz w:val="24"/>
                <w:szCs w:val="24"/>
                <w:lang w:val="en-US" w:eastAsia="zh-CN" w:bidi="ar"/>
              </w:rPr>
              <w:t>先加上铝条（铝条根据铝框大小进行切割，</w:t>
            </w:r>
            <w:r>
              <w:rPr>
                <w:rFonts w:hint="default" w:ascii="Times New Roman" w:hAnsi="Times New Roman" w:eastAsia="宋体" w:cs="Times New Roman"/>
                <w:color w:val="000000"/>
                <w:kern w:val="0"/>
                <w:sz w:val="24"/>
                <w:szCs w:val="24"/>
                <w:lang w:val="en-US" w:eastAsia="zh-CN" w:bidi="ar"/>
              </w:rPr>
              <w:t>项目铝条切割作业时会产生金属粉尘，此类颗粒物粒径较大，不易形成金属粉尘在空中漂浮，在较短时间沉降，因此切割过程不易形成扬尘</w:t>
            </w:r>
            <w:r>
              <w:rPr>
                <w:rFonts w:hint="eastAsia" w:ascii="Times New Roman" w:hAnsi="Times New Roman" w:eastAsia="宋体" w:cs="Times New Roman"/>
                <w:color w:val="000000"/>
                <w:kern w:val="0"/>
                <w:sz w:val="24"/>
                <w:szCs w:val="24"/>
                <w:lang w:val="en-US" w:eastAsia="zh-CN" w:bidi="ar"/>
              </w:rPr>
              <w:t>，</w:t>
            </w:r>
            <w:r>
              <w:rPr>
                <w:rFonts w:hint="eastAsia" w:cs="Times New Roman"/>
                <w:color w:val="000000"/>
                <w:kern w:val="0"/>
                <w:sz w:val="24"/>
                <w:szCs w:val="24"/>
                <w:lang w:val="en-US" w:eastAsia="zh-CN" w:bidi="ar"/>
              </w:rPr>
              <w:t>该过程会产生废铝条），然后</w:t>
            </w:r>
            <w:r>
              <w:rPr>
                <w:rFonts w:hint="default" w:ascii="Times New Roman" w:hAnsi="Times New Roman" w:eastAsia="宋体" w:cs="Times New Roman"/>
                <w:color w:val="000000"/>
                <w:kern w:val="0"/>
                <w:sz w:val="24"/>
                <w:szCs w:val="24"/>
                <w:lang w:val="en-US" w:eastAsia="zh-CN" w:bidi="ar"/>
              </w:rPr>
              <w:t>在分子筛填充机上进行分</w:t>
            </w:r>
            <w:r>
              <w:rPr>
                <w:rFonts w:hint="eastAsia" w:cs="Times New Roman"/>
                <w:color w:val="000000"/>
                <w:kern w:val="0"/>
                <w:sz w:val="24"/>
                <w:szCs w:val="24"/>
                <w:lang w:val="en-US" w:eastAsia="zh-CN" w:bidi="ar"/>
              </w:rPr>
              <w:t>子</w:t>
            </w:r>
            <w:r>
              <w:rPr>
                <w:rFonts w:hint="default" w:ascii="Times New Roman" w:hAnsi="Times New Roman" w:eastAsia="宋体" w:cs="Times New Roman"/>
                <w:color w:val="000000"/>
                <w:kern w:val="0"/>
                <w:sz w:val="24"/>
                <w:szCs w:val="24"/>
                <w:lang w:val="en-US" w:eastAsia="zh-CN" w:bidi="ar"/>
              </w:rPr>
              <w:t xml:space="preserve">筛填充，组成生产所需的间隔框。 </w:t>
            </w:r>
          </w:p>
          <w:p w14:paraId="31FBE339">
            <w:pPr>
              <w:keepNext w:val="0"/>
              <w:keepLines w:val="0"/>
              <w:widowControl/>
              <w:suppressLineNumbers w:val="0"/>
              <w:spacing w:line="360" w:lineRule="auto"/>
              <w:ind w:firstLine="480" w:firstLineChars="200"/>
              <w:jc w:val="left"/>
            </w:pPr>
            <w:r>
              <w:rPr>
                <w:rFonts w:hint="default" w:ascii="Times New Roman" w:hAnsi="Times New Roman" w:eastAsia="宋体" w:cs="Times New Roman"/>
                <w:color w:val="000000"/>
                <w:kern w:val="0"/>
                <w:sz w:val="24"/>
                <w:szCs w:val="24"/>
                <w:lang w:val="en-US" w:eastAsia="zh-CN" w:bidi="ar"/>
              </w:rPr>
              <w:t>3）合片、板压、涂密封胶、固化</w:t>
            </w:r>
            <w:r>
              <w:rPr>
                <w:rFonts w:hint="eastAsia" w:ascii="宋体" w:hAnsi="宋体" w:eastAsia="宋体" w:cs="宋体"/>
                <w:color w:val="000000"/>
                <w:kern w:val="0"/>
                <w:sz w:val="24"/>
                <w:szCs w:val="24"/>
                <w:lang w:val="en-US" w:eastAsia="zh-CN" w:bidi="ar"/>
              </w:rPr>
              <w:t>。前端准备好的玻璃经过输送锟道进入合片位置，固定好后再将涂好热熔丁基胶的铝框放上（用自动封胶机将其周边封好；封胶过程中将热熔丁基胶放入挤出机缸内加热到</w:t>
            </w:r>
            <w:r>
              <w:rPr>
                <w:rFonts w:hint="default" w:ascii="Times New Roman" w:hAnsi="Times New Roman" w:eastAsia="宋体" w:cs="Times New Roman"/>
                <w:color w:val="000000"/>
                <w:kern w:val="0"/>
                <w:sz w:val="24"/>
                <w:szCs w:val="24"/>
                <w:lang w:val="en-US" w:eastAsia="zh-CN" w:bidi="ar"/>
              </w:rPr>
              <w:t>110℃~120℃</w:t>
            </w:r>
            <w:r>
              <w:rPr>
                <w:rFonts w:hint="eastAsia" w:ascii="宋体" w:hAnsi="宋体" w:eastAsia="宋体" w:cs="宋体"/>
                <w:color w:val="000000"/>
                <w:kern w:val="0"/>
                <w:sz w:val="24"/>
                <w:szCs w:val="24"/>
                <w:lang w:val="en-US" w:eastAsia="zh-CN" w:bidi="ar"/>
              </w:rPr>
              <w:t>，该胶是中空玻璃生产中的常规使用的密封胶，不仅可以在</w:t>
            </w:r>
            <w:r>
              <w:rPr>
                <w:rFonts w:hint="default" w:ascii="Times New Roman" w:hAnsi="Times New Roman" w:eastAsia="宋体" w:cs="Times New Roman"/>
                <w:color w:val="000000"/>
                <w:kern w:val="0"/>
                <w:sz w:val="24"/>
                <w:szCs w:val="24"/>
                <w:lang w:val="en-US" w:eastAsia="zh-CN" w:bidi="ar"/>
              </w:rPr>
              <w:t>180℃</w:t>
            </w:r>
            <w:r>
              <w:rPr>
                <w:rFonts w:hint="eastAsia" w:ascii="宋体" w:hAnsi="宋体" w:eastAsia="宋体" w:cs="宋体"/>
                <w:color w:val="000000"/>
                <w:kern w:val="0"/>
                <w:sz w:val="24"/>
                <w:szCs w:val="24"/>
                <w:lang w:val="en-US" w:eastAsia="zh-CN" w:bidi="ar"/>
              </w:rPr>
              <w:t>条件下硫化无异常现象，而且在</w:t>
            </w:r>
            <w:r>
              <w:rPr>
                <w:rFonts w:hint="default" w:ascii="Times New Roman" w:hAnsi="Times New Roman" w:eastAsia="宋体" w:cs="Times New Roman"/>
                <w:color w:val="000000"/>
                <w:kern w:val="0"/>
                <w:sz w:val="24"/>
                <w:szCs w:val="24"/>
                <w:lang w:val="en-US" w:eastAsia="zh-CN" w:bidi="ar"/>
              </w:rPr>
              <w:t>205℃</w:t>
            </w:r>
            <w:r>
              <w:rPr>
                <w:rFonts w:hint="eastAsia" w:ascii="宋体" w:hAnsi="宋体" w:eastAsia="宋体" w:cs="宋体"/>
                <w:color w:val="000000"/>
                <w:kern w:val="0"/>
                <w:sz w:val="24"/>
                <w:szCs w:val="24"/>
                <w:lang w:val="en-US" w:eastAsia="zh-CN" w:bidi="ar"/>
              </w:rPr>
              <w:t>的极限温度下不会发生分子结构变化，在熔融状态下无异味产生。温控器保持恒温后，打出胶条检查均匀不断线时，将胶条涂抹到铝隔条槽上，稍凉后与干净的玻璃压合成中空玻璃半成品，待涂完外道密封胶并固化后即为中空玻璃成品），等下一片玻璃来后合片，后将合好片的玻璃送至合片挤压机挤压。中空玻璃制作过程中，需要用到中空玻璃硅酮密封胶，在常温下，</w:t>
            </w:r>
            <w:r>
              <w:rPr>
                <w:rFonts w:hint="eastAsia" w:cs="Times New Roman"/>
                <w:color w:val="000000"/>
                <w:kern w:val="0"/>
                <w:sz w:val="24"/>
                <w:szCs w:val="24"/>
                <w:lang w:val="en-US" w:eastAsia="zh-CN" w:bidi="ar"/>
              </w:rPr>
              <w:t>该</w:t>
            </w:r>
            <w:r>
              <w:rPr>
                <w:rFonts w:hint="eastAsia" w:ascii="宋体" w:hAnsi="宋体" w:eastAsia="宋体" w:cs="宋体"/>
                <w:color w:val="000000"/>
                <w:kern w:val="0"/>
                <w:sz w:val="24"/>
                <w:szCs w:val="24"/>
                <w:lang w:val="en-US" w:eastAsia="zh-CN" w:bidi="ar"/>
              </w:rPr>
              <w:t>胶在较短时间即可固化，起到</w:t>
            </w:r>
            <w:r>
              <w:rPr>
                <w:rFonts w:hint="eastAsia" w:ascii="宋体" w:hAnsi="宋体" w:cs="宋体"/>
                <w:color w:val="000000"/>
                <w:kern w:val="0"/>
                <w:sz w:val="24"/>
                <w:szCs w:val="24"/>
                <w:lang w:val="en-US" w:eastAsia="zh-CN" w:bidi="ar"/>
              </w:rPr>
              <w:t>粘结</w:t>
            </w:r>
            <w:r>
              <w:rPr>
                <w:rFonts w:hint="eastAsia" w:ascii="宋体" w:hAnsi="宋体" w:eastAsia="宋体" w:cs="宋体"/>
                <w:color w:val="000000"/>
                <w:kern w:val="0"/>
                <w:sz w:val="24"/>
                <w:szCs w:val="24"/>
                <w:lang w:val="en-US" w:eastAsia="zh-CN" w:bidi="ar"/>
              </w:rPr>
              <w:t xml:space="preserve">玻璃和密封中空玻璃的作用。固化过程中，会产生微量的有机废气，按非甲烷总烃计。该过程主要产生涂胶废气。 </w:t>
            </w:r>
          </w:p>
          <w:p w14:paraId="5E24EBB5">
            <w:pPr>
              <w:keepNext w:val="0"/>
              <w:keepLines w:val="0"/>
              <w:widowControl/>
              <w:suppressLineNumbers w:val="0"/>
              <w:spacing w:line="360" w:lineRule="auto"/>
              <w:ind w:firstLine="480" w:firstLineChars="200"/>
              <w:jc w:val="left"/>
              <w:rPr>
                <w:rFonts w:hint="default" w:ascii="Times New Roman" w:hAnsi="Times New Roman" w:cs="Times New Roman"/>
              </w:rPr>
            </w:pPr>
            <w:r>
              <w:rPr>
                <w:rFonts w:hint="default" w:ascii="Times New Roman" w:hAnsi="Times New Roman" w:eastAsia="宋体" w:cs="Times New Roman"/>
                <w:color w:val="000000"/>
                <w:kern w:val="0"/>
                <w:sz w:val="24"/>
                <w:szCs w:val="24"/>
                <w:lang w:val="en-US" w:eastAsia="zh-CN" w:bidi="ar"/>
              </w:rPr>
              <w:t xml:space="preserve">4）检测。中空玻璃成品抽样送检验室进行外观、尺寸偏差、露点及密封性能测试，达到标准即为合格品。该过程会产生检测不合格品。 </w:t>
            </w:r>
          </w:p>
          <w:p w14:paraId="26053D43">
            <w:pPr>
              <w:keepNext w:val="0"/>
              <w:keepLines w:val="0"/>
              <w:widowControl/>
              <w:suppressLineNumbers w:val="0"/>
              <w:spacing w:line="360" w:lineRule="auto"/>
              <w:ind w:firstLine="480" w:firstLineChars="200"/>
              <w:jc w:val="left"/>
              <w:rPr>
                <w:b w:val="0"/>
                <w:bCs w:val="0"/>
                <w:color w:val="auto"/>
              </w:rPr>
            </w:pPr>
            <w:r>
              <w:rPr>
                <w:rFonts w:hint="default" w:ascii="Times New Roman" w:hAnsi="Times New Roman" w:eastAsia="宋体" w:cs="Times New Roman"/>
                <w:color w:val="000000"/>
                <w:kern w:val="0"/>
                <w:sz w:val="24"/>
                <w:szCs w:val="24"/>
                <w:lang w:val="en-US" w:eastAsia="zh-CN" w:bidi="ar"/>
              </w:rPr>
              <w:t>5）包装。合格的中空玻璃运至产品包装间进行包装后，送至成品库暂存。</w:t>
            </w:r>
            <w:r>
              <w:rPr>
                <w:rFonts w:hint="eastAsia"/>
                <w:b w:val="0"/>
                <w:bCs w:val="0"/>
                <w:color w:val="FF0000"/>
                <w:lang w:val="en-US" w:eastAsia="zh-CN"/>
              </w:rPr>
              <w:t xml:space="preserve">      </w:t>
            </w:r>
          </w:p>
          <w:p w14:paraId="222BD6DD">
            <w:pPr>
              <w:pStyle w:val="2"/>
              <w:keepNext/>
              <w:keepLines w:val="0"/>
              <w:pageBreakBefore w:val="0"/>
              <w:widowControl w:val="0"/>
              <w:kinsoku/>
              <w:wordWrap/>
              <w:overflowPunct w:val="0"/>
              <w:topLinePunct w:val="0"/>
              <w:autoSpaceDE/>
              <w:autoSpaceDN/>
              <w:bidi w:val="0"/>
              <w:adjustRightInd/>
              <w:snapToGrid w:val="0"/>
              <w:spacing w:before="0" w:after="0"/>
              <w:textAlignment w:val="auto"/>
              <w:rPr>
                <w:rFonts w:hint="eastAsia" w:ascii="Times New Roman" w:hAnsi="Times New Roman" w:eastAsia="宋体" w:cs="Times New Roman"/>
                <w:b/>
                <w:bCs/>
                <w:color w:val="000000"/>
                <w:lang w:val="en-US" w:eastAsia="zh-CN"/>
              </w:rPr>
            </w:pPr>
            <w:bookmarkStart w:id="78" w:name="_Toc16751"/>
            <w:bookmarkStart w:id="79" w:name="_Toc22993"/>
            <w:r>
              <w:rPr>
                <w:rFonts w:hint="eastAsia" w:ascii="Times New Roman" w:hAnsi="Times New Roman" w:eastAsia="宋体" w:cs="Times New Roman"/>
                <w:b/>
                <w:bCs/>
                <w:color w:val="000000"/>
                <w:lang w:val="en-US" w:eastAsia="zh-CN"/>
              </w:rPr>
              <w:t>2、主要污染工序</w:t>
            </w:r>
            <w:bookmarkEnd w:id="78"/>
            <w:bookmarkEnd w:id="79"/>
          </w:p>
          <w:p w14:paraId="7EDEF266">
            <w:pPr>
              <w:pStyle w:val="96"/>
              <w:ind w:firstLine="480"/>
              <w:rPr>
                <w:rFonts w:hint="default" w:ascii="Times New Roman" w:hAnsi="Times New Roman" w:eastAsia="宋体" w:cs="Times New Roman"/>
                <w:b/>
                <w:bCs/>
                <w:snapToGrid w:val="0"/>
                <w:color w:val="auto"/>
                <w:kern w:val="0"/>
                <w:sz w:val="24"/>
                <w:szCs w:val="24"/>
                <w:lang w:val="en-US" w:eastAsia="zh-CN" w:bidi="ar-SA"/>
              </w:rPr>
            </w:pPr>
            <w:r>
              <w:rPr>
                <w:b w:val="0"/>
                <w:bCs w:val="0"/>
                <w:color w:val="auto"/>
              </w:rPr>
              <w:t>本项目运营期主要污染工序见表2-</w:t>
            </w:r>
            <w:r>
              <w:rPr>
                <w:rFonts w:hint="eastAsia"/>
                <w:b w:val="0"/>
                <w:bCs w:val="0"/>
                <w:color w:val="auto"/>
                <w:lang w:val="en-US" w:eastAsia="zh-CN"/>
              </w:rPr>
              <w:t>7</w:t>
            </w:r>
            <w:r>
              <w:rPr>
                <w:b w:val="0"/>
                <w:bCs w:val="0"/>
                <w:color w:val="auto"/>
              </w:rPr>
              <w:t>。</w:t>
            </w:r>
          </w:p>
          <w:p w14:paraId="46E454C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default" w:ascii="Times New Roman" w:hAnsi="Times New Roman" w:eastAsia="宋体" w:cs="Times New Roman"/>
                <w:b/>
                <w:bCs/>
                <w:snapToGrid w:val="0"/>
                <w:color w:val="auto"/>
                <w:kern w:val="0"/>
                <w:sz w:val="24"/>
                <w:szCs w:val="24"/>
                <w:lang w:val="en-US" w:eastAsia="zh-CN" w:bidi="ar-SA"/>
              </w:rPr>
              <w:t>表2-</w:t>
            </w:r>
            <w:r>
              <w:rPr>
                <w:rFonts w:hint="eastAsia" w:cs="Times New Roman"/>
                <w:b/>
                <w:bCs/>
                <w:snapToGrid w:val="0"/>
                <w:color w:val="auto"/>
                <w:kern w:val="0"/>
                <w:sz w:val="24"/>
                <w:szCs w:val="24"/>
                <w:lang w:val="en-US" w:eastAsia="zh-CN" w:bidi="ar-SA"/>
              </w:rPr>
              <w:t>7</w:t>
            </w:r>
            <w:r>
              <w:rPr>
                <w:rFonts w:hint="default"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default" w:ascii="Times New Roman" w:hAnsi="Times New Roman" w:eastAsia="宋体" w:cs="Times New Roman"/>
                <w:b/>
                <w:bCs/>
                <w:snapToGrid w:val="0"/>
                <w:color w:val="auto"/>
                <w:kern w:val="0"/>
                <w:sz w:val="24"/>
                <w:szCs w:val="24"/>
                <w:lang w:val="en-US" w:eastAsia="zh-CN" w:bidi="ar-SA"/>
              </w:rPr>
              <w:t xml:space="preserve">  营运期主要产污环节一览表</w:t>
            </w:r>
          </w:p>
          <w:tbl>
            <w:tblPr>
              <w:tblStyle w:val="39"/>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4"/>
              <w:gridCol w:w="1626"/>
              <w:gridCol w:w="1708"/>
              <w:gridCol w:w="1472"/>
              <w:gridCol w:w="2788"/>
            </w:tblGrid>
            <w:tr w14:paraId="5A7883D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blHeader/>
                <w:jc w:val="center"/>
              </w:trPr>
              <w:tc>
                <w:tcPr>
                  <w:tcW w:w="379" w:type="pct"/>
                  <w:tcBorders>
                    <w:tl2br w:val="nil"/>
                    <w:tr2bl w:val="nil"/>
                  </w:tcBorders>
                  <w:noWrap w:val="0"/>
                  <w:vAlign w:val="center"/>
                </w:tcPr>
                <w:p w14:paraId="22C04FB4">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项目</w:t>
                  </w:r>
                </w:p>
              </w:tc>
              <w:tc>
                <w:tcPr>
                  <w:tcW w:w="989" w:type="pct"/>
                  <w:tcBorders>
                    <w:tl2br w:val="nil"/>
                    <w:tr2bl w:val="nil"/>
                  </w:tcBorders>
                  <w:noWrap w:val="0"/>
                  <w:vAlign w:val="center"/>
                </w:tcPr>
                <w:p w14:paraId="1DDD440D">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污染源名称</w:t>
                  </w:r>
                </w:p>
              </w:tc>
              <w:tc>
                <w:tcPr>
                  <w:tcW w:w="1039" w:type="pct"/>
                  <w:tcBorders>
                    <w:tl2br w:val="nil"/>
                    <w:tr2bl w:val="nil"/>
                  </w:tcBorders>
                  <w:noWrap w:val="0"/>
                  <w:vAlign w:val="center"/>
                </w:tcPr>
                <w:p w14:paraId="72C2EF93">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产污环节</w:t>
                  </w:r>
                </w:p>
              </w:tc>
              <w:tc>
                <w:tcPr>
                  <w:tcW w:w="895" w:type="pct"/>
                  <w:tcBorders>
                    <w:tl2br w:val="nil"/>
                    <w:tr2bl w:val="nil"/>
                  </w:tcBorders>
                  <w:noWrap w:val="0"/>
                  <w:vAlign w:val="center"/>
                </w:tcPr>
                <w:p w14:paraId="470441AF">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污染因子</w:t>
                  </w:r>
                </w:p>
              </w:tc>
              <w:tc>
                <w:tcPr>
                  <w:tcW w:w="1696" w:type="pct"/>
                  <w:tcBorders>
                    <w:tl2br w:val="nil"/>
                    <w:tr2bl w:val="nil"/>
                  </w:tcBorders>
                  <w:noWrap w:val="0"/>
                  <w:vAlign w:val="center"/>
                </w:tcPr>
                <w:p w14:paraId="09A177B9">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hint="eastAsia" w:ascii="Times New Roman" w:hAnsi="Times New Roman" w:cs="Times New Roman"/>
                      <w:b w:val="0"/>
                      <w:bCs w:val="0"/>
                      <w:color w:val="auto"/>
                    </w:rPr>
                    <w:t>治理措施</w:t>
                  </w:r>
                </w:p>
              </w:tc>
            </w:tr>
            <w:tr w14:paraId="270FAFC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42" w:hRule="atLeast"/>
                <w:jc w:val="center"/>
              </w:trPr>
              <w:tc>
                <w:tcPr>
                  <w:tcW w:w="379" w:type="pct"/>
                  <w:vMerge w:val="restart"/>
                  <w:tcBorders>
                    <w:tl2br w:val="nil"/>
                    <w:tr2bl w:val="nil"/>
                  </w:tcBorders>
                  <w:noWrap w:val="0"/>
                  <w:vAlign w:val="center"/>
                </w:tcPr>
                <w:p w14:paraId="1F3DCBC4">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废气</w:t>
                  </w:r>
                </w:p>
              </w:tc>
              <w:tc>
                <w:tcPr>
                  <w:tcW w:w="989" w:type="pct"/>
                  <w:tcBorders>
                    <w:tl2br w:val="nil"/>
                    <w:tr2bl w:val="nil"/>
                  </w:tcBorders>
                  <w:noWrap w:val="0"/>
                  <w:vAlign w:val="center"/>
                </w:tcPr>
                <w:p w14:paraId="632DB439">
                  <w:pPr>
                    <w:pageBreakBefore w:val="0"/>
                    <w:kinsoku/>
                    <w:wordWrap/>
                    <w:overflowPunct/>
                    <w:topLinePunct w:val="0"/>
                    <w:bidi w:val="0"/>
                    <w:adjustRightInd w:val="0"/>
                    <w:snapToGrid/>
                    <w:spacing w:line="240" w:lineRule="auto"/>
                    <w:ind w:left="0" w:leftChars="0" w:right="0" w:rightChars="0" w:firstLine="0" w:firstLineChars="0"/>
                    <w:jc w:val="center"/>
                    <w:rPr>
                      <w:rFonts w:hint="default" w:eastAsia="宋体"/>
                      <w:b w:val="0"/>
                      <w:bCs w:val="0"/>
                      <w:color w:val="auto"/>
                      <w:kern w:val="0"/>
                      <w:szCs w:val="21"/>
                      <w:lang w:val="en-US" w:eastAsia="zh-CN"/>
                    </w:rPr>
                  </w:pPr>
                  <w:r>
                    <w:rPr>
                      <w:rFonts w:hint="eastAsia"/>
                      <w:b w:val="0"/>
                      <w:bCs w:val="0"/>
                      <w:color w:val="auto"/>
                      <w:kern w:val="0"/>
                      <w:szCs w:val="21"/>
                      <w:lang w:val="en-US" w:eastAsia="zh-CN"/>
                    </w:rPr>
                    <w:t>彩色成像玻璃生产过程烘干固化废气</w:t>
                  </w:r>
                </w:p>
              </w:tc>
              <w:tc>
                <w:tcPr>
                  <w:tcW w:w="1039" w:type="pct"/>
                  <w:tcBorders>
                    <w:tl2br w:val="nil"/>
                    <w:tr2bl w:val="nil"/>
                  </w:tcBorders>
                  <w:noWrap w:val="0"/>
                  <w:vAlign w:val="center"/>
                </w:tcPr>
                <w:p w14:paraId="64C20816">
                  <w:pPr>
                    <w:pageBreakBefore w:val="0"/>
                    <w:kinsoku/>
                    <w:wordWrap/>
                    <w:overflowPunct/>
                    <w:topLinePunct w:val="0"/>
                    <w:bidi w:val="0"/>
                    <w:adjustRightInd w:val="0"/>
                    <w:snapToGrid/>
                    <w:spacing w:line="240" w:lineRule="auto"/>
                    <w:ind w:left="0" w:leftChars="0" w:right="0" w:rightChars="0" w:firstLine="0" w:firstLineChars="0"/>
                    <w:jc w:val="center"/>
                    <w:rPr>
                      <w:b w:val="0"/>
                      <w:bCs w:val="0"/>
                      <w:color w:val="auto"/>
                      <w:kern w:val="0"/>
                      <w:szCs w:val="21"/>
                    </w:rPr>
                  </w:pPr>
                  <w:r>
                    <w:rPr>
                      <w:rFonts w:hint="eastAsia" w:ascii="Times New Roman" w:eastAsia="宋体"/>
                      <w:b w:val="0"/>
                      <w:bCs w:val="0"/>
                      <w:color w:val="auto"/>
                      <w:kern w:val="0"/>
                      <w:szCs w:val="21"/>
                      <w:lang w:val="en-US" w:eastAsia="zh-CN"/>
                    </w:rPr>
                    <w:t>彩色成像玻璃生产过程烘干固化</w:t>
                  </w:r>
                  <w:r>
                    <w:rPr>
                      <w:b w:val="0"/>
                      <w:bCs w:val="0"/>
                      <w:color w:val="auto"/>
                      <w:kern w:val="0"/>
                      <w:szCs w:val="21"/>
                    </w:rPr>
                    <w:t>工序</w:t>
                  </w:r>
                </w:p>
              </w:tc>
              <w:tc>
                <w:tcPr>
                  <w:tcW w:w="895" w:type="pct"/>
                  <w:tcBorders>
                    <w:tl2br w:val="nil"/>
                    <w:tr2bl w:val="nil"/>
                  </w:tcBorders>
                  <w:noWrap w:val="0"/>
                  <w:vAlign w:val="center"/>
                </w:tcPr>
                <w:p w14:paraId="0B6AEC7A">
                  <w:pPr>
                    <w:pageBreakBefore w:val="0"/>
                    <w:kinsoku/>
                    <w:wordWrap/>
                    <w:overflowPunct/>
                    <w:topLinePunct w:val="0"/>
                    <w:autoSpaceDE w:val="0"/>
                    <w:autoSpaceDN w:val="0"/>
                    <w:bidi w:val="0"/>
                    <w:adjustRightInd w:val="0"/>
                    <w:snapToGrid/>
                    <w:spacing w:line="240" w:lineRule="auto"/>
                    <w:ind w:left="0" w:leftChars="0" w:right="0" w:rightChars="0" w:firstLine="0" w:firstLineChars="0"/>
                    <w:jc w:val="center"/>
                    <w:rPr>
                      <w:rFonts w:hint="default" w:eastAsia="宋体"/>
                      <w:b w:val="0"/>
                      <w:bCs w:val="0"/>
                      <w:color w:val="auto"/>
                      <w:szCs w:val="21"/>
                      <w:lang w:val="en-US" w:eastAsia="zh-CN"/>
                    </w:rPr>
                  </w:pPr>
                  <w:r>
                    <w:rPr>
                      <w:rFonts w:hint="eastAsia"/>
                      <w:b w:val="0"/>
                      <w:bCs w:val="0"/>
                      <w:color w:val="auto"/>
                      <w:szCs w:val="21"/>
                      <w:lang w:val="en-US" w:eastAsia="zh-CN"/>
                    </w:rPr>
                    <w:t>非甲烷总烃</w:t>
                  </w:r>
                </w:p>
              </w:tc>
              <w:tc>
                <w:tcPr>
                  <w:tcW w:w="1696" w:type="pct"/>
                  <w:tcBorders>
                    <w:tl2br w:val="nil"/>
                    <w:tr2bl w:val="nil"/>
                  </w:tcBorders>
                  <w:noWrap w:val="0"/>
                  <w:vAlign w:val="center"/>
                </w:tcPr>
                <w:p w14:paraId="2CDD2554">
                  <w:pPr>
                    <w:pageBreakBefore w:val="0"/>
                    <w:kinsoku/>
                    <w:wordWrap/>
                    <w:overflowPunct/>
                    <w:topLinePunct w:val="0"/>
                    <w:autoSpaceDE w:val="0"/>
                    <w:autoSpaceDN w:val="0"/>
                    <w:bidi w:val="0"/>
                    <w:adjustRightInd w:val="0"/>
                    <w:snapToGrid/>
                    <w:spacing w:line="240" w:lineRule="auto"/>
                    <w:ind w:left="0" w:leftChars="0" w:right="0" w:rightChars="0" w:firstLine="0" w:firstLineChars="0"/>
                    <w:jc w:val="center"/>
                    <w:rPr>
                      <w:b w:val="0"/>
                      <w:bCs w:val="0"/>
                      <w:color w:val="auto"/>
                      <w:szCs w:val="21"/>
                    </w:rPr>
                  </w:pPr>
                  <w:r>
                    <w:rPr>
                      <w:rFonts w:hint="default"/>
                      <w:b w:val="0"/>
                      <w:bCs w:val="0"/>
                      <w:color w:val="auto"/>
                      <w:szCs w:val="21"/>
                      <w:lang w:val="en-US" w:eastAsia="zh-CN"/>
                    </w:rPr>
                    <w:t>彩打、固化整体密闭+1套两级活性炭吸附+1根15m高排气筒DA001</w:t>
                  </w:r>
                </w:p>
              </w:tc>
            </w:tr>
            <w:tr w14:paraId="755AB67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91" w:hRule="atLeast"/>
                <w:jc w:val="center"/>
              </w:trPr>
              <w:tc>
                <w:tcPr>
                  <w:tcW w:w="379" w:type="pct"/>
                  <w:vMerge w:val="continue"/>
                  <w:tcBorders>
                    <w:tl2br w:val="nil"/>
                    <w:tr2bl w:val="nil"/>
                  </w:tcBorders>
                  <w:noWrap w:val="0"/>
                  <w:vAlign w:val="center"/>
                </w:tcPr>
                <w:p w14:paraId="14312AA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FF0000"/>
                    </w:rPr>
                  </w:pPr>
                </w:p>
              </w:tc>
              <w:tc>
                <w:tcPr>
                  <w:tcW w:w="989" w:type="pct"/>
                  <w:tcBorders>
                    <w:tl2br w:val="nil"/>
                    <w:tr2bl w:val="nil"/>
                  </w:tcBorders>
                  <w:noWrap w:val="0"/>
                  <w:vAlign w:val="center"/>
                </w:tcPr>
                <w:p w14:paraId="111B644F">
                  <w:pPr>
                    <w:pageBreakBefore w:val="0"/>
                    <w:kinsoku/>
                    <w:wordWrap/>
                    <w:overflowPunct/>
                    <w:topLinePunct w:val="0"/>
                    <w:bidi w:val="0"/>
                    <w:adjustRightInd w:val="0"/>
                    <w:snapToGrid/>
                    <w:spacing w:line="240" w:lineRule="auto"/>
                    <w:ind w:left="0" w:leftChars="0" w:right="0" w:rightChars="0" w:firstLine="0" w:firstLineChars="0"/>
                    <w:jc w:val="center"/>
                    <w:rPr>
                      <w:rFonts w:hint="default" w:eastAsia="宋体"/>
                      <w:b w:val="0"/>
                      <w:bCs w:val="0"/>
                      <w:color w:val="auto"/>
                      <w:kern w:val="0"/>
                      <w:szCs w:val="21"/>
                      <w:lang w:val="en-US" w:eastAsia="zh-CN"/>
                    </w:rPr>
                  </w:pPr>
                  <w:r>
                    <w:rPr>
                      <w:rFonts w:hint="eastAsia"/>
                      <w:b w:val="0"/>
                      <w:bCs w:val="0"/>
                      <w:color w:val="auto"/>
                      <w:kern w:val="0"/>
                      <w:szCs w:val="21"/>
                      <w:lang w:val="en-US" w:eastAsia="zh-CN"/>
                    </w:rPr>
                    <w:t>中空玻璃生产过程涂胶固化废气</w:t>
                  </w:r>
                </w:p>
              </w:tc>
              <w:tc>
                <w:tcPr>
                  <w:tcW w:w="1039" w:type="pct"/>
                  <w:tcBorders>
                    <w:tl2br w:val="nil"/>
                    <w:tr2bl w:val="nil"/>
                  </w:tcBorders>
                  <w:noWrap w:val="0"/>
                  <w:vAlign w:val="center"/>
                </w:tcPr>
                <w:p w14:paraId="7A85FF9E">
                  <w:pPr>
                    <w:pageBreakBefore w:val="0"/>
                    <w:kinsoku/>
                    <w:wordWrap/>
                    <w:overflowPunct/>
                    <w:topLinePunct w:val="0"/>
                    <w:bidi w:val="0"/>
                    <w:adjustRightInd w:val="0"/>
                    <w:snapToGrid/>
                    <w:spacing w:line="240" w:lineRule="auto"/>
                    <w:ind w:left="0" w:leftChars="0" w:right="0" w:rightChars="0" w:firstLine="0" w:firstLineChars="0"/>
                    <w:jc w:val="center"/>
                    <w:rPr>
                      <w:b w:val="0"/>
                      <w:bCs w:val="0"/>
                      <w:color w:val="auto"/>
                      <w:kern w:val="0"/>
                      <w:szCs w:val="21"/>
                    </w:rPr>
                  </w:pPr>
                  <w:r>
                    <w:rPr>
                      <w:rFonts w:hint="eastAsia"/>
                      <w:b w:val="0"/>
                      <w:bCs w:val="0"/>
                      <w:color w:val="auto"/>
                      <w:kern w:val="0"/>
                      <w:szCs w:val="21"/>
                      <w:lang w:val="en-US" w:eastAsia="zh-CN"/>
                    </w:rPr>
                    <w:t>中空玻璃生产过程涂胶固化</w:t>
                  </w:r>
                  <w:r>
                    <w:rPr>
                      <w:b w:val="0"/>
                      <w:bCs w:val="0"/>
                      <w:color w:val="auto"/>
                      <w:kern w:val="0"/>
                      <w:szCs w:val="21"/>
                    </w:rPr>
                    <w:t>工序</w:t>
                  </w:r>
                </w:p>
              </w:tc>
              <w:tc>
                <w:tcPr>
                  <w:tcW w:w="895" w:type="pct"/>
                  <w:tcBorders>
                    <w:tl2br w:val="nil"/>
                    <w:tr2bl w:val="nil"/>
                  </w:tcBorders>
                  <w:noWrap w:val="0"/>
                  <w:vAlign w:val="center"/>
                </w:tcPr>
                <w:p w14:paraId="0B1C9B14">
                  <w:pPr>
                    <w:pageBreakBefore w:val="0"/>
                    <w:kinsoku/>
                    <w:wordWrap/>
                    <w:overflowPunct/>
                    <w:topLinePunct w:val="0"/>
                    <w:autoSpaceDE w:val="0"/>
                    <w:autoSpaceDN w:val="0"/>
                    <w:bidi w:val="0"/>
                    <w:adjustRightInd w:val="0"/>
                    <w:snapToGrid/>
                    <w:spacing w:line="240" w:lineRule="auto"/>
                    <w:ind w:left="0" w:leftChars="0" w:right="0" w:rightChars="0" w:firstLine="0" w:firstLineChars="0"/>
                    <w:jc w:val="center"/>
                    <w:rPr>
                      <w:rFonts w:hint="default"/>
                      <w:b w:val="0"/>
                      <w:bCs w:val="0"/>
                      <w:color w:val="auto"/>
                      <w:szCs w:val="21"/>
                      <w:lang w:val="en-US"/>
                    </w:rPr>
                  </w:pPr>
                  <w:r>
                    <w:rPr>
                      <w:rFonts w:hint="eastAsia"/>
                      <w:b w:val="0"/>
                      <w:bCs w:val="0"/>
                      <w:color w:val="auto"/>
                      <w:szCs w:val="21"/>
                      <w:lang w:val="en-US" w:eastAsia="zh-CN"/>
                    </w:rPr>
                    <w:t>非甲烷总烃、颗粒物</w:t>
                  </w:r>
                </w:p>
              </w:tc>
              <w:tc>
                <w:tcPr>
                  <w:tcW w:w="1696" w:type="pct"/>
                  <w:tcBorders>
                    <w:tl2br w:val="nil"/>
                    <w:tr2bl w:val="nil"/>
                  </w:tcBorders>
                  <w:noWrap w:val="0"/>
                  <w:vAlign w:val="center"/>
                </w:tcPr>
                <w:p w14:paraId="4FE8D8B1">
                  <w:pPr>
                    <w:pageBreakBefore w:val="0"/>
                    <w:kinsoku/>
                    <w:wordWrap/>
                    <w:overflowPunct/>
                    <w:topLinePunct w:val="0"/>
                    <w:autoSpaceDE w:val="0"/>
                    <w:autoSpaceDN w:val="0"/>
                    <w:bidi w:val="0"/>
                    <w:adjustRightInd w:val="0"/>
                    <w:snapToGrid/>
                    <w:spacing w:line="240" w:lineRule="auto"/>
                    <w:ind w:left="0" w:leftChars="0" w:right="0" w:rightChars="0" w:firstLine="0" w:firstLineChars="0"/>
                    <w:jc w:val="center"/>
                    <w:rPr>
                      <w:b w:val="0"/>
                      <w:bCs w:val="0"/>
                      <w:color w:val="auto"/>
                      <w:szCs w:val="21"/>
                    </w:rPr>
                  </w:pPr>
                  <w:r>
                    <w:rPr>
                      <w:rFonts w:hint="default"/>
                      <w:b w:val="0"/>
                      <w:bCs w:val="0"/>
                      <w:color w:val="auto"/>
                      <w:szCs w:val="21"/>
                      <w:lang w:val="en-US" w:eastAsia="zh-CN"/>
                    </w:rPr>
                    <w:t>集气罩集气收集+4套两级活性炭吸附装置+4根15m高排气筒（DA002、DA003、DA004、DA005）</w:t>
                  </w:r>
                </w:p>
              </w:tc>
            </w:tr>
            <w:tr w14:paraId="4EDCD4D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9" w:hRule="atLeast"/>
                <w:jc w:val="center"/>
              </w:trPr>
              <w:tc>
                <w:tcPr>
                  <w:tcW w:w="379" w:type="pct"/>
                  <w:vMerge w:val="restart"/>
                  <w:tcBorders>
                    <w:tl2br w:val="nil"/>
                    <w:tr2bl w:val="nil"/>
                  </w:tcBorders>
                  <w:noWrap w:val="0"/>
                  <w:vAlign w:val="center"/>
                </w:tcPr>
                <w:p w14:paraId="1CDD1075">
                  <w:pPr>
                    <w:pageBreakBefore w:val="0"/>
                    <w:kinsoku/>
                    <w:wordWrap/>
                    <w:overflowPunct/>
                    <w:topLinePunct w:val="0"/>
                    <w:bidi w:val="0"/>
                    <w:snapToGrid/>
                    <w:spacing w:line="240" w:lineRule="auto"/>
                    <w:ind w:left="0" w:leftChars="0" w:right="0" w:rightChars="0" w:firstLine="0" w:firstLineChars="0"/>
                    <w:jc w:val="center"/>
                    <w:rPr>
                      <w:b w:val="0"/>
                      <w:bCs w:val="0"/>
                      <w:color w:val="auto"/>
                      <w:szCs w:val="21"/>
                    </w:rPr>
                  </w:pPr>
                  <w:r>
                    <w:rPr>
                      <w:b w:val="0"/>
                      <w:bCs w:val="0"/>
                      <w:color w:val="auto"/>
                      <w:szCs w:val="21"/>
                    </w:rPr>
                    <w:t>废水</w:t>
                  </w:r>
                </w:p>
              </w:tc>
              <w:tc>
                <w:tcPr>
                  <w:tcW w:w="989" w:type="pct"/>
                  <w:tcBorders>
                    <w:tl2br w:val="nil"/>
                    <w:tr2bl w:val="nil"/>
                  </w:tcBorders>
                  <w:noWrap w:val="0"/>
                  <w:vAlign w:val="center"/>
                </w:tcPr>
                <w:p w14:paraId="7F6D0E09">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磨边、清洗废水</w:t>
                  </w:r>
                </w:p>
              </w:tc>
              <w:tc>
                <w:tcPr>
                  <w:tcW w:w="1039" w:type="pct"/>
                  <w:tcBorders>
                    <w:tl2br w:val="nil"/>
                    <w:tr2bl w:val="nil"/>
                  </w:tcBorders>
                  <w:noWrap w:val="0"/>
                  <w:vAlign w:val="center"/>
                </w:tcPr>
                <w:p w14:paraId="4B97ABAA">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hint="eastAsia" w:ascii="Times New Roman" w:hAnsi="Times New Roman" w:cs="Times New Roman"/>
                      <w:b w:val="0"/>
                      <w:bCs w:val="0"/>
                      <w:color w:val="auto"/>
                      <w:lang w:val="en-US" w:eastAsia="zh-CN"/>
                    </w:rPr>
                    <w:t>磨边、清洗工序</w:t>
                  </w:r>
                </w:p>
              </w:tc>
              <w:tc>
                <w:tcPr>
                  <w:tcW w:w="895" w:type="pct"/>
                  <w:tcBorders>
                    <w:tl2br w:val="nil"/>
                    <w:tr2bl w:val="nil"/>
                  </w:tcBorders>
                  <w:noWrap w:val="0"/>
                  <w:vAlign w:val="center"/>
                </w:tcPr>
                <w:p w14:paraId="45620A87">
                  <w:pPr>
                    <w:pageBreakBefore w:val="0"/>
                    <w:widowControl/>
                    <w:kinsoku/>
                    <w:wordWrap/>
                    <w:overflowPunct/>
                    <w:topLinePunct w:val="0"/>
                    <w:bidi w:val="0"/>
                    <w:snapToGrid/>
                    <w:spacing w:line="240" w:lineRule="auto"/>
                    <w:ind w:left="0" w:leftChars="0" w:right="0" w:rightChars="0" w:firstLine="0" w:firstLineChars="0"/>
                    <w:jc w:val="center"/>
                    <w:rPr>
                      <w:rFonts w:hint="eastAsia" w:eastAsia="宋体"/>
                      <w:b w:val="0"/>
                      <w:bCs w:val="0"/>
                      <w:color w:val="auto"/>
                      <w:szCs w:val="21"/>
                      <w:lang w:val="en-US" w:eastAsia="zh-CN"/>
                    </w:rPr>
                  </w:pPr>
                  <w:r>
                    <w:rPr>
                      <w:b w:val="0"/>
                      <w:bCs w:val="0"/>
                      <w:color w:val="auto"/>
                      <w:kern w:val="0"/>
                      <w:szCs w:val="21"/>
                      <w:lang w:bidi="ar"/>
                    </w:rPr>
                    <w:t>SS</w:t>
                  </w:r>
                </w:p>
              </w:tc>
              <w:tc>
                <w:tcPr>
                  <w:tcW w:w="1696" w:type="pct"/>
                  <w:tcBorders>
                    <w:tl2br w:val="nil"/>
                    <w:tr2bl w:val="nil"/>
                  </w:tcBorders>
                  <w:noWrap w:val="0"/>
                  <w:vAlign w:val="center"/>
                </w:tcPr>
                <w:p w14:paraId="25ACB634">
                  <w:pPr>
                    <w:pageBreakBefore w:val="0"/>
                    <w:widowControl/>
                    <w:kinsoku/>
                    <w:wordWrap/>
                    <w:overflowPunct/>
                    <w:topLinePunct w:val="0"/>
                    <w:bidi w:val="0"/>
                    <w:snapToGrid/>
                    <w:spacing w:line="240" w:lineRule="auto"/>
                    <w:ind w:left="0" w:leftChars="0" w:right="0" w:rightChars="0" w:firstLine="0" w:firstLineChars="0"/>
                    <w:jc w:val="center"/>
                    <w:rPr>
                      <w:rFonts w:hint="eastAsia"/>
                      <w:b w:val="0"/>
                      <w:bCs w:val="0"/>
                      <w:color w:val="auto"/>
                      <w:kern w:val="0"/>
                      <w:szCs w:val="21"/>
                      <w:lang w:val="en-US" w:eastAsia="zh-CN" w:bidi="ar"/>
                    </w:rPr>
                  </w:pPr>
                  <w:r>
                    <w:rPr>
                      <w:rFonts w:hint="default"/>
                      <w:b w:val="0"/>
                      <w:bCs w:val="0"/>
                      <w:color w:val="auto"/>
                      <w:kern w:val="0"/>
                      <w:szCs w:val="21"/>
                      <w:lang w:val="en-US" w:eastAsia="zh-CN" w:bidi="ar"/>
                    </w:rPr>
                    <w:t>玻璃原片清洗废水经循环水箱沉淀后回用于清洗玻璃原片；镀膜及夹胶、中空工序对应玻璃清洗废水经收集后回用于玻璃原片清洗用水；磨边废水经沉淀及过滤处理后回用于磨边</w:t>
                  </w:r>
                </w:p>
              </w:tc>
            </w:tr>
            <w:tr w14:paraId="73EE1E5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4" w:hRule="atLeast"/>
                <w:jc w:val="center"/>
              </w:trPr>
              <w:tc>
                <w:tcPr>
                  <w:tcW w:w="379" w:type="pct"/>
                  <w:vMerge w:val="continue"/>
                  <w:tcBorders>
                    <w:tl2br w:val="nil"/>
                    <w:tr2bl w:val="nil"/>
                  </w:tcBorders>
                  <w:noWrap w:val="0"/>
                  <w:vAlign w:val="center"/>
                </w:tcPr>
                <w:p w14:paraId="6C9F0035">
                  <w:pPr>
                    <w:pageBreakBefore w:val="0"/>
                    <w:kinsoku/>
                    <w:wordWrap/>
                    <w:overflowPunct/>
                    <w:topLinePunct w:val="0"/>
                    <w:bidi w:val="0"/>
                    <w:snapToGrid/>
                    <w:spacing w:line="240" w:lineRule="auto"/>
                    <w:ind w:left="0" w:leftChars="0" w:right="0" w:rightChars="0" w:firstLine="0" w:firstLineChars="0"/>
                    <w:jc w:val="center"/>
                    <w:rPr>
                      <w:b w:val="0"/>
                      <w:bCs w:val="0"/>
                      <w:color w:val="auto"/>
                      <w:szCs w:val="21"/>
                    </w:rPr>
                  </w:pPr>
                </w:p>
              </w:tc>
              <w:tc>
                <w:tcPr>
                  <w:tcW w:w="989" w:type="pct"/>
                  <w:tcBorders>
                    <w:tl2br w:val="nil"/>
                    <w:tr2bl w:val="nil"/>
                  </w:tcBorders>
                  <w:noWrap w:val="0"/>
                  <w:vAlign w:val="center"/>
                </w:tcPr>
                <w:p w14:paraId="312035AA">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kern w:val="2"/>
                      <w:sz w:val="21"/>
                      <w:szCs w:val="21"/>
                      <w:lang w:val="en-US" w:eastAsia="zh-CN" w:bidi="ar-SA"/>
                    </w:rPr>
                  </w:pPr>
                  <w:r>
                    <w:rPr>
                      <w:rFonts w:ascii="Times New Roman" w:hAnsi="Times New Roman" w:cs="Times New Roman"/>
                      <w:b w:val="0"/>
                      <w:bCs w:val="0"/>
                      <w:color w:val="auto"/>
                    </w:rPr>
                    <w:t>生活污水</w:t>
                  </w:r>
                </w:p>
              </w:tc>
              <w:tc>
                <w:tcPr>
                  <w:tcW w:w="1039" w:type="pct"/>
                  <w:tcBorders>
                    <w:tl2br w:val="nil"/>
                    <w:tr2bl w:val="nil"/>
                  </w:tcBorders>
                  <w:noWrap w:val="0"/>
                  <w:vAlign w:val="center"/>
                </w:tcPr>
                <w:p w14:paraId="141C2A5D">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kern w:val="2"/>
                      <w:sz w:val="21"/>
                      <w:szCs w:val="21"/>
                      <w:lang w:val="en-US" w:eastAsia="zh-CN" w:bidi="ar-SA"/>
                    </w:rPr>
                  </w:pPr>
                  <w:r>
                    <w:rPr>
                      <w:rFonts w:ascii="Times New Roman" w:hAnsi="Times New Roman" w:cs="Times New Roman"/>
                      <w:b w:val="0"/>
                      <w:bCs w:val="0"/>
                      <w:color w:val="auto"/>
                    </w:rPr>
                    <w:t>职工办公</w:t>
                  </w:r>
                </w:p>
              </w:tc>
              <w:tc>
                <w:tcPr>
                  <w:tcW w:w="895" w:type="pct"/>
                  <w:tcBorders>
                    <w:tl2br w:val="nil"/>
                    <w:tr2bl w:val="nil"/>
                  </w:tcBorders>
                  <w:noWrap w:val="0"/>
                  <w:vAlign w:val="center"/>
                </w:tcPr>
                <w:p w14:paraId="26900CCA">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eastAsia="宋体" w:cs="Times New Roman"/>
                      <w:b w:val="0"/>
                      <w:bCs w:val="0"/>
                      <w:color w:val="auto"/>
                      <w:kern w:val="2"/>
                      <w:sz w:val="21"/>
                      <w:szCs w:val="21"/>
                      <w:lang w:val="en-US" w:eastAsia="zh-CN" w:bidi="ar-SA"/>
                    </w:rPr>
                  </w:pPr>
                  <w:r>
                    <w:rPr>
                      <w:rFonts w:ascii="Times New Roman" w:hAnsi="Times New Roman" w:cs="Times New Roman"/>
                      <w:b w:val="0"/>
                      <w:bCs w:val="0"/>
                      <w:color w:val="auto"/>
                    </w:rPr>
                    <w:t>COD、BOD</w:t>
                  </w:r>
                  <w:r>
                    <w:rPr>
                      <w:rFonts w:ascii="Times New Roman" w:hAnsi="Times New Roman" w:cs="Times New Roman"/>
                      <w:b w:val="0"/>
                      <w:bCs w:val="0"/>
                      <w:color w:val="auto"/>
                      <w:vertAlign w:val="subscript"/>
                    </w:rPr>
                    <w:t>5</w:t>
                  </w:r>
                  <w:r>
                    <w:rPr>
                      <w:rFonts w:ascii="Times New Roman" w:hAnsi="Times New Roman" w:cs="Times New Roman"/>
                      <w:b w:val="0"/>
                      <w:bCs w:val="0"/>
                      <w:color w:val="auto"/>
                    </w:rPr>
                    <w:t xml:space="preserve">、氨氮、SS </w:t>
                  </w:r>
                </w:p>
              </w:tc>
              <w:tc>
                <w:tcPr>
                  <w:tcW w:w="1696" w:type="pct"/>
                  <w:tcBorders>
                    <w:top w:val="single" w:color="auto" w:sz="4" w:space="0"/>
                    <w:tl2br w:val="nil"/>
                    <w:tr2bl w:val="nil"/>
                  </w:tcBorders>
                  <w:noWrap w:val="0"/>
                  <w:vAlign w:val="center"/>
                </w:tcPr>
                <w:p w14:paraId="4999E448">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rPr>
                  </w:pPr>
                  <w:r>
                    <w:rPr>
                      <w:b w:val="0"/>
                      <w:bCs w:val="0"/>
                      <w:color w:val="auto"/>
                      <w:szCs w:val="21"/>
                    </w:rPr>
                    <w:t>化粪池</w:t>
                  </w:r>
                  <w:r>
                    <w:rPr>
                      <w:rFonts w:hint="eastAsia"/>
                      <w:b w:val="0"/>
                      <w:bCs w:val="0"/>
                      <w:color w:val="auto"/>
                      <w:szCs w:val="21"/>
                      <w:lang w:val="en-US" w:eastAsia="zh-CN"/>
                    </w:rPr>
                    <w:t>处理、</w:t>
                  </w:r>
                  <w:r>
                    <w:rPr>
                      <w:rFonts w:hint="eastAsia"/>
                      <w:b w:val="0"/>
                      <w:bCs w:val="0"/>
                      <w:color w:val="auto"/>
                      <w:kern w:val="0"/>
                      <w:szCs w:val="21"/>
                      <w:lang w:bidi="ar"/>
                    </w:rPr>
                    <w:t>进入淮阳</w:t>
                  </w:r>
                  <w:r>
                    <w:rPr>
                      <w:rFonts w:hint="eastAsia"/>
                      <w:b w:val="0"/>
                      <w:bCs w:val="0"/>
                      <w:color w:val="auto"/>
                      <w:kern w:val="0"/>
                      <w:szCs w:val="21"/>
                      <w:lang w:val="en-US" w:eastAsia="zh-CN" w:bidi="ar"/>
                    </w:rPr>
                    <w:t>区</w:t>
                  </w:r>
                  <w:r>
                    <w:rPr>
                      <w:rFonts w:hint="eastAsia"/>
                      <w:b w:val="0"/>
                      <w:bCs w:val="0"/>
                      <w:color w:val="auto"/>
                      <w:kern w:val="0"/>
                      <w:szCs w:val="21"/>
                      <w:lang w:bidi="ar"/>
                    </w:rPr>
                    <w:t>第</w:t>
                  </w:r>
                  <w:r>
                    <w:rPr>
                      <w:rFonts w:hint="eastAsia"/>
                      <w:b w:val="0"/>
                      <w:bCs w:val="0"/>
                      <w:color w:val="auto"/>
                      <w:kern w:val="0"/>
                      <w:szCs w:val="21"/>
                      <w:lang w:val="en-US" w:eastAsia="zh-CN" w:bidi="ar"/>
                    </w:rPr>
                    <w:t>二</w:t>
                  </w:r>
                  <w:r>
                    <w:rPr>
                      <w:rFonts w:hint="eastAsia"/>
                      <w:b w:val="0"/>
                      <w:bCs w:val="0"/>
                      <w:color w:val="auto"/>
                      <w:kern w:val="0"/>
                      <w:szCs w:val="21"/>
                      <w:lang w:bidi="ar"/>
                    </w:rPr>
                    <w:t>污水处理厂</w:t>
                  </w:r>
                </w:p>
              </w:tc>
            </w:tr>
            <w:tr w14:paraId="4BFE9F4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84" w:hRule="atLeast"/>
                <w:jc w:val="center"/>
              </w:trPr>
              <w:tc>
                <w:tcPr>
                  <w:tcW w:w="379" w:type="pct"/>
                  <w:vMerge w:val="continue"/>
                  <w:tcBorders>
                    <w:tl2br w:val="nil"/>
                    <w:tr2bl w:val="nil"/>
                  </w:tcBorders>
                  <w:noWrap w:val="0"/>
                  <w:vAlign w:val="center"/>
                </w:tcPr>
                <w:p w14:paraId="06E8673F">
                  <w:pPr>
                    <w:pageBreakBefore w:val="0"/>
                    <w:kinsoku/>
                    <w:wordWrap/>
                    <w:overflowPunct/>
                    <w:topLinePunct w:val="0"/>
                    <w:bidi w:val="0"/>
                    <w:snapToGrid/>
                    <w:spacing w:line="240" w:lineRule="auto"/>
                    <w:ind w:left="0" w:leftChars="0" w:right="0" w:rightChars="0" w:firstLine="0" w:firstLineChars="0"/>
                    <w:jc w:val="center"/>
                    <w:rPr>
                      <w:b w:val="0"/>
                      <w:bCs w:val="0"/>
                      <w:color w:val="auto"/>
                      <w:szCs w:val="21"/>
                    </w:rPr>
                  </w:pPr>
                </w:p>
              </w:tc>
              <w:tc>
                <w:tcPr>
                  <w:tcW w:w="989" w:type="pct"/>
                  <w:tcBorders>
                    <w:tl2br w:val="nil"/>
                    <w:tr2bl w:val="nil"/>
                  </w:tcBorders>
                  <w:noWrap w:val="0"/>
                  <w:vAlign w:val="center"/>
                </w:tcPr>
                <w:p w14:paraId="2AC665F7">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spacing w:val="-12"/>
                      <w:kern w:val="2"/>
                      <w:sz w:val="21"/>
                      <w:szCs w:val="21"/>
                      <w:lang w:val="en-US" w:eastAsia="zh-CN" w:bidi="ar-SA"/>
                    </w:rPr>
                  </w:pPr>
                  <w:r>
                    <w:rPr>
                      <w:rFonts w:ascii="Times New Roman" w:hAnsi="Times New Roman" w:cs="Times New Roman"/>
                      <w:b w:val="0"/>
                      <w:bCs w:val="0"/>
                      <w:color w:val="auto"/>
                      <w:spacing w:val="-12"/>
                    </w:rPr>
                    <w:t>纯水制备</w:t>
                  </w:r>
                  <w:r>
                    <w:rPr>
                      <w:rFonts w:hint="eastAsia" w:ascii="Times New Roman" w:hAnsi="Times New Roman" w:cs="Times New Roman"/>
                      <w:b w:val="0"/>
                      <w:bCs w:val="0"/>
                      <w:color w:val="auto"/>
                      <w:spacing w:val="-12"/>
                      <w:lang w:val="en-US" w:eastAsia="zh-CN"/>
                    </w:rPr>
                    <w:t>系统废水</w:t>
                  </w:r>
                </w:p>
              </w:tc>
              <w:tc>
                <w:tcPr>
                  <w:tcW w:w="1039" w:type="pct"/>
                  <w:tcBorders>
                    <w:tl2br w:val="nil"/>
                    <w:tr2bl w:val="nil"/>
                  </w:tcBorders>
                  <w:noWrap w:val="0"/>
                  <w:vAlign w:val="center"/>
                </w:tcPr>
                <w:p w14:paraId="4801CCB4">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kern w:val="2"/>
                      <w:sz w:val="21"/>
                      <w:szCs w:val="21"/>
                      <w:lang w:val="en-US" w:eastAsia="zh-CN" w:bidi="ar-SA"/>
                    </w:rPr>
                  </w:pPr>
                  <w:r>
                    <w:rPr>
                      <w:rFonts w:ascii="Times New Roman" w:hAnsi="Times New Roman" w:cs="Times New Roman"/>
                      <w:b w:val="0"/>
                      <w:bCs w:val="0"/>
                      <w:color w:val="auto"/>
                      <w:spacing w:val="-12"/>
                    </w:rPr>
                    <w:t>纯水制备</w:t>
                  </w:r>
                  <w:r>
                    <w:rPr>
                      <w:rFonts w:hint="eastAsia" w:ascii="Times New Roman" w:hAnsi="Times New Roman" w:cs="Times New Roman"/>
                      <w:b w:val="0"/>
                      <w:bCs w:val="0"/>
                      <w:color w:val="auto"/>
                      <w:spacing w:val="-12"/>
                      <w:lang w:val="en-US" w:eastAsia="zh-CN"/>
                    </w:rPr>
                    <w:t>系统</w:t>
                  </w:r>
                </w:p>
              </w:tc>
              <w:tc>
                <w:tcPr>
                  <w:tcW w:w="895" w:type="pct"/>
                  <w:tcBorders>
                    <w:tl2br w:val="nil"/>
                    <w:tr2bl w:val="nil"/>
                  </w:tcBorders>
                  <w:noWrap w:val="0"/>
                  <w:vAlign w:val="center"/>
                </w:tcPr>
                <w:p w14:paraId="3A80AEB0">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eastAsia="宋体" w:cs="Times New Roman"/>
                      <w:b w:val="0"/>
                      <w:bCs w:val="0"/>
                      <w:color w:val="auto"/>
                      <w:spacing w:val="-20"/>
                      <w:kern w:val="2"/>
                      <w:sz w:val="21"/>
                      <w:szCs w:val="21"/>
                      <w:lang w:val="en-US" w:eastAsia="zh-CN" w:bidi="ar-SA"/>
                    </w:rPr>
                  </w:pPr>
                  <w:r>
                    <w:rPr>
                      <w:rFonts w:ascii="Times New Roman" w:hAnsi="Times New Roman" w:cs="Times New Roman"/>
                      <w:b w:val="0"/>
                      <w:bCs w:val="0"/>
                      <w:color w:val="auto"/>
                    </w:rPr>
                    <w:t xml:space="preserve">COD、SS </w:t>
                  </w:r>
                </w:p>
              </w:tc>
              <w:tc>
                <w:tcPr>
                  <w:tcW w:w="1696" w:type="pct"/>
                  <w:tcBorders>
                    <w:tl2br w:val="nil"/>
                    <w:tr2bl w:val="nil"/>
                  </w:tcBorders>
                  <w:noWrap w:val="0"/>
                  <w:vAlign w:val="center"/>
                </w:tcPr>
                <w:p w14:paraId="6A4A614F">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lang w:val="en-US" w:eastAsia="zh-CN"/>
                    </w:rPr>
                  </w:pPr>
                  <w:r>
                    <w:rPr>
                      <w:rFonts w:hint="default" w:ascii="Times New Roman" w:hAnsi="Times New Roman" w:eastAsia="宋体" w:cs="Times New Roman"/>
                      <w:color w:val="000000"/>
                      <w:kern w:val="0"/>
                      <w:sz w:val="21"/>
                      <w:szCs w:val="21"/>
                      <w:highlight w:val="none"/>
                      <w:lang w:val="en-US" w:eastAsia="zh-CN" w:bidi="ar"/>
                    </w:rPr>
                    <w:t>用于厂区洒水</w:t>
                  </w:r>
                </w:p>
              </w:tc>
            </w:tr>
            <w:tr w14:paraId="005E695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82" w:hRule="atLeast"/>
                <w:jc w:val="center"/>
              </w:trPr>
              <w:tc>
                <w:tcPr>
                  <w:tcW w:w="379" w:type="pct"/>
                  <w:tcBorders>
                    <w:tl2br w:val="nil"/>
                    <w:tr2bl w:val="nil"/>
                  </w:tcBorders>
                  <w:noWrap w:val="0"/>
                  <w:vAlign w:val="center"/>
                </w:tcPr>
                <w:p w14:paraId="4B937F99">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噪声</w:t>
                  </w:r>
                </w:p>
              </w:tc>
              <w:tc>
                <w:tcPr>
                  <w:tcW w:w="989" w:type="pct"/>
                  <w:tcBorders>
                    <w:tl2br w:val="nil"/>
                    <w:tr2bl w:val="nil"/>
                  </w:tcBorders>
                  <w:noWrap w:val="0"/>
                  <w:vAlign w:val="center"/>
                </w:tcPr>
                <w:p w14:paraId="160811DC">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主要</w:t>
                  </w:r>
                  <w:r>
                    <w:rPr>
                      <w:rFonts w:ascii="Times New Roman" w:hAnsi="Times New Roman" w:cs="Times New Roman"/>
                      <w:b w:val="0"/>
                      <w:bCs w:val="0"/>
                      <w:color w:val="auto"/>
                    </w:rPr>
                    <w:t>生产设备</w:t>
                  </w:r>
                  <w:r>
                    <w:rPr>
                      <w:rFonts w:hint="eastAsia" w:ascii="Times New Roman" w:hAnsi="Times New Roman" w:cs="Times New Roman"/>
                      <w:b w:val="0"/>
                      <w:bCs w:val="0"/>
                      <w:color w:val="auto"/>
                      <w:lang w:val="en-US" w:eastAsia="zh-CN"/>
                    </w:rPr>
                    <w:t>噪声</w:t>
                  </w:r>
                </w:p>
              </w:tc>
              <w:tc>
                <w:tcPr>
                  <w:tcW w:w="1039" w:type="pct"/>
                  <w:tcBorders>
                    <w:tl2br w:val="nil"/>
                    <w:tr2bl w:val="nil"/>
                  </w:tcBorders>
                  <w:noWrap w:val="0"/>
                  <w:vAlign w:val="center"/>
                </w:tcPr>
                <w:p w14:paraId="16BC1460">
                  <w:pPr>
                    <w:pageBreakBefore w:val="0"/>
                    <w:kinsoku/>
                    <w:wordWrap/>
                    <w:overflowPunct/>
                    <w:topLinePunct w:val="0"/>
                    <w:autoSpaceDE w:val="0"/>
                    <w:autoSpaceDN w:val="0"/>
                    <w:bidi w:val="0"/>
                    <w:adjustRightInd w:val="0"/>
                    <w:snapToGrid/>
                    <w:spacing w:line="240" w:lineRule="auto"/>
                    <w:ind w:left="0" w:leftChars="0" w:right="0" w:rightChars="0" w:firstLine="0" w:firstLineChars="0"/>
                    <w:jc w:val="center"/>
                    <w:rPr>
                      <w:b w:val="0"/>
                      <w:bCs w:val="0"/>
                      <w:color w:val="auto"/>
                      <w:spacing w:val="-10"/>
                      <w:szCs w:val="21"/>
                      <w:lang w:val="zh-CN"/>
                    </w:rPr>
                  </w:pPr>
                  <w:r>
                    <w:rPr>
                      <w:b w:val="0"/>
                      <w:bCs w:val="0"/>
                      <w:color w:val="auto"/>
                      <w:szCs w:val="21"/>
                    </w:rPr>
                    <w:t>设备运行</w:t>
                  </w:r>
                </w:p>
              </w:tc>
              <w:tc>
                <w:tcPr>
                  <w:tcW w:w="895" w:type="pct"/>
                  <w:tcBorders>
                    <w:tl2br w:val="nil"/>
                    <w:tr2bl w:val="nil"/>
                  </w:tcBorders>
                  <w:noWrap w:val="0"/>
                  <w:vAlign w:val="center"/>
                </w:tcPr>
                <w:p w14:paraId="4EC7C9B6">
                  <w:pPr>
                    <w:pageBreakBefore w:val="0"/>
                    <w:kinsoku/>
                    <w:wordWrap/>
                    <w:overflowPunct/>
                    <w:topLinePunct w:val="0"/>
                    <w:autoSpaceDE w:val="0"/>
                    <w:autoSpaceDN w:val="0"/>
                    <w:bidi w:val="0"/>
                    <w:adjustRightInd w:val="0"/>
                    <w:snapToGrid/>
                    <w:spacing w:line="240" w:lineRule="auto"/>
                    <w:ind w:left="0" w:leftChars="0" w:right="0" w:rightChars="0" w:firstLine="0" w:firstLineChars="0"/>
                    <w:jc w:val="center"/>
                    <w:rPr>
                      <w:b w:val="0"/>
                      <w:bCs w:val="0"/>
                      <w:color w:val="auto"/>
                      <w:szCs w:val="21"/>
                    </w:rPr>
                  </w:pPr>
                  <w:r>
                    <w:rPr>
                      <w:b w:val="0"/>
                      <w:bCs w:val="0"/>
                      <w:color w:val="auto"/>
                      <w:szCs w:val="21"/>
                    </w:rPr>
                    <w:t>噪声</w:t>
                  </w:r>
                </w:p>
              </w:tc>
              <w:tc>
                <w:tcPr>
                  <w:tcW w:w="1696" w:type="pct"/>
                  <w:tcBorders>
                    <w:tl2br w:val="nil"/>
                    <w:tr2bl w:val="nil"/>
                  </w:tcBorders>
                  <w:noWrap w:val="0"/>
                  <w:vAlign w:val="center"/>
                </w:tcPr>
                <w:p w14:paraId="16E25D9E">
                  <w:pPr>
                    <w:pStyle w:val="4"/>
                    <w:pageBreakBefore w:val="0"/>
                    <w:kinsoku/>
                    <w:wordWrap/>
                    <w:overflowPunct/>
                    <w:topLinePunct w:val="0"/>
                    <w:bidi w:val="0"/>
                    <w:snapToGrid/>
                    <w:spacing w:before="0" w:after="0" w:line="240" w:lineRule="auto"/>
                    <w:ind w:left="0" w:leftChars="0" w:right="0" w:rightChars="0" w:firstLine="0" w:firstLineChars="0"/>
                    <w:jc w:val="center"/>
                    <w:rPr>
                      <w:rFonts w:hint="eastAsia"/>
                      <w:b w:val="0"/>
                      <w:bCs w:val="0"/>
                      <w:color w:val="auto"/>
                    </w:rPr>
                  </w:pPr>
                  <w:r>
                    <w:rPr>
                      <w:rFonts w:hint="eastAsia" w:ascii="Times New Roman" w:hAnsi="Times New Roman" w:eastAsia="宋体" w:cs="Times New Roman"/>
                      <w:b w:val="0"/>
                      <w:bCs w:val="0"/>
                      <w:color w:val="auto"/>
                      <w:kern w:val="2"/>
                      <w:sz w:val="21"/>
                      <w:szCs w:val="21"/>
                      <w:lang w:val="en-US" w:eastAsia="zh-CN" w:bidi="ar-SA"/>
                    </w:rPr>
                    <w:t>厂房隔声、设备减振及距离衰减等</w:t>
                  </w:r>
                </w:p>
              </w:tc>
            </w:tr>
            <w:tr w14:paraId="7AEBDCF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3" w:hRule="atLeast"/>
                <w:jc w:val="center"/>
              </w:trPr>
              <w:tc>
                <w:tcPr>
                  <w:tcW w:w="379" w:type="pct"/>
                  <w:vMerge w:val="restart"/>
                  <w:tcBorders>
                    <w:tl2br w:val="nil"/>
                    <w:tr2bl w:val="nil"/>
                  </w:tcBorders>
                  <w:noWrap w:val="0"/>
                  <w:vAlign w:val="center"/>
                </w:tcPr>
                <w:p w14:paraId="2E20DE2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固体废弃物</w:t>
                  </w:r>
                </w:p>
              </w:tc>
              <w:tc>
                <w:tcPr>
                  <w:tcW w:w="989" w:type="pct"/>
                  <w:tcBorders>
                    <w:tl2br w:val="nil"/>
                    <w:tr2bl w:val="nil"/>
                  </w:tcBorders>
                  <w:noWrap w:val="0"/>
                  <w:vAlign w:val="center"/>
                </w:tcPr>
                <w:p w14:paraId="0FE0D1A9">
                  <w:pPr>
                    <w:pStyle w:val="96"/>
                    <w:pageBreakBefore w:val="0"/>
                    <w:kinsoku/>
                    <w:wordWrap/>
                    <w:overflowPunct/>
                    <w:topLinePunct w:val="0"/>
                    <w:bidi w:val="0"/>
                    <w:snapToGrid/>
                    <w:spacing w:line="240" w:lineRule="auto"/>
                    <w:ind w:left="0" w:leftChars="0" w:right="0" w:rightChars="0" w:firstLine="0" w:firstLineChars="0"/>
                    <w:jc w:val="center"/>
                    <w:rPr>
                      <w:rFonts w:hint="eastAsia" w:eastAsia="宋体"/>
                      <w:b w:val="0"/>
                      <w:bCs w:val="0"/>
                      <w:color w:val="auto"/>
                      <w:spacing w:val="-12"/>
                      <w:sz w:val="21"/>
                      <w:szCs w:val="21"/>
                      <w:highlight w:val="yellow"/>
                      <w:lang w:eastAsia="zh-CN"/>
                    </w:rPr>
                  </w:pPr>
                  <w:r>
                    <w:rPr>
                      <w:rFonts w:hint="eastAsia"/>
                      <w:b w:val="0"/>
                      <w:bCs w:val="0"/>
                      <w:color w:val="auto"/>
                      <w:spacing w:val="-12"/>
                      <w:sz w:val="21"/>
                      <w:szCs w:val="21"/>
                      <w:lang w:val="en-US" w:eastAsia="zh-CN"/>
                    </w:rPr>
                    <w:t>玻璃边角料</w:t>
                  </w:r>
                </w:p>
              </w:tc>
              <w:tc>
                <w:tcPr>
                  <w:tcW w:w="1039" w:type="pct"/>
                  <w:tcBorders>
                    <w:tl2br w:val="nil"/>
                    <w:tr2bl w:val="nil"/>
                  </w:tcBorders>
                  <w:noWrap w:val="0"/>
                  <w:vAlign w:val="center"/>
                </w:tcPr>
                <w:p w14:paraId="3233AEBB">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highlight w:val="yellow"/>
                    </w:rPr>
                  </w:pPr>
                  <w:r>
                    <w:rPr>
                      <w:rFonts w:hint="eastAsia" w:ascii="Times New Roman" w:hAnsi="Times New Roman" w:cs="Times New Roman"/>
                      <w:b w:val="0"/>
                      <w:bCs w:val="0"/>
                      <w:color w:val="auto"/>
                      <w:lang w:val="en-US" w:eastAsia="zh-CN"/>
                    </w:rPr>
                    <w:t>玻璃原片裁切、孔缺</w:t>
                  </w:r>
                </w:p>
              </w:tc>
              <w:tc>
                <w:tcPr>
                  <w:tcW w:w="895" w:type="pct"/>
                  <w:tcBorders>
                    <w:tl2br w:val="nil"/>
                    <w:tr2bl w:val="nil"/>
                  </w:tcBorders>
                  <w:noWrap w:val="0"/>
                  <w:vAlign w:val="center"/>
                </w:tcPr>
                <w:p w14:paraId="7B167575">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highlight w:val="none"/>
                    </w:rPr>
                  </w:pPr>
                  <w:r>
                    <w:rPr>
                      <w:rFonts w:ascii="Times New Roman" w:hAnsi="Times New Roman" w:cs="Times New Roman"/>
                      <w:b w:val="0"/>
                      <w:bCs w:val="0"/>
                      <w:color w:val="auto"/>
                      <w:spacing w:val="-20"/>
                      <w:highlight w:val="none"/>
                    </w:rPr>
                    <w:t>/</w:t>
                  </w:r>
                </w:p>
              </w:tc>
              <w:tc>
                <w:tcPr>
                  <w:tcW w:w="1696" w:type="pct"/>
                  <w:tcBorders>
                    <w:tl2br w:val="nil"/>
                    <w:tr2bl w:val="nil"/>
                  </w:tcBorders>
                  <w:noWrap w:val="0"/>
                  <w:vAlign w:val="center"/>
                </w:tcPr>
                <w:p w14:paraId="00FFD880">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spacing w:val="-20"/>
                      <w:highlight w:val="none"/>
                      <w:lang w:val="en-US" w:eastAsia="zh-CN"/>
                    </w:rPr>
                  </w:pPr>
                  <w:r>
                    <w:rPr>
                      <w:rFonts w:hint="eastAsia" w:ascii="Times New Roman" w:hAnsi="Times New Roman" w:cs="Times New Roman"/>
                      <w:b w:val="0"/>
                      <w:bCs w:val="0"/>
                      <w:color w:val="auto"/>
                      <w:spacing w:val="-20"/>
                      <w:highlight w:val="none"/>
                    </w:rPr>
                    <w:t>暂存后</w:t>
                  </w:r>
                  <w:r>
                    <w:rPr>
                      <w:rFonts w:hint="eastAsia" w:ascii="Times New Roman" w:hAnsi="Times New Roman" w:cs="Times New Roman"/>
                      <w:b w:val="0"/>
                      <w:bCs w:val="0"/>
                      <w:color w:val="auto"/>
                      <w:spacing w:val="-20"/>
                      <w:highlight w:val="none"/>
                      <w:lang w:val="en-US" w:eastAsia="zh-CN"/>
                    </w:rPr>
                    <w:t>定期外售</w:t>
                  </w:r>
                </w:p>
              </w:tc>
            </w:tr>
            <w:tr w14:paraId="26022FC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6" w:hRule="atLeast"/>
                <w:jc w:val="center"/>
              </w:trPr>
              <w:tc>
                <w:tcPr>
                  <w:tcW w:w="379" w:type="pct"/>
                  <w:vMerge w:val="continue"/>
                  <w:tcBorders>
                    <w:tl2br w:val="nil"/>
                    <w:tr2bl w:val="nil"/>
                  </w:tcBorders>
                  <w:noWrap w:val="0"/>
                  <w:vAlign w:val="center"/>
                </w:tcPr>
                <w:p w14:paraId="686392B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05E28C11">
                  <w:pPr>
                    <w:pStyle w:val="96"/>
                    <w:pageBreakBefore w:val="0"/>
                    <w:kinsoku/>
                    <w:wordWrap/>
                    <w:overflowPunct/>
                    <w:topLinePunct w:val="0"/>
                    <w:bidi w:val="0"/>
                    <w:snapToGrid/>
                    <w:spacing w:line="240" w:lineRule="auto"/>
                    <w:ind w:left="0" w:leftChars="0" w:right="0" w:rightChars="0" w:firstLine="0" w:firstLineChars="0"/>
                    <w:jc w:val="center"/>
                    <w:rPr>
                      <w:rFonts w:hint="default"/>
                      <w:b w:val="0"/>
                      <w:bCs w:val="0"/>
                      <w:color w:val="auto"/>
                      <w:spacing w:val="-12"/>
                      <w:sz w:val="21"/>
                      <w:szCs w:val="21"/>
                      <w:lang w:val="en-US" w:eastAsia="zh-CN"/>
                    </w:rPr>
                  </w:pPr>
                  <w:r>
                    <w:rPr>
                      <w:rFonts w:hint="eastAsia"/>
                      <w:b w:val="0"/>
                      <w:bCs w:val="0"/>
                      <w:color w:val="auto"/>
                      <w:spacing w:val="-12"/>
                      <w:sz w:val="21"/>
                      <w:szCs w:val="21"/>
                      <w:lang w:val="en-US" w:eastAsia="zh-CN"/>
                    </w:rPr>
                    <w:t>废包装材料</w:t>
                  </w:r>
                </w:p>
              </w:tc>
              <w:tc>
                <w:tcPr>
                  <w:tcW w:w="1039" w:type="pct"/>
                  <w:tcBorders>
                    <w:tl2br w:val="nil"/>
                    <w:tr2bl w:val="nil"/>
                  </w:tcBorders>
                  <w:noWrap w:val="0"/>
                  <w:vAlign w:val="center"/>
                </w:tcPr>
                <w:p w14:paraId="41F7A069">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lang w:val="en-US" w:eastAsia="zh-CN"/>
                    </w:rPr>
                  </w:pPr>
                  <w:r>
                    <w:rPr>
                      <w:rFonts w:hint="eastAsia" w:ascii="Times New Roman" w:hAnsi="Times New Roman" w:cs="Times New Roman"/>
                      <w:b w:val="0"/>
                      <w:bCs w:val="0"/>
                      <w:color w:val="auto"/>
                      <w:lang w:val="en-US" w:eastAsia="zh-CN"/>
                    </w:rPr>
                    <w:t>原料使用</w:t>
                  </w:r>
                </w:p>
              </w:tc>
              <w:tc>
                <w:tcPr>
                  <w:tcW w:w="895" w:type="pct"/>
                  <w:tcBorders>
                    <w:tl2br w:val="nil"/>
                    <w:tr2bl w:val="nil"/>
                  </w:tcBorders>
                  <w:noWrap w:val="0"/>
                  <w:vAlign w:val="center"/>
                </w:tcPr>
                <w:p w14:paraId="7200DE9F">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spacing w:val="-20"/>
                      <w:highlight w:val="none"/>
                      <w:lang w:val="en-US" w:eastAsia="zh-CN"/>
                    </w:rPr>
                  </w:pPr>
                  <w:r>
                    <w:rPr>
                      <w:rFonts w:hint="eastAsia" w:ascii="Times New Roman" w:hAnsi="Times New Roman" w:cs="Times New Roman"/>
                      <w:b w:val="0"/>
                      <w:bCs w:val="0"/>
                      <w:color w:val="auto"/>
                      <w:spacing w:val="-20"/>
                      <w:highlight w:val="none"/>
                      <w:lang w:val="en-US" w:eastAsia="zh-CN"/>
                    </w:rPr>
                    <w:t>/</w:t>
                  </w:r>
                </w:p>
              </w:tc>
              <w:tc>
                <w:tcPr>
                  <w:tcW w:w="1696" w:type="pct"/>
                  <w:tcBorders>
                    <w:tl2br w:val="nil"/>
                    <w:tr2bl w:val="nil"/>
                  </w:tcBorders>
                  <w:noWrap w:val="0"/>
                  <w:vAlign w:val="center"/>
                </w:tcPr>
                <w:p w14:paraId="68374F79">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spacing w:val="-20"/>
                      <w:highlight w:val="none"/>
                    </w:rPr>
                  </w:pPr>
                  <w:r>
                    <w:rPr>
                      <w:rFonts w:hint="eastAsia" w:ascii="Times New Roman" w:hAnsi="Times New Roman" w:cs="Times New Roman"/>
                      <w:b w:val="0"/>
                      <w:bCs w:val="0"/>
                      <w:color w:val="auto"/>
                      <w:spacing w:val="-20"/>
                      <w:highlight w:val="none"/>
                    </w:rPr>
                    <w:t>暂存后</w:t>
                  </w:r>
                  <w:r>
                    <w:rPr>
                      <w:rFonts w:hint="eastAsia" w:ascii="Times New Roman" w:hAnsi="Times New Roman" w:cs="Times New Roman"/>
                      <w:b w:val="0"/>
                      <w:bCs w:val="0"/>
                      <w:color w:val="auto"/>
                      <w:spacing w:val="-20"/>
                      <w:highlight w:val="none"/>
                      <w:lang w:val="en-US" w:eastAsia="zh-CN"/>
                    </w:rPr>
                    <w:t>定期外售</w:t>
                  </w:r>
                </w:p>
              </w:tc>
            </w:tr>
            <w:tr w14:paraId="2165731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7" w:hRule="atLeast"/>
                <w:jc w:val="center"/>
              </w:trPr>
              <w:tc>
                <w:tcPr>
                  <w:tcW w:w="379" w:type="pct"/>
                  <w:vMerge w:val="continue"/>
                  <w:tcBorders>
                    <w:tl2br w:val="nil"/>
                    <w:tr2bl w:val="nil"/>
                  </w:tcBorders>
                  <w:noWrap w:val="0"/>
                  <w:vAlign w:val="center"/>
                </w:tcPr>
                <w:p w14:paraId="68315F6A">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5E39221D">
                  <w:pPr>
                    <w:pStyle w:val="96"/>
                    <w:pageBreakBefore w:val="0"/>
                    <w:kinsoku/>
                    <w:wordWrap/>
                    <w:overflowPunct/>
                    <w:topLinePunct w:val="0"/>
                    <w:bidi w:val="0"/>
                    <w:snapToGrid/>
                    <w:spacing w:line="240" w:lineRule="auto"/>
                    <w:ind w:left="0" w:leftChars="0" w:right="0" w:rightChars="0" w:firstLine="0" w:firstLineChars="0"/>
                    <w:jc w:val="center"/>
                    <w:rPr>
                      <w:rFonts w:hint="default" w:eastAsia="宋体"/>
                      <w:b w:val="0"/>
                      <w:bCs w:val="0"/>
                      <w:color w:val="auto"/>
                      <w:spacing w:val="-12"/>
                      <w:sz w:val="21"/>
                      <w:szCs w:val="21"/>
                      <w:lang w:val="en-US" w:eastAsia="zh-CN"/>
                    </w:rPr>
                  </w:pPr>
                  <w:r>
                    <w:rPr>
                      <w:rFonts w:hint="eastAsia"/>
                      <w:b w:val="0"/>
                      <w:bCs w:val="0"/>
                      <w:color w:val="auto"/>
                      <w:spacing w:val="-12"/>
                      <w:sz w:val="21"/>
                      <w:szCs w:val="21"/>
                      <w:lang w:val="en-US" w:eastAsia="zh-CN"/>
                    </w:rPr>
                    <w:t>不合格品</w:t>
                  </w:r>
                </w:p>
              </w:tc>
              <w:tc>
                <w:tcPr>
                  <w:tcW w:w="1039" w:type="pct"/>
                  <w:tcBorders>
                    <w:tl2br w:val="nil"/>
                    <w:tr2bl w:val="nil"/>
                  </w:tcBorders>
                  <w:noWrap w:val="0"/>
                  <w:vAlign w:val="center"/>
                </w:tcPr>
                <w:p w14:paraId="702F67F1">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产品检测</w:t>
                  </w:r>
                </w:p>
              </w:tc>
              <w:tc>
                <w:tcPr>
                  <w:tcW w:w="895" w:type="pct"/>
                  <w:tcBorders>
                    <w:tl2br w:val="nil"/>
                    <w:tr2bl w:val="nil"/>
                  </w:tcBorders>
                  <w:noWrap w:val="0"/>
                  <w:vAlign w:val="center"/>
                </w:tcPr>
                <w:p w14:paraId="3AB4B285">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rPr>
                  </w:pPr>
                  <w:r>
                    <w:rPr>
                      <w:rFonts w:ascii="Times New Roman" w:hAnsi="Times New Roman" w:cs="Times New Roman"/>
                      <w:b w:val="0"/>
                      <w:bCs w:val="0"/>
                      <w:color w:val="auto"/>
                      <w:spacing w:val="-20"/>
                    </w:rPr>
                    <w:t>/</w:t>
                  </w:r>
                </w:p>
              </w:tc>
              <w:tc>
                <w:tcPr>
                  <w:tcW w:w="1696" w:type="pct"/>
                  <w:tcBorders>
                    <w:tl2br w:val="nil"/>
                    <w:tr2bl w:val="nil"/>
                  </w:tcBorders>
                  <w:noWrap w:val="0"/>
                  <w:vAlign w:val="center"/>
                </w:tcPr>
                <w:p w14:paraId="61D90436">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rPr>
                  </w:pPr>
                  <w:r>
                    <w:rPr>
                      <w:rFonts w:hint="eastAsia" w:ascii="Times New Roman" w:hAnsi="Times New Roman" w:cs="Times New Roman"/>
                      <w:b w:val="0"/>
                      <w:bCs w:val="0"/>
                      <w:color w:val="auto"/>
                      <w:spacing w:val="-20"/>
                    </w:rPr>
                    <w:t>暂存后</w:t>
                  </w:r>
                  <w:r>
                    <w:rPr>
                      <w:rFonts w:hint="eastAsia" w:ascii="Times New Roman" w:hAnsi="Times New Roman" w:cs="Times New Roman"/>
                      <w:b w:val="0"/>
                      <w:bCs w:val="0"/>
                      <w:color w:val="auto"/>
                      <w:spacing w:val="-20"/>
                      <w:lang w:val="en-US" w:eastAsia="zh-CN"/>
                    </w:rPr>
                    <w:t>定期外售</w:t>
                  </w:r>
                </w:p>
              </w:tc>
            </w:tr>
            <w:tr w14:paraId="6073333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775BC1EA">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6743B424">
                  <w:pPr>
                    <w:pStyle w:val="96"/>
                    <w:pageBreakBefore w:val="0"/>
                    <w:kinsoku/>
                    <w:wordWrap/>
                    <w:overflowPunct/>
                    <w:topLinePunct w:val="0"/>
                    <w:bidi w:val="0"/>
                    <w:snapToGrid/>
                    <w:spacing w:line="240" w:lineRule="auto"/>
                    <w:ind w:left="0" w:leftChars="0" w:right="0" w:rightChars="0" w:firstLine="0" w:firstLineChars="0"/>
                    <w:jc w:val="center"/>
                    <w:rPr>
                      <w:rFonts w:hint="default" w:eastAsia="宋体"/>
                      <w:b w:val="0"/>
                      <w:bCs w:val="0"/>
                      <w:color w:val="auto"/>
                      <w:spacing w:val="-12"/>
                      <w:sz w:val="21"/>
                      <w:szCs w:val="21"/>
                      <w:lang w:val="en-US" w:eastAsia="zh-CN"/>
                    </w:rPr>
                  </w:pPr>
                  <w:r>
                    <w:rPr>
                      <w:rFonts w:hint="eastAsia"/>
                      <w:b w:val="0"/>
                      <w:bCs w:val="0"/>
                      <w:color w:val="auto"/>
                      <w:spacing w:val="-12"/>
                      <w:sz w:val="21"/>
                      <w:szCs w:val="21"/>
                      <w:lang w:val="en-US" w:eastAsia="zh-CN"/>
                    </w:rPr>
                    <w:t>底部沉淀物</w:t>
                  </w:r>
                </w:p>
              </w:tc>
              <w:tc>
                <w:tcPr>
                  <w:tcW w:w="1039" w:type="pct"/>
                  <w:tcBorders>
                    <w:tl2br w:val="nil"/>
                    <w:tr2bl w:val="nil"/>
                  </w:tcBorders>
                  <w:noWrap w:val="0"/>
                  <w:vAlign w:val="center"/>
                </w:tcPr>
                <w:p w14:paraId="278F178B">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沉淀池</w:t>
                  </w:r>
                </w:p>
              </w:tc>
              <w:tc>
                <w:tcPr>
                  <w:tcW w:w="895" w:type="pct"/>
                  <w:tcBorders>
                    <w:tl2br w:val="nil"/>
                    <w:tr2bl w:val="nil"/>
                  </w:tcBorders>
                  <w:noWrap w:val="0"/>
                  <w:vAlign w:val="center"/>
                </w:tcPr>
                <w:p w14:paraId="5FD6964F">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rPr>
                  </w:pPr>
                  <w:r>
                    <w:rPr>
                      <w:rFonts w:ascii="Times New Roman" w:hAnsi="Times New Roman" w:cs="Times New Roman"/>
                      <w:b w:val="0"/>
                      <w:bCs w:val="0"/>
                      <w:color w:val="auto"/>
                      <w:spacing w:val="-20"/>
                    </w:rPr>
                    <w:t>/</w:t>
                  </w:r>
                </w:p>
              </w:tc>
              <w:tc>
                <w:tcPr>
                  <w:tcW w:w="1696" w:type="pct"/>
                  <w:tcBorders>
                    <w:tl2br w:val="nil"/>
                    <w:tr2bl w:val="nil"/>
                  </w:tcBorders>
                  <w:noWrap w:val="0"/>
                  <w:vAlign w:val="center"/>
                </w:tcPr>
                <w:p w14:paraId="7DCB95A4">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rPr>
                  </w:pPr>
                  <w:r>
                    <w:rPr>
                      <w:rFonts w:hint="eastAsia" w:ascii="Times New Roman" w:hAnsi="Times New Roman" w:cs="Times New Roman"/>
                      <w:b w:val="0"/>
                      <w:bCs w:val="0"/>
                      <w:color w:val="auto"/>
                      <w:spacing w:val="-20"/>
                    </w:rPr>
                    <w:t>暂存后</w:t>
                  </w:r>
                  <w:r>
                    <w:rPr>
                      <w:rFonts w:hint="eastAsia" w:ascii="Times New Roman" w:hAnsi="Times New Roman" w:cs="Times New Roman"/>
                      <w:b w:val="0"/>
                      <w:bCs w:val="0"/>
                      <w:color w:val="auto"/>
                      <w:spacing w:val="-20"/>
                      <w:lang w:val="en-US" w:eastAsia="zh-CN"/>
                    </w:rPr>
                    <w:t>定期外售</w:t>
                  </w:r>
                </w:p>
              </w:tc>
            </w:tr>
            <w:tr w14:paraId="0359035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5" w:hRule="atLeast"/>
                <w:jc w:val="center"/>
              </w:trPr>
              <w:tc>
                <w:tcPr>
                  <w:tcW w:w="379" w:type="pct"/>
                  <w:vMerge w:val="continue"/>
                  <w:tcBorders>
                    <w:tl2br w:val="nil"/>
                    <w:tr2bl w:val="nil"/>
                  </w:tcBorders>
                  <w:noWrap w:val="0"/>
                  <w:vAlign w:val="center"/>
                </w:tcPr>
                <w:p w14:paraId="7D0D7F5E">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74850958">
                  <w:pPr>
                    <w:pStyle w:val="96"/>
                    <w:pageBreakBefore w:val="0"/>
                    <w:kinsoku/>
                    <w:wordWrap/>
                    <w:overflowPunct/>
                    <w:topLinePunct w:val="0"/>
                    <w:bidi w:val="0"/>
                    <w:snapToGrid/>
                    <w:spacing w:line="240" w:lineRule="auto"/>
                    <w:ind w:left="0" w:leftChars="0" w:right="0" w:rightChars="0" w:firstLine="0" w:firstLineChars="0"/>
                    <w:jc w:val="center"/>
                    <w:rPr>
                      <w:rFonts w:hint="default"/>
                      <w:b w:val="0"/>
                      <w:bCs w:val="0"/>
                      <w:color w:val="auto"/>
                      <w:spacing w:val="-12"/>
                      <w:sz w:val="21"/>
                      <w:szCs w:val="21"/>
                      <w:lang w:val="en-US" w:eastAsia="zh-CN"/>
                    </w:rPr>
                  </w:pPr>
                  <w:r>
                    <w:rPr>
                      <w:rFonts w:hint="eastAsia"/>
                      <w:b w:val="0"/>
                      <w:bCs w:val="0"/>
                      <w:color w:val="auto"/>
                      <w:spacing w:val="-12"/>
                      <w:sz w:val="21"/>
                      <w:szCs w:val="21"/>
                      <w:lang w:val="en-US" w:eastAsia="zh-CN"/>
                    </w:rPr>
                    <w:t>废铝条</w:t>
                  </w:r>
                </w:p>
              </w:tc>
              <w:tc>
                <w:tcPr>
                  <w:tcW w:w="1039" w:type="pct"/>
                  <w:tcBorders>
                    <w:tl2br w:val="nil"/>
                    <w:tr2bl w:val="nil"/>
                  </w:tcBorders>
                  <w:noWrap w:val="0"/>
                  <w:vAlign w:val="center"/>
                </w:tcPr>
                <w:p w14:paraId="2CF34609">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lang w:val="en-US" w:eastAsia="zh-CN"/>
                    </w:rPr>
                  </w:pPr>
                  <w:r>
                    <w:rPr>
                      <w:rFonts w:hint="eastAsia" w:ascii="Times New Roman" w:hAnsi="Times New Roman" w:cs="Times New Roman"/>
                      <w:b w:val="0"/>
                      <w:bCs w:val="0"/>
                      <w:color w:val="auto"/>
                      <w:lang w:val="en-US" w:eastAsia="zh-CN"/>
                    </w:rPr>
                    <w:t>铝条切割</w:t>
                  </w:r>
                </w:p>
              </w:tc>
              <w:tc>
                <w:tcPr>
                  <w:tcW w:w="895" w:type="pct"/>
                  <w:tcBorders>
                    <w:tl2br w:val="nil"/>
                    <w:tr2bl w:val="nil"/>
                  </w:tcBorders>
                  <w:noWrap w:val="0"/>
                  <w:vAlign w:val="center"/>
                </w:tcPr>
                <w:p w14:paraId="71C6ED62">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spacing w:val="-20"/>
                      <w:lang w:val="en-US" w:eastAsia="zh-CN"/>
                    </w:rPr>
                  </w:pPr>
                  <w:r>
                    <w:rPr>
                      <w:rFonts w:hint="eastAsia" w:ascii="Times New Roman" w:hAnsi="Times New Roman" w:cs="Times New Roman"/>
                      <w:b w:val="0"/>
                      <w:bCs w:val="0"/>
                      <w:color w:val="auto"/>
                      <w:spacing w:val="-20"/>
                      <w:lang w:val="en-US" w:eastAsia="zh-CN"/>
                    </w:rPr>
                    <w:t>/</w:t>
                  </w:r>
                </w:p>
              </w:tc>
              <w:tc>
                <w:tcPr>
                  <w:tcW w:w="1696" w:type="pct"/>
                  <w:tcBorders>
                    <w:tl2br w:val="nil"/>
                    <w:tr2bl w:val="nil"/>
                  </w:tcBorders>
                  <w:noWrap w:val="0"/>
                  <w:vAlign w:val="center"/>
                </w:tcPr>
                <w:p w14:paraId="456CC592">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spacing w:val="-20"/>
                    </w:rPr>
                  </w:pPr>
                  <w:r>
                    <w:rPr>
                      <w:rFonts w:hint="eastAsia" w:ascii="Times New Roman" w:hAnsi="Times New Roman" w:cs="Times New Roman"/>
                      <w:b w:val="0"/>
                      <w:bCs w:val="0"/>
                      <w:color w:val="auto"/>
                      <w:spacing w:val="-20"/>
                    </w:rPr>
                    <w:t>暂存后</w:t>
                  </w:r>
                  <w:r>
                    <w:rPr>
                      <w:rFonts w:hint="eastAsia" w:ascii="Times New Roman" w:hAnsi="Times New Roman" w:cs="Times New Roman"/>
                      <w:b w:val="0"/>
                      <w:bCs w:val="0"/>
                      <w:color w:val="auto"/>
                      <w:spacing w:val="-20"/>
                      <w:lang w:val="en-US" w:eastAsia="zh-CN"/>
                    </w:rPr>
                    <w:t>定期外售</w:t>
                  </w:r>
                </w:p>
              </w:tc>
            </w:tr>
            <w:tr w14:paraId="234F6FE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9" w:hRule="atLeast"/>
                <w:jc w:val="center"/>
              </w:trPr>
              <w:tc>
                <w:tcPr>
                  <w:tcW w:w="379" w:type="pct"/>
                  <w:vMerge w:val="continue"/>
                  <w:tcBorders>
                    <w:tl2br w:val="nil"/>
                    <w:tr2bl w:val="nil"/>
                  </w:tcBorders>
                  <w:noWrap w:val="0"/>
                  <w:vAlign w:val="center"/>
                </w:tcPr>
                <w:p w14:paraId="294B0BF4">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65E8F515">
                  <w:pPr>
                    <w:pStyle w:val="96"/>
                    <w:pageBreakBefore w:val="0"/>
                    <w:kinsoku/>
                    <w:wordWrap/>
                    <w:overflowPunct/>
                    <w:topLinePunct w:val="0"/>
                    <w:bidi w:val="0"/>
                    <w:snapToGrid/>
                    <w:spacing w:line="240" w:lineRule="auto"/>
                    <w:ind w:left="0" w:leftChars="0" w:right="0" w:rightChars="0" w:firstLine="0" w:firstLineChars="0"/>
                    <w:jc w:val="center"/>
                    <w:rPr>
                      <w:b w:val="0"/>
                      <w:bCs w:val="0"/>
                      <w:color w:val="auto"/>
                      <w:spacing w:val="-12"/>
                      <w:sz w:val="21"/>
                      <w:szCs w:val="21"/>
                    </w:rPr>
                  </w:pPr>
                  <w:r>
                    <w:rPr>
                      <w:b w:val="0"/>
                      <w:bCs w:val="0"/>
                      <w:color w:val="auto"/>
                      <w:spacing w:val="-12"/>
                      <w:sz w:val="21"/>
                      <w:szCs w:val="21"/>
                    </w:rPr>
                    <w:t>废反渗透膜</w:t>
                  </w:r>
                </w:p>
              </w:tc>
              <w:tc>
                <w:tcPr>
                  <w:tcW w:w="1039" w:type="pct"/>
                  <w:tcBorders>
                    <w:tl2br w:val="nil"/>
                    <w:tr2bl w:val="nil"/>
                  </w:tcBorders>
                  <w:noWrap w:val="0"/>
                  <w:vAlign w:val="center"/>
                </w:tcPr>
                <w:p w14:paraId="332BCA8E">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spacing w:val="-12"/>
                    </w:rPr>
                    <w:t>纯水制备</w:t>
                  </w:r>
                </w:p>
              </w:tc>
              <w:tc>
                <w:tcPr>
                  <w:tcW w:w="895" w:type="pct"/>
                  <w:tcBorders>
                    <w:tl2br w:val="nil"/>
                    <w:tr2bl w:val="nil"/>
                  </w:tcBorders>
                  <w:noWrap w:val="0"/>
                  <w:vAlign w:val="center"/>
                </w:tcPr>
                <w:p w14:paraId="35014431">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rPr>
                  </w:pPr>
                  <w:r>
                    <w:rPr>
                      <w:rFonts w:ascii="Times New Roman" w:hAnsi="Times New Roman" w:cs="Times New Roman"/>
                      <w:b w:val="0"/>
                      <w:bCs w:val="0"/>
                      <w:color w:val="auto"/>
                      <w:spacing w:val="-20"/>
                    </w:rPr>
                    <w:t>/</w:t>
                  </w:r>
                </w:p>
              </w:tc>
              <w:tc>
                <w:tcPr>
                  <w:tcW w:w="1696" w:type="pct"/>
                  <w:tcBorders>
                    <w:tl2br w:val="nil"/>
                    <w:tr2bl w:val="nil"/>
                  </w:tcBorders>
                  <w:noWrap w:val="0"/>
                  <w:vAlign w:val="center"/>
                </w:tcPr>
                <w:p w14:paraId="638DDB88">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spacing w:val="-20"/>
                    </w:rPr>
                  </w:pPr>
                  <w:r>
                    <w:rPr>
                      <w:rFonts w:hint="eastAsia" w:ascii="Times New Roman" w:hAnsi="Times New Roman" w:cs="Times New Roman"/>
                      <w:b w:val="0"/>
                      <w:bCs w:val="0"/>
                      <w:color w:val="auto"/>
                      <w:spacing w:val="-20"/>
                    </w:rPr>
                    <w:t>由厂家回收</w:t>
                  </w:r>
                </w:p>
              </w:tc>
            </w:tr>
            <w:tr w14:paraId="5966B64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17249580">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shd w:val="clear" w:color="auto" w:fill="auto"/>
                  <w:noWrap w:val="0"/>
                  <w:vAlign w:val="center"/>
                </w:tcPr>
                <w:p w14:paraId="3999C5BF">
                  <w:pPr>
                    <w:pStyle w:val="96"/>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spacing w:val="-12"/>
                      <w:kern w:val="0"/>
                      <w:sz w:val="21"/>
                      <w:szCs w:val="21"/>
                      <w:lang w:val="en-US" w:eastAsia="zh-CN" w:bidi="ar-SA"/>
                    </w:rPr>
                  </w:pPr>
                  <w:r>
                    <w:rPr>
                      <w:rFonts w:hint="eastAsia" w:eastAsia="宋体" w:cs="Times New Roman"/>
                      <w:b w:val="0"/>
                      <w:bCs w:val="0"/>
                      <w:color w:val="auto"/>
                      <w:spacing w:val="-12"/>
                      <w:kern w:val="0"/>
                      <w:sz w:val="21"/>
                      <w:szCs w:val="21"/>
                      <w:lang w:val="en-US" w:eastAsia="zh-CN" w:bidi="ar-SA"/>
                    </w:rPr>
                    <w:t>废活性炭</w:t>
                  </w:r>
                </w:p>
              </w:tc>
              <w:tc>
                <w:tcPr>
                  <w:tcW w:w="1039" w:type="pct"/>
                  <w:tcBorders>
                    <w:tl2br w:val="nil"/>
                    <w:tr2bl w:val="nil"/>
                  </w:tcBorders>
                  <w:shd w:val="clear" w:color="auto" w:fill="auto"/>
                  <w:noWrap w:val="0"/>
                  <w:vAlign w:val="center"/>
                </w:tcPr>
                <w:p w14:paraId="560A7905">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有机废气治理</w:t>
                  </w:r>
                </w:p>
              </w:tc>
              <w:tc>
                <w:tcPr>
                  <w:tcW w:w="895" w:type="pct"/>
                  <w:tcBorders>
                    <w:tl2br w:val="nil"/>
                    <w:tr2bl w:val="nil"/>
                  </w:tcBorders>
                  <w:shd w:val="clear" w:color="auto" w:fill="auto"/>
                  <w:noWrap w:val="0"/>
                  <w:vAlign w:val="center"/>
                </w:tcPr>
                <w:p w14:paraId="01AE90E1">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spacing w:val="-20"/>
                      <w:kern w:val="2"/>
                      <w:sz w:val="21"/>
                      <w:szCs w:val="21"/>
                      <w:lang w:val="en-US" w:eastAsia="zh-CN" w:bidi="ar-SA"/>
                    </w:rPr>
                  </w:pPr>
                  <w:r>
                    <w:rPr>
                      <w:rFonts w:hint="eastAsia" w:ascii="Times New Roman" w:hAnsi="Times New Roman" w:cs="Times New Roman"/>
                      <w:b w:val="0"/>
                      <w:bCs w:val="0"/>
                      <w:color w:val="auto"/>
                      <w:spacing w:val="-20"/>
                      <w:kern w:val="2"/>
                      <w:sz w:val="21"/>
                      <w:szCs w:val="21"/>
                      <w:lang w:val="en-US" w:eastAsia="zh-CN" w:bidi="ar-SA"/>
                    </w:rPr>
                    <w:t>有机废气</w:t>
                  </w:r>
                </w:p>
              </w:tc>
              <w:tc>
                <w:tcPr>
                  <w:tcW w:w="1696" w:type="pct"/>
                  <w:vMerge w:val="restart"/>
                  <w:tcBorders>
                    <w:tl2br w:val="nil"/>
                    <w:tr2bl w:val="nil"/>
                  </w:tcBorders>
                  <w:noWrap w:val="0"/>
                  <w:vAlign w:val="center"/>
                </w:tcPr>
                <w:p w14:paraId="6B1C5206">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12"/>
                    </w:rPr>
                  </w:pPr>
                  <w:r>
                    <w:rPr>
                      <w:rFonts w:hint="eastAsia" w:ascii="Times New Roman" w:hAnsi="Times New Roman" w:cs="Times New Roman"/>
                      <w:b w:val="0"/>
                      <w:bCs w:val="0"/>
                      <w:color w:val="auto"/>
                      <w:spacing w:val="-12"/>
                    </w:rPr>
                    <w:t>交有资质单位处置</w:t>
                  </w:r>
                </w:p>
              </w:tc>
            </w:tr>
            <w:tr w14:paraId="41B035A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56446E14">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shd w:val="clear" w:color="auto" w:fill="auto"/>
                  <w:noWrap w:val="0"/>
                  <w:vAlign w:val="center"/>
                </w:tcPr>
                <w:p w14:paraId="3BAD86B2">
                  <w:pPr>
                    <w:pStyle w:val="96"/>
                    <w:pageBreakBefore w:val="0"/>
                    <w:kinsoku/>
                    <w:wordWrap/>
                    <w:overflowPunct/>
                    <w:topLinePunct w:val="0"/>
                    <w:bidi w:val="0"/>
                    <w:snapToGrid/>
                    <w:spacing w:line="240" w:lineRule="auto"/>
                    <w:ind w:left="0" w:leftChars="0" w:right="0" w:rightChars="0" w:firstLine="0" w:firstLineChars="0"/>
                    <w:jc w:val="center"/>
                    <w:rPr>
                      <w:rFonts w:hint="default" w:eastAsia="宋体" w:cs="Times New Roman"/>
                      <w:b w:val="0"/>
                      <w:bCs w:val="0"/>
                      <w:color w:val="auto"/>
                      <w:spacing w:val="-12"/>
                      <w:kern w:val="0"/>
                      <w:sz w:val="21"/>
                      <w:szCs w:val="21"/>
                      <w:lang w:val="en-US" w:eastAsia="zh-CN" w:bidi="ar-SA"/>
                    </w:rPr>
                  </w:pPr>
                  <w:r>
                    <w:rPr>
                      <w:rFonts w:hint="eastAsia" w:eastAsia="宋体" w:cs="Times New Roman"/>
                      <w:b w:val="0"/>
                      <w:bCs w:val="0"/>
                      <w:color w:val="auto"/>
                      <w:spacing w:val="-12"/>
                      <w:kern w:val="0"/>
                      <w:sz w:val="21"/>
                      <w:szCs w:val="21"/>
                      <w:lang w:val="en-US" w:eastAsia="zh-CN" w:bidi="ar-SA"/>
                    </w:rPr>
                    <w:t>废胶桶</w:t>
                  </w:r>
                </w:p>
              </w:tc>
              <w:tc>
                <w:tcPr>
                  <w:tcW w:w="1039" w:type="pct"/>
                  <w:tcBorders>
                    <w:tl2br w:val="nil"/>
                    <w:tr2bl w:val="nil"/>
                  </w:tcBorders>
                  <w:shd w:val="clear" w:color="auto" w:fill="auto"/>
                  <w:noWrap w:val="0"/>
                  <w:vAlign w:val="center"/>
                </w:tcPr>
                <w:p w14:paraId="56ED4947">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丁基胶、硅酮密封胶等使用</w:t>
                  </w:r>
                </w:p>
              </w:tc>
              <w:tc>
                <w:tcPr>
                  <w:tcW w:w="895" w:type="pct"/>
                  <w:tcBorders>
                    <w:tl2br w:val="nil"/>
                    <w:tr2bl w:val="nil"/>
                  </w:tcBorders>
                  <w:shd w:val="clear" w:color="auto" w:fill="auto"/>
                  <w:noWrap w:val="0"/>
                  <w:vAlign w:val="center"/>
                </w:tcPr>
                <w:p w14:paraId="382D006C">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spacing w:val="-20"/>
                      <w:kern w:val="2"/>
                      <w:sz w:val="21"/>
                      <w:szCs w:val="21"/>
                      <w:lang w:val="en-US" w:eastAsia="zh-CN" w:bidi="ar-SA"/>
                    </w:rPr>
                  </w:pPr>
                  <w:r>
                    <w:rPr>
                      <w:rFonts w:hint="eastAsia" w:ascii="Times New Roman" w:hAnsi="Times New Roman" w:cs="Times New Roman"/>
                      <w:b w:val="0"/>
                      <w:bCs w:val="0"/>
                      <w:color w:val="auto"/>
                      <w:spacing w:val="-20"/>
                      <w:kern w:val="2"/>
                      <w:sz w:val="21"/>
                      <w:szCs w:val="21"/>
                      <w:lang w:val="en-US" w:eastAsia="zh-CN" w:bidi="ar-SA"/>
                    </w:rPr>
                    <w:t>/</w:t>
                  </w:r>
                </w:p>
              </w:tc>
              <w:tc>
                <w:tcPr>
                  <w:tcW w:w="1696" w:type="pct"/>
                  <w:vMerge w:val="continue"/>
                  <w:tcBorders>
                    <w:tl2br w:val="nil"/>
                    <w:tr2bl w:val="nil"/>
                  </w:tcBorders>
                  <w:noWrap w:val="0"/>
                  <w:vAlign w:val="center"/>
                </w:tcPr>
                <w:p w14:paraId="19203794">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spacing w:val="-12"/>
                    </w:rPr>
                  </w:pPr>
                </w:p>
              </w:tc>
            </w:tr>
            <w:tr w14:paraId="0DA87EE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6E25917A">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shd w:val="clear" w:color="auto" w:fill="auto"/>
                  <w:noWrap w:val="0"/>
                  <w:vAlign w:val="center"/>
                </w:tcPr>
                <w:p w14:paraId="6EF2A502">
                  <w:pPr>
                    <w:pStyle w:val="96"/>
                    <w:pageBreakBefore w:val="0"/>
                    <w:kinsoku/>
                    <w:wordWrap/>
                    <w:overflowPunct/>
                    <w:topLinePunct w:val="0"/>
                    <w:bidi w:val="0"/>
                    <w:snapToGrid/>
                    <w:spacing w:line="240" w:lineRule="auto"/>
                    <w:ind w:left="0" w:leftChars="0" w:right="0" w:rightChars="0" w:firstLine="0" w:firstLineChars="0"/>
                    <w:jc w:val="center"/>
                    <w:rPr>
                      <w:rFonts w:hint="eastAsia" w:eastAsia="宋体" w:cs="Times New Roman"/>
                      <w:b w:val="0"/>
                      <w:bCs w:val="0"/>
                      <w:color w:val="auto"/>
                      <w:spacing w:val="-12"/>
                      <w:kern w:val="0"/>
                      <w:sz w:val="21"/>
                      <w:szCs w:val="21"/>
                      <w:lang w:val="en-US" w:eastAsia="zh-CN" w:bidi="ar-SA"/>
                    </w:rPr>
                  </w:pPr>
                  <w:r>
                    <w:rPr>
                      <w:rFonts w:hint="eastAsia" w:eastAsia="宋体" w:cs="Times New Roman"/>
                      <w:b w:val="0"/>
                      <w:bCs w:val="0"/>
                      <w:color w:val="auto"/>
                      <w:spacing w:val="-12"/>
                      <w:kern w:val="0"/>
                      <w:sz w:val="21"/>
                      <w:szCs w:val="21"/>
                      <w:lang w:val="en-US" w:eastAsia="zh-CN" w:bidi="ar-SA"/>
                    </w:rPr>
                    <w:t>废</w:t>
                  </w:r>
                  <w:r>
                    <w:rPr>
                      <w:rFonts w:hint="eastAsia" w:cs="Times New Roman"/>
                      <w:b w:val="0"/>
                      <w:bCs w:val="0"/>
                      <w:color w:val="auto"/>
                      <w:spacing w:val="-12"/>
                      <w:kern w:val="0"/>
                      <w:sz w:val="21"/>
                      <w:szCs w:val="21"/>
                      <w:lang w:val="en-US" w:eastAsia="zh-CN" w:bidi="ar-SA"/>
                    </w:rPr>
                    <w:t>墨水</w:t>
                  </w:r>
                  <w:r>
                    <w:rPr>
                      <w:rFonts w:hint="eastAsia" w:eastAsia="宋体" w:cs="Times New Roman"/>
                      <w:b w:val="0"/>
                      <w:bCs w:val="0"/>
                      <w:color w:val="auto"/>
                      <w:spacing w:val="-12"/>
                      <w:kern w:val="0"/>
                      <w:sz w:val="21"/>
                      <w:szCs w:val="21"/>
                      <w:lang w:val="en-US" w:eastAsia="zh-CN" w:bidi="ar-SA"/>
                    </w:rPr>
                    <w:t>桶</w:t>
                  </w:r>
                </w:p>
              </w:tc>
              <w:tc>
                <w:tcPr>
                  <w:tcW w:w="1039" w:type="pct"/>
                  <w:tcBorders>
                    <w:tl2br w:val="nil"/>
                    <w:tr2bl w:val="nil"/>
                  </w:tcBorders>
                  <w:shd w:val="clear" w:color="auto" w:fill="auto"/>
                  <w:noWrap w:val="0"/>
                  <w:vAlign w:val="center"/>
                </w:tcPr>
                <w:p w14:paraId="1A9EC329">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彩印成像工序</w:t>
                  </w:r>
                </w:p>
              </w:tc>
              <w:tc>
                <w:tcPr>
                  <w:tcW w:w="895" w:type="pct"/>
                  <w:tcBorders>
                    <w:tl2br w:val="nil"/>
                    <w:tr2bl w:val="nil"/>
                  </w:tcBorders>
                  <w:shd w:val="clear" w:color="auto" w:fill="auto"/>
                  <w:noWrap w:val="0"/>
                  <w:vAlign w:val="center"/>
                </w:tcPr>
                <w:p w14:paraId="446174DA">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spacing w:val="-20"/>
                      <w:kern w:val="2"/>
                      <w:sz w:val="21"/>
                      <w:szCs w:val="21"/>
                      <w:lang w:val="en-US" w:eastAsia="zh-CN" w:bidi="ar-SA"/>
                    </w:rPr>
                  </w:pPr>
                  <w:r>
                    <w:rPr>
                      <w:rFonts w:hint="eastAsia" w:ascii="Times New Roman" w:hAnsi="Times New Roman" w:cs="Times New Roman"/>
                      <w:b w:val="0"/>
                      <w:bCs w:val="0"/>
                      <w:color w:val="auto"/>
                      <w:spacing w:val="-20"/>
                      <w:kern w:val="2"/>
                      <w:sz w:val="21"/>
                      <w:szCs w:val="21"/>
                      <w:lang w:val="en-US" w:eastAsia="zh-CN" w:bidi="ar-SA"/>
                    </w:rPr>
                    <w:t>二丙二醇甲醚醋酸酯、丙二醇甲醚醋酸酯等</w:t>
                  </w:r>
                </w:p>
              </w:tc>
              <w:tc>
                <w:tcPr>
                  <w:tcW w:w="1696" w:type="pct"/>
                  <w:vMerge w:val="continue"/>
                  <w:tcBorders>
                    <w:tl2br w:val="nil"/>
                    <w:tr2bl w:val="nil"/>
                  </w:tcBorders>
                  <w:noWrap w:val="0"/>
                  <w:vAlign w:val="center"/>
                </w:tcPr>
                <w:p w14:paraId="7A969E2D">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spacing w:val="-12"/>
                    </w:rPr>
                  </w:pPr>
                </w:p>
              </w:tc>
            </w:tr>
            <w:tr w14:paraId="665F740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316FA2C2">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shd w:val="clear" w:color="auto" w:fill="auto"/>
                  <w:noWrap w:val="0"/>
                  <w:vAlign w:val="center"/>
                </w:tcPr>
                <w:p w14:paraId="0207BA2E">
                  <w:pPr>
                    <w:pStyle w:val="96"/>
                    <w:pageBreakBefore w:val="0"/>
                    <w:kinsoku/>
                    <w:wordWrap/>
                    <w:overflowPunct/>
                    <w:topLinePunct w:val="0"/>
                    <w:bidi w:val="0"/>
                    <w:snapToGrid/>
                    <w:spacing w:line="240" w:lineRule="auto"/>
                    <w:ind w:left="0" w:leftChars="0" w:right="0" w:rightChars="0" w:firstLine="0" w:firstLineChars="0"/>
                    <w:jc w:val="center"/>
                    <w:rPr>
                      <w:rFonts w:hint="default" w:eastAsia="宋体" w:cs="Times New Roman"/>
                      <w:b w:val="0"/>
                      <w:bCs w:val="0"/>
                      <w:color w:val="auto"/>
                      <w:spacing w:val="-12"/>
                      <w:kern w:val="0"/>
                      <w:sz w:val="21"/>
                      <w:szCs w:val="21"/>
                      <w:lang w:val="en-US" w:eastAsia="zh-CN" w:bidi="ar-SA"/>
                    </w:rPr>
                  </w:pPr>
                  <w:r>
                    <w:rPr>
                      <w:rFonts w:hint="eastAsia" w:cs="Times New Roman"/>
                      <w:b w:val="0"/>
                      <w:bCs w:val="0"/>
                      <w:color w:val="auto"/>
                      <w:spacing w:val="-12"/>
                      <w:kern w:val="0"/>
                      <w:sz w:val="21"/>
                      <w:szCs w:val="21"/>
                      <w:lang w:val="en-US" w:eastAsia="zh-CN" w:bidi="ar-SA"/>
                    </w:rPr>
                    <w:t>废靶材</w:t>
                  </w:r>
                </w:p>
              </w:tc>
              <w:tc>
                <w:tcPr>
                  <w:tcW w:w="1039" w:type="pct"/>
                  <w:tcBorders>
                    <w:tl2br w:val="nil"/>
                    <w:tr2bl w:val="nil"/>
                  </w:tcBorders>
                  <w:shd w:val="clear" w:color="auto" w:fill="auto"/>
                  <w:noWrap w:val="0"/>
                  <w:vAlign w:val="center"/>
                </w:tcPr>
                <w:p w14:paraId="4CBFE7FD">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镀膜工序</w:t>
                  </w:r>
                </w:p>
              </w:tc>
              <w:tc>
                <w:tcPr>
                  <w:tcW w:w="895" w:type="pct"/>
                  <w:tcBorders>
                    <w:tl2br w:val="nil"/>
                    <w:tr2bl w:val="nil"/>
                  </w:tcBorders>
                  <w:shd w:val="clear" w:color="auto" w:fill="auto"/>
                  <w:noWrap w:val="0"/>
                  <w:vAlign w:val="center"/>
                </w:tcPr>
                <w:p w14:paraId="74F924C1">
                  <w:pPr>
                    <w:pStyle w:val="21"/>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cs="Times New Roman"/>
                      <w:b w:val="0"/>
                      <w:bCs w:val="0"/>
                      <w:color w:val="auto"/>
                      <w:spacing w:val="-20"/>
                      <w:kern w:val="2"/>
                      <w:sz w:val="21"/>
                      <w:szCs w:val="21"/>
                      <w:lang w:val="en-US" w:eastAsia="zh-CN" w:bidi="ar-SA"/>
                    </w:rPr>
                  </w:pPr>
                  <w:r>
                    <w:rPr>
                      <w:rFonts w:hint="eastAsia" w:ascii="Times New Roman" w:hAnsi="Times New Roman" w:cs="Times New Roman"/>
                      <w:b w:val="0"/>
                      <w:bCs w:val="0"/>
                      <w:color w:val="auto"/>
                      <w:spacing w:val="-20"/>
                      <w:kern w:val="2"/>
                      <w:sz w:val="21"/>
                      <w:szCs w:val="21"/>
                      <w:lang w:val="en-US" w:eastAsia="zh-CN" w:bidi="ar-SA"/>
                    </w:rPr>
                    <w:t>银、镍、铬、锡等</w:t>
                  </w:r>
                </w:p>
              </w:tc>
              <w:tc>
                <w:tcPr>
                  <w:tcW w:w="1696" w:type="pct"/>
                  <w:vMerge w:val="continue"/>
                  <w:tcBorders>
                    <w:tl2br w:val="nil"/>
                    <w:tr2bl w:val="nil"/>
                  </w:tcBorders>
                  <w:noWrap w:val="0"/>
                  <w:vAlign w:val="center"/>
                </w:tcPr>
                <w:p w14:paraId="3A4FC9FD">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spacing w:val="-12"/>
                    </w:rPr>
                  </w:pPr>
                </w:p>
              </w:tc>
            </w:tr>
            <w:tr w14:paraId="3C88DE6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44739C4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shd w:val="clear" w:color="auto" w:fill="auto"/>
                  <w:noWrap w:val="0"/>
                  <w:vAlign w:val="center"/>
                </w:tcPr>
                <w:p w14:paraId="6F388410">
                  <w:pPr>
                    <w:pStyle w:val="96"/>
                    <w:pageBreakBefore w:val="0"/>
                    <w:kinsoku/>
                    <w:wordWrap/>
                    <w:overflowPunct/>
                    <w:topLinePunct w:val="0"/>
                    <w:bidi w:val="0"/>
                    <w:snapToGrid/>
                    <w:spacing w:line="240" w:lineRule="auto"/>
                    <w:ind w:left="0" w:leftChars="0" w:right="0" w:rightChars="0" w:firstLine="0" w:firstLineChars="0"/>
                    <w:jc w:val="center"/>
                    <w:rPr>
                      <w:rFonts w:hint="default" w:ascii="Times New Roman" w:hAnsi="Times New Roman" w:eastAsia="宋体" w:cs="Times New Roman"/>
                      <w:b w:val="0"/>
                      <w:bCs w:val="0"/>
                      <w:color w:val="auto"/>
                      <w:spacing w:val="-12"/>
                      <w:kern w:val="0"/>
                      <w:sz w:val="21"/>
                      <w:szCs w:val="21"/>
                      <w:lang w:val="en-US" w:eastAsia="zh-CN" w:bidi="ar-SA"/>
                    </w:rPr>
                  </w:pPr>
                  <w:r>
                    <w:rPr>
                      <w:b w:val="0"/>
                      <w:bCs w:val="0"/>
                      <w:color w:val="auto"/>
                      <w:spacing w:val="-12"/>
                      <w:sz w:val="21"/>
                      <w:szCs w:val="21"/>
                    </w:rPr>
                    <w:t>废机</w:t>
                  </w:r>
                  <w:r>
                    <w:rPr>
                      <w:rFonts w:ascii="Times New Roman" w:hAnsi="Times New Roman" w:cs="Times New Roman"/>
                      <w:b w:val="0"/>
                      <w:bCs w:val="0"/>
                      <w:color w:val="auto"/>
                      <w:spacing w:val="-12"/>
                      <w:sz w:val="21"/>
                      <w:szCs w:val="21"/>
                    </w:rPr>
                    <w:t>油</w:t>
                  </w:r>
                </w:p>
              </w:tc>
              <w:tc>
                <w:tcPr>
                  <w:tcW w:w="1039" w:type="pct"/>
                  <w:tcBorders>
                    <w:tl2br w:val="nil"/>
                    <w:tr2bl w:val="nil"/>
                  </w:tcBorders>
                  <w:shd w:val="clear" w:color="auto" w:fill="auto"/>
                  <w:noWrap w:val="0"/>
                  <w:vAlign w:val="center"/>
                </w:tcPr>
                <w:p w14:paraId="3428F8EB">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eastAsia="宋体" w:cs="Times New Roman"/>
                      <w:b w:val="0"/>
                      <w:bCs w:val="0"/>
                      <w:color w:val="auto"/>
                      <w:kern w:val="2"/>
                      <w:sz w:val="21"/>
                      <w:szCs w:val="21"/>
                      <w:lang w:val="en-US" w:eastAsia="zh-CN" w:bidi="ar-SA"/>
                    </w:rPr>
                  </w:pPr>
                  <w:r>
                    <w:rPr>
                      <w:rFonts w:ascii="Times New Roman" w:hAnsi="Times New Roman" w:cs="Times New Roman"/>
                      <w:b w:val="0"/>
                      <w:bCs w:val="0"/>
                      <w:color w:val="auto"/>
                      <w:sz w:val="21"/>
                      <w:szCs w:val="21"/>
                    </w:rPr>
                    <w:t>设备维护</w:t>
                  </w:r>
                </w:p>
              </w:tc>
              <w:tc>
                <w:tcPr>
                  <w:tcW w:w="895" w:type="pct"/>
                  <w:tcBorders>
                    <w:tl2br w:val="nil"/>
                    <w:tr2bl w:val="nil"/>
                  </w:tcBorders>
                  <w:shd w:val="clear" w:color="auto" w:fill="auto"/>
                  <w:noWrap w:val="0"/>
                  <w:vAlign w:val="center"/>
                </w:tcPr>
                <w:p w14:paraId="68A681AC">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eastAsia="宋体" w:cs="Times New Roman"/>
                      <w:b w:val="0"/>
                      <w:bCs w:val="0"/>
                      <w:color w:val="auto"/>
                      <w:spacing w:val="-20"/>
                      <w:kern w:val="2"/>
                      <w:sz w:val="21"/>
                      <w:szCs w:val="21"/>
                      <w:lang w:val="en-US" w:eastAsia="zh-CN" w:bidi="ar-SA"/>
                    </w:rPr>
                  </w:pPr>
                  <w:r>
                    <w:rPr>
                      <w:rFonts w:ascii="Times New Roman" w:hAnsi="Times New Roman" w:cs="Times New Roman"/>
                      <w:b w:val="0"/>
                      <w:bCs w:val="0"/>
                      <w:color w:val="auto"/>
                      <w:spacing w:val="-12"/>
                      <w:sz w:val="21"/>
                      <w:szCs w:val="21"/>
                    </w:rPr>
                    <w:t>废机油</w:t>
                  </w:r>
                </w:p>
              </w:tc>
              <w:tc>
                <w:tcPr>
                  <w:tcW w:w="1696" w:type="pct"/>
                  <w:vMerge w:val="continue"/>
                  <w:tcBorders>
                    <w:tl2br w:val="nil"/>
                    <w:tr2bl w:val="nil"/>
                  </w:tcBorders>
                  <w:noWrap w:val="0"/>
                  <w:vAlign w:val="center"/>
                </w:tcPr>
                <w:p w14:paraId="06E9AC8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12"/>
                    </w:rPr>
                  </w:pPr>
                </w:p>
              </w:tc>
            </w:tr>
            <w:tr w14:paraId="43DD0CD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2145EB74">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09E40043">
                  <w:pPr>
                    <w:pStyle w:val="96"/>
                    <w:pageBreakBefore w:val="0"/>
                    <w:kinsoku/>
                    <w:wordWrap/>
                    <w:overflowPunct/>
                    <w:topLinePunct w:val="0"/>
                    <w:bidi w:val="0"/>
                    <w:snapToGrid/>
                    <w:spacing w:line="240" w:lineRule="auto"/>
                    <w:ind w:left="0" w:leftChars="0" w:right="0" w:rightChars="0" w:firstLine="0" w:firstLineChars="0"/>
                    <w:jc w:val="center"/>
                    <w:rPr>
                      <w:rFonts w:hint="default" w:eastAsia="宋体"/>
                      <w:b w:val="0"/>
                      <w:bCs w:val="0"/>
                      <w:color w:val="auto"/>
                      <w:spacing w:val="-12"/>
                      <w:sz w:val="21"/>
                      <w:szCs w:val="21"/>
                      <w:lang w:val="en-US" w:eastAsia="zh-CN"/>
                    </w:rPr>
                  </w:pPr>
                  <w:r>
                    <w:rPr>
                      <w:b w:val="0"/>
                      <w:bCs w:val="0"/>
                      <w:color w:val="auto"/>
                      <w:spacing w:val="-12"/>
                      <w:sz w:val="21"/>
                      <w:szCs w:val="21"/>
                    </w:rPr>
                    <w:t>废机油桶</w:t>
                  </w:r>
                </w:p>
              </w:tc>
              <w:tc>
                <w:tcPr>
                  <w:tcW w:w="1039" w:type="pct"/>
                  <w:tcBorders>
                    <w:tl2br w:val="nil"/>
                    <w:tr2bl w:val="nil"/>
                  </w:tcBorders>
                  <w:noWrap w:val="0"/>
                  <w:vAlign w:val="center"/>
                </w:tcPr>
                <w:p w14:paraId="4EAAAE8B">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设备维护</w:t>
                  </w:r>
                </w:p>
              </w:tc>
              <w:tc>
                <w:tcPr>
                  <w:tcW w:w="895" w:type="pct"/>
                  <w:tcBorders>
                    <w:tl2br w:val="nil"/>
                    <w:tr2bl w:val="nil"/>
                  </w:tcBorders>
                  <w:noWrap w:val="0"/>
                  <w:vAlign w:val="center"/>
                </w:tcPr>
                <w:p w14:paraId="2241E18A">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20"/>
                    </w:rPr>
                  </w:pPr>
                  <w:r>
                    <w:rPr>
                      <w:rFonts w:ascii="Times New Roman" w:hAnsi="Times New Roman" w:cs="Times New Roman"/>
                      <w:b w:val="0"/>
                      <w:bCs w:val="0"/>
                      <w:color w:val="auto"/>
                      <w:spacing w:val="-12"/>
                    </w:rPr>
                    <w:t>废机油</w:t>
                  </w:r>
                </w:p>
              </w:tc>
              <w:tc>
                <w:tcPr>
                  <w:tcW w:w="1696" w:type="pct"/>
                  <w:vMerge w:val="continue"/>
                  <w:tcBorders>
                    <w:tl2br w:val="nil"/>
                    <w:tr2bl w:val="nil"/>
                  </w:tcBorders>
                  <w:noWrap w:val="0"/>
                  <w:vAlign w:val="center"/>
                </w:tcPr>
                <w:p w14:paraId="7D6A9B3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spacing w:val="-12"/>
                    </w:rPr>
                  </w:pPr>
                </w:p>
              </w:tc>
            </w:tr>
            <w:tr w14:paraId="6F3AB12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379" w:type="pct"/>
                  <w:vMerge w:val="continue"/>
                  <w:tcBorders>
                    <w:tl2br w:val="nil"/>
                    <w:tr2bl w:val="nil"/>
                  </w:tcBorders>
                  <w:noWrap w:val="0"/>
                  <w:vAlign w:val="center"/>
                </w:tcPr>
                <w:p w14:paraId="5D6C31D6">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p>
              </w:tc>
              <w:tc>
                <w:tcPr>
                  <w:tcW w:w="989" w:type="pct"/>
                  <w:tcBorders>
                    <w:tl2br w:val="nil"/>
                    <w:tr2bl w:val="nil"/>
                  </w:tcBorders>
                  <w:noWrap w:val="0"/>
                  <w:vAlign w:val="center"/>
                </w:tcPr>
                <w:p w14:paraId="788FE379">
                  <w:pPr>
                    <w:pStyle w:val="96"/>
                    <w:pageBreakBefore w:val="0"/>
                    <w:kinsoku/>
                    <w:wordWrap/>
                    <w:overflowPunct/>
                    <w:topLinePunct w:val="0"/>
                    <w:bidi w:val="0"/>
                    <w:snapToGrid/>
                    <w:spacing w:line="240" w:lineRule="auto"/>
                    <w:ind w:left="0" w:leftChars="0" w:right="0" w:rightChars="0" w:firstLine="0" w:firstLineChars="0"/>
                    <w:jc w:val="center"/>
                    <w:rPr>
                      <w:b w:val="0"/>
                      <w:bCs w:val="0"/>
                      <w:color w:val="auto"/>
                      <w:spacing w:val="-2"/>
                      <w:sz w:val="21"/>
                      <w:szCs w:val="21"/>
                    </w:rPr>
                  </w:pPr>
                  <w:r>
                    <w:rPr>
                      <w:b w:val="0"/>
                      <w:bCs w:val="0"/>
                      <w:color w:val="auto"/>
                      <w:spacing w:val="-2"/>
                      <w:sz w:val="21"/>
                      <w:szCs w:val="21"/>
                    </w:rPr>
                    <w:t>生活垃圾</w:t>
                  </w:r>
                </w:p>
              </w:tc>
              <w:tc>
                <w:tcPr>
                  <w:tcW w:w="1039" w:type="pct"/>
                  <w:tcBorders>
                    <w:tl2br w:val="nil"/>
                    <w:tr2bl w:val="nil"/>
                  </w:tcBorders>
                  <w:noWrap w:val="0"/>
                  <w:vAlign w:val="center"/>
                </w:tcPr>
                <w:p w14:paraId="7387AE2D">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职工办公</w:t>
                  </w:r>
                </w:p>
              </w:tc>
              <w:tc>
                <w:tcPr>
                  <w:tcW w:w="895" w:type="pct"/>
                  <w:tcBorders>
                    <w:tl2br w:val="nil"/>
                    <w:tr2bl w:val="nil"/>
                  </w:tcBorders>
                  <w:noWrap w:val="0"/>
                  <w:vAlign w:val="center"/>
                </w:tcPr>
                <w:p w14:paraId="5F2633BC">
                  <w:pPr>
                    <w:pStyle w:val="21"/>
                    <w:pageBreakBefore w:val="0"/>
                    <w:kinsoku/>
                    <w:wordWrap/>
                    <w:overflowPunct/>
                    <w:topLinePunct w:val="0"/>
                    <w:bidi w:val="0"/>
                    <w:snapToGrid/>
                    <w:spacing w:line="240" w:lineRule="auto"/>
                    <w:ind w:left="0" w:leftChars="0" w:right="0" w:rightChars="0" w:firstLine="0" w:firstLineChars="0"/>
                    <w:jc w:val="center"/>
                    <w:rPr>
                      <w:rFonts w:ascii="Times New Roman" w:hAnsi="Times New Roman" w:cs="Times New Roman"/>
                      <w:b w:val="0"/>
                      <w:bCs w:val="0"/>
                      <w:color w:val="auto"/>
                    </w:rPr>
                  </w:pPr>
                  <w:r>
                    <w:rPr>
                      <w:rFonts w:ascii="Times New Roman" w:hAnsi="Times New Roman" w:cs="Times New Roman"/>
                      <w:b w:val="0"/>
                      <w:bCs w:val="0"/>
                      <w:color w:val="auto"/>
                    </w:rPr>
                    <w:t>/</w:t>
                  </w:r>
                </w:p>
              </w:tc>
              <w:tc>
                <w:tcPr>
                  <w:tcW w:w="1696" w:type="pct"/>
                  <w:tcBorders>
                    <w:tl2br w:val="nil"/>
                    <w:tr2bl w:val="nil"/>
                  </w:tcBorders>
                  <w:noWrap w:val="0"/>
                  <w:vAlign w:val="center"/>
                </w:tcPr>
                <w:p w14:paraId="4E466E99">
                  <w:pPr>
                    <w:pStyle w:val="21"/>
                    <w:pageBreakBefore w:val="0"/>
                    <w:kinsoku/>
                    <w:wordWrap/>
                    <w:overflowPunct/>
                    <w:topLinePunct w:val="0"/>
                    <w:bidi w:val="0"/>
                    <w:snapToGrid/>
                    <w:spacing w:line="240" w:lineRule="auto"/>
                    <w:ind w:left="0" w:leftChars="0" w:right="0" w:rightChars="0" w:firstLine="0" w:firstLineChars="0"/>
                    <w:jc w:val="center"/>
                    <w:rPr>
                      <w:rFonts w:hint="eastAsia" w:ascii="Times New Roman" w:hAnsi="Times New Roman" w:cs="Times New Roman"/>
                      <w:b w:val="0"/>
                      <w:bCs w:val="0"/>
                      <w:color w:val="auto"/>
                    </w:rPr>
                  </w:pPr>
                  <w:r>
                    <w:rPr>
                      <w:rFonts w:hint="eastAsia" w:ascii="Times New Roman" w:hAnsi="Times New Roman" w:cs="Times New Roman"/>
                      <w:b w:val="0"/>
                      <w:bCs w:val="0"/>
                      <w:color w:val="auto"/>
                    </w:rPr>
                    <w:t>交环卫部门</w:t>
                  </w:r>
                </w:p>
              </w:tc>
            </w:tr>
          </w:tbl>
          <w:p w14:paraId="0FF09A14">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line="360" w:lineRule="auto"/>
              <w:ind w:leftChars="0"/>
              <w:textAlignment w:val="auto"/>
              <w:rPr>
                <w:rFonts w:hint="eastAsia"/>
                <w:b/>
                <w:bCs/>
                <w:color w:val="auto"/>
                <w:szCs w:val="21"/>
                <w:lang w:val="en-US" w:eastAsia="zh-CN"/>
              </w:rPr>
            </w:pPr>
            <w:r>
              <w:rPr>
                <w:sz w:val="28"/>
              </w:rPr>
              <mc:AlternateContent>
                <mc:Choice Requires="wpg">
                  <w:drawing>
                    <wp:anchor distT="0" distB="0" distL="114300" distR="114300" simplePos="0" relativeHeight="251669504" behindDoc="0" locked="0" layoutInCell="1" allowOverlap="1">
                      <wp:simplePos x="0" y="0"/>
                      <wp:positionH relativeFrom="column">
                        <wp:posOffset>114935</wp:posOffset>
                      </wp:positionH>
                      <wp:positionV relativeFrom="paragraph">
                        <wp:posOffset>381000</wp:posOffset>
                      </wp:positionV>
                      <wp:extent cx="5248910" cy="5302250"/>
                      <wp:effectExtent l="0" t="0" r="0" b="0"/>
                      <wp:wrapNone/>
                      <wp:docPr id="151" name="组合 151"/>
                      <wp:cNvGraphicFramePr/>
                      <a:graphic xmlns:a="http://schemas.openxmlformats.org/drawingml/2006/main">
                        <a:graphicData uri="http://schemas.microsoft.com/office/word/2010/wordprocessingGroup">
                          <wpg:wgp>
                            <wpg:cNvGrpSpPr/>
                            <wpg:grpSpPr>
                              <a:xfrm>
                                <a:off x="0" y="0"/>
                                <a:ext cx="5248910" cy="5302250"/>
                                <a:chOff x="20212" y="416803"/>
                                <a:chExt cx="8266" cy="8350"/>
                              </a:xfrm>
                            </wpg:grpSpPr>
                            <wpg:grpSp>
                              <wpg:cNvPr id="144" name="组合 144"/>
                              <wpg:cNvGrpSpPr/>
                              <wpg:grpSpPr>
                                <a:xfrm>
                                  <a:off x="20212" y="416803"/>
                                  <a:ext cx="7805" cy="8351"/>
                                  <a:chOff x="20130" y="416388"/>
                                  <a:chExt cx="7805" cy="8351"/>
                                </a:xfrm>
                              </wpg:grpSpPr>
                              <wps:wsp>
                                <wps:cNvPr id="6" name="文本框 6"/>
                                <wps:cNvSpPr txBox="1"/>
                                <wps:spPr>
                                  <a:xfrm>
                                    <a:off x="20130" y="417773"/>
                                    <a:ext cx="525" cy="1451"/>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338A8516">
                                      <w:pPr>
                                        <w:rPr>
                                          <w:rFonts w:hint="eastAsia"/>
                                          <w:sz w:val="21"/>
                                          <w:szCs w:val="21"/>
                                          <w:lang w:val="en-US" w:eastAsia="zh-CN"/>
                                        </w:rPr>
                                      </w:pPr>
                                      <w:r>
                                        <w:rPr>
                                          <w:rFonts w:hint="eastAsia"/>
                                          <w:sz w:val="21"/>
                                          <w:szCs w:val="21"/>
                                          <w:lang w:val="en-US" w:eastAsia="zh-CN"/>
                                        </w:rPr>
                                        <w:t>玻</w:t>
                                      </w:r>
                                    </w:p>
                                    <w:p w14:paraId="17D76C1B">
                                      <w:pPr>
                                        <w:rPr>
                                          <w:rFonts w:hint="eastAsia"/>
                                          <w:sz w:val="21"/>
                                          <w:szCs w:val="21"/>
                                          <w:lang w:val="en-US" w:eastAsia="zh-CN"/>
                                        </w:rPr>
                                      </w:pPr>
                                      <w:r>
                                        <w:rPr>
                                          <w:rFonts w:hint="eastAsia"/>
                                          <w:sz w:val="21"/>
                                          <w:szCs w:val="21"/>
                                          <w:lang w:val="en-US" w:eastAsia="zh-CN"/>
                                        </w:rPr>
                                        <w:t>璃</w:t>
                                      </w:r>
                                    </w:p>
                                    <w:p w14:paraId="72F6E46E">
                                      <w:pPr>
                                        <w:rPr>
                                          <w:rFonts w:hint="eastAsia"/>
                                          <w:sz w:val="21"/>
                                          <w:szCs w:val="21"/>
                                          <w:lang w:val="en-US" w:eastAsia="zh-CN"/>
                                        </w:rPr>
                                      </w:pPr>
                                      <w:r>
                                        <w:rPr>
                                          <w:rFonts w:hint="eastAsia"/>
                                          <w:sz w:val="21"/>
                                          <w:szCs w:val="21"/>
                                          <w:lang w:val="en-US" w:eastAsia="zh-CN"/>
                                        </w:rPr>
                                        <w:t>原</w:t>
                                      </w:r>
                                    </w:p>
                                    <w:p w14:paraId="30A33C71">
                                      <w:pPr>
                                        <w:rPr>
                                          <w:rFonts w:hint="eastAsia"/>
                                          <w:sz w:val="21"/>
                                          <w:szCs w:val="21"/>
                                          <w:lang w:val="en-US" w:eastAsia="zh-CN"/>
                                        </w:rPr>
                                      </w:pPr>
                                      <w:r>
                                        <w:rPr>
                                          <w:rFonts w:hint="eastAsia"/>
                                          <w:sz w:val="21"/>
                                          <w:szCs w:val="21"/>
                                          <w:lang w:val="en-US" w:eastAsia="zh-CN"/>
                                        </w:rPr>
                                        <w:t>片</w:t>
                                      </w:r>
                                    </w:p>
                                    <w:p w14:paraId="1B7353B8">
                                      <w:pPr>
                                        <w:pStyle w:val="48"/>
                                        <w:rPr>
                                          <w:rFonts w:hint="default"/>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 name="文本框 9"/>
                                <wps:cNvSpPr txBox="1"/>
                                <wps:spPr>
                                  <a:xfrm>
                                    <a:off x="22520" y="416638"/>
                                    <a:ext cx="1322" cy="55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24C9B61">
                                      <w:pPr>
                                        <w:pStyle w:val="48"/>
                                        <w:ind w:left="0" w:leftChars="0" w:firstLine="0" w:firstLineChars="0"/>
                                        <w:rPr>
                                          <w:rFonts w:hint="default"/>
                                          <w:sz w:val="21"/>
                                          <w:szCs w:val="21"/>
                                          <w:lang w:val="en-US" w:eastAsia="zh-CN"/>
                                        </w:rPr>
                                      </w:pPr>
                                      <w:r>
                                        <w:rPr>
                                          <w:rFonts w:hint="eastAsia"/>
                                          <w:sz w:val="21"/>
                                          <w:szCs w:val="21"/>
                                          <w:lang w:val="en-US" w:eastAsia="zh-CN"/>
                                        </w:rPr>
                                        <w:t>镀膜玻璃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 name="文本框 10"/>
                                <wps:cNvSpPr txBox="1"/>
                                <wps:spPr>
                                  <a:xfrm>
                                    <a:off x="22507" y="417503"/>
                                    <a:ext cx="1662" cy="55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9AC4539">
                                      <w:pPr>
                                        <w:pStyle w:val="48"/>
                                        <w:ind w:left="0" w:leftChars="0" w:firstLine="0" w:firstLineChars="0"/>
                                        <w:rPr>
                                          <w:rFonts w:hint="default"/>
                                          <w:sz w:val="21"/>
                                          <w:szCs w:val="21"/>
                                          <w:lang w:val="en-US" w:eastAsia="zh-CN"/>
                                        </w:rPr>
                                      </w:pPr>
                                      <w:r>
                                        <w:rPr>
                                          <w:rFonts w:hint="eastAsia"/>
                                          <w:sz w:val="21"/>
                                          <w:szCs w:val="21"/>
                                          <w:lang w:val="en-US" w:eastAsia="zh-CN"/>
                                        </w:rPr>
                                        <w:t>彩色成像玻璃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 name="文本框 11"/>
                                <wps:cNvSpPr txBox="1"/>
                                <wps:spPr>
                                  <a:xfrm>
                                    <a:off x="22525" y="418918"/>
                                    <a:ext cx="1492" cy="55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D2C5813">
                                      <w:pPr>
                                        <w:pStyle w:val="48"/>
                                        <w:ind w:left="0" w:leftChars="0" w:firstLine="0" w:firstLineChars="0"/>
                                        <w:rPr>
                                          <w:rFonts w:hint="default"/>
                                          <w:sz w:val="21"/>
                                          <w:szCs w:val="21"/>
                                          <w:lang w:val="en-US" w:eastAsia="zh-CN"/>
                                        </w:rPr>
                                      </w:pPr>
                                      <w:r>
                                        <w:rPr>
                                          <w:rFonts w:hint="eastAsia"/>
                                          <w:sz w:val="21"/>
                                          <w:szCs w:val="21"/>
                                          <w:lang w:val="en-US" w:eastAsia="zh-CN"/>
                                        </w:rPr>
                                        <w:t>钢化玻璃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2" name="文本框 12"/>
                                <wps:cNvSpPr txBox="1"/>
                                <wps:spPr>
                                  <a:xfrm>
                                    <a:off x="20665" y="423376"/>
                                    <a:ext cx="1600" cy="55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192BB6E4">
                                      <w:pPr>
                                        <w:pStyle w:val="48"/>
                                        <w:ind w:left="0" w:leftChars="0" w:firstLine="210" w:firstLineChars="100"/>
                                        <w:rPr>
                                          <w:rFonts w:hint="default"/>
                                          <w:sz w:val="21"/>
                                          <w:szCs w:val="21"/>
                                          <w:lang w:val="en-US" w:eastAsia="zh-CN"/>
                                        </w:rPr>
                                      </w:pPr>
                                      <w:r>
                                        <w:rPr>
                                          <w:rFonts w:hint="eastAsia"/>
                                          <w:sz w:val="21"/>
                                          <w:szCs w:val="21"/>
                                          <w:lang w:val="en-US" w:eastAsia="zh-CN"/>
                                        </w:rPr>
                                        <w:t>夹胶玻璃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 name="文本框 13"/>
                                <wps:cNvSpPr txBox="1"/>
                                <wps:spPr>
                                  <a:xfrm>
                                    <a:off x="24651" y="423411"/>
                                    <a:ext cx="1600" cy="44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152A2740">
                                      <w:pPr>
                                        <w:pStyle w:val="48"/>
                                        <w:ind w:left="0" w:leftChars="0" w:firstLine="210" w:firstLineChars="100"/>
                                        <w:rPr>
                                          <w:rFonts w:hint="default"/>
                                          <w:sz w:val="21"/>
                                          <w:szCs w:val="21"/>
                                          <w:lang w:val="en-US" w:eastAsia="zh-CN"/>
                                        </w:rPr>
                                      </w:pPr>
                                      <w:r>
                                        <w:rPr>
                                          <w:rFonts w:hint="eastAsia"/>
                                          <w:sz w:val="21"/>
                                          <w:szCs w:val="21"/>
                                          <w:lang w:val="en-US" w:eastAsia="zh-CN"/>
                                        </w:rPr>
                                        <w:t>中空玻璃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 name="文本框 14"/>
                                <wps:cNvSpPr txBox="1"/>
                                <wps:spPr>
                                  <a:xfrm>
                                    <a:off x="22520" y="419695"/>
                                    <a:ext cx="1156" cy="829"/>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73717B8C">
                                      <w:pPr>
                                        <w:pStyle w:val="48"/>
                                        <w:ind w:left="0" w:leftChars="0" w:firstLine="0" w:firstLineChars="0"/>
                                        <w:rPr>
                                          <w:rFonts w:hint="default"/>
                                          <w:sz w:val="21"/>
                                          <w:szCs w:val="21"/>
                                          <w:lang w:val="en-US" w:eastAsia="zh-CN"/>
                                        </w:rPr>
                                      </w:pPr>
                                      <w:r>
                                        <w:rPr>
                                          <w:rFonts w:hint="eastAsia" w:ascii="Times New Roman" w:hAnsi="Times New Roman" w:cs="Times New Roman"/>
                                          <w:b w:val="0"/>
                                          <w:bCs w:val="0"/>
                                          <w:color w:val="auto"/>
                                          <w:sz w:val="21"/>
                                          <w:szCs w:val="21"/>
                                          <w:lang w:val="en-US" w:eastAsia="zh-CN"/>
                                        </w:rPr>
                                        <w:t>裁切、孔缺边角料</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4" name="文本框 24"/>
                                <wps:cNvSpPr txBox="1"/>
                                <wps:spPr>
                                  <a:xfrm>
                                    <a:off x="22510" y="420903"/>
                                    <a:ext cx="1552" cy="55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1C0F6974">
                                      <w:pPr>
                                        <w:pStyle w:val="48"/>
                                        <w:ind w:left="0" w:leftChars="0" w:firstLine="0" w:firstLineChars="0"/>
                                        <w:rPr>
                                          <w:rFonts w:hint="default"/>
                                          <w:sz w:val="21"/>
                                          <w:szCs w:val="21"/>
                                          <w:lang w:val="en-US" w:eastAsia="zh-CN"/>
                                        </w:rPr>
                                      </w:pPr>
                                      <w:r>
                                        <w:rPr>
                                          <w:rFonts w:hint="eastAsia" w:ascii="Times New Roman" w:hAnsi="Times New Roman" w:cs="Times New Roman"/>
                                          <w:b w:val="0"/>
                                          <w:bCs w:val="0"/>
                                          <w:color w:val="auto"/>
                                          <w:sz w:val="21"/>
                                          <w:szCs w:val="21"/>
                                          <w:lang w:val="en-US" w:eastAsia="zh-CN"/>
                                        </w:rPr>
                                        <w:t>不合格产品</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6" name="直接连接符 36"/>
                                <wps:cNvCnPr/>
                                <wps:spPr>
                                  <a:xfrm>
                                    <a:off x="21455" y="416866"/>
                                    <a:ext cx="0" cy="4350"/>
                                  </a:xfrm>
                                  <a:prstGeom prst="line">
                                    <a:avLst/>
                                  </a:prstGeom>
                                  <a:ln w="12700" cmpd="sng">
                                    <a:solidFill>
                                      <a:schemeClr val="tx1"/>
                                    </a:solidFill>
                                    <a:prstDash val="solid"/>
                                    <a:headEnd type="none"/>
                                    <a:tailEnd type="none"/>
                                  </a:ln>
                                </wps:spPr>
                                <wps:style>
                                  <a:lnRef idx="2">
                                    <a:schemeClr val="accent1"/>
                                  </a:lnRef>
                                  <a:fillRef idx="0">
                                    <a:srgbClr val="FFFFFF"/>
                                  </a:fillRef>
                                  <a:effectRef idx="0">
                                    <a:srgbClr val="FFFFFF"/>
                                  </a:effectRef>
                                  <a:fontRef idx="minor">
                                    <a:schemeClr val="tx1"/>
                                  </a:fontRef>
                                </wps:style>
                                <wps:bodyPr/>
                              </wps:wsp>
                              <wps:wsp>
                                <wps:cNvPr id="45" name="直接箭头连接符 45"/>
                                <wps:cNvCnPr>
                                  <a:stCxn id="6" idx="3"/>
                                </wps:cNvCnPr>
                                <wps:spPr>
                                  <a:xfrm flipV="1">
                                    <a:off x="20655" y="418486"/>
                                    <a:ext cx="825" cy="13"/>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48" name="直接箭头连接符 48"/>
                                <wps:cNvCnPr>
                                  <a:endCxn id="9" idx="1"/>
                                </wps:cNvCnPr>
                                <wps:spPr>
                                  <a:xfrm>
                                    <a:off x="21430" y="416891"/>
                                    <a:ext cx="1090" cy="23"/>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50" name="直接箭头连接符 50"/>
                                <wps:cNvCnPr/>
                                <wps:spPr>
                                  <a:xfrm>
                                    <a:off x="21452" y="417794"/>
                                    <a:ext cx="1055" cy="6"/>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54" name="直接箭头连接符 54"/>
                                <wps:cNvCnPr/>
                                <wps:spPr>
                                  <a:xfrm>
                                    <a:off x="21420" y="419163"/>
                                    <a:ext cx="1055" cy="6"/>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55" name="直接箭头连接符 55"/>
                                <wps:cNvCnPr/>
                                <wps:spPr>
                                  <a:xfrm>
                                    <a:off x="21485" y="420178"/>
                                    <a:ext cx="1055" cy="6"/>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56" name="文本框 56"/>
                                <wps:cNvSpPr txBox="1"/>
                                <wps:spPr>
                                  <a:xfrm>
                                    <a:off x="25476" y="416542"/>
                                    <a:ext cx="2086" cy="703"/>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9EB7E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default" w:ascii="Times New Roman" w:hAnsi="Times New Roman" w:cs="Times New Roman"/>
                                          <w:sz w:val="21"/>
                                          <w:szCs w:val="21"/>
                                          <w:lang w:val="en-US" w:eastAsia="zh-CN"/>
                                        </w:rPr>
                                        <w:t>1</w:t>
                                      </w:r>
                                      <w:r>
                                        <w:rPr>
                                          <w:rFonts w:hint="eastAsia" w:ascii="Times New Roman" w:hAnsi="Times New Roman" w:cs="Times New Roman"/>
                                          <w:sz w:val="21"/>
                                          <w:szCs w:val="21"/>
                                          <w:lang w:val="en-US" w:eastAsia="zh-CN"/>
                                        </w:rPr>
                                        <w:t>0</w:t>
                                      </w:r>
                                      <w:r>
                                        <w:rPr>
                                          <w:rFonts w:hint="default" w:ascii="Times New Roman" w:hAnsi="Times New Roman" w:cs="Times New Roman"/>
                                          <w:sz w:val="21"/>
                                          <w:szCs w:val="21"/>
                                          <w:lang w:val="en-US" w:eastAsia="zh-CN"/>
                                        </w:rPr>
                                        <w:t>0万m</w:t>
                                      </w:r>
                                      <w:r>
                                        <w:rPr>
                                          <w:rFonts w:hint="default" w:ascii="Times New Roman" w:hAnsi="Times New Roman" w:cs="Times New Roman"/>
                                          <w:sz w:val="21"/>
                                          <w:szCs w:val="21"/>
                                          <w:vertAlign w:val="superscript"/>
                                          <w:lang w:val="en-US" w:eastAsia="zh-CN"/>
                                        </w:rPr>
                                        <w:t>2</w:t>
                                      </w:r>
                                      <w:r>
                                        <w:rPr>
                                          <w:rFonts w:hint="eastAsia"/>
                                          <w:sz w:val="21"/>
                                          <w:szCs w:val="21"/>
                                          <w:lang w:val="en-US" w:eastAsia="zh-CN"/>
                                        </w:rPr>
                                        <w:t>镀膜玻璃产品</w:t>
                                      </w:r>
                                    </w:p>
                                    <w:p w14:paraId="52401ACD">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6" name="直接箭头连接符 96"/>
                                <wps:cNvCnPr/>
                                <wps:spPr>
                                  <a:xfrm flipV="1">
                                    <a:off x="23956" y="416913"/>
                                    <a:ext cx="1568" cy="25"/>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97" name="文本框 97"/>
                                <wps:cNvSpPr txBox="1"/>
                                <wps:spPr>
                                  <a:xfrm>
                                    <a:off x="23892" y="416635"/>
                                    <a:ext cx="1471" cy="7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2DC381">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ascii="Times New Roman" w:hAnsi="Times New Roman" w:cs="Times New Roman"/>
                                          <w:sz w:val="21"/>
                                          <w:szCs w:val="21"/>
                                          <w:vertAlign w:val="superscript"/>
                                          <w:lang w:val="en-US" w:eastAsia="zh-CN"/>
                                        </w:rPr>
                                      </w:pPr>
                                      <w:r>
                                        <w:rPr>
                                          <w:rFonts w:hint="default" w:ascii="Times New Roman" w:hAnsi="Times New Roman" w:cs="Times New Roman"/>
                                          <w:sz w:val="21"/>
                                          <w:szCs w:val="21"/>
                                          <w:lang w:val="en-US" w:eastAsia="zh-CN"/>
                                        </w:rPr>
                                        <w:t>1</w:t>
                                      </w:r>
                                      <w:r>
                                        <w:rPr>
                                          <w:rFonts w:hint="eastAsia" w:ascii="Times New Roman" w:hAnsi="Times New Roman" w:cs="Times New Roman"/>
                                          <w:sz w:val="21"/>
                                          <w:szCs w:val="21"/>
                                          <w:lang w:val="en-US" w:eastAsia="zh-CN"/>
                                        </w:rPr>
                                        <w:t>50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0D7F0AF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镀膜玻璃</w:t>
                                      </w:r>
                                    </w:p>
                                    <w:p w14:paraId="1D8A5D13">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8" name="直接箭头连接符 98"/>
                                <wps:cNvCnPr/>
                                <wps:spPr>
                                  <a:xfrm>
                                    <a:off x="23231" y="418059"/>
                                    <a:ext cx="0" cy="857"/>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00" name="文本框 100"/>
                                <wps:cNvSpPr txBox="1"/>
                                <wps:spPr>
                                  <a:xfrm>
                                    <a:off x="21527" y="418041"/>
                                    <a:ext cx="2183" cy="85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3A9D62">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eastAsia"/>
                                          <w:sz w:val="21"/>
                                          <w:szCs w:val="21"/>
                                          <w:lang w:val="en-US" w:eastAsia="zh-CN"/>
                                        </w:rPr>
                                      </w:pPr>
                                      <w:r>
                                        <w:rPr>
                                          <w:rFonts w:hint="eastAsia" w:ascii="Times New Roman" w:cs="Times New Roman"/>
                                          <w:sz w:val="21"/>
                                          <w:szCs w:val="21"/>
                                          <w:lang w:val="en-US" w:eastAsia="zh-CN"/>
                                        </w:rPr>
                                        <w:t>1</w:t>
                                      </w:r>
                                      <w:r>
                                        <w:rPr>
                                          <w:rFonts w:hint="eastAsia" w:ascii="Times New Roman" w:hAnsi="Times New Roman" w:cs="Times New Roman"/>
                                          <w:sz w:val="21"/>
                                          <w:szCs w:val="21"/>
                                          <w:lang w:val="en-US" w:eastAsia="zh-CN"/>
                                        </w:rPr>
                                        <w:t>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sz w:val="21"/>
                                          <w:szCs w:val="21"/>
                                          <w:lang w:val="en-US" w:eastAsia="zh-CN"/>
                                        </w:rPr>
                                        <w:t>彩色</w:t>
                                      </w:r>
                                    </w:p>
                                    <w:p w14:paraId="3421486B">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成像玻璃</w:t>
                                      </w:r>
                                    </w:p>
                                    <w:p w14:paraId="64CC275C">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1" name="直接箭头连接符 101"/>
                                <wps:cNvCnPr/>
                                <wps:spPr>
                                  <a:xfrm>
                                    <a:off x="24038" y="419216"/>
                                    <a:ext cx="1055" cy="6"/>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02" name="文本框 102"/>
                                <wps:cNvSpPr txBox="1"/>
                                <wps:spPr>
                                  <a:xfrm>
                                    <a:off x="25025" y="418650"/>
                                    <a:ext cx="2910" cy="1019"/>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026244">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cs="Times New Roman"/>
                                          <w:sz w:val="21"/>
                                          <w:szCs w:val="21"/>
                                          <w:lang w:val="en-US" w:eastAsia="zh-CN"/>
                                        </w:rPr>
                                        <w:t>15万m</w:t>
                                      </w:r>
                                      <w:r>
                                        <w:rPr>
                                          <w:rFonts w:hint="eastAsia" w:ascii="Times New Roman" w:cs="Times New Roman"/>
                                          <w:sz w:val="21"/>
                                          <w:szCs w:val="21"/>
                                          <w:vertAlign w:val="superscript"/>
                                          <w:lang w:val="en-US" w:eastAsia="zh-CN"/>
                                        </w:rPr>
                                        <w:t>2</w:t>
                                      </w:r>
                                      <w:r>
                                        <w:rPr>
                                          <w:rFonts w:hint="eastAsia" w:ascii="Times New Roman" w:cs="Times New Roman"/>
                                          <w:sz w:val="21"/>
                                          <w:szCs w:val="21"/>
                                          <w:lang w:val="en-US" w:eastAsia="zh-CN"/>
                                        </w:rPr>
                                        <w:t>的彩色成像钢化玻璃，</w:t>
                                      </w:r>
                                      <w:r>
                                        <w:rPr>
                                          <w:rFonts w:hint="eastAsia" w:ascii="Times New Roman" w:hAnsi="Times New Roman" w:cs="Times New Roman"/>
                                          <w:sz w:val="21"/>
                                          <w:szCs w:val="21"/>
                                          <w:lang w:val="en-US" w:eastAsia="zh-CN"/>
                                        </w:rPr>
                                        <w:t>135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ascii="Times New Roman" w:hAnsi="Times New Roman" w:cs="Times New Roman"/>
                                          <w:sz w:val="21"/>
                                          <w:szCs w:val="21"/>
                                          <w:vertAlign w:val="baseline"/>
                                          <w:lang w:val="en-US" w:eastAsia="zh-CN"/>
                                        </w:rPr>
                                        <w:t>钢化</w:t>
                                      </w:r>
                                      <w:r>
                                        <w:rPr>
                                          <w:rFonts w:hint="eastAsia"/>
                                          <w:sz w:val="21"/>
                                          <w:szCs w:val="21"/>
                                          <w:lang w:val="en-US" w:eastAsia="zh-CN"/>
                                        </w:rPr>
                                        <w:t>玻璃，50万m</w:t>
                                      </w:r>
                                      <w:r>
                                        <w:rPr>
                                          <w:rFonts w:hint="eastAsia"/>
                                          <w:sz w:val="21"/>
                                          <w:szCs w:val="21"/>
                                          <w:vertAlign w:val="superscript"/>
                                          <w:lang w:val="en-US" w:eastAsia="zh-CN"/>
                                        </w:rPr>
                                        <w:t>2</w:t>
                                      </w:r>
                                      <w:r>
                                        <w:rPr>
                                          <w:rFonts w:hint="eastAsia"/>
                                          <w:sz w:val="21"/>
                                          <w:szCs w:val="21"/>
                                          <w:lang w:val="en-US" w:eastAsia="zh-CN"/>
                                        </w:rPr>
                                        <w:t>的镀膜钢化玻璃</w:t>
                                      </w:r>
                                    </w:p>
                                    <w:p w14:paraId="1F360B34">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5" name="直接箭头连接符 105"/>
                                <wps:cNvCnPr/>
                                <wps:spPr>
                                  <a:xfrm>
                                    <a:off x="21410" y="423005"/>
                                    <a:ext cx="16" cy="375"/>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06" name="直接箭头连接符 106"/>
                                <wps:cNvCnPr/>
                                <wps:spPr>
                                  <a:xfrm>
                                    <a:off x="21450" y="421193"/>
                                    <a:ext cx="1055" cy="6"/>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16" name="文本框 116"/>
                                <wps:cNvSpPr txBox="1"/>
                                <wps:spPr>
                                  <a:xfrm>
                                    <a:off x="20348" y="422080"/>
                                    <a:ext cx="2493" cy="104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E80B87">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30万m</w:t>
                                      </w:r>
                                      <w:r>
                                        <w:rPr>
                                          <w:rFonts w:hint="eastAsia"/>
                                          <w:b w:val="0"/>
                                          <w:bCs w:val="0"/>
                                          <w:color w:val="auto"/>
                                          <w:sz w:val="21"/>
                                          <w:szCs w:val="21"/>
                                          <w:u w:val="none" w:color="auto"/>
                                          <w:vertAlign w:val="superscript"/>
                                          <w:lang w:val="en-US" w:eastAsia="zh-CN"/>
                                        </w:rPr>
                                        <w:t>2</w:t>
                                      </w:r>
                                      <w:r>
                                        <w:rPr>
                                          <w:rFonts w:hint="eastAsia"/>
                                          <w:b w:val="0"/>
                                          <w:bCs w:val="0"/>
                                          <w:color w:val="auto"/>
                                          <w:sz w:val="21"/>
                                          <w:szCs w:val="21"/>
                                          <w:u w:val="none" w:color="auto"/>
                                          <w:lang w:val="en-US" w:eastAsia="zh-CN"/>
                                        </w:rPr>
                                        <w:t>镀膜钢化玻璃，</w:t>
                                      </w:r>
                                      <w:r>
                                        <w:rPr>
                                          <w:rFonts w:hint="eastAsia"/>
                                          <w:sz w:val="21"/>
                                          <w:szCs w:val="21"/>
                                          <w:lang w:val="en-US" w:eastAsia="zh-CN"/>
                                        </w:rPr>
                                        <w:t>5</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彩色成像钢化玻璃，</w:t>
                                      </w:r>
                                      <w:r>
                                        <w:rPr>
                                          <w:rFonts w:hint="eastAsia" w:ascii="Times New Roman" w:hAnsi="Times New Roman" w:cs="Times New Roman"/>
                                          <w:sz w:val="21"/>
                                          <w:szCs w:val="21"/>
                                          <w:lang w:val="en-US" w:eastAsia="zh-CN"/>
                                        </w:rPr>
                                        <w:t>115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ascii="Times New Roman" w:hAnsi="Times New Roman" w:cs="Times New Roman"/>
                                          <w:sz w:val="21"/>
                                          <w:szCs w:val="21"/>
                                          <w:vertAlign w:val="baseline"/>
                                          <w:lang w:val="en-US" w:eastAsia="zh-CN"/>
                                        </w:rPr>
                                        <w:t>钢化</w:t>
                                      </w:r>
                                      <w:r>
                                        <w:rPr>
                                          <w:rFonts w:hint="eastAsia"/>
                                          <w:sz w:val="21"/>
                                          <w:szCs w:val="21"/>
                                          <w:lang w:val="en-US" w:eastAsia="zh-CN"/>
                                        </w:rPr>
                                        <w:t>玻璃</w:t>
                                      </w:r>
                                    </w:p>
                                    <w:p w14:paraId="0164BCE8">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6A26DA0C">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4BBB0F6C">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24" name="直接箭头连接符 124"/>
                                <wps:cNvCnPr/>
                                <wps:spPr>
                                  <a:xfrm flipV="1">
                                    <a:off x="22286" y="423646"/>
                                    <a:ext cx="2365" cy="34"/>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25" name="直接箭头连接符 125"/>
                                <wps:cNvCnPr/>
                                <wps:spPr>
                                  <a:xfrm>
                                    <a:off x="25460" y="422919"/>
                                    <a:ext cx="0" cy="478"/>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26" name="文本框 126"/>
                                <wps:cNvSpPr txBox="1"/>
                                <wps:spPr>
                                  <a:xfrm>
                                    <a:off x="24075" y="422290"/>
                                    <a:ext cx="2847" cy="674"/>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C604B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20万m</w:t>
                                      </w:r>
                                      <w:r>
                                        <w:rPr>
                                          <w:rFonts w:hint="eastAsia"/>
                                          <w:b w:val="0"/>
                                          <w:bCs w:val="0"/>
                                          <w:color w:val="auto"/>
                                          <w:sz w:val="21"/>
                                          <w:szCs w:val="21"/>
                                          <w:u w:val="none" w:color="auto"/>
                                          <w:vertAlign w:val="superscript"/>
                                          <w:lang w:val="en-US" w:eastAsia="zh-CN"/>
                                        </w:rPr>
                                        <w:t>2</w:t>
                                      </w:r>
                                      <w:r>
                                        <w:rPr>
                                          <w:rFonts w:hint="eastAsia"/>
                                          <w:b w:val="0"/>
                                          <w:bCs w:val="0"/>
                                          <w:color w:val="auto"/>
                                          <w:sz w:val="21"/>
                                          <w:szCs w:val="21"/>
                                          <w:u w:val="none" w:color="auto"/>
                                          <w:vertAlign w:val="baseline"/>
                                          <w:lang w:val="en-US" w:eastAsia="zh-CN"/>
                                        </w:rPr>
                                        <w:t>镀膜钢化</w:t>
                                      </w:r>
                                      <w:r>
                                        <w:rPr>
                                          <w:rFonts w:hint="eastAsia"/>
                                          <w:b w:val="0"/>
                                          <w:bCs w:val="0"/>
                                          <w:color w:val="auto"/>
                                          <w:sz w:val="21"/>
                                          <w:szCs w:val="21"/>
                                          <w:u w:val="none" w:color="auto"/>
                                          <w:lang w:val="en-US" w:eastAsia="zh-CN"/>
                                        </w:rPr>
                                        <w:t>玻璃，</w:t>
                                      </w:r>
                                      <w:r>
                                        <w:rPr>
                                          <w:rFonts w:hint="eastAsia"/>
                                          <w:sz w:val="21"/>
                                          <w:szCs w:val="21"/>
                                          <w:lang w:val="en-US" w:eastAsia="zh-CN"/>
                                        </w:rPr>
                                        <w:t>20万m</w:t>
                                      </w:r>
                                      <w:r>
                                        <w:rPr>
                                          <w:rFonts w:hint="eastAsia"/>
                                          <w:sz w:val="21"/>
                                          <w:szCs w:val="21"/>
                                          <w:vertAlign w:val="superscript"/>
                                          <w:lang w:val="en-US" w:eastAsia="zh-CN"/>
                                        </w:rPr>
                                        <w:t>2</w:t>
                                      </w:r>
                                      <w:r>
                                        <w:rPr>
                                          <w:rFonts w:hint="eastAsia"/>
                                          <w:sz w:val="21"/>
                                          <w:szCs w:val="21"/>
                                          <w:lang w:val="en-US" w:eastAsia="zh-CN"/>
                                        </w:rPr>
                                        <w:t>的钢化玻璃</w:t>
                                      </w:r>
                                    </w:p>
                                    <w:p w14:paraId="6404F510">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62CBBC01">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453068C3">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28" name="文本框 128"/>
                                <wps:cNvSpPr txBox="1"/>
                                <wps:spPr>
                                  <a:xfrm>
                                    <a:off x="22634" y="423108"/>
                                    <a:ext cx="1699" cy="503"/>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AA51FC">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20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617161CA">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29" name="直接箭头连接符 129"/>
                                <wps:cNvCnPr/>
                                <wps:spPr>
                                  <a:xfrm flipH="1">
                                    <a:off x="21451" y="423942"/>
                                    <a:ext cx="2" cy="463"/>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31" name="直接箭头连接符 131"/>
                                <wps:cNvCnPr/>
                                <wps:spPr>
                                  <a:xfrm flipH="1">
                                    <a:off x="25480" y="423864"/>
                                    <a:ext cx="20" cy="456"/>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30" name="文本框 130"/>
                                <wps:cNvSpPr txBox="1"/>
                                <wps:spPr>
                                  <a:xfrm>
                                    <a:off x="20203" y="424265"/>
                                    <a:ext cx="2847" cy="474"/>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2343C7">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130</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夹胶玻璃产品</w:t>
                                      </w:r>
                                    </w:p>
                                    <w:p w14:paraId="0464EB5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2EDDAD74">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2" name="文本框 132"/>
                                <wps:cNvSpPr txBox="1"/>
                                <wps:spPr>
                                  <a:xfrm>
                                    <a:off x="24300" y="424201"/>
                                    <a:ext cx="2847" cy="474"/>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9682C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60</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中空玻璃产品</w:t>
                                      </w:r>
                                    </w:p>
                                    <w:p w14:paraId="69C86CC3">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6AA9B87C">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3" name="直接箭头连接符 133"/>
                                <wps:cNvCnPr>
                                  <a:stCxn id="14" idx="3"/>
                                  <a:endCxn id="134" idx="1"/>
                                </wps:cNvCnPr>
                                <wps:spPr>
                                  <a:xfrm flipV="1">
                                    <a:off x="23676" y="420100"/>
                                    <a:ext cx="715" cy="10"/>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34" name="文本框 134"/>
                                <wps:cNvSpPr txBox="1"/>
                                <wps:spPr>
                                  <a:xfrm>
                                    <a:off x="24391" y="419741"/>
                                    <a:ext cx="1216" cy="718"/>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BA627D">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ascii="Times New Roman" w:hAnsi="Times New Roman" w:cs="Times New Roman"/>
                                          <w:sz w:val="21"/>
                                          <w:szCs w:val="21"/>
                                          <w:vertAlign w:val="baseline"/>
                                          <w:lang w:val="en-US" w:eastAsia="zh-CN"/>
                                        </w:rPr>
                                        <w:t>玻璃</w:t>
                                      </w:r>
                                      <w:r>
                                        <w:rPr>
                                          <w:rFonts w:hint="eastAsia"/>
                                          <w:sz w:val="21"/>
                                          <w:szCs w:val="21"/>
                                          <w:lang w:val="en-US" w:eastAsia="zh-CN"/>
                                        </w:rPr>
                                        <w:t>边角料</w:t>
                                      </w:r>
                                    </w:p>
                                    <w:p w14:paraId="741F745E">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5" name="直接箭头连接符 135"/>
                                <wps:cNvCnPr/>
                                <wps:spPr>
                                  <a:xfrm>
                                    <a:off x="24078" y="421154"/>
                                    <a:ext cx="504" cy="8"/>
                                  </a:xfrm>
                                  <a:prstGeom prst="straightConnector1">
                                    <a:avLst/>
                                  </a:prstGeom>
                                  <a:ln w="12700">
                                    <a:solidFill>
                                      <a:schemeClr val="tx1"/>
                                    </a:solidFill>
                                    <a:tailEnd type="triangle"/>
                                  </a:ln>
                                </wps:spPr>
                                <wps:style>
                                  <a:lnRef idx="2">
                                    <a:schemeClr val="accent1"/>
                                  </a:lnRef>
                                  <a:fillRef idx="0">
                                    <a:srgbClr val="FFFFFF"/>
                                  </a:fillRef>
                                  <a:effectRef idx="0">
                                    <a:srgbClr val="FFFFFF"/>
                                  </a:effectRef>
                                  <a:fontRef idx="minor">
                                    <a:schemeClr val="tx1"/>
                                  </a:fontRef>
                                </wps:style>
                                <wps:bodyPr/>
                              </wps:wsp>
                              <wps:wsp>
                                <wps:cNvPr id="136" name="文本框 136"/>
                                <wps:cNvSpPr txBox="1"/>
                                <wps:spPr>
                                  <a:xfrm>
                                    <a:off x="24461" y="420815"/>
                                    <a:ext cx="1403" cy="7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FB8305">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sz w:val="21"/>
                                          <w:szCs w:val="21"/>
                                          <w:lang w:val="en-US" w:eastAsia="zh-CN"/>
                                        </w:rPr>
                                        <w:t>玻璃不合格品</w:t>
                                      </w:r>
                                    </w:p>
                                    <w:p w14:paraId="2DB1276E">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3" name="文本框 143"/>
                                <wps:cNvSpPr txBox="1"/>
                                <wps:spPr>
                                  <a:xfrm>
                                    <a:off x="21320" y="417411"/>
                                    <a:ext cx="1450" cy="47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72CF5">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4EE0C285">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文本框 137"/>
                                <wps:cNvSpPr txBox="1"/>
                                <wps:spPr>
                                  <a:xfrm>
                                    <a:off x="21120" y="416388"/>
                                    <a:ext cx="1725" cy="52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7DABD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5A5F8A3F">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9" name="文本框 139"/>
                                <wps:cNvSpPr txBox="1"/>
                                <wps:spPr>
                                  <a:xfrm>
                                    <a:off x="21274" y="418720"/>
                                    <a:ext cx="1450" cy="47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7F4E4F">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135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74B4E9A5">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0" name="文本框 140"/>
                                <wps:cNvSpPr txBox="1"/>
                                <wps:spPr>
                                  <a:xfrm>
                                    <a:off x="20330" y="418179"/>
                                    <a:ext cx="1450" cy="69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67AD2C">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eastAsia"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316</w:t>
                                      </w:r>
                                    </w:p>
                                    <w:p w14:paraId="20F76492">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471BEEA7">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1" name="文本框 141"/>
                                <wps:cNvSpPr txBox="1"/>
                                <wps:spPr>
                                  <a:xfrm>
                                    <a:off x="21310" y="419728"/>
                                    <a:ext cx="1450" cy="47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C0873D">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627D8505">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8" name="文本框 138"/>
                                <wps:cNvSpPr txBox="1"/>
                                <wps:spPr>
                                  <a:xfrm>
                                    <a:off x="21255" y="420684"/>
                                    <a:ext cx="1450" cy="47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AE5AF6">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0FC730EC">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g:grpSp>
                            <wps:wsp>
                              <wps:cNvPr id="103" name="直接箭头连接符 103"/>
                              <wps:cNvCnPr/>
                              <wps:spPr>
                                <a:xfrm flipH="1">
                                  <a:off x="23939" y="417398"/>
                                  <a:ext cx="1325" cy="1933"/>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23" name="文本框 123"/>
                              <wps:cNvSpPr txBox="1"/>
                              <wps:spPr>
                                <a:xfrm>
                                  <a:off x="24343" y="418103"/>
                                  <a:ext cx="1471" cy="7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A4202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ascii="Times New Roman" w:hAnsi="Times New Roman" w:cs="Times New Roman"/>
                                        <w:sz w:val="21"/>
                                        <w:szCs w:val="21"/>
                                        <w:vertAlign w:val="superscript"/>
                                        <w:lang w:val="en-US" w:eastAsia="zh-CN"/>
                                      </w:rPr>
                                    </w:pPr>
                                    <w:r>
                                      <w:rPr>
                                        <w:rFonts w:hint="eastAsia" w:ascii="Times New Roman" w:hAnsi="Times New Roman" w:cs="Times New Roman"/>
                                        <w:sz w:val="21"/>
                                        <w:szCs w:val="21"/>
                                        <w:lang w:val="en-US" w:eastAsia="zh-CN"/>
                                      </w:rPr>
                                      <w:t>50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00E5CC40">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镀膜玻璃</w:t>
                                    </w:r>
                                  </w:p>
                                  <w:p w14:paraId="4452C3DE">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5" name="直接连接符 145"/>
                              <wps:cNvCnPr/>
                              <wps:spPr>
                                <a:xfrm flipV="1">
                                  <a:off x="21814" y="422241"/>
                                  <a:ext cx="5721" cy="43"/>
                                </a:xfrm>
                                <a:prstGeom prst="line">
                                  <a:avLst/>
                                </a:prstGeom>
                                <a:ln w="12700">
                                  <a:solidFill>
                                    <a:schemeClr val="tx1"/>
                                  </a:solidFill>
                                  <a:tailEnd type="none"/>
                                </a:ln>
                              </wps:spPr>
                              <wps:style>
                                <a:lnRef idx="2">
                                  <a:schemeClr val="accent1"/>
                                </a:lnRef>
                                <a:fillRef idx="0">
                                  <a:srgbClr val="FFFFFF"/>
                                </a:fillRef>
                                <a:effectRef idx="0">
                                  <a:srgbClr val="FFFFFF"/>
                                </a:effectRef>
                                <a:fontRef idx="minor">
                                  <a:schemeClr val="tx1"/>
                                </a:fontRef>
                              </wps:style>
                              <wps:bodyPr/>
                            </wps:wsp>
                            <wps:wsp>
                              <wps:cNvPr id="146" name="直接箭头连接符 146"/>
                              <wps:cNvCnPr/>
                              <wps:spPr>
                                <a:xfrm>
                                  <a:off x="26828" y="419969"/>
                                  <a:ext cx="0" cy="2229"/>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47" name="直接箭头连接符 147"/>
                              <wps:cNvCnPr/>
                              <wps:spPr>
                                <a:xfrm flipH="1">
                                  <a:off x="27517" y="422242"/>
                                  <a:ext cx="18" cy="1204"/>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48" name="直接箭头连接符 148"/>
                              <wps:cNvCnPr/>
                              <wps:spPr>
                                <a:xfrm>
                                  <a:off x="25564" y="422264"/>
                                  <a:ext cx="21" cy="599"/>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49" name="直接箭头连接符 149"/>
                              <wps:cNvCnPr/>
                              <wps:spPr>
                                <a:xfrm flipH="1">
                                  <a:off x="21792" y="422269"/>
                                  <a:ext cx="4" cy="358"/>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50" name="文本框 150"/>
                              <wps:cNvSpPr txBox="1"/>
                              <wps:spPr>
                                <a:xfrm>
                                  <a:off x="26444" y="423441"/>
                                  <a:ext cx="2034" cy="8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4A2047">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both"/>
                                      <w:textAlignment w:val="auto"/>
                                      <w:rPr>
                                        <w:rFonts w:hint="eastAsia"/>
                                        <w:sz w:val="21"/>
                                        <w:szCs w:val="21"/>
                                        <w:lang w:val="en-US" w:eastAsia="zh-CN"/>
                                      </w:rPr>
                                    </w:pPr>
                                    <w:r>
                                      <w:rPr>
                                        <w:rFonts w:hint="eastAsia"/>
                                        <w:b w:val="0"/>
                                        <w:bCs w:val="0"/>
                                        <w:color w:val="auto"/>
                                        <w:sz w:val="21"/>
                                        <w:szCs w:val="21"/>
                                        <w:u w:val="none" w:color="auto"/>
                                        <w:lang w:val="en-US" w:eastAsia="zh-CN"/>
                                      </w:rPr>
                                      <w:t>10</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彩色成像</w:t>
                                    </w:r>
                                  </w:p>
                                  <w:p w14:paraId="27FDAF4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钢化玻璃产品</w:t>
                                    </w:r>
                                  </w:p>
                                  <w:p w14:paraId="112A0F96">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19AA05F0">
                                    <w:pPr>
                                      <w:pStyle w:val="48"/>
                                      <w:ind w:left="0" w:leftChars="0" w:firstLine="0" w:firstLineChars="0"/>
                                      <w:rPr>
                                        <w:rFonts w:hint="default" w:ascii="Times New Roman" w:hAnsi="Times New Roman" w:cs="Times New Roman"/>
                                        <w:sz w:val="21"/>
                                        <w:szCs w:val="21"/>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9.05pt;margin-top:30pt;height:417.5pt;width:413.3pt;z-index:251669504;mso-width-relative:page;mso-height-relative:page;" coordorigin="20212,416803" coordsize="8266,8350" o:gfxdata="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">
                      <o:lock v:ext="edit" aspectratio="f"/>
                      <v:group id="_x0000_s1026" o:spid="_x0000_s1026" o:spt="203" style="position:absolute;left:20212;top:416803;height:8351;width:7805;" coordorigin="20130,416388" coordsize="7805,8351" o:gfxdata="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kyyISvAAAANwAAAAPAAAAAAAAAAEAIAAAACIAAABkcnMvZG93bnJldi54bWxQ&#10;SwECFAAUAAAACACHTuJAMy8FnjsAAAA5AAAAFQAAAAAAAAABACAAAAALAQAAZHJzL2dyb3Vwc2hh&#10;cGV4bWwueG1sUEsFBgAAAAAGAAYAYAEAAMgDAAAAAA==&#10;">
                        <o:lock v:ext="edit" aspectratio="f"/>
                        <v:shape id="_x0000_s1026" o:spid="_x0000_s1026" o:spt="202" type="#_x0000_t202" style="position:absolute;left:20130;top:417773;height:1451;width:525;" fillcolor="#FFFFFF [3201]" filled="t" stroked="t" coordsize="21600,21600" o:gfxdata="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nLMBy2AAAA2gAAAA8A&#10;AAAAAAAAAQAgAAAAIgAAAGRycy9kb3ducmV2LnhtbFBLAQIUABQAAAAIAIdO4kAzLwWeOwAAADkA&#10;AAAQAAAAAAAAAAEAIAAAAAUBAABkcnMvc2hhcGV4bWwueG1sUEsFBgAAAAAGAAYAWwEAAK8DAAAA&#10;AA==&#10;">
                          <v:fill on="t" focussize="0,0"/>
                          <v:stroke weight="0.5pt" color="#000000 [3204]" joinstyle="round"/>
                          <v:imagedata o:title=""/>
                          <o:lock v:ext="edit" aspectratio="f"/>
                          <v:textbox>
                            <w:txbxContent>
                              <w:p w14:paraId="338A8516">
                                <w:pPr>
                                  <w:rPr>
                                    <w:rFonts w:hint="eastAsia"/>
                                    <w:sz w:val="21"/>
                                    <w:szCs w:val="21"/>
                                    <w:lang w:val="en-US" w:eastAsia="zh-CN"/>
                                  </w:rPr>
                                </w:pPr>
                                <w:r>
                                  <w:rPr>
                                    <w:rFonts w:hint="eastAsia"/>
                                    <w:sz w:val="21"/>
                                    <w:szCs w:val="21"/>
                                    <w:lang w:val="en-US" w:eastAsia="zh-CN"/>
                                  </w:rPr>
                                  <w:t>玻</w:t>
                                </w:r>
                              </w:p>
                              <w:p w14:paraId="17D76C1B">
                                <w:pPr>
                                  <w:rPr>
                                    <w:rFonts w:hint="eastAsia"/>
                                    <w:sz w:val="21"/>
                                    <w:szCs w:val="21"/>
                                    <w:lang w:val="en-US" w:eastAsia="zh-CN"/>
                                  </w:rPr>
                                </w:pPr>
                                <w:r>
                                  <w:rPr>
                                    <w:rFonts w:hint="eastAsia"/>
                                    <w:sz w:val="21"/>
                                    <w:szCs w:val="21"/>
                                    <w:lang w:val="en-US" w:eastAsia="zh-CN"/>
                                  </w:rPr>
                                  <w:t>璃</w:t>
                                </w:r>
                              </w:p>
                              <w:p w14:paraId="72F6E46E">
                                <w:pPr>
                                  <w:rPr>
                                    <w:rFonts w:hint="eastAsia"/>
                                    <w:sz w:val="21"/>
                                    <w:szCs w:val="21"/>
                                    <w:lang w:val="en-US" w:eastAsia="zh-CN"/>
                                  </w:rPr>
                                </w:pPr>
                                <w:r>
                                  <w:rPr>
                                    <w:rFonts w:hint="eastAsia"/>
                                    <w:sz w:val="21"/>
                                    <w:szCs w:val="21"/>
                                    <w:lang w:val="en-US" w:eastAsia="zh-CN"/>
                                  </w:rPr>
                                  <w:t>原</w:t>
                                </w:r>
                              </w:p>
                              <w:p w14:paraId="30A33C71">
                                <w:pPr>
                                  <w:rPr>
                                    <w:rFonts w:hint="eastAsia"/>
                                    <w:sz w:val="21"/>
                                    <w:szCs w:val="21"/>
                                    <w:lang w:val="en-US" w:eastAsia="zh-CN"/>
                                  </w:rPr>
                                </w:pPr>
                                <w:r>
                                  <w:rPr>
                                    <w:rFonts w:hint="eastAsia"/>
                                    <w:sz w:val="21"/>
                                    <w:szCs w:val="21"/>
                                    <w:lang w:val="en-US" w:eastAsia="zh-CN"/>
                                  </w:rPr>
                                  <w:t>片</w:t>
                                </w:r>
                              </w:p>
                              <w:p w14:paraId="1B7353B8">
                                <w:pPr>
                                  <w:pStyle w:val="48"/>
                                  <w:rPr>
                                    <w:rFonts w:hint="default"/>
                                    <w:sz w:val="21"/>
                                    <w:szCs w:val="21"/>
                                    <w:lang w:val="en-US" w:eastAsia="zh-CN"/>
                                  </w:rPr>
                                </w:pPr>
                              </w:p>
                            </w:txbxContent>
                          </v:textbox>
                        </v:shape>
                        <v:shape id="_x0000_s1026" o:spid="_x0000_s1026" o:spt="202" type="#_x0000_t202" style="position:absolute;left:22520;top:416638;height:552;width:1322;" fillcolor="#FFFFFF [3201]" filled="t" stroked="t" coordsize="21600,21600" o:gfxdata="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JhUpG62AAAA2gAAAA8A&#10;AAAAAAAAAQAgAAAAIgAAAGRycy9kb3ducmV2LnhtbFBLAQIUABQAAAAIAIdO4kAzLwWeOwAAADkA&#10;AAAQAAAAAAAAAAEAIAAAAAUBAABkcnMvc2hhcGV4bWwueG1sUEsFBgAAAAAGAAYAWwEAAK8DAAAA&#10;AA==&#10;">
                          <v:fill on="t" focussize="0,0"/>
                          <v:stroke weight="0.5pt" color="#000000 [3204]" joinstyle="round"/>
                          <v:imagedata o:title=""/>
                          <o:lock v:ext="edit" aspectratio="f"/>
                          <v:textbox>
                            <w:txbxContent>
                              <w:p w14:paraId="024C9B61">
                                <w:pPr>
                                  <w:pStyle w:val="48"/>
                                  <w:ind w:left="0" w:leftChars="0" w:firstLine="0" w:firstLineChars="0"/>
                                  <w:rPr>
                                    <w:rFonts w:hint="default"/>
                                    <w:sz w:val="21"/>
                                    <w:szCs w:val="21"/>
                                    <w:lang w:val="en-US" w:eastAsia="zh-CN"/>
                                  </w:rPr>
                                </w:pPr>
                                <w:r>
                                  <w:rPr>
                                    <w:rFonts w:hint="eastAsia"/>
                                    <w:sz w:val="21"/>
                                    <w:szCs w:val="21"/>
                                    <w:lang w:val="en-US" w:eastAsia="zh-CN"/>
                                  </w:rPr>
                                  <w:t>镀膜玻璃</w:t>
                                </w:r>
                              </w:p>
                            </w:txbxContent>
                          </v:textbox>
                        </v:shape>
                        <v:shape id="_x0000_s1026" o:spid="_x0000_s1026" o:spt="202" type="#_x0000_t202" style="position:absolute;left:22507;top:417503;height:552;width:1662;" fillcolor="#FFFFFF [3201]" filled="t" stroked="t" coordsize="21600,21600" o:gfxdata="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SCJrgAAADb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14:paraId="29AC4539">
                                <w:pPr>
                                  <w:pStyle w:val="48"/>
                                  <w:ind w:left="0" w:leftChars="0" w:firstLine="0" w:firstLineChars="0"/>
                                  <w:rPr>
                                    <w:rFonts w:hint="default"/>
                                    <w:sz w:val="21"/>
                                    <w:szCs w:val="21"/>
                                    <w:lang w:val="en-US" w:eastAsia="zh-CN"/>
                                  </w:rPr>
                                </w:pPr>
                                <w:r>
                                  <w:rPr>
                                    <w:rFonts w:hint="eastAsia"/>
                                    <w:sz w:val="21"/>
                                    <w:szCs w:val="21"/>
                                    <w:lang w:val="en-US" w:eastAsia="zh-CN"/>
                                  </w:rPr>
                                  <w:t>彩色成像玻璃</w:t>
                                </w:r>
                              </w:p>
                            </w:txbxContent>
                          </v:textbox>
                        </v:shape>
                        <v:shape id="_x0000_s1026" o:spid="_x0000_s1026" o:spt="202" type="#_x0000_t202" style="position:absolute;left:22525;top:418918;height:552;width:1492;" fillcolor="#FFFFFF [3201]" filled="t" stroked="t" coordsize="21600,21600" o:gfxdata="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CTuCe9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14:paraId="4D2C5813">
                                <w:pPr>
                                  <w:pStyle w:val="48"/>
                                  <w:ind w:left="0" w:leftChars="0" w:firstLine="0" w:firstLineChars="0"/>
                                  <w:rPr>
                                    <w:rFonts w:hint="default"/>
                                    <w:sz w:val="21"/>
                                    <w:szCs w:val="21"/>
                                    <w:lang w:val="en-US" w:eastAsia="zh-CN"/>
                                  </w:rPr>
                                </w:pPr>
                                <w:r>
                                  <w:rPr>
                                    <w:rFonts w:hint="eastAsia"/>
                                    <w:sz w:val="21"/>
                                    <w:szCs w:val="21"/>
                                    <w:lang w:val="en-US" w:eastAsia="zh-CN"/>
                                  </w:rPr>
                                  <w:t>钢化玻璃</w:t>
                                </w:r>
                              </w:p>
                            </w:txbxContent>
                          </v:textbox>
                        </v:shape>
                        <v:shape id="_x0000_s1026" o:spid="_x0000_s1026" o:spt="202" type="#_x0000_t202" style="position:absolute;left:20665;top:423376;height:552;width:1600;" fillcolor="#FFFFFF [3201]" filled="t" stroked="t" coordsize="21600,21600" o:gfxdata="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BjarnK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14:paraId="192BB6E4">
                                <w:pPr>
                                  <w:pStyle w:val="48"/>
                                  <w:ind w:left="0" w:leftChars="0" w:firstLine="210" w:firstLineChars="100"/>
                                  <w:rPr>
                                    <w:rFonts w:hint="default"/>
                                    <w:sz w:val="21"/>
                                    <w:szCs w:val="21"/>
                                    <w:lang w:val="en-US" w:eastAsia="zh-CN"/>
                                  </w:rPr>
                                </w:pPr>
                                <w:r>
                                  <w:rPr>
                                    <w:rFonts w:hint="eastAsia"/>
                                    <w:sz w:val="21"/>
                                    <w:szCs w:val="21"/>
                                    <w:lang w:val="en-US" w:eastAsia="zh-CN"/>
                                  </w:rPr>
                                  <w:t>夹胶玻璃</w:t>
                                </w:r>
                              </w:p>
                            </w:txbxContent>
                          </v:textbox>
                        </v:shape>
                        <v:shape id="_x0000_s1026" o:spid="_x0000_s1026" o:spt="202" type="#_x0000_t202" style="position:absolute;left:24651;top:423411;height:446;width:1600;" fillcolor="#FFFFFF [3201]" filled="t" stroked="t" coordsize="21600,21600" o:gfxdata="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MJhxR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14:paraId="152A2740">
                                <w:pPr>
                                  <w:pStyle w:val="48"/>
                                  <w:ind w:left="0" w:leftChars="0" w:firstLine="210" w:firstLineChars="100"/>
                                  <w:rPr>
                                    <w:rFonts w:hint="default"/>
                                    <w:sz w:val="21"/>
                                    <w:szCs w:val="21"/>
                                    <w:lang w:val="en-US" w:eastAsia="zh-CN"/>
                                  </w:rPr>
                                </w:pPr>
                                <w:r>
                                  <w:rPr>
                                    <w:rFonts w:hint="eastAsia"/>
                                    <w:sz w:val="21"/>
                                    <w:szCs w:val="21"/>
                                    <w:lang w:val="en-US" w:eastAsia="zh-CN"/>
                                  </w:rPr>
                                  <w:t>中空玻璃</w:t>
                                </w:r>
                              </w:p>
                            </w:txbxContent>
                          </v:textbox>
                        </v:shape>
                        <v:shape id="_x0000_s1026" o:spid="_x0000_s1026" o:spt="202" type="#_x0000_t202" style="position:absolute;left:22520;top:419695;height:829;width:1156;" fillcolor="#FFFFFF [3201]" filled="t" stroked="t" coordsize="21600,21600" o:gfxdata="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g8+EJbUAAADb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14:paraId="73717B8C">
                                <w:pPr>
                                  <w:pStyle w:val="48"/>
                                  <w:ind w:left="0" w:leftChars="0" w:firstLine="0" w:firstLineChars="0"/>
                                  <w:rPr>
                                    <w:rFonts w:hint="default"/>
                                    <w:sz w:val="21"/>
                                    <w:szCs w:val="21"/>
                                    <w:lang w:val="en-US" w:eastAsia="zh-CN"/>
                                  </w:rPr>
                                </w:pPr>
                                <w:r>
                                  <w:rPr>
                                    <w:rFonts w:hint="eastAsia" w:ascii="Times New Roman" w:hAnsi="Times New Roman" w:cs="Times New Roman"/>
                                    <w:b w:val="0"/>
                                    <w:bCs w:val="0"/>
                                    <w:color w:val="auto"/>
                                    <w:sz w:val="21"/>
                                    <w:szCs w:val="21"/>
                                    <w:lang w:val="en-US" w:eastAsia="zh-CN"/>
                                  </w:rPr>
                                  <w:t>裁切、孔缺边角料</w:t>
                                </w:r>
                              </w:p>
                            </w:txbxContent>
                          </v:textbox>
                        </v:shape>
                        <v:shape id="_x0000_s1026" o:spid="_x0000_s1026" o:spt="202" type="#_x0000_t202" style="position:absolute;left:22510;top:420903;height:552;width:1552;" fillcolor="#FFFFFF [3201]" filled="t" stroked="t" coordsize="21600,21600" o:gfxdata="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No06Y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14:paraId="1C0F6974">
                                <w:pPr>
                                  <w:pStyle w:val="48"/>
                                  <w:ind w:left="0" w:leftChars="0" w:firstLine="0" w:firstLineChars="0"/>
                                  <w:rPr>
                                    <w:rFonts w:hint="default"/>
                                    <w:sz w:val="21"/>
                                    <w:szCs w:val="21"/>
                                    <w:lang w:val="en-US" w:eastAsia="zh-CN"/>
                                  </w:rPr>
                                </w:pPr>
                                <w:r>
                                  <w:rPr>
                                    <w:rFonts w:hint="eastAsia" w:ascii="Times New Roman" w:hAnsi="Times New Roman" w:cs="Times New Roman"/>
                                    <w:b w:val="0"/>
                                    <w:bCs w:val="0"/>
                                    <w:color w:val="auto"/>
                                    <w:sz w:val="21"/>
                                    <w:szCs w:val="21"/>
                                    <w:lang w:val="en-US" w:eastAsia="zh-CN"/>
                                  </w:rPr>
                                  <w:t>不合格产品</w:t>
                                </w:r>
                              </w:p>
                            </w:txbxContent>
                          </v:textbox>
                        </v:shape>
                        <v:line id="_x0000_s1026" o:spid="_x0000_s1026" o:spt="20" style="position:absolute;left:21455;top:416866;height:4350;width:0;" filled="f" stroked="t" coordsize="21600,21600" o:gfxdata="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Rhmie8AAAA&#10;2wAAAA8AAAAAAAAAAQAgAAAAIgAAAGRycy9kb3ducmV2LnhtbFBLAQIUABQAAAAIAIdO4kAzLwWe&#10;OwAAADkAAAAQAAAAAAAAAAEAIAAAAAsBAABkcnMvc2hhcGV4bWwueG1sUEsFBgAAAAAGAAYAWwEA&#10;ALUDAAAAAA==&#10;">
                          <v:fill on="f" focussize="0,0"/>
                          <v:stroke weight="1pt" color="#000000 [3213]" joinstyle="round"/>
                          <v:imagedata o:title=""/>
                          <o:lock v:ext="edit" aspectratio="f"/>
                        </v:line>
                        <v:shape id="_x0000_s1026" o:spid="_x0000_s1026" o:spt="32" type="#_x0000_t32" style="position:absolute;left:20655;top:418486;flip:y;height:13;width:825;" filled="f" stroked="t" coordsize="21600,21600" o:gfxdata="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nFKJ+/&#10;AAAA2wAAAA8AAAAAAAAAAQAgAAAAIgAAAGRycy9kb3ducmV2LnhtbFBLAQIUABQAAAAIAIdO4kAz&#10;LwWeOwAAADkAAAAQAAAAAAAAAAEAIAAAAA4BAABkcnMvc2hhcGV4bWwueG1sUEsFBgAAAAAGAAYA&#10;WwEAALgDAAAAAA==&#10;">
                          <v:fill on="f" focussize="0,0"/>
                          <v:stroke weight="1pt" color="#000000 [3213]" joinstyle="round" endarrow="block"/>
                          <v:imagedata o:title=""/>
                          <o:lock v:ext="edit" aspectratio="f"/>
                        </v:shape>
                        <v:shape id="_x0000_s1026" o:spid="_x0000_s1026" o:spt="32" type="#_x0000_t32" style="position:absolute;left:21430;top:416891;height:23;width:1090;" filled="f" stroked="t" coordsize="21600,21600" o:gfxdata="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sxIU7UAAADbAAAADwAA&#10;AAAAAAABACAAAAAiAAAAZHJzL2Rvd25yZXYueG1sUEsBAhQAFAAAAAgAh07iQDMvBZ47AAAAOQAA&#10;ABAAAAAAAAAAAQAgAAAABAEAAGRycy9zaGFwZXhtbC54bWxQSwUGAAAAAAYABgBbAQAArgMAAAAA&#10;">
                          <v:fill on="f" focussize="0,0"/>
                          <v:stroke weight="1pt" color="#000000 [3213]" joinstyle="round" endarrow="block"/>
                          <v:imagedata o:title=""/>
                          <o:lock v:ext="edit" aspectratio="f"/>
                        </v:shape>
                        <v:shape id="_x0000_s1026" o:spid="_x0000_s1026" o:spt="32" type="#_x0000_t32" style="position:absolute;left:21452;top:417794;height:6;width:1055;" filled="f" stroked="t" coordsize="21600,21600" o:gfxdata="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bWPSiLUAAADbAAAADwAA&#10;AAAAAAABACAAAAAiAAAAZHJzL2Rvd25yZXYueG1sUEsBAhQAFAAAAAgAh07iQDMvBZ47AAAAOQAA&#10;ABAAAAAAAAAAAQAgAAAABAEAAGRycy9zaGFwZXhtbC54bWxQSwUGAAAAAAYABgBbAQAArgMAAAAA&#10;">
                          <v:fill on="f" focussize="0,0"/>
                          <v:stroke weight="1pt" color="#000000 [3213]" joinstyle="round" endarrow="block"/>
                          <v:imagedata o:title=""/>
                          <o:lock v:ext="edit" aspectratio="f"/>
                        </v:shape>
                        <v:shape id="_x0000_s1026" o:spid="_x0000_s1026" o:spt="32" type="#_x0000_t32" style="position:absolute;left:21420;top:419163;height:6;width:1055;" filled="f" stroked="t" coordsize="21600,21600" o:gfxdata="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JY1Iu8AAAA&#10;2wAAAA8AAAAAAAAAAQAgAAAAIgAAAGRycy9kb3ducmV2LnhtbFBLAQIUABQAAAAIAIdO4kAzLwWe&#10;OwAAADkAAAAQAAAAAAAAAAEAIAAAAAsBAABkcnMvc2hhcGV4bWwueG1sUEsFBgAAAAAGAAYAWwEA&#10;ALUDAAAAAA==&#10;">
                          <v:fill on="f" focussize="0,0"/>
                          <v:stroke weight="1pt" color="#000000 [3213]" joinstyle="round" endarrow="block"/>
                          <v:imagedata o:title=""/>
                          <o:lock v:ext="edit" aspectratio="f"/>
                        </v:shape>
                        <v:shape id="_x0000_s1026" o:spid="_x0000_s1026" o:spt="32" type="#_x0000_t32" style="position:absolute;left:21485;top:420178;height:6;width:1055;" filled="f" stroked="t" coordsize="21600,21600" o:gfxdata="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9FHEQugAAANsA&#10;AAAPAAAAAAAAAAEAIAAAACIAAABkcnMvZG93bnJldi54bWxQSwECFAAUAAAACACHTuJAMy8FnjsA&#10;AAA5AAAAEAAAAAAAAAABACAAAAAJAQAAZHJzL3NoYXBleG1sLnhtbFBLBQYAAAAABgAGAFsBAACz&#10;AwAAAAA=&#10;">
                          <v:fill on="f" focussize="0,0"/>
                          <v:stroke weight="1pt" color="#000000 [3213]" joinstyle="round" endarrow="block"/>
                          <v:imagedata o:title=""/>
                          <o:lock v:ext="edit" aspectratio="f"/>
                        </v:shape>
                        <v:shape id="_x0000_s1026" o:spid="_x0000_s1026" o:spt="202" type="#_x0000_t202" style="position:absolute;left:25476;top:416542;height:703;width:2086;" filled="f" stroked="f" coordsize="21600,21600" o:gfxdata="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evNr7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D9EB7E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default" w:ascii="Times New Roman" w:hAnsi="Times New Roman" w:cs="Times New Roman"/>
                                    <w:sz w:val="21"/>
                                    <w:szCs w:val="21"/>
                                    <w:lang w:val="en-US" w:eastAsia="zh-CN"/>
                                  </w:rPr>
                                  <w:t>1</w:t>
                                </w:r>
                                <w:r>
                                  <w:rPr>
                                    <w:rFonts w:hint="eastAsia" w:ascii="Times New Roman" w:hAnsi="Times New Roman" w:cs="Times New Roman"/>
                                    <w:sz w:val="21"/>
                                    <w:szCs w:val="21"/>
                                    <w:lang w:val="en-US" w:eastAsia="zh-CN"/>
                                  </w:rPr>
                                  <w:t>0</w:t>
                                </w:r>
                                <w:r>
                                  <w:rPr>
                                    <w:rFonts w:hint="default" w:ascii="Times New Roman" w:hAnsi="Times New Roman" w:cs="Times New Roman"/>
                                    <w:sz w:val="21"/>
                                    <w:szCs w:val="21"/>
                                    <w:lang w:val="en-US" w:eastAsia="zh-CN"/>
                                  </w:rPr>
                                  <w:t>0万m</w:t>
                                </w:r>
                                <w:r>
                                  <w:rPr>
                                    <w:rFonts w:hint="default" w:ascii="Times New Roman" w:hAnsi="Times New Roman" w:cs="Times New Roman"/>
                                    <w:sz w:val="21"/>
                                    <w:szCs w:val="21"/>
                                    <w:vertAlign w:val="superscript"/>
                                    <w:lang w:val="en-US" w:eastAsia="zh-CN"/>
                                  </w:rPr>
                                  <w:t>2</w:t>
                                </w:r>
                                <w:r>
                                  <w:rPr>
                                    <w:rFonts w:hint="eastAsia"/>
                                    <w:sz w:val="21"/>
                                    <w:szCs w:val="21"/>
                                    <w:lang w:val="en-US" w:eastAsia="zh-CN"/>
                                  </w:rPr>
                                  <w:t>镀膜玻璃产品</w:t>
                                </w:r>
                              </w:p>
                              <w:p w14:paraId="52401ACD">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3956;top:416913;flip:y;height:25;width:1568;" filled="f" stroked="t" coordsize="21600,21600" o:gfxdata="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Xd5qv&#10;wAAAANsAAAAPAAAAAAAAAAEAIAAAACIAAABkcnMvZG93bnJldi54bWxQSwECFAAUAAAACACHTuJA&#10;My8FnjsAAAA5AAAAEAAAAAAAAAABACAAAAAPAQAAZHJzL3NoYXBleG1sLnhtbFBLBQYAAAAABgAG&#10;AFsBAAC5AwAAAAA=&#10;">
                          <v:fill on="f" focussize="0,0"/>
                          <v:stroke weight="1pt" color="#000000 [3213]" joinstyle="round" endarrow="block"/>
                          <v:imagedata o:title=""/>
                          <o:lock v:ext="edit" aspectratio="f"/>
                        </v:shape>
                        <v:shape id="_x0000_s1026" o:spid="_x0000_s1026" o:spt="202" type="#_x0000_t202" style="position:absolute;left:23892;top:416635;height:770;width:1471;" filled="f" stroked="f" coordsize="21600,21600" o:gfxdata="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R7Srr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1F2DC381">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ascii="Times New Roman" w:hAnsi="Times New Roman" w:cs="Times New Roman"/>
                                    <w:sz w:val="21"/>
                                    <w:szCs w:val="21"/>
                                    <w:vertAlign w:val="superscript"/>
                                    <w:lang w:val="en-US" w:eastAsia="zh-CN"/>
                                  </w:rPr>
                                </w:pPr>
                                <w:r>
                                  <w:rPr>
                                    <w:rFonts w:hint="default" w:ascii="Times New Roman" w:hAnsi="Times New Roman" w:cs="Times New Roman"/>
                                    <w:sz w:val="21"/>
                                    <w:szCs w:val="21"/>
                                    <w:lang w:val="en-US" w:eastAsia="zh-CN"/>
                                  </w:rPr>
                                  <w:t>1</w:t>
                                </w:r>
                                <w:r>
                                  <w:rPr>
                                    <w:rFonts w:hint="eastAsia" w:ascii="Times New Roman" w:hAnsi="Times New Roman" w:cs="Times New Roman"/>
                                    <w:sz w:val="21"/>
                                    <w:szCs w:val="21"/>
                                    <w:lang w:val="en-US" w:eastAsia="zh-CN"/>
                                  </w:rPr>
                                  <w:t>50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0D7F0AF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镀膜玻璃</w:t>
                                </w:r>
                              </w:p>
                              <w:p w14:paraId="1D8A5D13">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3231;top:418059;height:857;width:0;" filled="f" stroked="t" coordsize="21600,21600" o:gfxdata="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aKxkFLUAAADbAAAADwAA&#10;AAAAAAABACAAAAAiAAAAZHJzL2Rvd25yZXYueG1sUEsBAhQAFAAAAAgAh07iQDMvBZ47AAAAOQAA&#10;ABAAAAAAAAAAAQAgAAAABAEAAGRycy9zaGFwZXhtbC54bWxQSwUGAAAAAAYABgBbAQAArgMAAAAA&#10;">
                          <v:fill on="f" focussize="0,0"/>
                          <v:stroke weight="1pt" color="#000000 [3213]" joinstyle="round" endarrow="block"/>
                          <v:imagedata o:title=""/>
                          <o:lock v:ext="edit" aspectratio="f"/>
                        </v:shape>
                        <v:shape id="_x0000_s1026" o:spid="_x0000_s1026" o:spt="202" type="#_x0000_t202" style="position:absolute;left:21527;top:418041;height:851;width:2183;" filled="f" stroked="f" coordsize="21600,21600" o:gfxdata="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yg2O&#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6A3A9D62">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eastAsia"/>
                                    <w:sz w:val="21"/>
                                    <w:szCs w:val="21"/>
                                    <w:lang w:val="en-US" w:eastAsia="zh-CN"/>
                                  </w:rPr>
                                </w:pPr>
                                <w:r>
                                  <w:rPr>
                                    <w:rFonts w:hint="eastAsia" w:ascii="Times New Roman" w:cs="Times New Roman"/>
                                    <w:sz w:val="21"/>
                                    <w:szCs w:val="21"/>
                                    <w:lang w:val="en-US" w:eastAsia="zh-CN"/>
                                  </w:rPr>
                                  <w:t>1</w:t>
                                </w:r>
                                <w:r>
                                  <w:rPr>
                                    <w:rFonts w:hint="eastAsia" w:ascii="Times New Roman" w:hAnsi="Times New Roman" w:cs="Times New Roman"/>
                                    <w:sz w:val="21"/>
                                    <w:szCs w:val="21"/>
                                    <w:lang w:val="en-US" w:eastAsia="zh-CN"/>
                                  </w:rPr>
                                  <w:t>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sz w:val="21"/>
                                    <w:szCs w:val="21"/>
                                    <w:lang w:val="en-US" w:eastAsia="zh-CN"/>
                                  </w:rPr>
                                  <w:t>彩色</w:t>
                                </w:r>
                              </w:p>
                              <w:p w14:paraId="3421486B">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成像玻璃</w:t>
                                </w:r>
                              </w:p>
                              <w:p w14:paraId="64CC275C">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4038;top:419216;height:6;width:1055;" filled="f" stroked="t" coordsize="21600,21600" o:gfxdata="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ZS5M7gAAADcAAAA&#10;DwAAAAAAAAABACAAAAAiAAAAZHJzL2Rvd25yZXYueG1sUEsBAhQAFAAAAAgAh07iQDMvBZ47AAAA&#10;OQAAABAAAAAAAAAAAQAgAAAABwEAAGRycy9zaGFwZXhtbC54bWxQSwUGAAAAAAYABgBbAQAAsQMA&#10;AAAA&#10;">
                          <v:fill on="f" focussize="0,0"/>
                          <v:stroke weight="1pt" color="#000000 [3213]" joinstyle="round" endarrow="block"/>
                          <v:imagedata o:title=""/>
                          <o:lock v:ext="edit" aspectratio="f"/>
                        </v:shape>
                        <v:shape id="_x0000_s1026" o:spid="_x0000_s1026" o:spt="202" type="#_x0000_t202" style="position:absolute;left:25025;top:418650;height:1019;width:2910;" filled="f" stroked="f" coordsize="21600,21600" o:gfxdata="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BUNmK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8026244">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cs="Times New Roman"/>
                                    <w:sz w:val="21"/>
                                    <w:szCs w:val="21"/>
                                    <w:lang w:val="en-US" w:eastAsia="zh-CN"/>
                                  </w:rPr>
                                  <w:t>15万m</w:t>
                                </w:r>
                                <w:r>
                                  <w:rPr>
                                    <w:rFonts w:hint="eastAsia" w:ascii="Times New Roman" w:cs="Times New Roman"/>
                                    <w:sz w:val="21"/>
                                    <w:szCs w:val="21"/>
                                    <w:vertAlign w:val="superscript"/>
                                    <w:lang w:val="en-US" w:eastAsia="zh-CN"/>
                                  </w:rPr>
                                  <w:t>2</w:t>
                                </w:r>
                                <w:r>
                                  <w:rPr>
                                    <w:rFonts w:hint="eastAsia" w:ascii="Times New Roman" w:cs="Times New Roman"/>
                                    <w:sz w:val="21"/>
                                    <w:szCs w:val="21"/>
                                    <w:lang w:val="en-US" w:eastAsia="zh-CN"/>
                                  </w:rPr>
                                  <w:t>的彩色成像钢化玻璃，</w:t>
                                </w:r>
                                <w:r>
                                  <w:rPr>
                                    <w:rFonts w:hint="eastAsia" w:ascii="Times New Roman" w:hAnsi="Times New Roman" w:cs="Times New Roman"/>
                                    <w:sz w:val="21"/>
                                    <w:szCs w:val="21"/>
                                    <w:lang w:val="en-US" w:eastAsia="zh-CN"/>
                                  </w:rPr>
                                  <w:t>135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ascii="Times New Roman" w:hAnsi="Times New Roman" w:cs="Times New Roman"/>
                                    <w:sz w:val="21"/>
                                    <w:szCs w:val="21"/>
                                    <w:vertAlign w:val="baseline"/>
                                    <w:lang w:val="en-US" w:eastAsia="zh-CN"/>
                                  </w:rPr>
                                  <w:t>钢化</w:t>
                                </w:r>
                                <w:r>
                                  <w:rPr>
                                    <w:rFonts w:hint="eastAsia"/>
                                    <w:sz w:val="21"/>
                                    <w:szCs w:val="21"/>
                                    <w:lang w:val="en-US" w:eastAsia="zh-CN"/>
                                  </w:rPr>
                                  <w:t>玻璃，50万m</w:t>
                                </w:r>
                                <w:r>
                                  <w:rPr>
                                    <w:rFonts w:hint="eastAsia"/>
                                    <w:sz w:val="21"/>
                                    <w:szCs w:val="21"/>
                                    <w:vertAlign w:val="superscript"/>
                                    <w:lang w:val="en-US" w:eastAsia="zh-CN"/>
                                  </w:rPr>
                                  <w:t>2</w:t>
                                </w:r>
                                <w:r>
                                  <w:rPr>
                                    <w:rFonts w:hint="eastAsia"/>
                                    <w:sz w:val="21"/>
                                    <w:szCs w:val="21"/>
                                    <w:lang w:val="en-US" w:eastAsia="zh-CN"/>
                                  </w:rPr>
                                  <w:t>的镀膜钢化玻璃</w:t>
                                </w:r>
                              </w:p>
                              <w:p w14:paraId="1F360B34">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1410;top:423005;height:375;width:16;" filled="f" stroked="t" coordsize="21600,21600" o:gfxdata="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q+/MLgAAADcAAAA&#10;DwAAAAAAAAABACAAAAAiAAAAZHJzL2Rvd25yZXYueG1sUEsBAhQAFAAAAAgAh07iQDMvBZ47AAAA&#10;OQAAABAAAAAAAAAAAQAgAAAABwEAAGRycy9zaGFwZXhtbC54bWxQSwUGAAAAAAYABgBbAQAAsQMA&#10;AAAA&#10;">
                          <v:fill on="f" focussize="0,0"/>
                          <v:stroke weight="1pt" color="#000000 [3213]" joinstyle="round" endarrow="block"/>
                          <v:imagedata o:title=""/>
                          <o:lock v:ext="edit" aspectratio="f"/>
                        </v:shape>
                        <v:shape id="_x0000_s1026" o:spid="_x0000_s1026" o:spt="32" type="#_x0000_t32" style="position:absolute;left:21450;top:421193;height:6;width:1055;" filled="f" stroked="t" coordsize="21600,21600" o:gfxdata="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OfSFHugAAANwA&#10;AAAPAAAAAAAAAAEAIAAAACIAAABkcnMvZG93bnJldi54bWxQSwECFAAUAAAACACHTuJAMy8FnjsA&#10;AAA5AAAAEAAAAAAAAAABACAAAAAJAQAAZHJzL3NoYXBleG1sLnhtbFBLBQYAAAAABgAGAFsBAACz&#10;AwAAAAA=&#10;">
                          <v:fill on="f" focussize="0,0"/>
                          <v:stroke weight="1pt" color="#000000 [3213]" joinstyle="round" endarrow="block"/>
                          <v:imagedata o:title=""/>
                          <o:lock v:ext="edit" aspectratio="f"/>
                        </v:shape>
                        <v:shape id="_x0000_s1026" o:spid="_x0000_s1026" o:spt="202" type="#_x0000_t202" style="position:absolute;left:20348;top:422080;height:1046;width:2493;" filled="f" stroked="f" coordsize="21600,21600" o:gfxdata="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ramvL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76E80B87">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30万m</w:t>
                                </w:r>
                                <w:r>
                                  <w:rPr>
                                    <w:rFonts w:hint="eastAsia"/>
                                    <w:b w:val="0"/>
                                    <w:bCs w:val="0"/>
                                    <w:color w:val="auto"/>
                                    <w:sz w:val="21"/>
                                    <w:szCs w:val="21"/>
                                    <w:u w:val="none" w:color="auto"/>
                                    <w:vertAlign w:val="superscript"/>
                                    <w:lang w:val="en-US" w:eastAsia="zh-CN"/>
                                  </w:rPr>
                                  <w:t>2</w:t>
                                </w:r>
                                <w:r>
                                  <w:rPr>
                                    <w:rFonts w:hint="eastAsia"/>
                                    <w:b w:val="0"/>
                                    <w:bCs w:val="0"/>
                                    <w:color w:val="auto"/>
                                    <w:sz w:val="21"/>
                                    <w:szCs w:val="21"/>
                                    <w:u w:val="none" w:color="auto"/>
                                    <w:lang w:val="en-US" w:eastAsia="zh-CN"/>
                                  </w:rPr>
                                  <w:t>镀膜钢化玻璃，</w:t>
                                </w:r>
                                <w:r>
                                  <w:rPr>
                                    <w:rFonts w:hint="eastAsia"/>
                                    <w:sz w:val="21"/>
                                    <w:szCs w:val="21"/>
                                    <w:lang w:val="en-US" w:eastAsia="zh-CN"/>
                                  </w:rPr>
                                  <w:t>5</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彩色成像钢化玻璃，</w:t>
                                </w:r>
                                <w:r>
                                  <w:rPr>
                                    <w:rFonts w:hint="eastAsia" w:ascii="Times New Roman" w:hAnsi="Times New Roman" w:cs="Times New Roman"/>
                                    <w:sz w:val="21"/>
                                    <w:szCs w:val="21"/>
                                    <w:lang w:val="en-US" w:eastAsia="zh-CN"/>
                                  </w:rPr>
                                  <w:t>115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ascii="Times New Roman" w:hAnsi="Times New Roman" w:cs="Times New Roman"/>
                                    <w:sz w:val="21"/>
                                    <w:szCs w:val="21"/>
                                    <w:vertAlign w:val="baseline"/>
                                    <w:lang w:val="en-US" w:eastAsia="zh-CN"/>
                                  </w:rPr>
                                  <w:t>钢化</w:t>
                                </w:r>
                                <w:r>
                                  <w:rPr>
                                    <w:rFonts w:hint="eastAsia"/>
                                    <w:sz w:val="21"/>
                                    <w:szCs w:val="21"/>
                                    <w:lang w:val="en-US" w:eastAsia="zh-CN"/>
                                  </w:rPr>
                                  <w:t>玻璃</w:t>
                                </w:r>
                              </w:p>
                              <w:p w14:paraId="0164BCE8">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6A26DA0C">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4BBB0F6C">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2286;top:423646;flip:y;height:34;width:2365;" filled="f" stroked="t" coordsize="21600,21600" o:gfxdata="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sZHL4A&#10;AADcAAAADwAAAAAAAAABACAAAAAiAAAAZHJzL2Rvd25yZXYueG1sUEsBAhQAFAAAAAgAh07iQDMv&#10;BZ47AAAAOQAAABAAAAAAAAAAAQAgAAAADQEAAGRycy9zaGFwZXhtbC54bWxQSwUGAAAAAAYABgBb&#10;AQAAtwMAAAAA&#10;">
                          <v:fill on="f" focussize="0,0"/>
                          <v:stroke weight="1pt" color="#000000 [3213]" joinstyle="round" endarrow="block"/>
                          <v:imagedata o:title=""/>
                          <o:lock v:ext="edit" aspectratio="f"/>
                        </v:shape>
                        <v:shape id="_x0000_s1026" o:spid="_x0000_s1026" o:spt="32" type="#_x0000_t32" style="position:absolute;left:25460;top:422919;height:478;width:0;" filled="f" stroked="t" coordsize="21600,21600" o:gfxdata="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Ua41C5AAAA3AAA&#10;AA8AAAAAAAAAAQAgAAAAIgAAAGRycy9kb3ducmV2LnhtbFBLAQIUABQAAAAIAIdO4kAzLwWeOwAA&#10;ADkAAAAQAAAAAAAAAAEAIAAAAAgBAABkcnMvc2hhcGV4bWwueG1sUEsFBgAAAAAGAAYAWwEAALID&#10;AAAAAA==&#10;">
                          <v:fill on="f" focussize="0,0"/>
                          <v:stroke weight="1pt" color="#000000 [3213]" joinstyle="round" endarrow="block"/>
                          <v:imagedata o:title=""/>
                          <o:lock v:ext="edit" aspectratio="f"/>
                        </v:shape>
                        <v:shape id="_x0000_s1026" o:spid="_x0000_s1026" o:spt="202" type="#_x0000_t202" style="position:absolute;left:24075;top:422290;height:674;width:2847;" filled="f" stroked="f" coordsize="21600,21600" o:gfxdata="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NpsAb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40C604B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20万m</w:t>
                                </w:r>
                                <w:r>
                                  <w:rPr>
                                    <w:rFonts w:hint="eastAsia"/>
                                    <w:b w:val="0"/>
                                    <w:bCs w:val="0"/>
                                    <w:color w:val="auto"/>
                                    <w:sz w:val="21"/>
                                    <w:szCs w:val="21"/>
                                    <w:u w:val="none" w:color="auto"/>
                                    <w:vertAlign w:val="superscript"/>
                                    <w:lang w:val="en-US" w:eastAsia="zh-CN"/>
                                  </w:rPr>
                                  <w:t>2</w:t>
                                </w:r>
                                <w:r>
                                  <w:rPr>
                                    <w:rFonts w:hint="eastAsia"/>
                                    <w:b w:val="0"/>
                                    <w:bCs w:val="0"/>
                                    <w:color w:val="auto"/>
                                    <w:sz w:val="21"/>
                                    <w:szCs w:val="21"/>
                                    <w:u w:val="none" w:color="auto"/>
                                    <w:vertAlign w:val="baseline"/>
                                    <w:lang w:val="en-US" w:eastAsia="zh-CN"/>
                                  </w:rPr>
                                  <w:t>镀膜钢化</w:t>
                                </w:r>
                                <w:r>
                                  <w:rPr>
                                    <w:rFonts w:hint="eastAsia"/>
                                    <w:b w:val="0"/>
                                    <w:bCs w:val="0"/>
                                    <w:color w:val="auto"/>
                                    <w:sz w:val="21"/>
                                    <w:szCs w:val="21"/>
                                    <w:u w:val="none" w:color="auto"/>
                                    <w:lang w:val="en-US" w:eastAsia="zh-CN"/>
                                  </w:rPr>
                                  <w:t>玻璃，</w:t>
                                </w:r>
                                <w:r>
                                  <w:rPr>
                                    <w:rFonts w:hint="eastAsia"/>
                                    <w:sz w:val="21"/>
                                    <w:szCs w:val="21"/>
                                    <w:lang w:val="en-US" w:eastAsia="zh-CN"/>
                                  </w:rPr>
                                  <w:t>20万m</w:t>
                                </w:r>
                                <w:r>
                                  <w:rPr>
                                    <w:rFonts w:hint="eastAsia"/>
                                    <w:sz w:val="21"/>
                                    <w:szCs w:val="21"/>
                                    <w:vertAlign w:val="superscript"/>
                                    <w:lang w:val="en-US" w:eastAsia="zh-CN"/>
                                  </w:rPr>
                                  <w:t>2</w:t>
                                </w:r>
                                <w:r>
                                  <w:rPr>
                                    <w:rFonts w:hint="eastAsia"/>
                                    <w:sz w:val="21"/>
                                    <w:szCs w:val="21"/>
                                    <w:lang w:val="en-US" w:eastAsia="zh-CN"/>
                                  </w:rPr>
                                  <w:t>的钢化玻璃</w:t>
                                </w:r>
                              </w:p>
                              <w:p w14:paraId="6404F510">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62CBBC01">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453068C3">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2634;top:423108;height:503;width:1699;" filled="f" stroked="f" coordsize="21600,21600" o:gfxdata="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aCV3o&#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0BAA51FC">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20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617161CA">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1451;top:423942;flip:x;height:463;width:2;" filled="f" stroked="t" coordsize="21600,21600" o:gfxdata="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kq2gr4A&#10;AADcAAAADwAAAAAAAAABACAAAAAiAAAAZHJzL2Rvd25yZXYueG1sUEsBAhQAFAAAAAgAh07iQDMv&#10;BZ47AAAAOQAAABAAAAAAAAAAAQAgAAAADQEAAGRycy9zaGFwZXhtbC54bWxQSwUGAAAAAAYABgBb&#10;AQAAtwMAAAAA&#10;">
                          <v:fill on="f" focussize="0,0"/>
                          <v:stroke weight="1pt" color="#000000 [3213]" joinstyle="round" endarrow="block"/>
                          <v:imagedata o:title=""/>
                          <o:lock v:ext="edit" aspectratio="f"/>
                        </v:shape>
                        <v:shape id="_x0000_s1026" o:spid="_x0000_s1026" o:spt="32" type="#_x0000_t32" style="position:absolute;left:25480;top:423864;flip:x;height:456;width:20;" filled="f" stroked="t" coordsize="21600,21600" o:gfxdata="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eUsWb4A&#10;AADcAAAADwAAAAAAAAABACAAAAAiAAAAZHJzL2Rvd25yZXYueG1sUEsBAhQAFAAAAAgAh07iQDMv&#10;BZ47AAAAOQAAABAAAAAAAAAAAQAgAAAADQEAAGRycy9zaGFwZXhtbC54bWxQSwUGAAAAAAYABgBb&#10;AQAAtwMAAAAA&#10;">
                          <v:fill on="f" focussize="0,0"/>
                          <v:stroke weight="1pt" color="#000000 [3213]" joinstyle="round" endarrow="block"/>
                          <v:imagedata o:title=""/>
                          <o:lock v:ext="edit" aspectratio="f"/>
                        </v:shape>
                        <v:shape id="_x0000_s1026" o:spid="_x0000_s1026" o:spt="202" type="#_x0000_t202" style="position:absolute;left:20203;top:424265;height:474;width:2847;" filled="f" stroked="f" coordsize="21600,21600" o:gfxdata="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pscz&#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312343C7">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130</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夹胶玻璃产品</w:t>
                                </w:r>
                              </w:p>
                              <w:p w14:paraId="0464EB5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2EDDAD74">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4300;top:424201;height:474;width:2847;" filled="f" stroked="f" coordsize="21600,21600" o:gfxdata="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4/N+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19682C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b w:val="0"/>
                                    <w:bCs w:val="0"/>
                                    <w:color w:val="auto"/>
                                    <w:sz w:val="21"/>
                                    <w:szCs w:val="21"/>
                                    <w:u w:val="none" w:color="auto"/>
                                    <w:lang w:val="en-US" w:eastAsia="zh-CN"/>
                                  </w:rPr>
                                  <w:t>60</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中空玻璃产品</w:t>
                                </w:r>
                              </w:p>
                              <w:p w14:paraId="69C86CC3">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6AA9B87C">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3676;top:420100;flip:y;height:10;width:715;" filled="f" stroked="t" coordsize="21600,21600" o:gfxdata="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nsXtb4A&#10;AADcAAAADwAAAAAAAAABACAAAAAiAAAAZHJzL2Rvd25yZXYueG1sUEsBAhQAFAAAAAgAh07iQDMv&#10;BZ47AAAAOQAAABAAAAAAAAAAAQAgAAAADQEAAGRycy9zaGFwZXhtbC54bWxQSwUGAAAAAAYABgBb&#10;AQAAtwMAAAAA&#10;">
                          <v:fill on="f" focussize="0,0"/>
                          <v:stroke weight="1pt" color="#000000 [3213]" joinstyle="round" endarrow="block"/>
                          <v:imagedata o:title=""/>
                          <o:lock v:ext="edit" aspectratio="f"/>
                        </v:shape>
                        <v:shape id="_x0000_s1026" o:spid="_x0000_s1026" o:spt="202" type="#_x0000_t202" style="position:absolute;left:24391;top:419741;height:718;width:1216;" filled="f" stroked="f" coordsize="21600,21600" o:gfxdata="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6dwTC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4BA627D">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ascii="Times New Roman" w:hAnsi="Times New Roman" w:cs="Times New Roman"/>
                                    <w:sz w:val="21"/>
                                    <w:szCs w:val="21"/>
                                    <w:vertAlign w:val="baseline"/>
                                    <w:lang w:val="en-US" w:eastAsia="zh-CN"/>
                                  </w:rPr>
                                  <w:t>玻璃</w:t>
                                </w:r>
                                <w:r>
                                  <w:rPr>
                                    <w:rFonts w:hint="eastAsia"/>
                                    <w:sz w:val="21"/>
                                    <w:szCs w:val="21"/>
                                    <w:lang w:val="en-US" w:eastAsia="zh-CN"/>
                                  </w:rPr>
                                  <w:t>边角料</w:t>
                                </w:r>
                              </w:p>
                              <w:p w14:paraId="741F745E">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32" type="#_x0000_t32" style="position:absolute;left:24078;top:421154;height:8;width:504;" filled="f" stroked="t" coordsize="21600,21600" o:gfxdata="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DDdY25AAAA3AAA&#10;AA8AAAAAAAAAAQAgAAAAIgAAAGRycy9kb3ducmV2LnhtbFBLAQIUABQAAAAIAIdO4kAzLwWeOwAA&#10;ADkAAAAQAAAAAAAAAAEAIAAAAAgBAABkcnMvc2hhcGV4bWwueG1sUEsFBgAAAAAGAAYAWwEAALID&#10;AAAAAA==&#10;">
                          <v:fill on="f" focussize="0,0"/>
                          <v:stroke weight="1pt" color="#000000 [3213]" joinstyle="round" endarrow="block"/>
                          <v:imagedata o:title=""/>
                          <o:lock v:ext="edit" aspectratio="f"/>
                        </v:shape>
                        <v:shape id="_x0000_s1026" o:spid="_x0000_s1026" o:spt="202" type="#_x0000_t202" style="position:absolute;left:24461;top:420815;height:740;width:1403;"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2FB8305">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r>
                                  <w:rPr>
                                    <w:rFonts w:hint="eastAsia"/>
                                    <w:sz w:val="21"/>
                                    <w:szCs w:val="21"/>
                                    <w:lang w:val="en-US" w:eastAsia="zh-CN"/>
                                  </w:rPr>
                                  <w:t>玻璃不合格品</w:t>
                                </w:r>
                              </w:p>
                              <w:p w14:paraId="2DB1276E">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1320;top:417411;height:477;width:1450;" filled="f" stroked="f" coordsize="21600,21600" o:gfxdata="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yKjm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5672CF5">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4EE0C285">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1120;top:416388;height:527;width:1725;" filled="f" stroked="f" coordsize="21600,21600" o:gfxdata="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T19H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397DABD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5A5F8A3F">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1274;top:418720;height:477;width:1450;" filled="f" stroked="f" coordsize="21600,21600" o:gfxdata="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Jxurr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17F4E4F">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135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74B4E9A5">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0330;top:418179;height:692;width:1450;" filled="f" stroked="f" coordsize="21600,21600" o:gfxdata="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5oLRO&#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7467AD2C">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eastAsia"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316</w:t>
                                </w:r>
                              </w:p>
                              <w:p w14:paraId="20F76492">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471BEEA7">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1310;top:419728;height:477;width:1450;" filled="f" stroked="f" coordsize="21600,21600" o:gfxdata="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sEdW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2C0873D">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627D8505">
                                <w:pPr>
                                  <w:pStyle w:val="48"/>
                                  <w:ind w:left="0" w:leftChars="0" w:firstLine="0" w:firstLineChars="0"/>
                                  <w:rPr>
                                    <w:rFonts w:hint="default" w:ascii="Times New Roman" w:hAnsi="Times New Roman" w:cs="Times New Roman"/>
                                    <w:sz w:val="21"/>
                                    <w:szCs w:val="21"/>
                                    <w:lang w:val="en-US" w:eastAsia="zh-CN"/>
                                  </w:rPr>
                                </w:pPr>
                              </w:p>
                            </w:txbxContent>
                          </v:textbox>
                        </v:shape>
                        <v:shape id="_x0000_s1026" o:spid="_x0000_s1026" o:spt="202" type="#_x0000_t202" style="position:absolute;left:21255;top:420684;height:477;width:1450;" filled="f" stroked="f" coordsize="21600,21600" o:gfxdata="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0Ms1&#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47AE5AF6">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ascii="Times New Roman" w:hAnsi="Times New Roman" w:cs="Times New Roman"/>
                                    <w:sz w:val="21"/>
                                    <w:szCs w:val="21"/>
                                    <w:lang w:val="en-US" w:eastAsia="zh-CN"/>
                                  </w:rPr>
                                  <w:t>15</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0FC730EC">
                                <w:pPr>
                                  <w:pStyle w:val="48"/>
                                  <w:ind w:left="0" w:leftChars="0" w:firstLine="0" w:firstLineChars="0"/>
                                  <w:rPr>
                                    <w:rFonts w:hint="default" w:ascii="Times New Roman" w:hAnsi="Times New Roman" w:cs="Times New Roman"/>
                                    <w:sz w:val="21"/>
                                    <w:szCs w:val="21"/>
                                    <w:lang w:val="en-US" w:eastAsia="zh-CN"/>
                                  </w:rPr>
                                </w:pPr>
                              </w:p>
                            </w:txbxContent>
                          </v:textbox>
                        </v:shape>
                      </v:group>
                      <v:shape id="_x0000_s1026" o:spid="_x0000_s1026" o:spt="32" type="#_x0000_t32" style="position:absolute;left:23939;top:417398;flip:x;height:1933;width:1325;" filled="f" stroked="t" coordsize="21600,21600" o:gfxdata="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lBk9S/&#10;AAAA3AAAAA8AAAAAAAAAAQAgAAAAIgAAAGRycy9kb3ducmV2LnhtbFBLAQIUABQAAAAIAIdO4kAz&#10;LwWeOwAAADkAAAAQAAAAAAAAAAEAIAAAAA4BAABkcnMvc2hhcGV4bWwueG1sUEsFBgAAAAAGAAYA&#10;WwEAALgDAAAAAA==&#10;">
                        <v:fill on="f" focussize="0,0"/>
                        <v:stroke weight="1pt" color="#000000 [3213]" joinstyle="round" endarrow="open"/>
                        <v:imagedata o:title=""/>
                        <o:lock v:ext="edit" aspectratio="f"/>
                      </v:shape>
                      <v:shape id="_x0000_s1026" o:spid="_x0000_s1026" o:spt="202" type="#_x0000_t202" style="position:absolute;left:24343;top:418103;height:770;width:1471;" filled="f" stroked="f" coordsize="21600,21600" o:gfxdata="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tz5m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EA4202E">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ascii="Times New Roman" w:hAnsi="Times New Roman" w:cs="Times New Roman"/>
                                  <w:sz w:val="21"/>
                                  <w:szCs w:val="21"/>
                                  <w:vertAlign w:val="superscript"/>
                                  <w:lang w:val="en-US" w:eastAsia="zh-CN"/>
                                </w:rPr>
                              </w:pPr>
                              <w:r>
                                <w:rPr>
                                  <w:rFonts w:hint="eastAsia" w:ascii="Times New Roman" w:hAnsi="Times New Roman" w:cs="Times New Roman"/>
                                  <w:sz w:val="21"/>
                                  <w:szCs w:val="21"/>
                                  <w:lang w:val="en-US" w:eastAsia="zh-CN"/>
                                </w:rPr>
                                <w:t>50</w:t>
                              </w:r>
                              <w:r>
                                <w:rPr>
                                  <w:rFonts w:hint="default" w:ascii="Times New Roman" w:hAnsi="Times New Roman" w:cs="Times New Roman"/>
                                  <w:sz w:val="21"/>
                                  <w:szCs w:val="21"/>
                                  <w:lang w:val="en-US" w:eastAsia="zh-CN"/>
                                </w:rPr>
                                <w:t>万m</w:t>
                              </w:r>
                              <w:r>
                                <w:rPr>
                                  <w:rFonts w:hint="default" w:ascii="Times New Roman" w:hAnsi="Times New Roman" w:cs="Times New Roman"/>
                                  <w:sz w:val="21"/>
                                  <w:szCs w:val="21"/>
                                  <w:vertAlign w:val="superscript"/>
                                  <w:lang w:val="en-US" w:eastAsia="zh-CN"/>
                                </w:rPr>
                                <w:t>2</w:t>
                              </w:r>
                            </w:p>
                            <w:p w14:paraId="00E5CC40">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镀膜玻璃</w:t>
                              </w:r>
                            </w:p>
                            <w:p w14:paraId="4452C3DE">
                              <w:pPr>
                                <w:pStyle w:val="48"/>
                                <w:ind w:left="0" w:leftChars="0" w:firstLine="0" w:firstLineChars="0"/>
                                <w:rPr>
                                  <w:rFonts w:hint="default" w:ascii="Times New Roman" w:hAnsi="Times New Roman" w:cs="Times New Roman"/>
                                  <w:sz w:val="21"/>
                                  <w:szCs w:val="21"/>
                                  <w:lang w:val="en-US" w:eastAsia="zh-CN"/>
                                </w:rPr>
                              </w:pPr>
                            </w:p>
                          </w:txbxContent>
                        </v:textbox>
                      </v:shape>
                      <v:line id="_x0000_s1026" o:spid="_x0000_s1026" o:spt="20" style="position:absolute;left:21814;top:422241;flip:y;height:43;width:5721;" filled="f" stroked="t" coordsize="21600,21600" o:gfxdata="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nZD7sAAADc&#10;AAAADwAAAAAAAAABACAAAAAiAAAAZHJzL2Rvd25yZXYueG1sUEsBAhQAFAAAAAgAh07iQDMvBZ47&#10;AAAAOQAAABAAAAAAAAAAAQAgAAAACgEAAGRycy9zaGFwZXhtbC54bWxQSwUGAAAAAAYABgBbAQAA&#10;tAMAAAAA&#10;">
                        <v:fill on="f" focussize="0,0"/>
                        <v:stroke weight="1pt" color="#000000 [3213]" joinstyle="round"/>
                        <v:imagedata o:title=""/>
                        <o:lock v:ext="edit" aspectratio="f"/>
                      </v:line>
                      <v:shape id="_x0000_s1026" o:spid="_x0000_s1026" o:spt="32" type="#_x0000_t32" style="position:absolute;left:26828;top:419969;height:2229;width:0;" filled="f" stroked="t" coordsize="21600,21600" o:gfxdata="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82jKvQAA&#10;ANwAAAAPAAAAAAAAAAEAIAAAACIAAABkcnMvZG93bnJldi54bWxQSwECFAAUAAAACACHTuJAMy8F&#10;njsAAAA5AAAAEAAAAAAAAAABACAAAAAMAQAAZHJzL3NoYXBleG1sLnhtbFBLBQYAAAAABgAGAFsB&#10;AAC2AwAAAAA=&#10;">
                        <v:fill on="f" focussize="0,0"/>
                        <v:stroke weight="1pt" color="#000000 [3213]" joinstyle="round" endarrow="open"/>
                        <v:imagedata o:title=""/>
                        <o:lock v:ext="edit" aspectratio="f"/>
                      </v:shape>
                      <v:shape id="_x0000_s1026" o:spid="_x0000_s1026" o:spt="32" type="#_x0000_t32" style="position:absolute;left:27517;top:422242;flip:x;height:1204;width:18;" filled="f" stroked="t" coordsize="21600,21600" o:gfxdata="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sBAs&#10;F8EAAADcAAAADwAAAAAAAAABACAAAAAiAAAAZHJzL2Rvd25yZXYueG1sUEsBAhQAFAAAAAgAh07i&#10;QDMvBZ47AAAAOQAAABAAAAAAAAAAAQAgAAAAEAEAAGRycy9zaGFwZXhtbC54bWxQSwUGAAAAAAYA&#10;BgBbAQAAugMAAAAA&#10;">
                        <v:fill on="f" focussize="0,0"/>
                        <v:stroke weight="1pt" color="#000000 [3213]" joinstyle="round" endarrow="open"/>
                        <v:imagedata o:title=""/>
                        <o:lock v:ext="edit" aspectratio="f"/>
                      </v:shape>
                      <v:shape id="_x0000_s1026" o:spid="_x0000_s1026" o:spt="32" type="#_x0000_t32" style="position:absolute;left:25564;top:422264;height:599;width:21;" filled="f" stroked="t" coordsize="21600,21600" o:gfxdata="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MgWSO/&#10;AAAA3AAAAA8AAAAAAAAAAQAgAAAAIgAAAGRycy9kb3ducmV2LnhtbFBLAQIUABQAAAAIAIdO4kAz&#10;LwWeOwAAADkAAAAQAAAAAAAAAAEAIAAAAA4BAABkcnMvc2hhcGV4bWwueG1sUEsFBgAAAAAGAAYA&#10;WwEAALgDAAAAAA==&#10;">
                        <v:fill on="f" focussize="0,0"/>
                        <v:stroke weight="1pt" color="#000000 [3213]" joinstyle="round" endarrow="open"/>
                        <v:imagedata o:title=""/>
                        <o:lock v:ext="edit" aspectratio="f"/>
                      </v:shape>
                      <v:shape id="_x0000_s1026" o:spid="_x0000_s1026" o:spt="32" type="#_x0000_t32" style="position:absolute;left:21792;top:422269;flip:x;height:358;width:4;" filled="f" stroked="t" coordsize="21600,21600" o:gfxdata="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rsMd&#10;/sEAAADcAAAADwAAAAAAAAABACAAAAAiAAAAZHJzL2Rvd25yZXYueG1sUEsBAhQAFAAAAAgAh07i&#10;QDMvBZ47AAAAOQAAABAAAAAAAAAAAQAgAAAAEAEAAGRycy9zaGFwZXhtbC54bWxQSwUGAAAAAAYA&#10;BgBbAQAAugMAAAAA&#10;">
                        <v:fill on="f" focussize="0,0"/>
                        <v:stroke weight="1pt" color="#000000 [3213]" joinstyle="round" endarrow="open"/>
                        <v:imagedata o:title=""/>
                        <o:lock v:ext="edit" aspectratio="f"/>
                      </v:shape>
                      <v:shape id="_x0000_s1026" o:spid="_x0000_s1026" o:spt="202" type="#_x0000_t202" style="position:absolute;left:26444;top:423441;height:860;width:2034;" filled="f" stroked="f" coordsize="21600,21600" o:gfxdata="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5IpO/&#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54A2047">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both"/>
                                <w:textAlignment w:val="auto"/>
                                <w:rPr>
                                  <w:rFonts w:hint="eastAsia"/>
                                  <w:sz w:val="21"/>
                                  <w:szCs w:val="21"/>
                                  <w:lang w:val="en-US" w:eastAsia="zh-CN"/>
                                </w:rPr>
                              </w:pPr>
                              <w:r>
                                <w:rPr>
                                  <w:rFonts w:hint="eastAsia"/>
                                  <w:b w:val="0"/>
                                  <w:bCs w:val="0"/>
                                  <w:color w:val="auto"/>
                                  <w:sz w:val="21"/>
                                  <w:szCs w:val="21"/>
                                  <w:u w:val="none" w:color="auto"/>
                                  <w:lang w:val="en-US" w:eastAsia="zh-CN"/>
                                </w:rPr>
                                <w:t>10</w:t>
                              </w:r>
                              <w:r>
                                <w:rPr>
                                  <w:rFonts w:hint="default" w:ascii="Times New Roman" w:hAnsi="Times New Roman" w:cs="Times New Roman"/>
                                  <w:sz w:val="21"/>
                                  <w:szCs w:val="21"/>
                                  <w:lang w:val="en-US" w:eastAsia="zh-CN"/>
                                </w:rPr>
                                <w:t>万m</w:t>
                              </w:r>
                              <w:r>
                                <w:rPr>
                                  <w:rFonts w:hint="eastAsia" w:ascii="Times New Roman" w:hAnsi="Times New Roman" w:cs="Times New Roman"/>
                                  <w:sz w:val="21"/>
                                  <w:szCs w:val="21"/>
                                  <w:vertAlign w:val="superscript"/>
                                  <w:lang w:val="en-US" w:eastAsia="zh-CN"/>
                                </w:rPr>
                                <w:t>2</w:t>
                              </w:r>
                              <w:r>
                                <w:rPr>
                                  <w:rFonts w:hint="eastAsia"/>
                                  <w:sz w:val="21"/>
                                  <w:szCs w:val="21"/>
                                  <w:lang w:val="en-US" w:eastAsia="zh-CN"/>
                                </w:rPr>
                                <w:t>彩色成像</w:t>
                              </w:r>
                            </w:p>
                            <w:p w14:paraId="27FDAF4A">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r>
                                <w:rPr>
                                  <w:rFonts w:hint="eastAsia"/>
                                  <w:sz w:val="21"/>
                                  <w:szCs w:val="21"/>
                                  <w:lang w:val="en-US" w:eastAsia="zh-CN"/>
                                </w:rPr>
                                <w:t>钢化玻璃产品</w:t>
                              </w:r>
                            </w:p>
                            <w:p w14:paraId="112A0F96">
                              <w:pPr>
                                <w:pStyle w:val="48"/>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sz w:val="21"/>
                                  <w:szCs w:val="21"/>
                                  <w:lang w:val="en-US" w:eastAsia="zh-CN"/>
                                </w:rPr>
                              </w:pPr>
                            </w:p>
                            <w:p w14:paraId="19AA05F0">
                              <w:pPr>
                                <w:pStyle w:val="48"/>
                                <w:ind w:left="0" w:leftChars="0" w:firstLine="0" w:firstLineChars="0"/>
                                <w:rPr>
                                  <w:rFonts w:hint="default" w:ascii="Times New Roman" w:hAnsi="Times New Roman" w:cs="Times New Roman"/>
                                  <w:sz w:val="21"/>
                                  <w:szCs w:val="21"/>
                                  <w:lang w:val="en-US" w:eastAsia="zh-CN"/>
                                </w:rPr>
                              </w:pPr>
                            </w:p>
                          </w:txbxContent>
                        </v:textbox>
                      </v:shape>
                    </v:group>
                  </w:pict>
                </mc:Fallback>
              </mc:AlternateContent>
            </w:r>
            <w:r>
              <w:rPr>
                <w:rFonts w:hint="eastAsia"/>
                <w:b/>
                <w:bCs/>
                <w:color w:val="auto"/>
                <w:szCs w:val="21"/>
                <w:lang w:val="en-US" w:eastAsia="zh-CN"/>
              </w:rPr>
              <w:t>3、物料平衡</w:t>
            </w:r>
          </w:p>
          <w:p w14:paraId="41A13B58">
            <w:pPr>
              <w:pStyle w:val="48"/>
              <w:numPr>
                <w:ilvl w:val="0"/>
                <w:numId w:val="0"/>
              </w:numPr>
              <w:ind w:leftChars="0"/>
              <w:rPr>
                <w:rFonts w:hint="default"/>
                <w:lang w:val="en-US" w:eastAsia="zh-CN"/>
              </w:rPr>
            </w:pPr>
          </w:p>
          <w:p w14:paraId="44DFAA12">
            <w:pPr>
              <w:pStyle w:val="48"/>
              <w:numPr>
                <w:ilvl w:val="0"/>
                <w:numId w:val="0"/>
              </w:numPr>
              <w:ind w:leftChars="0"/>
              <w:rPr>
                <w:rFonts w:hint="default"/>
                <w:lang w:val="en-US" w:eastAsia="zh-CN"/>
              </w:rPr>
            </w:pPr>
          </w:p>
          <w:p w14:paraId="543C410F">
            <w:pPr>
              <w:pStyle w:val="48"/>
              <w:numPr>
                <w:ilvl w:val="0"/>
                <w:numId w:val="0"/>
              </w:numPr>
              <w:ind w:leftChars="0"/>
              <w:rPr>
                <w:rFonts w:hint="default"/>
                <w:lang w:val="en-US" w:eastAsia="zh-CN"/>
              </w:rPr>
            </w:pPr>
          </w:p>
          <w:p w14:paraId="10011711">
            <w:pPr>
              <w:pStyle w:val="48"/>
              <w:numPr>
                <w:ilvl w:val="0"/>
                <w:numId w:val="0"/>
              </w:numPr>
              <w:ind w:leftChars="0"/>
              <w:rPr>
                <w:rFonts w:hint="default"/>
                <w:lang w:val="en-US" w:eastAsia="zh-CN"/>
              </w:rPr>
            </w:pPr>
          </w:p>
          <w:p w14:paraId="482B86B9">
            <w:pPr>
              <w:pStyle w:val="48"/>
              <w:numPr>
                <w:ilvl w:val="0"/>
                <w:numId w:val="0"/>
              </w:numPr>
              <w:ind w:leftChars="0"/>
              <w:rPr>
                <w:rFonts w:hint="default"/>
                <w:lang w:val="en-US" w:eastAsia="zh-CN"/>
              </w:rPr>
            </w:pPr>
          </w:p>
          <w:p w14:paraId="6B39A74F">
            <w:pPr>
              <w:pStyle w:val="48"/>
              <w:numPr>
                <w:ilvl w:val="0"/>
                <w:numId w:val="0"/>
              </w:numPr>
              <w:ind w:leftChars="0"/>
              <w:rPr>
                <w:rFonts w:hint="default"/>
                <w:lang w:val="en-US" w:eastAsia="zh-CN"/>
              </w:rPr>
            </w:pPr>
          </w:p>
          <w:p w14:paraId="6ECA66B8">
            <w:pPr>
              <w:pStyle w:val="48"/>
              <w:numPr>
                <w:ilvl w:val="0"/>
                <w:numId w:val="0"/>
              </w:numPr>
              <w:ind w:leftChars="0"/>
              <w:rPr>
                <w:rFonts w:hint="default"/>
                <w:lang w:val="en-US" w:eastAsia="zh-CN"/>
              </w:rPr>
            </w:pPr>
          </w:p>
          <w:p w14:paraId="2560A207">
            <w:pPr>
              <w:pStyle w:val="48"/>
              <w:numPr>
                <w:ilvl w:val="0"/>
                <w:numId w:val="0"/>
              </w:numPr>
              <w:ind w:leftChars="0"/>
              <w:rPr>
                <w:rFonts w:hint="default"/>
                <w:lang w:val="en-US" w:eastAsia="zh-CN"/>
              </w:rPr>
            </w:pPr>
          </w:p>
          <w:p w14:paraId="7C073D3E">
            <w:pPr>
              <w:pStyle w:val="48"/>
              <w:numPr>
                <w:ilvl w:val="0"/>
                <w:numId w:val="0"/>
              </w:numPr>
              <w:ind w:leftChars="0"/>
              <w:rPr>
                <w:rFonts w:hint="default"/>
                <w:lang w:val="en-US" w:eastAsia="zh-CN"/>
              </w:rPr>
            </w:pPr>
          </w:p>
          <w:p w14:paraId="610ECE5A">
            <w:pPr>
              <w:pStyle w:val="48"/>
              <w:numPr>
                <w:ilvl w:val="0"/>
                <w:numId w:val="0"/>
              </w:numPr>
              <w:ind w:leftChars="0"/>
              <w:rPr>
                <w:rFonts w:hint="default"/>
                <w:lang w:val="en-US" w:eastAsia="zh-CN"/>
              </w:rPr>
            </w:pPr>
          </w:p>
          <w:p w14:paraId="6F7BD647">
            <w:pPr>
              <w:pStyle w:val="48"/>
              <w:numPr>
                <w:ilvl w:val="0"/>
                <w:numId w:val="0"/>
              </w:numPr>
              <w:ind w:leftChars="0"/>
              <w:rPr>
                <w:rFonts w:hint="default"/>
                <w:lang w:val="en-US" w:eastAsia="zh-CN"/>
              </w:rPr>
            </w:pPr>
          </w:p>
          <w:p w14:paraId="23A2D0A6">
            <w:pPr>
              <w:pStyle w:val="48"/>
              <w:numPr>
                <w:ilvl w:val="0"/>
                <w:numId w:val="0"/>
              </w:numPr>
              <w:ind w:leftChars="0"/>
              <w:rPr>
                <w:rFonts w:hint="default"/>
                <w:lang w:val="en-US" w:eastAsia="zh-CN"/>
              </w:rPr>
            </w:pPr>
          </w:p>
          <w:p w14:paraId="535C2DE6">
            <w:pPr>
              <w:pStyle w:val="48"/>
              <w:numPr>
                <w:ilvl w:val="0"/>
                <w:numId w:val="0"/>
              </w:numPr>
              <w:ind w:leftChars="0"/>
              <w:rPr>
                <w:rFonts w:hint="default"/>
                <w:lang w:val="en-US" w:eastAsia="zh-CN"/>
              </w:rPr>
            </w:pPr>
          </w:p>
          <w:p w14:paraId="29B96233">
            <w:pPr>
              <w:pStyle w:val="48"/>
              <w:numPr>
                <w:ilvl w:val="0"/>
                <w:numId w:val="0"/>
              </w:numPr>
              <w:ind w:leftChars="0"/>
              <w:rPr>
                <w:rFonts w:hint="default"/>
                <w:lang w:val="en-US" w:eastAsia="zh-CN"/>
              </w:rPr>
            </w:pPr>
          </w:p>
          <w:p w14:paraId="132F4B22">
            <w:pPr>
              <w:pStyle w:val="48"/>
              <w:numPr>
                <w:ilvl w:val="0"/>
                <w:numId w:val="0"/>
              </w:numPr>
              <w:ind w:leftChars="0"/>
              <w:rPr>
                <w:rFonts w:hint="default"/>
                <w:lang w:val="en-US" w:eastAsia="zh-CN"/>
              </w:rPr>
            </w:pPr>
          </w:p>
          <w:p w14:paraId="5B719BCC">
            <w:pPr>
              <w:pStyle w:val="48"/>
              <w:numPr>
                <w:ilvl w:val="0"/>
                <w:numId w:val="0"/>
              </w:numPr>
              <w:ind w:leftChars="0"/>
              <w:jc w:val="both"/>
              <w:rPr>
                <w:rFonts w:hint="default" w:ascii="Times New Roman" w:hAnsi="Times New Roman" w:cs="Times New Roman"/>
                <w:b/>
                <w:bCs/>
                <w:sz w:val="24"/>
                <w:szCs w:val="24"/>
                <w:u w:val="single"/>
                <w:lang w:val="en-US" w:eastAsia="zh-CN"/>
              </w:rPr>
            </w:pPr>
          </w:p>
          <w:p w14:paraId="5FB93A50">
            <w:pPr>
              <w:pStyle w:val="48"/>
              <w:numPr>
                <w:ilvl w:val="0"/>
                <w:numId w:val="0"/>
              </w:numPr>
              <w:ind w:leftChars="0"/>
              <w:jc w:val="center"/>
              <w:rPr>
                <w:rFonts w:hint="default" w:ascii="Times New Roman" w:hAnsi="Times New Roman" w:cs="Times New Roman"/>
                <w:b/>
                <w:bCs/>
                <w:sz w:val="24"/>
                <w:szCs w:val="24"/>
                <w:u w:val="single"/>
                <w:lang w:val="en-US" w:eastAsia="zh-CN"/>
              </w:rPr>
            </w:pPr>
            <w:r>
              <w:rPr>
                <w:rFonts w:hint="default" w:ascii="Times New Roman" w:hAnsi="Times New Roman" w:cs="Times New Roman"/>
                <w:b/>
                <w:bCs/>
                <w:sz w:val="24"/>
                <w:szCs w:val="24"/>
                <w:u w:val="single"/>
                <w:lang w:val="en-US" w:eastAsia="zh-CN"/>
              </w:rPr>
              <w:t xml:space="preserve">图3  </w:t>
            </w:r>
            <w:r>
              <w:rPr>
                <w:rFonts w:hint="eastAsia" w:ascii="Times New Roman" w:hAnsi="Times New Roman" w:cs="Times New Roman"/>
                <w:b/>
                <w:bCs/>
                <w:sz w:val="24"/>
                <w:szCs w:val="24"/>
                <w:u w:val="single"/>
                <w:lang w:val="en-US" w:eastAsia="zh-CN"/>
              </w:rPr>
              <w:t xml:space="preserve"> </w:t>
            </w:r>
            <w:r>
              <w:rPr>
                <w:rFonts w:hint="eastAsia" w:ascii="Times New Roman" w:cs="Times New Roman"/>
                <w:b/>
                <w:bCs/>
                <w:sz w:val="24"/>
                <w:szCs w:val="24"/>
                <w:u w:val="single"/>
                <w:lang w:val="en-US" w:eastAsia="zh-CN"/>
              </w:rPr>
              <w:t xml:space="preserve">   </w:t>
            </w:r>
            <w:r>
              <w:rPr>
                <w:rFonts w:hint="default" w:ascii="Times New Roman" w:hAnsi="Times New Roman" w:cs="Times New Roman"/>
                <w:b/>
                <w:bCs/>
                <w:sz w:val="24"/>
                <w:szCs w:val="24"/>
                <w:u w:val="single"/>
                <w:lang w:val="en-US" w:eastAsia="zh-CN"/>
              </w:rPr>
              <w:t>本项目物料平衡图</w:t>
            </w:r>
          </w:p>
          <w:p w14:paraId="19972DBE">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238C8345">
            <w:pPr>
              <w:pStyle w:val="48"/>
              <w:numPr>
                <w:ilvl w:val="0"/>
                <w:numId w:val="0"/>
              </w:numPr>
              <w:ind w:leftChars="0"/>
              <w:jc w:val="center"/>
              <w:rPr>
                <w:rFonts w:hint="default" w:ascii="Times New Roman" w:hAnsi="Times New Roman" w:cs="Times New Roman"/>
                <w:b/>
                <w:bCs/>
                <w:sz w:val="24"/>
                <w:szCs w:val="24"/>
                <w:u w:val="single"/>
                <w:lang w:val="en-US" w:eastAsia="zh-CN"/>
              </w:rPr>
            </w:pPr>
            <w:r>
              <w:rPr>
                <w:sz w:val="24"/>
              </w:rPr>
              <mc:AlternateContent>
                <mc:Choice Requires="wpg">
                  <w:drawing>
                    <wp:anchor distT="0" distB="0" distL="114300" distR="114300" simplePos="0" relativeHeight="251670528" behindDoc="0" locked="0" layoutInCell="1" allowOverlap="1">
                      <wp:simplePos x="0" y="0"/>
                      <wp:positionH relativeFrom="column">
                        <wp:posOffset>-76200</wp:posOffset>
                      </wp:positionH>
                      <wp:positionV relativeFrom="paragraph">
                        <wp:posOffset>259080</wp:posOffset>
                      </wp:positionV>
                      <wp:extent cx="5300345" cy="1913890"/>
                      <wp:effectExtent l="0" t="0" r="0" b="0"/>
                      <wp:wrapNone/>
                      <wp:docPr id="179" name="组合 179"/>
                      <wp:cNvGraphicFramePr/>
                      <a:graphic xmlns:a="http://schemas.openxmlformats.org/drawingml/2006/main">
                        <a:graphicData uri="http://schemas.microsoft.com/office/word/2010/wordprocessingGroup">
                          <wpg:wgp>
                            <wpg:cNvGrpSpPr/>
                            <wpg:grpSpPr>
                              <a:xfrm>
                                <a:off x="0" y="0"/>
                                <a:ext cx="5300345" cy="1913890"/>
                                <a:chOff x="7911" y="430223"/>
                                <a:chExt cx="8347" cy="3014"/>
                              </a:xfrm>
                            </wpg:grpSpPr>
                            <wps:wsp>
                              <wps:cNvPr id="99" name="文本框 99"/>
                              <wps:cNvSpPr txBox="1"/>
                              <wps:spPr>
                                <a:xfrm>
                                  <a:off x="9195" y="431736"/>
                                  <a:ext cx="1656" cy="42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05C1F52">
                                    <w:pPr>
                                      <w:rPr>
                                        <w:rFonts w:hint="default" w:eastAsia="宋体"/>
                                        <w:lang w:val="en-US" w:eastAsia="zh-CN"/>
                                      </w:rPr>
                                    </w:pPr>
                                    <w:r>
                                      <w:rPr>
                                        <w:rFonts w:hint="eastAsia"/>
                                        <w:lang w:val="en-US" w:eastAsia="zh-CN"/>
                                      </w:rPr>
                                      <w:t>彩打成像固化</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2" name="直接箭头连接符 142"/>
                              <wps:cNvCnPr/>
                              <wps:spPr>
                                <a:xfrm flipH="1" flipV="1">
                                  <a:off x="15163" y="431370"/>
                                  <a:ext cx="17" cy="400"/>
                                </a:xfrm>
                                <a:prstGeom prst="straightConnector1">
                                  <a:avLst/>
                                </a:prstGeom>
                                <a:ln w="12700">
                                  <a:solidFill>
                                    <a:schemeClr val="tx1"/>
                                  </a:solidFill>
                                  <a:prstDash val="dash"/>
                                  <a:tailEnd type="arrow"/>
                                </a:ln>
                              </wps:spPr>
                              <wps:style>
                                <a:lnRef idx="2">
                                  <a:schemeClr val="accent1"/>
                                </a:lnRef>
                                <a:fillRef idx="0">
                                  <a:srgbClr val="FFFFFF"/>
                                </a:fillRef>
                                <a:effectRef idx="0">
                                  <a:srgbClr val="FFFFFF"/>
                                </a:effectRef>
                                <a:fontRef idx="minor">
                                  <a:schemeClr val="tx1"/>
                                </a:fontRef>
                              </wps:style>
                              <wps:bodyPr/>
                            </wps:wsp>
                            <wps:wsp>
                              <wps:cNvPr id="152" name="文本框 152"/>
                              <wps:cNvSpPr txBox="1"/>
                              <wps:spPr>
                                <a:xfrm>
                                  <a:off x="9287" y="430709"/>
                                  <a:ext cx="1457"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8A91AC">
                                    <w:pPr>
                                      <w:rPr>
                                        <w:rFonts w:hint="default" w:eastAsia="宋体"/>
                                        <w:lang w:val="en-US" w:eastAsia="zh-CN"/>
                                      </w:rPr>
                                    </w:pPr>
                                    <w:r>
                                      <w:rPr>
                                        <w:rFonts w:hint="eastAsia"/>
                                        <w:lang w:val="en-US" w:eastAsia="zh-CN"/>
                                      </w:rPr>
                                      <w:t>环保墨水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3" name="直接箭头连接符 153"/>
                              <wps:cNvCnPr/>
                              <wps:spPr>
                                <a:xfrm flipH="1">
                                  <a:off x="10013" y="432159"/>
                                  <a:ext cx="9" cy="601"/>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54" name="文本框 154"/>
                              <wps:cNvSpPr txBox="1"/>
                              <wps:spPr>
                                <a:xfrm>
                                  <a:off x="9243" y="432718"/>
                                  <a:ext cx="1622" cy="44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D530A2">
                                    <w:pPr>
                                      <w:rPr>
                                        <w:rFonts w:hint="default" w:eastAsia="宋体"/>
                                        <w:lang w:val="en-US" w:eastAsia="zh-CN"/>
                                      </w:rPr>
                                    </w:pPr>
                                    <w:r>
                                      <w:rPr>
                                        <w:rFonts w:hint="eastAsia"/>
                                        <w:lang w:val="en-US" w:eastAsia="zh-CN"/>
                                      </w:rPr>
                                      <w:t>彩打成像玻璃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7" name="文本框 99"/>
                              <wps:cNvSpPr txBox="1"/>
                              <wps:spPr>
                                <a:xfrm>
                                  <a:off x="11719" y="431749"/>
                                  <a:ext cx="1274" cy="42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54B435BB">
                                    <w:pPr>
                                      <w:rPr>
                                        <w:rFonts w:hint="default" w:eastAsia="宋体"/>
                                        <w:lang w:val="en-US" w:eastAsia="zh-CN"/>
                                      </w:rPr>
                                    </w:pPr>
                                    <w:r>
                                      <w:rPr>
                                        <w:rFonts w:hint="eastAsia"/>
                                        <w:lang w:val="en-US" w:eastAsia="zh-CN"/>
                                      </w:rPr>
                                      <w:t>镀膜工序</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8" name="直接箭头连接符 142"/>
                              <wps:cNvCnPr/>
                              <wps:spPr>
                                <a:xfrm flipH="1">
                                  <a:off x="12323" y="431148"/>
                                  <a:ext cx="9" cy="601"/>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59" name="文本框 152"/>
                              <wps:cNvSpPr txBox="1"/>
                              <wps:spPr>
                                <a:xfrm>
                                  <a:off x="11435" y="430223"/>
                                  <a:ext cx="1838" cy="9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1F2268">
                                    <w:pPr>
                                      <w:rPr>
                                        <w:rFonts w:hint="default" w:eastAsia="宋体"/>
                                        <w:lang w:val="en-US" w:eastAsia="zh-CN"/>
                                      </w:rPr>
                                    </w:pPr>
                                    <w:r>
                                      <w:rPr>
                                        <w:rFonts w:hint="eastAsia"/>
                                        <w:lang w:val="en-US" w:eastAsia="zh-CN"/>
                                      </w:rPr>
                                      <w:t>靶材（锡靶、银靶、</w:t>
                                    </w:r>
                                    <w:r>
                                      <w:rPr>
                                        <w:rFonts w:hint="default" w:ascii="Times New Roman" w:hAnsi="Times New Roman" w:eastAsia="宋体" w:cs="Times New Roman"/>
                                        <w:i w:val="0"/>
                                        <w:iCs w:val="0"/>
                                        <w:color w:val="000000"/>
                                        <w:kern w:val="0"/>
                                        <w:sz w:val="21"/>
                                        <w:szCs w:val="21"/>
                                        <w:u w:val="none"/>
                                        <w:lang w:val="en-US" w:eastAsia="zh-CN" w:bidi="ar"/>
                                      </w:rPr>
                                      <w:t>铝硅靶</w:t>
                                    </w:r>
                                    <w:r>
                                      <w:rPr>
                                        <w:rFonts w:hint="eastAsia" w:cs="Times New Roman"/>
                                        <w:i w:val="0"/>
                                        <w:iCs w:val="0"/>
                                        <w:color w:val="000000"/>
                                        <w:kern w:val="0"/>
                                        <w:sz w:val="21"/>
                                        <w:szCs w:val="21"/>
                                        <w:u w:val="none"/>
                                        <w:lang w:val="en-US" w:eastAsia="zh-CN" w:bidi="ar"/>
                                      </w:rPr>
                                      <w:t>、镍铬靶</w:t>
                                    </w:r>
                                    <w:r>
                                      <w:rPr>
                                        <w:rFonts w:hint="eastAsia"/>
                                        <w:lang w:val="en-US" w:eastAsia="zh-CN"/>
                                      </w:rPr>
                                      <w:t>）</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0" name="直接箭头连接符 153"/>
                              <wps:cNvCnPr/>
                              <wps:spPr>
                                <a:xfrm flipH="1">
                                  <a:off x="12329" y="432172"/>
                                  <a:ext cx="9" cy="601"/>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61" name="文本框 154"/>
                              <wps:cNvSpPr txBox="1"/>
                              <wps:spPr>
                                <a:xfrm>
                                  <a:off x="11751" y="432713"/>
                                  <a:ext cx="1223" cy="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0B9282">
                                    <w:pPr>
                                      <w:rPr>
                                        <w:rFonts w:hint="default" w:eastAsia="宋体"/>
                                        <w:lang w:val="en-US" w:eastAsia="zh-CN"/>
                                      </w:rPr>
                                    </w:pPr>
                                    <w:r>
                                      <w:rPr>
                                        <w:rFonts w:hint="eastAsia"/>
                                        <w:lang w:val="en-US" w:eastAsia="zh-CN"/>
                                      </w:rPr>
                                      <w:t>镀膜玻璃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3" name="文本框 99"/>
                              <wps:cNvSpPr txBox="1"/>
                              <wps:spPr>
                                <a:xfrm>
                                  <a:off x="13552" y="431727"/>
                                  <a:ext cx="2022" cy="42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F494F80">
                                    <w:pPr>
                                      <w:rPr>
                                        <w:rFonts w:hint="default" w:eastAsia="宋体"/>
                                        <w:lang w:val="en-US" w:eastAsia="zh-CN"/>
                                      </w:rPr>
                                    </w:pPr>
                                    <w:r>
                                      <w:rPr>
                                        <w:rFonts w:hint="eastAsia"/>
                                        <w:lang w:val="en-US" w:eastAsia="zh-CN"/>
                                      </w:rPr>
                                      <w:t>中空玻璃涂胶固化</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4" name="直接箭头连接符 142"/>
                              <wps:cNvCnPr>
                                <a:stCxn id="152" idx="2"/>
                                <a:endCxn id="99" idx="0"/>
                              </wps:cNvCnPr>
                              <wps:spPr>
                                <a:xfrm>
                                  <a:off x="9950" y="431152"/>
                                  <a:ext cx="7" cy="601"/>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65" name="文本框 152"/>
                              <wps:cNvSpPr txBox="1"/>
                              <wps:spPr>
                                <a:xfrm>
                                  <a:off x="13527" y="430368"/>
                                  <a:ext cx="1706" cy="79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A9B3D5">
                                    <w:pPr>
                                      <w:rPr>
                                        <w:rFonts w:hint="default"/>
                                        <w:lang w:val="en-US" w:eastAsia="zh-CN"/>
                                      </w:rPr>
                                    </w:pPr>
                                    <w:r>
                                      <w:rPr>
                                        <w:rFonts w:hint="default" w:ascii="Times New Roman" w:hAnsi="Times New Roman" w:eastAsia="宋体" w:cs="Times New Roman"/>
                                        <w:i w:val="0"/>
                                        <w:iCs w:val="0"/>
                                        <w:color w:val="000000"/>
                                        <w:kern w:val="0"/>
                                        <w:sz w:val="21"/>
                                        <w:szCs w:val="21"/>
                                        <w:u w:val="none"/>
                                        <w:lang w:val="en-US" w:eastAsia="zh-CN" w:bidi="ar"/>
                                      </w:rPr>
                                      <w:t>丁基胶</w:t>
                                    </w:r>
                                    <w:r>
                                      <w:rPr>
                                        <w:rFonts w:hint="eastAsia"/>
                                        <w:lang w:val="en-US" w:eastAsia="zh-CN"/>
                                      </w:rPr>
                                      <w:t>12.5</w:t>
                                    </w:r>
                                  </w:p>
                                  <w:p w14:paraId="6BB9AC12">
                                    <w:pPr>
                                      <w:rPr>
                                        <w:rFonts w:hint="default" w:eastAsia="宋体"/>
                                        <w:lang w:val="en-US" w:eastAsia="zh-CN"/>
                                      </w:rPr>
                                    </w:pPr>
                                    <w:r>
                                      <w:rPr>
                                        <w:rFonts w:hint="default" w:ascii="Times New Roman" w:hAnsi="Times New Roman" w:eastAsia="宋体" w:cs="Times New Roman"/>
                                        <w:i w:val="0"/>
                                        <w:iCs w:val="0"/>
                                        <w:color w:val="000000"/>
                                        <w:kern w:val="0"/>
                                        <w:sz w:val="21"/>
                                        <w:szCs w:val="21"/>
                                        <w:u w:val="none"/>
                                        <w:lang w:val="en-US" w:eastAsia="zh-CN" w:bidi="ar"/>
                                      </w:rPr>
                                      <w:t>硅酮密封胶</w:t>
                                    </w:r>
                                    <w:r>
                                      <w:rPr>
                                        <w:rFonts w:hint="eastAsia" w:cs="Times New Roman"/>
                                        <w:i w:val="0"/>
                                        <w:iCs w:val="0"/>
                                        <w:color w:val="000000"/>
                                        <w:kern w:val="0"/>
                                        <w:sz w:val="21"/>
                                        <w:szCs w:val="21"/>
                                        <w:u w:val="none"/>
                                        <w:lang w:val="en-US" w:eastAsia="zh-CN" w:bidi="ar"/>
                                      </w:rPr>
                                      <w:t>60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6" name="直接箭头连接符 153"/>
                              <wps:cNvCnPr/>
                              <wps:spPr>
                                <a:xfrm flipH="1">
                                  <a:off x="14537" y="432150"/>
                                  <a:ext cx="9" cy="601"/>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67" name="文本框 154"/>
                              <wps:cNvSpPr txBox="1"/>
                              <wps:spPr>
                                <a:xfrm>
                                  <a:off x="13967" y="432674"/>
                                  <a:ext cx="1239" cy="459"/>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E43290">
                                    <w:pPr>
                                      <w:rPr>
                                        <w:rFonts w:hint="default" w:eastAsia="宋体"/>
                                        <w:lang w:val="en-US" w:eastAsia="zh-CN"/>
                                      </w:rPr>
                                    </w:pPr>
                                    <w:r>
                                      <w:rPr>
                                        <w:rFonts w:hint="eastAsia"/>
                                        <w:lang w:val="en-US" w:eastAsia="zh-CN"/>
                                      </w:rPr>
                                      <w:t>中空玻璃</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8" name="直接箭头连接符 168"/>
                              <wps:cNvCnPr/>
                              <wps:spPr>
                                <a:xfrm flipH="1" flipV="1">
                                  <a:off x="9330" y="431321"/>
                                  <a:ext cx="1" cy="399"/>
                                </a:xfrm>
                                <a:prstGeom prst="straightConnector1">
                                  <a:avLst/>
                                </a:prstGeom>
                                <a:ln w="12700">
                                  <a:solidFill>
                                    <a:schemeClr val="tx1"/>
                                  </a:solidFill>
                                  <a:prstDash val="dash"/>
                                  <a:tailEnd type="arrow"/>
                                </a:ln>
                              </wps:spPr>
                              <wps:style>
                                <a:lnRef idx="2">
                                  <a:schemeClr val="accent1"/>
                                </a:lnRef>
                                <a:fillRef idx="0">
                                  <a:srgbClr val="FFFFFF"/>
                                </a:fillRef>
                                <a:effectRef idx="0">
                                  <a:srgbClr val="FFFFFF"/>
                                </a:effectRef>
                                <a:fontRef idx="minor">
                                  <a:schemeClr val="tx1"/>
                                </a:fontRef>
                              </wps:style>
                              <wps:bodyPr/>
                            </wps:wsp>
                            <wps:wsp>
                              <wps:cNvPr id="169" name="文本框 169"/>
                              <wps:cNvSpPr txBox="1"/>
                              <wps:spPr>
                                <a:xfrm>
                                  <a:off x="7911" y="430999"/>
                                  <a:ext cx="1640"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7EB1F0">
                                    <w:pPr>
                                      <w:rPr>
                                        <w:rFonts w:hint="default" w:eastAsia="宋体"/>
                                        <w:lang w:val="en-US" w:eastAsia="zh-CN"/>
                                      </w:rPr>
                                    </w:pPr>
                                    <w:r>
                                      <w:rPr>
                                        <w:rFonts w:hint="eastAsia"/>
                                        <w:lang w:val="en-US" w:eastAsia="zh-CN"/>
                                      </w:rPr>
                                      <w:t>有机废气0.25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0" name="文本框 170"/>
                              <wps:cNvSpPr txBox="1"/>
                              <wps:spPr>
                                <a:xfrm>
                                  <a:off x="10134" y="431139"/>
                                  <a:ext cx="608" cy="459"/>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277D93">
                                    <w:pPr>
                                      <w:rPr>
                                        <w:rFonts w:hint="default" w:eastAsia="宋体"/>
                                        <w:lang w:val="en-US" w:eastAsia="zh-CN"/>
                                      </w:rPr>
                                    </w:pPr>
                                    <w:r>
                                      <w:rPr>
                                        <w:rFonts w:hint="eastAsia"/>
                                        <w:lang w:val="en-US" w:eastAsia="zh-CN"/>
                                      </w:rPr>
                                      <w:t>2.5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1" name="文本框 171"/>
                              <wps:cNvSpPr txBox="1"/>
                              <wps:spPr>
                                <a:xfrm>
                                  <a:off x="9942" y="432212"/>
                                  <a:ext cx="708"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14CE75">
                                    <w:pPr>
                                      <w:rPr>
                                        <w:rFonts w:hint="default" w:eastAsia="宋体"/>
                                        <w:lang w:val="en-US" w:eastAsia="zh-CN"/>
                                      </w:rPr>
                                    </w:pPr>
                                    <w:r>
                                      <w:rPr>
                                        <w:rFonts w:hint="eastAsia"/>
                                        <w:lang w:val="en-US" w:eastAsia="zh-CN"/>
                                      </w:rPr>
                                      <w:t>2.25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2" name="文本框 172"/>
                              <wps:cNvSpPr txBox="1"/>
                              <wps:spPr>
                                <a:xfrm>
                                  <a:off x="12358" y="431229"/>
                                  <a:ext cx="858"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4CE201">
                                    <w:pPr>
                                      <w:rPr>
                                        <w:rFonts w:hint="default" w:eastAsia="宋体"/>
                                        <w:lang w:val="en-US" w:eastAsia="zh-CN"/>
                                      </w:rPr>
                                    </w:pPr>
                                    <w:r>
                                      <w:rPr>
                                        <w:rFonts w:hint="eastAsia"/>
                                        <w:lang w:val="en-US" w:eastAsia="zh-CN"/>
                                      </w:rPr>
                                      <w:t>5.61</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3" name="直接箭头连接符 173"/>
                              <wps:cNvCnPr/>
                              <wps:spPr>
                                <a:xfrm flipH="1" flipV="1">
                                  <a:off x="11870" y="431345"/>
                                  <a:ext cx="1" cy="399"/>
                                </a:xfrm>
                                <a:prstGeom prst="straightConnector1">
                                  <a:avLst/>
                                </a:prstGeom>
                                <a:ln w="12700">
                                  <a:solidFill>
                                    <a:schemeClr val="tx1"/>
                                  </a:solidFill>
                                  <a:prstDash val="dash"/>
                                  <a:tailEnd type="arrow"/>
                                </a:ln>
                              </wps:spPr>
                              <wps:style>
                                <a:lnRef idx="2">
                                  <a:schemeClr val="accent1"/>
                                </a:lnRef>
                                <a:fillRef idx="0">
                                  <a:srgbClr val="FFFFFF"/>
                                </a:fillRef>
                                <a:effectRef idx="0">
                                  <a:srgbClr val="FFFFFF"/>
                                </a:effectRef>
                                <a:fontRef idx="minor">
                                  <a:schemeClr val="tx1"/>
                                </a:fontRef>
                              </wps:style>
                              <wps:bodyPr/>
                            </wps:wsp>
                            <wps:wsp>
                              <wps:cNvPr id="174" name="文本框 174"/>
                              <wps:cNvSpPr txBox="1"/>
                              <wps:spPr>
                                <a:xfrm>
                                  <a:off x="10845" y="431071"/>
                                  <a:ext cx="1390"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E5623F">
                                    <w:pPr>
                                      <w:rPr>
                                        <w:rFonts w:hint="default" w:eastAsia="宋体"/>
                                        <w:lang w:val="en-US" w:eastAsia="zh-CN"/>
                                      </w:rPr>
                                    </w:pPr>
                                    <w:r>
                                      <w:rPr>
                                        <w:rFonts w:hint="eastAsia"/>
                                        <w:lang w:val="en-US" w:eastAsia="zh-CN"/>
                                      </w:rPr>
                                      <w:t>废靶材0.01</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5" name="文本框 175"/>
                              <wps:cNvSpPr txBox="1"/>
                              <wps:spPr>
                                <a:xfrm>
                                  <a:off x="12365" y="432236"/>
                                  <a:ext cx="708"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8C2AC0">
                                    <w:pPr>
                                      <w:rPr>
                                        <w:rFonts w:hint="default" w:eastAsia="宋体"/>
                                        <w:lang w:val="en-US" w:eastAsia="zh-CN"/>
                                      </w:rPr>
                                    </w:pPr>
                                    <w:r>
                                      <w:rPr>
                                        <w:rFonts w:hint="eastAsia"/>
                                        <w:lang w:val="en-US" w:eastAsia="zh-CN"/>
                                      </w:rPr>
                                      <w:t>5.6</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6" name="直接箭头连接符 142"/>
                              <wps:cNvCnPr/>
                              <wps:spPr>
                                <a:xfrm flipH="1">
                                  <a:off x="14180" y="431088"/>
                                  <a:ext cx="9" cy="601"/>
                                </a:xfrm>
                                <a:prstGeom prst="straightConnector1">
                                  <a:avLst/>
                                </a:prstGeom>
                                <a:ln w="12700">
                                  <a:solidFill>
                                    <a:schemeClr val="tx1"/>
                                  </a:solidFill>
                                  <a:tailEnd type="arrow"/>
                                </a:ln>
                              </wps:spPr>
                              <wps:style>
                                <a:lnRef idx="2">
                                  <a:schemeClr val="accent1"/>
                                </a:lnRef>
                                <a:fillRef idx="0">
                                  <a:srgbClr val="FFFFFF"/>
                                </a:fillRef>
                                <a:effectRef idx="0">
                                  <a:srgbClr val="FFFFFF"/>
                                </a:effectRef>
                                <a:fontRef idx="minor">
                                  <a:schemeClr val="tx1"/>
                                </a:fontRef>
                              </wps:style>
                              <wps:bodyPr/>
                            </wps:wsp>
                            <wps:wsp>
                              <wps:cNvPr id="177" name="文本框 177"/>
                              <wps:cNvSpPr txBox="1"/>
                              <wps:spPr>
                                <a:xfrm>
                                  <a:off x="14452" y="431005"/>
                                  <a:ext cx="1806"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ACD3D2">
                                    <w:pPr>
                                      <w:rPr>
                                        <w:rFonts w:hint="default" w:eastAsia="宋体"/>
                                        <w:lang w:val="en-US" w:eastAsia="zh-CN"/>
                                      </w:rPr>
                                    </w:pPr>
                                    <w:r>
                                      <w:rPr>
                                        <w:rFonts w:hint="eastAsia"/>
                                        <w:lang w:val="en-US" w:eastAsia="zh-CN"/>
                                      </w:rPr>
                                      <w:t>有机废气1.8605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8" name="文本框 178"/>
                              <wps:cNvSpPr txBox="1"/>
                              <wps:spPr>
                                <a:xfrm>
                                  <a:off x="14423" y="432209"/>
                                  <a:ext cx="1141" cy="426"/>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A14D6B">
                                    <w:pPr>
                                      <w:rPr>
                                        <w:rFonts w:hint="default" w:eastAsia="宋体"/>
                                        <w:lang w:val="en-US" w:eastAsia="zh-CN"/>
                                      </w:rPr>
                                    </w:pPr>
                                    <w:r>
                                      <w:rPr>
                                        <w:rFonts w:hint="eastAsia"/>
                                        <w:lang w:val="en-US" w:eastAsia="zh-CN"/>
                                      </w:rPr>
                                      <w:t>70.6395</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6pt;margin-top:20.4pt;height:150.7pt;width:417.35pt;z-index:251670528;mso-width-relative:page;mso-height-relative:page;" coordorigin="7911,430223" coordsize="8347,3014" o:gfxdata="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">
                      <o:lock v:ext="edit" aspectratio="f"/>
                      <v:shape id="_x0000_s1026" o:spid="_x0000_s1026" o:spt="202" type="#_x0000_t202" style="position:absolute;left:9195;top:431736;height:426;width:1656;" fillcolor="#FFFFFF [3201]" filled="t" stroked="t" coordsize="21600,21600" o:gfxdata="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AHSjh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14:paraId="405C1F52">
                              <w:pPr>
                                <w:rPr>
                                  <w:rFonts w:hint="default" w:eastAsia="宋体"/>
                                  <w:lang w:val="en-US" w:eastAsia="zh-CN"/>
                                </w:rPr>
                              </w:pPr>
                              <w:r>
                                <w:rPr>
                                  <w:rFonts w:hint="eastAsia"/>
                                  <w:lang w:val="en-US" w:eastAsia="zh-CN"/>
                                </w:rPr>
                                <w:t>彩打成像固化</w:t>
                              </w:r>
                            </w:p>
                          </w:txbxContent>
                        </v:textbox>
                      </v:shape>
                      <v:shape id="_x0000_s1026" o:spid="_x0000_s1026" o:spt="32" type="#_x0000_t32" style="position:absolute;left:15163;top:431370;flip:x y;height:400;width:17;" filled="f" stroked="t" coordsize="21600,21600" o:gfxdata="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PU+gvQAA&#10;ANwAAAAPAAAAAAAAAAEAIAAAACIAAABkcnMvZG93bnJldi54bWxQSwECFAAUAAAACACHTuJAMy8F&#10;njsAAAA5AAAAEAAAAAAAAAABACAAAAAMAQAAZHJzL3NoYXBleG1sLnhtbFBLBQYAAAAABgAGAFsB&#10;AAC2AwAAAAA=&#10;">
                        <v:fill on="f" focussize="0,0"/>
                        <v:stroke weight="1pt" color="#000000 [3213]" joinstyle="round" dashstyle="dash" endarrow="open"/>
                        <v:imagedata o:title=""/>
                        <o:lock v:ext="edit" aspectratio="f"/>
                      </v:shape>
                      <v:shape id="_x0000_s1026" o:spid="_x0000_s1026" o:spt="202" type="#_x0000_t202" style="position:absolute;left:9287;top:430709;height:426;width:1457;" filled="f" stroked="f" coordsize="21600,21600" o:gfxdata="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5xl/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648A91AC">
                              <w:pPr>
                                <w:rPr>
                                  <w:rFonts w:hint="default" w:eastAsia="宋体"/>
                                  <w:lang w:val="en-US" w:eastAsia="zh-CN"/>
                                </w:rPr>
                              </w:pPr>
                              <w:r>
                                <w:rPr>
                                  <w:rFonts w:hint="eastAsia"/>
                                  <w:lang w:val="en-US" w:eastAsia="zh-CN"/>
                                </w:rPr>
                                <w:t>环保墨水</w:t>
                              </w:r>
                            </w:p>
                          </w:txbxContent>
                        </v:textbox>
                      </v:shape>
                      <v:shape id="_x0000_s1026" o:spid="_x0000_s1026" o:spt="32" type="#_x0000_t32" style="position:absolute;left:10013;top:432159;flip:x;height:601;width:9;" filled="f" stroked="t" coordsize="21600,21600" o:gfxdata="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SvK8&#10;ycEAAADcAAAADwAAAAAAAAABACAAAAAiAAAAZHJzL2Rvd25yZXYueG1sUEsBAhQAFAAAAAgAh07i&#10;QDMvBZ47AAAAOQAAABAAAAAAAAAAAQAgAAAAEAEAAGRycy9zaGFwZXhtbC54bWxQSwUGAAAAAAYA&#10;BgBbAQAAugMAAAAA&#10;">
                        <v:fill on="f" focussize="0,0"/>
                        <v:stroke weight="1pt" color="#000000 [3213]" joinstyle="round" endarrow="open"/>
                        <v:imagedata o:title=""/>
                        <o:lock v:ext="edit" aspectratio="f"/>
                      </v:shape>
                      <v:shape id="_x0000_s1026" o:spid="_x0000_s1026" o:spt="202" type="#_x0000_t202" style="position:absolute;left:9243;top:432718;height:442;width:1622;" filled="f" stroked="f" coordsize="21600,21600" o:gfxdata="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NCJJC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DD530A2">
                              <w:pPr>
                                <w:rPr>
                                  <w:rFonts w:hint="default" w:eastAsia="宋体"/>
                                  <w:lang w:val="en-US" w:eastAsia="zh-CN"/>
                                </w:rPr>
                              </w:pPr>
                              <w:r>
                                <w:rPr>
                                  <w:rFonts w:hint="eastAsia"/>
                                  <w:lang w:val="en-US" w:eastAsia="zh-CN"/>
                                </w:rPr>
                                <w:t>彩打成像玻璃</w:t>
                              </w:r>
                            </w:p>
                          </w:txbxContent>
                        </v:textbox>
                      </v:shape>
                      <v:shape id="文本框 99" o:spid="_x0000_s1026" o:spt="202" type="#_x0000_t202" style="position:absolute;left:11719;top:431749;height:426;width:1274;" fillcolor="#FFFFFF [3201]" filled="t" stroked="t" coordsize="21600,21600" o:gfxdata="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z+oV+2AAAA3AAAAA8A&#10;AAAAAAAAAQAgAAAAIgAAAGRycy9kb3ducmV2LnhtbFBLAQIUABQAAAAIAIdO4kAzLwWeOwAAADkA&#10;AAAQAAAAAAAAAAEAIAAAAAUBAABkcnMvc2hhcGV4bWwueG1sUEsFBgAAAAAGAAYAWwEAAK8DAAAA&#10;AA==&#10;">
                        <v:fill on="t" focussize="0,0"/>
                        <v:stroke weight="0.5pt" color="#000000 [3204]" joinstyle="round"/>
                        <v:imagedata o:title=""/>
                        <o:lock v:ext="edit" aspectratio="f"/>
                        <v:textbox>
                          <w:txbxContent>
                            <w:p w14:paraId="54B435BB">
                              <w:pPr>
                                <w:rPr>
                                  <w:rFonts w:hint="default" w:eastAsia="宋体"/>
                                  <w:lang w:val="en-US" w:eastAsia="zh-CN"/>
                                </w:rPr>
                              </w:pPr>
                              <w:r>
                                <w:rPr>
                                  <w:rFonts w:hint="eastAsia"/>
                                  <w:lang w:val="en-US" w:eastAsia="zh-CN"/>
                                </w:rPr>
                                <w:t>镀膜工序</w:t>
                              </w:r>
                            </w:p>
                          </w:txbxContent>
                        </v:textbox>
                      </v:shape>
                      <v:shape id="直接箭头连接符 142" o:spid="_x0000_s1026" o:spt="32" type="#_x0000_t32" style="position:absolute;left:12323;top:431148;flip:x;height:601;width:9;" filled="f" stroked="t" coordsize="21600,21600" o:gfxdata="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RWLri/&#10;AAAA3AAAAA8AAAAAAAAAAQAgAAAAIgAAAGRycy9kb3ducmV2LnhtbFBLAQIUABQAAAAIAIdO4kAz&#10;LwWeOwAAADkAAAAQAAAAAAAAAAEAIAAAAA4BAABkcnMvc2hhcGV4bWwueG1sUEsFBgAAAAAGAAYA&#10;WwEAALgDAAAAAA==&#10;">
                        <v:fill on="f" focussize="0,0"/>
                        <v:stroke weight="1pt" color="#000000 [3213]" joinstyle="round" endarrow="open"/>
                        <v:imagedata o:title=""/>
                        <o:lock v:ext="edit" aspectratio="f"/>
                      </v:shape>
                      <v:shape id="文本框 152" o:spid="_x0000_s1026" o:spt="202" type="#_x0000_t202" style="position:absolute;left:11435;top:430223;height:975;width:1838;" filled="f" stroked="f" coordsize="21600,21600" o:gfxdata="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UOLDr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131F2268">
                              <w:pPr>
                                <w:rPr>
                                  <w:rFonts w:hint="default" w:eastAsia="宋体"/>
                                  <w:lang w:val="en-US" w:eastAsia="zh-CN"/>
                                </w:rPr>
                              </w:pPr>
                              <w:r>
                                <w:rPr>
                                  <w:rFonts w:hint="eastAsia"/>
                                  <w:lang w:val="en-US" w:eastAsia="zh-CN"/>
                                </w:rPr>
                                <w:t>靶材（锡靶、银靶、</w:t>
                              </w:r>
                              <w:r>
                                <w:rPr>
                                  <w:rFonts w:hint="default" w:ascii="Times New Roman" w:hAnsi="Times New Roman" w:eastAsia="宋体" w:cs="Times New Roman"/>
                                  <w:i w:val="0"/>
                                  <w:iCs w:val="0"/>
                                  <w:color w:val="000000"/>
                                  <w:kern w:val="0"/>
                                  <w:sz w:val="21"/>
                                  <w:szCs w:val="21"/>
                                  <w:u w:val="none"/>
                                  <w:lang w:val="en-US" w:eastAsia="zh-CN" w:bidi="ar"/>
                                </w:rPr>
                                <w:t>铝硅靶</w:t>
                              </w:r>
                              <w:r>
                                <w:rPr>
                                  <w:rFonts w:hint="eastAsia" w:cs="Times New Roman"/>
                                  <w:i w:val="0"/>
                                  <w:iCs w:val="0"/>
                                  <w:color w:val="000000"/>
                                  <w:kern w:val="0"/>
                                  <w:sz w:val="21"/>
                                  <w:szCs w:val="21"/>
                                  <w:u w:val="none"/>
                                  <w:lang w:val="en-US" w:eastAsia="zh-CN" w:bidi="ar"/>
                                </w:rPr>
                                <w:t>、镍铬靶</w:t>
                              </w:r>
                              <w:r>
                                <w:rPr>
                                  <w:rFonts w:hint="eastAsia"/>
                                  <w:lang w:val="en-US" w:eastAsia="zh-CN"/>
                                </w:rPr>
                                <w:t>）</w:t>
                              </w:r>
                            </w:p>
                          </w:txbxContent>
                        </v:textbox>
                      </v:shape>
                      <v:shape id="直接箭头连接符 153" o:spid="_x0000_s1026" o:spt="32" type="#_x0000_t32" style="position:absolute;left:12329;top:432172;flip:x;height:601;width:9;" filled="f" stroked="t" coordsize="21600,21600" o:gfxdata="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M6AO/&#10;AAAA3AAAAA8AAAAAAAAAAQAgAAAAIgAAAGRycy9kb3ducmV2LnhtbFBLAQIUABQAAAAIAIdO4kAz&#10;LwWeOwAAADkAAAAQAAAAAAAAAAEAIAAAAA4BAABkcnMvc2hhcGV4bWwueG1sUEsFBgAAAAAGAAYA&#10;WwEAALgDAAAAAA==&#10;">
                        <v:fill on="f" focussize="0,0"/>
                        <v:stroke weight="1pt" color="#000000 [3213]" joinstyle="round" endarrow="open"/>
                        <v:imagedata o:title=""/>
                        <o:lock v:ext="edit" aspectratio="f"/>
                      </v:shape>
                      <v:shape id="文本框 154" o:spid="_x0000_s1026" o:spt="202" type="#_x0000_t202" style="position:absolute;left:11751;top:432713;height:525;width:1223;" filled="f" stroked="f" coordsize="21600,21600" o:gfxdata="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VlNtb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A0B9282">
                              <w:pPr>
                                <w:rPr>
                                  <w:rFonts w:hint="default" w:eastAsia="宋体"/>
                                  <w:lang w:val="en-US" w:eastAsia="zh-CN"/>
                                </w:rPr>
                              </w:pPr>
                              <w:r>
                                <w:rPr>
                                  <w:rFonts w:hint="eastAsia"/>
                                  <w:lang w:val="en-US" w:eastAsia="zh-CN"/>
                                </w:rPr>
                                <w:t>镀膜玻璃</w:t>
                              </w:r>
                            </w:p>
                          </w:txbxContent>
                        </v:textbox>
                      </v:shape>
                      <v:shape id="文本框 99" o:spid="_x0000_s1026" o:spt="202" type="#_x0000_t202" style="position:absolute;left:13552;top:431727;height:426;width:2022;" fillcolor="#FFFFFF [3201]" filled="t" stroked="t" coordsize="21600,21600" o:gfxdata="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Xalt4b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14:paraId="6F494F80">
                              <w:pPr>
                                <w:rPr>
                                  <w:rFonts w:hint="default" w:eastAsia="宋体"/>
                                  <w:lang w:val="en-US" w:eastAsia="zh-CN"/>
                                </w:rPr>
                              </w:pPr>
                              <w:r>
                                <w:rPr>
                                  <w:rFonts w:hint="eastAsia"/>
                                  <w:lang w:val="en-US" w:eastAsia="zh-CN"/>
                                </w:rPr>
                                <w:t>中空玻璃涂胶固化</w:t>
                              </w:r>
                            </w:p>
                          </w:txbxContent>
                        </v:textbox>
                      </v:shape>
                      <v:shape id="直接箭头连接符 142" o:spid="_x0000_s1026" o:spt="32" type="#_x0000_t32" style="position:absolute;left:9950;top:431152;height:601;width:7;" filled="f" stroked="t" coordsize="21600,21600" o:gfxdata="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2A9GvQAA&#10;ANwAAAAPAAAAAAAAAAEAIAAAACIAAABkcnMvZG93bnJldi54bWxQSwECFAAUAAAACACHTuJAMy8F&#10;njsAAAA5AAAAEAAAAAAAAAABACAAAAAMAQAAZHJzL3NoYXBleG1sLnhtbFBLBQYAAAAABgAGAFsB&#10;AAC2AwAAAAA=&#10;">
                        <v:fill on="f" focussize="0,0"/>
                        <v:stroke weight="1pt" color="#000000 [3213]" joinstyle="round" endarrow="open"/>
                        <v:imagedata o:title=""/>
                        <o:lock v:ext="edit" aspectratio="f"/>
                      </v:shape>
                      <v:shape id="文本框 152" o:spid="_x0000_s1026" o:spt="202" type="#_x0000_t202" style="position:absolute;left:13527;top:430368;height:792;width:1706;" filled="f" stroked="f" coordsize="21600,21600" o:gfxdata="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mJLtr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72A9B3D5">
                              <w:pPr>
                                <w:rPr>
                                  <w:rFonts w:hint="default"/>
                                  <w:lang w:val="en-US" w:eastAsia="zh-CN"/>
                                </w:rPr>
                              </w:pPr>
                              <w:r>
                                <w:rPr>
                                  <w:rFonts w:hint="default" w:ascii="Times New Roman" w:hAnsi="Times New Roman" w:eastAsia="宋体" w:cs="Times New Roman"/>
                                  <w:i w:val="0"/>
                                  <w:iCs w:val="0"/>
                                  <w:color w:val="000000"/>
                                  <w:kern w:val="0"/>
                                  <w:sz w:val="21"/>
                                  <w:szCs w:val="21"/>
                                  <w:u w:val="none"/>
                                  <w:lang w:val="en-US" w:eastAsia="zh-CN" w:bidi="ar"/>
                                </w:rPr>
                                <w:t>丁基胶</w:t>
                              </w:r>
                              <w:r>
                                <w:rPr>
                                  <w:rFonts w:hint="eastAsia"/>
                                  <w:lang w:val="en-US" w:eastAsia="zh-CN"/>
                                </w:rPr>
                                <w:t>12.5</w:t>
                              </w:r>
                            </w:p>
                            <w:p w14:paraId="6BB9AC12">
                              <w:pPr>
                                <w:rPr>
                                  <w:rFonts w:hint="default" w:eastAsia="宋体"/>
                                  <w:lang w:val="en-US" w:eastAsia="zh-CN"/>
                                </w:rPr>
                              </w:pPr>
                              <w:r>
                                <w:rPr>
                                  <w:rFonts w:hint="default" w:ascii="Times New Roman" w:hAnsi="Times New Roman" w:eastAsia="宋体" w:cs="Times New Roman"/>
                                  <w:i w:val="0"/>
                                  <w:iCs w:val="0"/>
                                  <w:color w:val="000000"/>
                                  <w:kern w:val="0"/>
                                  <w:sz w:val="21"/>
                                  <w:szCs w:val="21"/>
                                  <w:u w:val="none"/>
                                  <w:lang w:val="en-US" w:eastAsia="zh-CN" w:bidi="ar"/>
                                </w:rPr>
                                <w:t>硅酮密封胶</w:t>
                              </w:r>
                              <w:r>
                                <w:rPr>
                                  <w:rFonts w:hint="eastAsia" w:cs="Times New Roman"/>
                                  <w:i w:val="0"/>
                                  <w:iCs w:val="0"/>
                                  <w:color w:val="000000"/>
                                  <w:kern w:val="0"/>
                                  <w:sz w:val="21"/>
                                  <w:szCs w:val="21"/>
                                  <w:u w:val="none"/>
                                  <w:lang w:val="en-US" w:eastAsia="zh-CN" w:bidi="ar"/>
                                </w:rPr>
                                <w:t>60</w:t>
                              </w:r>
                            </w:p>
                          </w:txbxContent>
                        </v:textbox>
                      </v:shape>
                      <v:shape id="直接箭头连接符 153" o:spid="_x0000_s1026" o:spt="32" type="#_x0000_t32" style="position:absolute;left:14537;top:432150;flip:x;height:601;width:9;" filled="f" stroked="t" coordsize="21600,21600" o:gfxdata="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OnV7L4A&#10;AADcAAAADwAAAAAAAAABACAAAAAiAAAAZHJzL2Rvd25yZXYueG1sUEsBAhQAFAAAAAgAh07iQDMv&#10;BZ47AAAAOQAAABAAAAAAAAAAAQAgAAAADQEAAGRycy9zaGFwZXhtbC54bWxQSwUGAAAAAAYABgBb&#10;AQAAtwMAAAAA&#10;">
                        <v:fill on="f" focussize="0,0"/>
                        <v:stroke weight="1pt" color="#000000 [3213]" joinstyle="round" endarrow="open"/>
                        <v:imagedata o:title=""/>
                        <o:lock v:ext="edit" aspectratio="f"/>
                      </v:shape>
                      <v:shape id="文本框 154" o:spid="_x0000_s1026" o:spt="202" type="#_x0000_t202" style="position:absolute;left:13967;top:432674;height:459;width:1239;" filled="f" stroked="f" coordsize="21600,21600" o:gfxdata="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38cFq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7E43290">
                              <w:pPr>
                                <w:rPr>
                                  <w:rFonts w:hint="default" w:eastAsia="宋体"/>
                                  <w:lang w:val="en-US" w:eastAsia="zh-CN"/>
                                </w:rPr>
                              </w:pPr>
                              <w:r>
                                <w:rPr>
                                  <w:rFonts w:hint="eastAsia"/>
                                  <w:lang w:val="en-US" w:eastAsia="zh-CN"/>
                                </w:rPr>
                                <w:t>中空玻璃</w:t>
                              </w:r>
                            </w:p>
                          </w:txbxContent>
                        </v:textbox>
                      </v:shape>
                      <v:shape id="_x0000_s1026" o:spid="_x0000_s1026" o:spt="32" type="#_x0000_t32" style="position:absolute;left:9330;top:431321;flip:x y;height:399;width:1;" filled="f" stroked="t" coordsize="21600,21600" o:gfxdata="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gJCq8AAAA&#10;3AAAAA8AAAAAAAAAAQAgAAAAIgAAAGRycy9kb3ducmV2LnhtbFBLAQIUABQAAAAIAIdO4kAzLwWe&#10;OwAAADkAAAAQAAAAAAAAAAEAIAAAAAsBAABkcnMvc2hhcGV4bWwueG1sUEsFBgAAAAAGAAYAWwEA&#10;ALUDAAAAAA==&#10;">
                        <v:fill on="f" focussize="0,0"/>
                        <v:stroke weight="1pt" color="#000000 [3213]" joinstyle="round" dashstyle="dash" endarrow="open"/>
                        <v:imagedata o:title=""/>
                        <o:lock v:ext="edit" aspectratio="f"/>
                      </v:shape>
                      <v:shape id="_x0000_s1026" o:spid="_x0000_s1026" o:spt="202" type="#_x0000_t202" style="position:absolute;left:7911;top:430999;height:426;width:1640;" filled="f" stroked="f" coordsize="21600,21600" o:gfxdata="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L0Gz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777EB1F0">
                              <w:pPr>
                                <w:rPr>
                                  <w:rFonts w:hint="default" w:eastAsia="宋体"/>
                                  <w:lang w:val="en-US" w:eastAsia="zh-CN"/>
                                </w:rPr>
                              </w:pPr>
                              <w:r>
                                <w:rPr>
                                  <w:rFonts w:hint="eastAsia"/>
                                  <w:lang w:val="en-US" w:eastAsia="zh-CN"/>
                                </w:rPr>
                                <w:t>有机废气0.25</w:t>
                              </w:r>
                            </w:p>
                          </w:txbxContent>
                        </v:textbox>
                      </v:shape>
                      <v:shape id="_x0000_s1026" o:spid="_x0000_s1026" o:spt="202" type="#_x0000_t202" style="position:absolute;left:10134;top:431139;height:459;width:608;" filled="f" stroked="f" coordsize="21600,21600" o:gfxdata="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3zH7z&#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30277D93">
                              <w:pPr>
                                <w:rPr>
                                  <w:rFonts w:hint="default" w:eastAsia="宋体"/>
                                  <w:lang w:val="en-US" w:eastAsia="zh-CN"/>
                                </w:rPr>
                              </w:pPr>
                              <w:r>
                                <w:rPr>
                                  <w:rFonts w:hint="eastAsia"/>
                                  <w:lang w:val="en-US" w:eastAsia="zh-CN"/>
                                </w:rPr>
                                <w:t>2.5</w:t>
                              </w:r>
                            </w:p>
                          </w:txbxContent>
                        </v:textbox>
                      </v:shape>
                      <v:shape id="_x0000_s1026" o:spid="_x0000_s1026" o:spt="202" type="#_x0000_t202" style="position:absolute;left:9942;top:432212;height:426;width:708;" filled="f" stroked="f" coordsize="21600,21600" o:gfxdata="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iA22i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614CE75">
                              <w:pPr>
                                <w:rPr>
                                  <w:rFonts w:hint="default" w:eastAsia="宋体"/>
                                  <w:lang w:val="en-US" w:eastAsia="zh-CN"/>
                                </w:rPr>
                              </w:pPr>
                              <w:r>
                                <w:rPr>
                                  <w:rFonts w:hint="eastAsia"/>
                                  <w:lang w:val="en-US" w:eastAsia="zh-CN"/>
                                </w:rPr>
                                <w:t>2.25</w:t>
                              </w:r>
                            </w:p>
                          </w:txbxContent>
                        </v:textbox>
                      </v:shape>
                      <v:shape id="_x0000_s1026" o:spid="_x0000_s1026" o:spt="202" type="#_x0000_t202" style="position:absolute;left:12358;top:431229;height:426;width:858;" filled="f" stroked="f" coordsize="21600,21600" o:gfxdata="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hSRR+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64CE201">
                              <w:pPr>
                                <w:rPr>
                                  <w:rFonts w:hint="default" w:eastAsia="宋体"/>
                                  <w:lang w:val="en-US" w:eastAsia="zh-CN"/>
                                </w:rPr>
                              </w:pPr>
                              <w:r>
                                <w:rPr>
                                  <w:rFonts w:hint="eastAsia"/>
                                  <w:lang w:val="en-US" w:eastAsia="zh-CN"/>
                                </w:rPr>
                                <w:t>5.61</w:t>
                              </w:r>
                            </w:p>
                          </w:txbxContent>
                        </v:textbox>
                      </v:shape>
                      <v:shape id="_x0000_s1026" o:spid="_x0000_s1026" o:spt="32" type="#_x0000_t32" style="position:absolute;left:11870;top:431345;flip:x y;height:399;width:1;" filled="f" stroked="t" coordsize="21600,21600" o:gfxdata="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sdIIa8AAAA&#10;3AAAAA8AAAAAAAAAAQAgAAAAIgAAAGRycy9kb3ducmV2LnhtbFBLAQIUABQAAAAIAIdO4kAzLwWe&#10;OwAAADkAAAAQAAAAAAAAAAEAIAAAAAsBAABkcnMvc2hhcGV4bWwueG1sUEsFBgAAAAAGAAYAWwEA&#10;ALUDAAAAAA==&#10;">
                        <v:fill on="f" focussize="0,0"/>
                        <v:stroke weight="1pt" color="#000000 [3213]" joinstyle="round" dashstyle="dash" endarrow="open"/>
                        <v:imagedata o:title=""/>
                        <o:lock v:ext="edit" aspectratio="f"/>
                      </v:shape>
                      <v:shape id="_x0000_s1026" o:spid="_x0000_s1026" o:spt="202" type="#_x0000_t202" style="position:absolute;left:10845;top:431071;height:426;width:1390;" filled="f" stroked="f" coordsize="21600,21600" o:gfxdata="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93jw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32E5623F">
                              <w:pPr>
                                <w:rPr>
                                  <w:rFonts w:hint="default" w:eastAsia="宋体"/>
                                  <w:lang w:val="en-US" w:eastAsia="zh-CN"/>
                                </w:rPr>
                              </w:pPr>
                              <w:r>
                                <w:rPr>
                                  <w:rFonts w:hint="eastAsia"/>
                                  <w:lang w:val="en-US" w:eastAsia="zh-CN"/>
                                </w:rPr>
                                <w:t>废靶材0.01</w:t>
                              </w:r>
                            </w:p>
                          </w:txbxContent>
                        </v:textbox>
                      </v:shape>
                      <v:shape id="_x0000_s1026" o:spid="_x0000_s1026" o:spt="202" type="#_x0000_t202" style="position:absolute;left:12365;top:432236;height:426;width:708;" filled="f" stroked="f" coordsize="21600,21600" o:gfxdata="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7vda7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798C2AC0">
                              <w:pPr>
                                <w:rPr>
                                  <w:rFonts w:hint="default" w:eastAsia="宋体"/>
                                  <w:lang w:val="en-US" w:eastAsia="zh-CN"/>
                                </w:rPr>
                              </w:pPr>
                              <w:r>
                                <w:rPr>
                                  <w:rFonts w:hint="eastAsia"/>
                                  <w:lang w:val="en-US" w:eastAsia="zh-CN"/>
                                </w:rPr>
                                <w:t>5.6</w:t>
                              </w:r>
                            </w:p>
                          </w:txbxContent>
                        </v:textbox>
                      </v:shape>
                      <v:shape id="直接箭头连接符 142" o:spid="_x0000_s1026" o:spt="32" type="#_x0000_t32" style="position:absolute;left:14180;top:431088;flip:x;height:601;width:9;" filled="f" stroked="t" coordsize="21600,21600" o:gfxdata="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EwQzG/&#10;AAAA3AAAAA8AAAAAAAAAAQAgAAAAIgAAAGRycy9kb3ducmV2LnhtbFBLAQIUABQAAAAIAIdO4kAz&#10;LwWeOwAAADkAAAAQAAAAAAAAAAEAIAAAAA4BAABkcnMvc2hhcGV4bWwueG1sUEsFBgAAAAAGAAYA&#10;WwEAALgDAAAAAA==&#10;">
                        <v:fill on="f" focussize="0,0"/>
                        <v:stroke weight="1pt" color="#000000 [3213]" joinstyle="round" endarrow="open"/>
                        <v:imagedata o:title=""/>
                        <o:lock v:ext="edit" aspectratio="f"/>
                      </v:shape>
                      <v:shape id="_x0000_s1026" o:spid="_x0000_s1026" o:spt="202" type="#_x0000_t202" style="position:absolute;left:14452;top:431005;height:426;width:1806;" filled="f" stroked="f" coordsize="21600,21600" o:gfxdata="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gl5oe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0ACD3D2">
                              <w:pPr>
                                <w:rPr>
                                  <w:rFonts w:hint="default" w:eastAsia="宋体"/>
                                  <w:lang w:val="en-US" w:eastAsia="zh-CN"/>
                                </w:rPr>
                              </w:pPr>
                              <w:r>
                                <w:rPr>
                                  <w:rFonts w:hint="eastAsia"/>
                                  <w:lang w:val="en-US" w:eastAsia="zh-CN"/>
                                </w:rPr>
                                <w:t>有机废气1.8605</w:t>
                              </w:r>
                            </w:p>
                          </w:txbxContent>
                        </v:textbox>
                      </v:shape>
                      <v:shape id="_x0000_s1026" o:spid="_x0000_s1026" o:spt="202" type="#_x0000_t202" style="position:absolute;left:14423;top:432209;height:426;width:1141;" filled="f" stroked="f" coordsize="21600,21600" o:gfxdata="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unL1&#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2FA14D6B">
                              <w:pPr>
                                <w:rPr>
                                  <w:rFonts w:hint="default" w:eastAsia="宋体"/>
                                  <w:lang w:val="en-US" w:eastAsia="zh-CN"/>
                                </w:rPr>
                              </w:pPr>
                              <w:r>
                                <w:rPr>
                                  <w:rFonts w:hint="eastAsia"/>
                                  <w:lang w:val="en-US" w:eastAsia="zh-CN"/>
                                </w:rPr>
                                <w:t>70.6395</w:t>
                              </w:r>
                            </w:p>
                          </w:txbxContent>
                        </v:textbox>
                      </v:shape>
                    </v:group>
                  </w:pict>
                </mc:Fallback>
              </mc:AlternateContent>
            </w:r>
          </w:p>
          <w:p w14:paraId="6FB5D4C9">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2156BAE0">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294B7BCB">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73E99EF0">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30A5B832">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04BA98B3">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50766CC2">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637057F2">
            <w:pPr>
              <w:pStyle w:val="48"/>
              <w:numPr>
                <w:ilvl w:val="0"/>
                <w:numId w:val="0"/>
              </w:numPr>
              <w:ind w:leftChars="0"/>
              <w:jc w:val="both"/>
              <w:rPr>
                <w:rFonts w:hint="default" w:ascii="Times New Roman" w:hAnsi="Times New Roman" w:cs="Times New Roman"/>
                <w:b/>
                <w:bCs/>
                <w:sz w:val="24"/>
                <w:szCs w:val="24"/>
                <w:u w:val="single"/>
                <w:lang w:val="en-US" w:eastAsia="zh-CN"/>
              </w:rPr>
            </w:pPr>
          </w:p>
          <w:p w14:paraId="6B9A1B63">
            <w:pPr>
              <w:pStyle w:val="48"/>
              <w:numPr>
                <w:ilvl w:val="0"/>
                <w:numId w:val="0"/>
              </w:numPr>
              <w:ind w:leftChars="0"/>
              <w:jc w:val="center"/>
              <w:rPr>
                <w:rFonts w:hint="eastAsia" w:ascii="Times New Roman" w:cs="Times New Roman"/>
                <w:b/>
                <w:bCs/>
                <w:sz w:val="24"/>
                <w:szCs w:val="24"/>
                <w:u w:val="single"/>
                <w:lang w:val="en-US" w:eastAsia="zh-CN"/>
              </w:rPr>
            </w:pPr>
            <w:r>
              <w:rPr>
                <w:rFonts w:hint="default" w:ascii="Times New Roman" w:hAnsi="Times New Roman" w:cs="Times New Roman"/>
                <w:b/>
                <w:bCs/>
                <w:sz w:val="24"/>
                <w:szCs w:val="24"/>
                <w:u w:val="single"/>
                <w:lang w:val="en-US" w:eastAsia="zh-CN"/>
              </w:rPr>
              <w:t>图</w:t>
            </w:r>
            <w:r>
              <w:rPr>
                <w:rFonts w:hint="eastAsia" w:ascii="Times New Roman" w:cs="Times New Roman"/>
                <w:b/>
                <w:bCs/>
                <w:sz w:val="24"/>
                <w:szCs w:val="24"/>
                <w:u w:val="single"/>
                <w:lang w:val="en-US" w:eastAsia="zh-CN"/>
              </w:rPr>
              <w:t>4</w:t>
            </w:r>
            <w:r>
              <w:rPr>
                <w:rFonts w:hint="default" w:ascii="Times New Roman" w:hAnsi="Times New Roman" w:cs="Times New Roman"/>
                <w:b/>
                <w:bCs/>
                <w:sz w:val="24"/>
                <w:szCs w:val="24"/>
                <w:u w:val="single"/>
                <w:lang w:val="en-US" w:eastAsia="zh-CN"/>
              </w:rPr>
              <w:t xml:space="preserve"> </w:t>
            </w:r>
            <w:r>
              <w:rPr>
                <w:rFonts w:hint="eastAsia" w:ascii="Times New Roman" w:hAnsi="Times New Roman" w:cs="Times New Roman"/>
                <w:b/>
                <w:bCs/>
                <w:sz w:val="24"/>
                <w:szCs w:val="24"/>
                <w:u w:val="single"/>
                <w:lang w:val="en-US" w:eastAsia="zh-CN"/>
              </w:rPr>
              <w:t xml:space="preserve"> </w:t>
            </w:r>
            <w:r>
              <w:rPr>
                <w:rFonts w:hint="eastAsia" w:ascii="Times New Roman" w:cs="Times New Roman"/>
                <w:b/>
                <w:bCs/>
                <w:sz w:val="24"/>
                <w:szCs w:val="24"/>
                <w:u w:val="single"/>
                <w:lang w:val="en-US" w:eastAsia="zh-CN"/>
              </w:rPr>
              <w:t xml:space="preserve">     </w:t>
            </w:r>
            <w:r>
              <w:rPr>
                <w:rFonts w:hint="default" w:ascii="Times New Roman" w:hAnsi="Times New Roman" w:cs="Times New Roman"/>
                <w:b/>
                <w:bCs/>
                <w:sz w:val="24"/>
                <w:szCs w:val="24"/>
                <w:u w:val="single"/>
                <w:lang w:val="en-US" w:eastAsia="zh-CN"/>
              </w:rPr>
              <w:t>本项目</w:t>
            </w:r>
            <w:r>
              <w:rPr>
                <w:rFonts w:hint="eastAsia" w:ascii="Times New Roman" w:cs="Times New Roman"/>
                <w:b/>
                <w:bCs/>
                <w:sz w:val="24"/>
                <w:szCs w:val="24"/>
                <w:u w:val="single"/>
                <w:lang w:val="en-US" w:eastAsia="zh-CN"/>
              </w:rPr>
              <w:t>物质</w:t>
            </w:r>
            <w:r>
              <w:rPr>
                <w:rFonts w:hint="default" w:ascii="Times New Roman" w:hAnsi="Times New Roman" w:cs="Times New Roman"/>
                <w:b/>
                <w:bCs/>
                <w:sz w:val="24"/>
                <w:szCs w:val="24"/>
                <w:u w:val="single"/>
                <w:lang w:val="en-US" w:eastAsia="zh-CN"/>
              </w:rPr>
              <w:t>平衡图</w:t>
            </w:r>
            <w:r>
              <w:rPr>
                <w:rFonts w:hint="eastAsia" w:ascii="Times New Roman" w:cs="Times New Roman"/>
                <w:b/>
                <w:bCs/>
                <w:sz w:val="24"/>
                <w:szCs w:val="24"/>
                <w:u w:val="single"/>
                <w:lang w:val="en-US" w:eastAsia="zh-CN"/>
              </w:rPr>
              <w:t xml:space="preserve">      单位：t/a</w:t>
            </w:r>
          </w:p>
          <w:p w14:paraId="62584395">
            <w:pPr>
              <w:pStyle w:val="48"/>
              <w:numPr>
                <w:ilvl w:val="0"/>
                <w:numId w:val="0"/>
              </w:numPr>
              <w:ind w:leftChars="0"/>
              <w:jc w:val="center"/>
              <w:rPr>
                <w:rFonts w:hint="default" w:ascii="Times New Roman" w:hAnsi="Times New Roman" w:cs="Times New Roman"/>
                <w:b/>
                <w:bCs/>
                <w:sz w:val="24"/>
                <w:szCs w:val="24"/>
                <w:u w:val="single"/>
                <w:lang w:val="en-US" w:eastAsia="zh-CN"/>
              </w:rPr>
            </w:pPr>
            <w:r>
              <w:rPr>
                <w:rFonts w:hint="eastAsia" w:ascii="Times New Roman" w:cs="Times New Roman"/>
                <w:b/>
                <w:bCs/>
                <w:sz w:val="24"/>
                <w:szCs w:val="24"/>
                <w:u w:val="single"/>
                <w:lang w:val="en-US" w:eastAsia="zh-CN"/>
              </w:rPr>
              <w:t>（物质包含环保墨水、靶材、丁基胶、硅酮密封胶）</w:t>
            </w:r>
          </w:p>
          <w:p w14:paraId="3C3299A6">
            <w:pPr>
              <w:pStyle w:val="48"/>
              <w:numPr>
                <w:ilvl w:val="0"/>
                <w:numId w:val="0"/>
              </w:numPr>
              <w:ind w:leftChars="0"/>
              <w:jc w:val="center"/>
              <w:rPr>
                <w:rFonts w:hint="default" w:ascii="Times New Roman" w:hAnsi="Times New Roman" w:cs="Times New Roman"/>
                <w:b/>
                <w:bCs/>
                <w:sz w:val="24"/>
                <w:szCs w:val="24"/>
                <w:u w:val="single"/>
                <w:lang w:val="en-US" w:eastAsia="zh-CN"/>
              </w:rPr>
            </w:pPr>
          </w:p>
          <w:p w14:paraId="4A11EB6F">
            <w:pPr>
              <w:pStyle w:val="48"/>
              <w:numPr>
                <w:ilvl w:val="0"/>
                <w:numId w:val="0"/>
              </w:numPr>
              <w:ind w:leftChars="0"/>
              <w:jc w:val="center"/>
              <w:rPr>
                <w:rFonts w:hint="default" w:ascii="Times New Roman" w:hAnsi="Times New Roman" w:cs="Times New Roman"/>
                <w:b/>
                <w:bCs/>
                <w:sz w:val="24"/>
                <w:szCs w:val="24"/>
                <w:u w:val="single"/>
                <w:lang w:val="en-US" w:eastAsia="zh-CN"/>
              </w:rPr>
            </w:pPr>
          </w:p>
        </w:tc>
      </w:tr>
      <w:tr w14:paraId="4B00E3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606" w:type="dxa"/>
            <w:noWrap w:val="0"/>
            <w:vAlign w:val="center"/>
          </w:tcPr>
          <w:p w14:paraId="192BB9B7">
            <w:pPr>
              <w:pStyle w:val="96"/>
              <w:spacing w:line="240" w:lineRule="auto"/>
              <w:ind w:firstLine="0" w:firstLineChars="0"/>
              <w:jc w:val="center"/>
              <w:rPr>
                <w:b w:val="0"/>
                <w:bCs w:val="0"/>
                <w:color w:val="FF0000"/>
              </w:rPr>
            </w:pPr>
            <w:r>
              <w:rPr>
                <w:b w:val="0"/>
                <w:bCs w:val="0"/>
                <w:color w:val="auto"/>
              </w:rPr>
              <w:t>与项目有关的原有环境污染问题</w:t>
            </w:r>
          </w:p>
        </w:tc>
        <w:tc>
          <w:tcPr>
            <w:tcW w:w="8454" w:type="dxa"/>
            <w:noWrap w:val="0"/>
            <w:vAlign w:val="top"/>
          </w:tcPr>
          <w:p w14:paraId="28656675">
            <w:pPr>
              <w:pStyle w:val="38"/>
              <w:ind w:left="0" w:leftChars="0" w:firstLine="0" w:firstLineChars="0"/>
              <w:rPr>
                <w:rFonts w:hint="eastAsia"/>
                <w:b w:val="0"/>
                <w:bCs w:val="0"/>
                <w:color w:val="FF0000"/>
                <w:lang w:val="en-US" w:eastAsia="zh-CN"/>
              </w:rPr>
            </w:pPr>
          </w:p>
          <w:p w14:paraId="1121ED1B">
            <w:pPr>
              <w:spacing w:line="360" w:lineRule="auto"/>
              <w:ind w:firstLine="480" w:firstLineChars="200"/>
              <w:rPr>
                <w:rFonts w:hint="eastAsia" w:cs="Times New Roman"/>
                <w:b w:val="0"/>
                <w:bCs w:val="0"/>
                <w:snapToGrid w:val="0"/>
                <w:color w:val="auto"/>
                <w:kern w:val="0"/>
                <w:sz w:val="24"/>
                <w:szCs w:val="24"/>
                <w:lang w:val="en-US" w:eastAsia="zh-CN"/>
              </w:rPr>
            </w:pPr>
            <w:r>
              <w:rPr>
                <w:rFonts w:hint="eastAsia" w:ascii="Times New Roman" w:hAnsi="Times New Roman" w:eastAsia="宋体" w:cs="Times New Roman"/>
                <w:b w:val="0"/>
                <w:bCs w:val="0"/>
                <w:snapToGrid w:val="0"/>
                <w:color w:val="auto"/>
                <w:kern w:val="0"/>
                <w:sz w:val="24"/>
                <w:szCs w:val="24"/>
                <w:lang w:val="en-US" w:eastAsia="zh-CN"/>
              </w:rPr>
              <w:t>河南中玻玻璃有限公司（以下简称“建设单位”）成立于 2012 年 8 月，位于周口市淮阳县产业集聚区工业中大道东侧，主要经营玻璃制品。现有工程为年产 30 万平方米节能 LOW-E 玻璃生产线建设项目、年产 30 万平方米安全结构玻 璃加工中心技术改造项目和年产 100 万平方米超大 LOW-E 玻璃镀膜线技改项目</w:t>
            </w:r>
            <w:r>
              <w:rPr>
                <w:rFonts w:hint="eastAsia" w:cs="Times New Roman"/>
                <w:b w:val="0"/>
                <w:bCs w:val="0"/>
                <w:snapToGrid w:val="0"/>
                <w:color w:val="auto"/>
                <w:kern w:val="0"/>
                <w:sz w:val="24"/>
                <w:szCs w:val="24"/>
                <w:lang w:val="en-US" w:eastAsia="zh-CN"/>
              </w:rPr>
              <w:t>及年产 5 万平方米环保彩色成像玻璃项目。</w:t>
            </w:r>
          </w:p>
          <w:p w14:paraId="16752B6B">
            <w:pPr>
              <w:spacing w:line="360" w:lineRule="auto"/>
              <w:ind w:firstLine="480" w:firstLineChars="200"/>
              <w:rPr>
                <w:rFonts w:hint="eastAsia" w:ascii="Times New Roman" w:hAnsi="Times New Roman" w:eastAsia="宋体" w:cs="Times New Roman"/>
                <w:b w:val="0"/>
                <w:bCs w:val="0"/>
                <w:snapToGrid w:val="0"/>
                <w:color w:val="auto"/>
                <w:kern w:val="0"/>
                <w:sz w:val="24"/>
                <w:szCs w:val="24"/>
                <w:lang w:val="en-US" w:eastAsia="zh-CN"/>
              </w:rPr>
            </w:pPr>
            <w:r>
              <w:rPr>
                <w:rFonts w:hint="eastAsia" w:ascii="Times New Roman" w:hAnsi="Times New Roman" w:eastAsia="宋体" w:cs="Times New Roman"/>
                <w:b w:val="0"/>
                <w:bCs w:val="0"/>
                <w:snapToGrid w:val="0"/>
                <w:color w:val="auto"/>
                <w:kern w:val="0"/>
                <w:sz w:val="24"/>
                <w:szCs w:val="24"/>
                <w:lang w:val="en-US" w:eastAsia="zh-CN"/>
              </w:rPr>
              <w:t>其中现有年产 30 万平方米节能 LOW-E 玻璃生产线建设项目环境影响报告表已于 2013 年 2 月 18 日通过了周口市环保局的审批，文号为周环审[2013]33 号 ，并于 2015 年 11 月 2 日通过周口市环境保护局验收，文号为周环验 2015 第【52】号；现有年产 30 万平方米安全结构玻璃加工中心技术 改造项目环境影响报告表已于 2020 年 08 月 12 日通过了周口市生态环境局的审批，文号为周环审[2020]343 号，并于 2022 年 3 月通过了验收；现有年产 100 万平方米超大 LOW-E 玻璃镀膜线技改项目环境影响报告表已于 2020 年 09 月 23 日通过了周口市生态环境局的审批，文号为周环审[2020]417 号，并于 2022 年 3 月通过了验收。</w:t>
            </w:r>
            <w:r>
              <w:rPr>
                <w:rFonts w:hint="eastAsia" w:cs="Times New Roman"/>
                <w:b w:val="0"/>
                <w:bCs w:val="0"/>
                <w:snapToGrid w:val="0"/>
                <w:color w:val="auto"/>
                <w:kern w:val="0"/>
                <w:sz w:val="24"/>
                <w:szCs w:val="24"/>
                <w:lang w:val="en-US" w:eastAsia="zh-CN"/>
              </w:rPr>
              <w:t>现有年产 5 万平方米环保彩色成像玻璃项目环境影响报告表已于 2020 年 12 月 28 日通过了周口市生态环境局的审批， 批复文号为周环审【2020】530 号，</w:t>
            </w:r>
            <w:r>
              <w:rPr>
                <w:rFonts w:hint="eastAsia" w:ascii="Times New Roman" w:hAnsi="Times New Roman" w:eastAsia="宋体" w:cs="Times New Roman"/>
                <w:b w:val="0"/>
                <w:bCs w:val="0"/>
                <w:snapToGrid w:val="0"/>
                <w:color w:val="auto"/>
                <w:kern w:val="0"/>
                <w:sz w:val="24"/>
                <w:szCs w:val="24"/>
                <w:lang w:val="en-US" w:eastAsia="zh-CN"/>
              </w:rPr>
              <w:t>并于2022 年3月通过了验收。排污许可证编号为91411626052290062H001R。</w:t>
            </w:r>
          </w:p>
          <w:p w14:paraId="3B062068">
            <w:pPr>
              <w:spacing w:line="360" w:lineRule="auto"/>
              <w:ind w:firstLine="480" w:firstLineChars="200"/>
              <w:rPr>
                <w:rFonts w:hint="eastAsia" w:ascii="Times New Roman" w:hAnsi="Times New Roman" w:eastAsia="宋体" w:cs="Times New Roman"/>
                <w:b w:val="0"/>
                <w:bCs w:val="0"/>
                <w:snapToGrid w:val="0"/>
                <w:color w:val="auto"/>
                <w:kern w:val="0"/>
                <w:sz w:val="24"/>
                <w:szCs w:val="24"/>
                <w:lang w:val="en-US" w:eastAsia="zh-CN"/>
              </w:rPr>
            </w:pPr>
            <w:r>
              <w:rPr>
                <w:rFonts w:hint="eastAsia" w:cs="Times New Roman"/>
                <w:b w:val="0"/>
                <w:bCs w:val="0"/>
                <w:snapToGrid w:val="0"/>
                <w:color w:val="auto"/>
                <w:kern w:val="0"/>
                <w:sz w:val="24"/>
                <w:szCs w:val="24"/>
                <w:lang w:val="en-US" w:eastAsia="zh-CN"/>
              </w:rPr>
              <w:t>本</w:t>
            </w:r>
            <w:r>
              <w:rPr>
                <w:rFonts w:hint="eastAsia" w:ascii="Times New Roman" w:hAnsi="Times New Roman" w:eastAsia="宋体" w:cs="Times New Roman"/>
                <w:b w:val="0"/>
                <w:bCs w:val="0"/>
                <w:snapToGrid w:val="0"/>
                <w:color w:val="auto"/>
                <w:kern w:val="0"/>
                <w:sz w:val="24"/>
                <w:szCs w:val="24"/>
                <w:lang w:val="en-US" w:eastAsia="zh-CN"/>
              </w:rPr>
              <w:t>项目为异地扩建，与现有工程不存在依托关系。</w:t>
            </w:r>
          </w:p>
          <w:p w14:paraId="1A96AACE">
            <w:pPr>
              <w:numPr>
                <w:ilvl w:val="0"/>
                <w:numId w:val="8"/>
              </w:numPr>
              <w:spacing w:line="360" w:lineRule="auto"/>
              <w:ind w:firstLine="482" w:firstLineChars="200"/>
              <w:rPr>
                <w:rFonts w:hint="eastAsia" w:ascii="Times New Roman" w:hAnsi="Times New Roman"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现有工程环保手续执行情况</w:t>
            </w:r>
          </w:p>
          <w:p w14:paraId="69908F26">
            <w:pPr>
              <w:numPr>
                <w:ilvl w:val="0"/>
                <w:numId w:val="0"/>
              </w:numPr>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现有工程环保手续执行情况见下表</w:t>
            </w:r>
            <w:r>
              <w:rPr>
                <w:rFonts w:hint="eastAsia" w:cs="Times New Roman"/>
                <w:b w:val="0"/>
                <w:bCs w:val="0"/>
                <w:snapToGrid w:val="0"/>
                <w:color w:val="auto"/>
                <w:kern w:val="0"/>
                <w:sz w:val="24"/>
                <w:szCs w:val="24"/>
                <w:lang w:val="en-US" w:eastAsia="zh-CN"/>
              </w:rPr>
              <w:t>。</w:t>
            </w:r>
          </w:p>
          <w:p w14:paraId="4B4ED5C3">
            <w:pPr>
              <w:pStyle w:val="21"/>
              <w:spacing w:line="360" w:lineRule="auto"/>
              <w:jc w:val="center"/>
              <w:rPr>
                <w:rFonts w:hint="default"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表2-8        现有工程环保手续执行情况表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
              <w:gridCol w:w="1820"/>
              <w:gridCol w:w="2158"/>
              <w:gridCol w:w="879"/>
              <w:gridCol w:w="2943"/>
            </w:tblGrid>
            <w:tr w14:paraId="2C3A3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258" w:type="pct"/>
                  <w:vAlign w:val="center"/>
                </w:tcPr>
                <w:p w14:paraId="59251F55">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eastAsia" w:ascii="Times New Roman" w:hAnsi="Times New Roman" w:cs="Times New Roman"/>
                      <w:sz w:val="21"/>
                      <w:szCs w:val="21"/>
                      <w:vertAlign w:val="baseline"/>
                      <w:lang w:val="en-US" w:eastAsia="zh-CN"/>
                    </w:rPr>
                    <w:t>序号</w:t>
                  </w:r>
                </w:p>
              </w:tc>
              <w:tc>
                <w:tcPr>
                  <w:tcW w:w="1106" w:type="pct"/>
                  <w:vAlign w:val="center"/>
                </w:tcPr>
                <w:p w14:paraId="695BBD33">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项目</w:t>
                  </w:r>
                </w:p>
              </w:tc>
              <w:tc>
                <w:tcPr>
                  <w:tcW w:w="1311" w:type="pct"/>
                  <w:vAlign w:val="center"/>
                </w:tcPr>
                <w:p w14:paraId="205C342E">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环评批复</w:t>
                  </w:r>
                </w:p>
              </w:tc>
              <w:tc>
                <w:tcPr>
                  <w:tcW w:w="534" w:type="pct"/>
                  <w:vAlign w:val="center"/>
                </w:tcPr>
                <w:p w14:paraId="5758A8DF">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eastAsia" w:ascii="Times New Roman" w:hAnsi="Times New Roman" w:cs="Times New Roman"/>
                      <w:sz w:val="21"/>
                      <w:szCs w:val="21"/>
                      <w:vertAlign w:val="baseline"/>
                      <w:lang w:val="en-US" w:eastAsia="zh-CN"/>
                    </w:rPr>
                    <w:t>排污许可</w:t>
                  </w:r>
                </w:p>
              </w:tc>
              <w:tc>
                <w:tcPr>
                  <w:tcW w:w="1789" w:type="pct"/>
                  <w:vAlign w:val="center"/>
                </w:tcPr>
                <w:p w14:paraId="2BCC18B8">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验收时间</w:t>
                  </w:r>
                </w:p>
              </w:tc>
            </w:tr>
            <w:tr w14:paraId="1FC38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vAlign w:val="center"/>
                </w:tcPr>
                <w:p w14:paraId="41C2AAE5">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eastAsia" w:ascii="Times New Roman" w:hAnsi="Times New Roman" w:cs="Times New Roman"/>
                      <w:sz w:val="21"/>
                      <w:szCs w:val="21"/>
                      <w:vertAlign w:val="baseline"/>
                      <w:lang w:val="en-US" w:eastAsia="zh-CN"/>
                    </w:rPr>
                    <w:t>1</w:t>
                  </w:r>
                </w:p>
              </w:tc>
              <w:tc>
                <w:tcPr>
                  <w:tcW w:w="1106" w:type="pct"/>
                  <w:vAlign w:val="center"/>
                </w:tcPr>
                <w:p w14:paraId="0868455F">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年产30万平方米节能LOW-E 玻璃生产线建设项目</w:t>
                  </w:r>
                </w:p>
              </w:tc>
              <w:tc>
                <w:tcPr>
                  <w:tcW w:w="1311" w:type="pct"/>
                  <w:vAlign w:val="center"/>
                </w:tcPr>
                <w:p w14:paraId="4AF4F42C">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2013年2月18日通过了周口市环保局的审批，周环审[2013]33号</w:t>
                  </w:r>
                </w:p>
              </w:tc>
              <w:tc>
                <w:tcPr>
                  <w:tcW w:w="534" w:type="pct"/>
                  <w:vMerge w:val="restart"/>
                  <w:vAlign w:val="center"/>
                </w:tcPr>
                <w:p w14:paraId="0A8313A1">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排污许可证编号91411626052290062H001R</w:t>
                  </w:r>
                </w:p>
              </w:tc>
              <w:tc>
                <w:tcPr>
                  <w:tcW w:w="1789" w:type="pct"/>
                  <w:vAlign w:val="center"/>
                </w:tcPr>
                <w:p w14:paraId="4222132A">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2015 年 11 月 2 日通过周口市环境保护局验收，文号为周环验 2015 第（52）号 9</w:t>
                  </w:r>
                </w:p>
              </w:tc>
            </w:tr>
            <w:tr w14:paraId="28EBA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vAlign w:val="center"/>
                </w:tcPr>
                <w:p w14:paraId="1811CF5C">
                  <w:pPr>
                    <w:widowControl w:val="0"/>
                    <w:numPr>
                      <w:ilvl w:val="0"/>
                      <w:numId w:val="0"/>
                    </w:numPr>
                    <w:spacing w:line="240" w:lineRule="auto"/>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eastAsia="宋体" w:cs="Times New Roman"/>
                      <w:color w:val="000000"/>
                      <w:kern w:val="0"/>
                      <w:sz w:val="21"/>
                      <w:szCs w:val="21"/>
                      <w:lang w:val="en-US" w:eastAsia="zh-CN" w:bidi="ar"/>
                    </w:rPr>
                    <w:t>2</w:t>
                  </w:r>
                </w:p>
              </w:tc>
              <w:tc>
                <w:tcPr>
                  <w:tcW w:w="1106" w:type="pct"/>
                  <w:vAlign w:val="center"/>
                </w:tcPr>
                <w:p w14:paraId="7413DCC2">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年产30万平方米安全结构玻璃加工中心技术改造项目</w:t>
                  </w:r>
                </w:p>
              </w:tc>
              <w:tc>
                <w:tcPr>
                  <w:tcW w:w="1311" w:type="pct"/>
                  <w:vAlign w:val="center"/>
                </w:tcPr>
                <w:p w14:paraId="34335F30">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2020 年 8 月 12 日取得周口市生态环境局出具的批复，文号为周环审 【2020】343 号</w:t>
                  </w:r>
                </w:p>
              </w:tc>
              <w:tc>
                <w:tcPr>
                  <w:tcW w:w="534" w:type="pct"/>
                  <w:vMerge w:val="continue"/>
                  <w:vAlign w:val="center"/>
                </w:tcPr>
                <w:p w14:paraId="2923263C">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p>
              </w:tc>
              <w:tc>
                <w:tcPr>
                  <w:tcW w:w="1789" w:type="pct"/>
                  <w:vAlign w:val="center"/>
                </w:tcPr>
                <w:p w14:paraId="4B741C8F">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2022年3月通过了验收</w:t>
                  </w:r>
                  <w:r>
                    <w:rPr>
                      <w:rFonts w:hint="eastAsia" w:ascii="Times New Roman" w:hAnsi="Times New Roman" w:cs="Times New Roman"/>
                      <w:sz w:val="21"/>
                      <w:szCs w:val="21"/>
                      <w:vertAlign w:val="baseline"/>
                      <w:lang w:val="en-US" w:eastAsia="zh-CN"/>
                    </w:rPr>
                    <w:t>，自主验收</w:t>
                  </w:r>
                </w:p>
              </w:tc>
            </w:tr>
            <w:tr w14:paraId="078F9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vAlign w:val="center"/>
                </w:tcPr>
                <w:p w14:paraId="323DB18B">
                  <w:pPr>
                    <w:widowControl w:val="0"/>
                    <w:numPr>
                      <w:ilvl w:val="0"/>
                      <w:numId w:val="0"/>
                    </w:numPr>
                    <w:spacing w:line="240" w:lineRule="auto"/>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eastAsia="宋体" w:cs="Times New Roman"/>
                      <w:color w:val="000000"/>
                      <w:kern w:val="0"/>
                      <w:sz w:val="21"/>
                      <w:szCs w:val="21"/>
                      <w:lang w:val="en-US" w:eastAsia="zh-CN" w:bidi="ar"/>
                    </w:rPr>
                    <w:t>3</w:t>
                  </w:r>
                </w:p>
              </w:tc>
              <w:tc>
                <w:tcPr>
                  <w:tcW w:w="1106" w:type="pct"/>
                  <w:vAlign w:val="center"/>
                </w:tcPr>
                <w:p w14:paraId="333FBA31">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年产100万平方米超大LOW-E玻璃镀膜线技改项目</w:t>
                  </w:r>
                </w:p>
              </w:tc>
              <w:tc>
                <w:tcPr>
                  <w:tcW w:w="1311" w:type="pct"/>
                  <w:vAlign w:val="center"/>
                </w:tcPr>
                <w:p w14:paraId="40C7B380">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2020 年 9 月 23 日取得周口市生态环境局出具的批复，文号为周环审【2020】417 号</w:t>
                  </w:r>
                </w:p>
              </w:tc>
              <w:tc>
                <w:tcPr>
                  <w:tcW w:w="534" w:type="pct"/>
                  <w:vMerge w:val="continue"/>
                  <w:vAlign w:val="center"/>
                </w:tcPr>
                <w:p w14:paraId="607E4B31">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p>
              </w:tc>
              <w:tc>
                <w:tcPr>
                  <w:tcW w:w="1789" w:type="pct"/>
                  <w:vAlign w:val="center"/>
                </w:tcPr>
                <w:p w14:paraId="21FD8D95">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2022年3月通过了验收</w:t>
                  </w:r>
                  <w:r>
                    <w:rPr>
                      <w:rFonts w:hint="eastAsia" w:ascii="Times New Roman" w:hAnsi="Times New Roman" w:cs="Times New Roman"/>
                      <w:sz w:val="21"/>
                      <w:szCs w:val="21"/>
                      <w:vertAlign w:val="baseline"/>
                      <w:lang w:val="en-US" w:eastAsia="zh-CN"/>
                    </w:rPr>
                    <w:t>，自主验收</w:t>
                  </w:r>
                </w:p>
                <w:p w14:paraId="2D7149F2">
                  <w:pPr>
                    <w:widowControl w:val="0"/>
                    <w:numPr>
                      <w:ilvl w:val="0"/>
                      <w:numId w:val="0"/>
                    </w:numPr>
                    <w:spacing w:line="240" w:lineRule="auto"/>
                    <w:jc w:val="both"/>
                    <w:rPr>
                      <w:rFonts w:hint="default" w:ascii="Times New Roman" w:hAnsi="Times New Roman" w:cs="Times New Roman"/>
                      <w:sz w:val="21"/>
                      <w:szCs w:val="21"/>
                      <w:vertAlign w:val="baseline"/>
                      <w:lang w:val="en-US" w:eastAsia="zh-CN"/>
                    </w:rPr>
                  </w:pPr>
                </w:p>
              </w:tc>
            </w:tr>
            <w:tr w14:paraId="0F40A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 w:type="pct"/>
                  <w:vAlign w:val="center"/>
                </w:tcPr>
                <w:p w14:paraId="305DCC52">
                  <w:pPr>
                    <w:widowControl w:val="0"/>
                    <w:numPr>
                      <w:ilvl w:val="0"/>
                      <w:numId w:val="0"/>
                    </w:numPr>
                    <w:spacing w:line="240" w:lineRule="auto"/>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eastAsia="宋体" w:cs="Times New Roman"/>
                      <w:color w:val="000000"/>
                      <w:kern w:val="0"/>
                      <w:sz w:val="21"/>
                      <w:szCs w:val="21"/>
                      <w:lang w:val="en-US" w:eastAsia="zh-CN" w:bidi="ar"/>
                    </w:rPr>
                    <w:t>4</w:t>
                  </w:r>
                </w:p>
              </w:tc>
              <w:tc>
                <w:tcPr>
                  <w:tcW w:w="1106" w:type="pct"/>
                  <w:vAlign w:val="center"/>
                </w:tcPr>
                <w:p w14:paraId="5F4ACF32">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年产 5 万平方米环保彩色成像玻璃项目</w:t>
                  </w:r>
                </w:p>
              </w:tc>
              <w:tc>
                <w:tcPr>
                  <w:tcW w:w="1311" w:type="pct"/>
                  <w:vAlign w:val="center"/>
                </w:tcPr>
                <w:p w14:paraId="4F1949A1">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 xml:space="preserve"> 2020 年 12 月 28 日</w:t>
                  </w:r>
                  <w:r>
                    <w:rPr>
                      <w:rFonts w:hint="eastAsia" w:ascii="Times New Roman" w:hAnsi="Times New Roman" w:cs="Times New Roman"/>
                      <w:sz w:val="21"/>
                      <w:szCs w:val="21"/>
                      <w:vertAlign w:val="baseline"/>
                      <w:lang w:val="en-US" w:eastAsia="zh-CN"/>
                    </w:rPr>
                    <w:t>取得</w:t>
                  </w:r>
                  <w:r>
                    <w:rPr>
                      <w:rFonts w:hint="default" w:ascii="Times New Roman" w:hAnsi="Times New Roman" w:cs="Times New Roman"/>
                      <w:sz w:val="21"/>
                      <w:szCs w:val="21"/>
                      <w:vertAlign w:val="baseline"/>
                      <w:lang w:val="en-US" w:eastAsia="zh-CN"/>
                    </w:rPr>
                    <w:t>周口市生态环境局出具的批复， 批复文号为周环审【2020】530 号</w:t>
                  </w:r>
                </w:p>
              </w:tc>
              <w:tc>
                <w:tcPr>
                  <w:tcW w:w="534" w:type="pct"/>
                  <w:vMerge w:val="continue"/>
                  <w:vAlign w:val="center"/>
                </w:tcPr>
                <w:p w14:paraId="366D95AA">
                  <w:pPr>
                    <w:widowControl w:val="0"/>
                    <w:numPr>
                      <w:ilvl w:val="0"/>
                      <w:numId w:val="0"/>
                    </w:numPr>
                    <w:spacing w:line="240" w:lineRule="auto"/>
                    <w:jc w:val="center"/>
                    <w:rPr>
                      <w:rFonts w:hint="default" w:ascii="Times New Roman" w:hAnsi="Times New Roman" w:cs="Times New Roman"/>
                      <w:sz w:val="21"/>
                      <w:szCs w:val="21"/>
                      <w:vertAlign w:val="baseline"/>
                      <w:lang w:val="en-US" w:eastAsia="zh-CN"/>
                    </w:rPr>
                  </w:pPr>
                </w:p>
              </w:tc>
              <w:tc>
                <w:tcPr>
                  <w:tcW w:w="1789" w:type="pct"/>
                  <w:vAlign w:val="center"/>
                </w:tcPr>
                <w:p w14:paraId="0324601C">
                  <w:pPr>
                    <w:widowControl w:val="0"/>
                    <w:numPr>
                      <w:ilvl w:val="0"/>
                      <w:numId w:val="0"/>
                    </w:numPr>
                    <w:spacing w:line="240" w:lineRule="auto"/>
                    <w:jc w:val="center"/>
                    <w:rPr>
                      <w:rFonts w:hint="default" w:ascii="Times New Roman" w:hAnsi="Times New Roman" w:cs="Times New Roman"/>
                      <w:color w:val="auto"/>
                      <w:sz w:val="21"/>
                      <w:szCs w:val="21"/>
                      <w:vertAlign w:val="baseline"/>
                      <w:lang w:val="en-US" w:eastAsia="zh-CN"/>
                    </w:rPr>
                  </w:pPr>
                  <w:r>
                    <w:rPr>
                      <w:rFonts w:hint="default" w:ascii="Times New Roman" w:hAnsi="Times New Roman" w:eastAsia="宋体" w:cs="Times New Roman"/>
                      <w:color w:val="auto"/>
                      <w:kern w:val="0"/>
                      <w:sz w:val="21"/>
                      <w:szCs w:val="21"/>
                      <w:lang w:val="en-US" w:eastAsia="zh-CN" w:bidi="ar"/>
                    </w:rPr>
                    <w:t>2022 年 3 月通过了验收</w:t>
                  </w:r>
                  <w:r>
                    <w:rPr>
                      <w:rFonts w:hint="eastAsia" w:ascii="Times New Roman" w:hAnsi="Times New Roman" w:cs="Times New Roman"/>
                      <w:color w:val="auto"/>
                      <w:sz w:val="21"/>
                      <w:szCs w:val="21"/>
                      <w:vertAlign w:val="baseline"/>
                      <w:lang w:val="en-US" w:eastAsia="zh-CN"/>
                    </w:rPr>
                    <w:t>，自主验收</w:t>
                  </w:r>
                </w:p>
                <w:p w14:paraId="0F33E57E">
                  <w:pPr>
                    <w:widowControl w:val="0"/>
                    <w:numPr>
                      <w:ilvl w:val="0"/>
                      <w:numId w:val="0"/>
                    </w:numPr>
                    <w:spacing w:line="240" w:lineRule="auto"/>
                    <w:jc w:val="both"/>
                    <w:rPr>
                      <w:rFonts w:hint="default" w:ascii="Times New Roman" w:hAnsi="Times New Roman" w:cs="Times New Roman"/>
                      <w:sz w:val="21"/>
                      <w:szCs w:val="21"/>
                      <w:vertAlign w:val="baseline"/>
                      <w:lang w:val="en-US" w:eastAsia="zh-CN"/>
                    </w:rPr>
                  </w:pPr>
                </w:p>
              </w:tc>
            </w:tr>
          </w:tbl>
          <w:p w14:paraId="3B976EDC">
            <w:pPr>
              <w:pStyle w:val="21"/>
              <w:rPr>
                <w:rFonts w:hint="eastAsia" w:ascii="Times New Roman" w:hAnsi="Times New Roman" w:eastAsia="宋体" w:cs="Times New Roman"/>
                <w:b w:val="0"/>
                <w:bCs w:val="0"/>
                <w:snapToGrid w:val="0"/>
                <w:color w:val="auto"/>
                <w:kern w:val="0"/>
                <w:sz w:val="24"/>
                <w:szCs w:val="24"/>
                <w:lang w:val="en-US" w:eastAsia="zh-CN"/>
              </w:rPr>
            </w:pPr>
          </w:p>
          <w:p w14:paraId="0BA6A7F5">
            <w:pPr>
              <w:numPr>
                <w:ilvl w:val="0"/>
                <w:numId w:val="8"/>
              </w:numPr>
              <w:spacing w:line="360" w:lineRule="auto"/>
              <w:ind w:firstLine="482" w:firstLineChars="200"/>
              <w:rPr>
                <w:rFonts w:hint="eastAsia" w:ascii="Times New Roman" w:hAnsi="Times New Roman"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现有工程产品方案</w:t>
            </w:r>
          </w:p>
          <w:p w14:paraId="7E46233D">
            <w:pPr>
              <w:pStyle w:val="21"/>
              <w:numPr>
                <w:ilvl w:val="0"/>
                <w:numId w:val="0"/>
              </w:numPr>
              <w:spacing w:line="360" w:lineRule="auto"/>
              <w:ind w:leftChars="200"/>
              <w:rPr>
                <w:rFonts w:hint="default"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现有工程产品方案见下表。</w:t>
            </w:r>
          </w:p>
          <w:p w14:paraId="313E197D">
            <w:pPr>
              <w:pStyle w:val="21"/>
              <w:spacing w:line="360" w:lineRule="auto"/>
              <w:jc w:val="center"/>
              <w:rPr>
                <w:rFonts w:hint="default" w:ascii="Times New Roman" w:hAnsi="Times New Roman" w:eastAsia="宋体"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表2-9      现有工程产品方案表</w:t>
            </w:r>
          </w:p>
          <w:tbl>
            <w:tblPr>
              <w:tblStyle w:val="39"/>
              <w:tblW w:w="4975"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744"/>
              <w:gridCol w:w="2042"/>
              <w:gridCol w:w="797"/>
              <w:gridCol w:w="3025"/>
              <w:gridCol w:w="1569"/>
            </w:tblGrid>
            <w:tr w14:paraId="2E4B99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84" w:hRule="atLeast"/>
              </w:trPr>
              <w:tc>
                <w:tcPr>
                  <w:tcW w:w="455" w:type="pct"/>
                  <w:tcBorders>
                    <w:tl2br w:val="nil"/>
                    <w:tr2bl w:val="nil"/>
                  </w:tcBorders>
                  <w:noWrap w:val="0"/>
                  <w:vAlign w:val="center"/>
                </w:tcPr>
                <w:p w14:paraId="6BEEEACA">
                  <w:pPr>
                    <w:pStyle w:val="115"/>
                    <w:rPr>
                      <w:b w:val="0"/>
                      <w:bCs w:val="0"/>
                      <w:color w:val="auto"/>
                      <w:u w:val="none" w:color="auto"/>
                    </w:rPr>
                  </w:pPr>
                  <w:r>
                    <w:rPr>
                      <w:b w:val="0"/>
                      <w:bCs w:val="0"/>
                      <w:color w:val="auto"/>
                      <w:u w:val="none" w:color="auto"/>
                    </w:rPr>
                    <w:t>序号</w:t>
                  </w:r>
                </w:p>
              </w:tc>
              <w:tc>
                <w:tcPr>
                  <w:tcW w:w="1248" w:type="pct"/>
                  <w:tcBorders>
                    <w:tl2br w:val="nil"/>
                    <w:tr2bl w:val="nil"/>
                  </w:tcBorders>
                  <w:noWrap w:val="0"/>
                  <w:vAlign w:val="center"/>
                </w:tcPr>
                <w:p w14:paraId="7707D074">
                  <w:pPr>
                    <w:pStyle w:val="115"/>
                    <w:rPr>
                      <w:b w:val="0"/>
                      <w:bCs w:val="0"/>
                      <w:color w:val="auto"/>
                      <w:u w:val="none" w:color="auto"/>
                    </w:rPr>
                  </w:pPr>
                  <w:r>
                    <w:rPr>
                      <w:b w:val="0"/>
                      <w:bCs w:val="0"/>
                      <w:color w:val="auto"/>
                      <w:u w:val="none" w:color="auto"/>
                    </w:rPr>
                    <w:t>产品名称</w:t>
                  </w:r>
                </w:p>
              </w:tc>
              <w:tc>
                <w:tcPr>
                  <w:tcW w:w="2336" w:type="pct"/>
                  <w:gridSpan w:val="2"/>
                  <w:tcBorders>
                    <w:tl2br w:val="nil"/>
                    <w:tr2bl w:val="nil"/>
                  </w:tcBorders>
                  <w:noWrap w:val="0"/>
                  <w:vAlign w:val="center"/>
                </w:tcPr>
                <w:p w14:paraId="6D8CAE4E">
                  <w:pPr>
                    <w:pStyle w:val="115"/>
                    <w:rPr>
                      <w:b w:val="0"/>
                      <w:bCs w:val="0"/>
                      <w:color w:val="auto"/>
                      <w:u w:val="none" w:color="auto"/>
                    </w:rPr>
                  </w:pPr>
                  <w:r>
                    <w:rPr>
                      <w:rFonts w:hint="eastAsia"/>
                      <w:b w:val="0"/>
                      <w:bCs w:val="0"/>
                      <w:color w:val="auto"/>
                      <w:u w:val="none" w:color="auto"/>
                      <w:lang w:val="en-US" w:eastAsia="zh-CN"/>
                    </w:rPr>
                    <w:t>年产</w:t>
                  </w:r>
                  <w:r>
                    <w:rPr>
                      <w:b w:val="0"/>
                      <w:bCs w:val="0"/>
                      <w:color w:val="auto"/>
                      <w:u w:val="none" w:color="auto"/>
                    </w:rPr>
                    <w:t>规模</w:t>
                  </w:r>
                </w:p>
              </w:tc>
              <w:tc>
                <w:tcPr>
                  <w:tcW w:w="959" w:type="pct"/>
                  <w:tcBorders>
                    <w:right w:val="single" w:color="auto" w:sz="4" w:space="0"/>
                    <w:tl2br w:val="nil"/>
                    <w:tr2bl w:val="nil"/>
                  </w:tcBorders>
                  <w:noWrap w:val="0"/>
                  <w:vAlign w:val="center"/>
                </w:tcPr>
                <w:p w14:paraId="67789FF0">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规格</w:t>
                  </w:r>
                </w:p>
              </w:tc>
            </w:tr>
            <w:tr w14:paraId="726603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02" w:hRule="atLeast"/>
              </w:trPr>
              <w:tc>
                <w:tcPr>
                  <w:tcW w:w="455" w:type="pct"/>
                  <w:tcBorders>
                    <w:tl2br w:val="nil"/>
                    <w:tr2bl w:val="nil"/>
                  </w:tcBorders>
                  <w:noWrap w:val="0"/>
                  <w:vAlign w:val="center"/>
                </w:tcPr>
                <w:p w14:paraId="709FFD9D">
                  <w:pPr>
                    <w:pStyle w:val="115"/>
                    <w:rPr>
                      <w:b w:val="0"/>
                      <w:bCs w:val="0"/>
                      <w:color w:val="auto"/>
                      <w:u w:val="none" w:color="auto"/>
                    </w:rPr>
                  </w:pPr>
                  <w:r>
                    <w:rPr>
                      <w:b w:val="0"/>
                      <w:bCs w:val="0"/>
                      <w:color w:val="auto"/>
                      <w:u w:val="none" w:color="auto"/>
                    </w:rPr>
                    <w:t>1</w:t>
                  </w:r>
                </w:p>
              </w:tc>
              <w:tc>
                <w:tcPr>
                  <w:tcW w:w="1248" w:type="pct"/>
                  <w:tcBorders>
                    <w:tl2br w:val="nil"/>
                    <w:tr2bl w:val="nil"/>
                  </w:tcBorders>
                  <w:noWrap w:val="0"/>
                  <w:vAlign w:val="center"/>
                </w:tcPr>
                <w:p w14:paraId="7097D2D7">
                  <w:pPr>
                    <w:pStyle w:val="115"/>
                    <w:rPr>
                      <w:rFonts w:hint="eastAsia"/>
                      <w:b w:val="0"/>
                      <w:bCs w:val="0"/>
                      <w:color w:val="auto"/>
                      <w:u w:val="none" w:color="auto"/>
                      <w:lang w:val="en-US" w:eastAsia="zh-CN"/>
                    </w:rPr>
                  </w:pPr>
                  <w:r>
                    <w:rPr>
                      <w:rFonts w:hint="eastAsia"/>
                      <w:b w:val="0"/>
                      <w:bCs w:val="0"/>
                      <w:color w:val="auto"/>
                      <w:u w:val="none" w:color="auto"/>
                      <w:lang w:val="en-US" w:eastAsia="zh-CN"/>
                    </w:rPr>
                    <w:t>节能LOW-E 玻璃</w:t>
                  </w:r>
                </w:p>
              </w:tc>
              <w:tc>
                <w:tcPr>
                  <w:tcW w:w="2336" w:type="pct"/>
                  <w:gridSpan w:val="2"/>
                  <w:tcBorders>
                    <w:tl2br w:val="nil"/>
                    <w:tr2bl w:val="nil"/>
                  </w:tcBorders>
                  <w:noWrap w:val="0"/>
                  <w:vAlign w:val="center"/>
                </w:tcPr>
                <w:p w14:paraId="3FFC95D0">
                  <w:pPr>
                    <w:keepNext w:val="0"/>
                    <w:keepLines w:val="0"/>
                    <w:widowControl/>
                    <w:suppressLineNumbers w:val="0"/>
                    <w:jc w:val="center"/>
                    <w:textAlignment w:val="center"/>
                    <w:rPr>
                      <w:rFonts w:hint="eastAsia"/>
                      <w:b w:val="0"/>
                      <w:bCs w:val="0"/>
                      <w:color w:val="auto"/>
                      <w:u w:val="none" w:color="auto"/>
                      <w:lang w:val="en-US" w:eastAsia="zh-CN"/>
                    </w:rPr>
                  </w:pPr>
                  <w:r>
                    <w:rPr>
                      <w:rFonts w:hint="eastAsia"/>
                      <w:b w:val="0"/>
                      <w:bCs w:val="0"/>
                      <w:color w:val="auto"/>
                      <w:u w:val="none" w:color="auto"/>
                      <w:lang w:val="en-US" w:eastAsia="zh-CN"/>
                    </w:rPr>
                    <w:t>30万平方米</w:t>
                  </w:r>
                </w:p>
              </w:tc>
              <w:tc>
                <w:tcPr>
                  <w:tcW w:w="959" w:type="pct"/>
                  <w:tcBorders>
                    <w:right w:val="single" w:color="auto" w:sz="4" w:space="0"/>
                    <w:tl2br w:val="nil"/>
                    <w:tr2bl w:val="nil"/>
                  </w:tcBorders>
                  <w:noWrap w:val="0"/>
                  <w:vAlign w:val="center"/>
                </w:tcPr>
                <w:p w14:paraId="06EC6698">
                  <w:pPr>
                    <w:pStyle w:val="115"/>
                    <w:rPr>
                      <w:rFonts w:hint="default" w:eastAsia="宋体"/>
                      <w:b w:val="0"/>
                      <w:bCs w:val="0"/>
                      <w:color w:val="auto"/>
                      <w:u w:val="none" w:color="auto"/>
                      <w:lang w:val="en-US" w:eastAsia="zh-CN"/>
                    </w:rPr>
                  </w:pPr>
                  <w:r>
                    <w:rPr>
                      <w:rFonts w:hint="eastAsia"/>
                      <w:b w:val="0"/>
                      <w:bCs w:val="0"/>
                      <w:color w:val="auto"/>
                      <w:u w:val="none" w:color="auto"/>
                      <w:lang w:val="en-US" w:eastAsia="zh-CN"/>
                    </w:rPr>
                    <w:t>双层</w:t>
                  </w:r>
                </w:p>
              </w:tc>
            </w:tr>
            <w:tr w14:paraId="155A2D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32" w:hRule="atLeast"/>
              </w:trPr>
              <w:tc>
                <w:tcPr>
                  <w:tcW w:w="455" w:type="pct"/>
                  <w:vMerge w:val="restart"/>
                  <w:tcBorders>
                    <w:tl2br w:val="nil"/>
                    <w:tr2bl w:val="nil"/>
                  </w:tcBorders>
                  <w:shd w:val="clear" w:color="auto" w:fill="auto"/>
                  <w:noWrap w:val="0"/>
                  <w:vAlign w:val="center"/>
                </w:tcPr>
                <w:p w14:paraId="77C6FCDF">
                  <w:pPr>
                    <w:pStyle w:val="115"/>
                    <w:rPr>
                      <w:rFonts w:ascii="Times New Roman" w:hAnsi="Times New Roman" w:eastAsia="宋体" w:cs="Times New Roman"/>
                      <w:b w:val="0"/>
                      <w:bCs w:val="0"/>
                      <w:color w:val="auto"/>
                      <w:sz w:val="21"/>
                      <w:u w:val="none" w:color="auto"/>
                      <w:lang w:val="en-US" w:eastAsia="zh-CN" w:bidi="ar-SA"/>
                    </w:rPr>
                  </w:pPr>
                  <w:r>
                    <w:rPr>
                      <w:b w:val="0"/>
                      <w:bCs w:val="0"/>
                      <w:color w:val="auto"/>
                      <w:u w:val="none" w:color="auto"/>
                    </w:rPr>
                    <w:t>2</w:t>
                  </w:r>
                </w:p>
              </w:tc>
              <w:tc>
                <w:tcPr>
                  <w:tcW w:w="1248" w:type="pct"/>
                  <w:vMerge w:val="restart"/>
                  <w:tcBorders>
                    <w:tl2br w:val="nil"/>
                    <w:tr2bl w:val="nil"/>
                  </w:tcBorders>
                  <w:noWrap w:val="0"/>
                  <w:vAlign w:val="center"/>
                </w:tcPr>
                <w:p w14:paraId="236121B3">
                  <w:pPr>
                    <w:pStyle w:val="115"/>
                    <w:rPr>
                      <w:rFonts w:hint="eastAsia"/>
                      <w:b w:val="0"/>
                      <w:bCs w:val="0"/>
                      <w:color w:val="auto"/>
                      <w:u w:val="none" w:color="auto"/>
                      <w:lang w:val="en-US" w:eastAsia="zh-CN"/>
                    </w:rPr>
                  </w:pPr>
                  <w:r>
                    <w:rPr>
                      <w:rFonts w:hint="eastAsia"/>
                      <w:b w:val="0"/>
                      <w:bCs w:val="0"/>
                      <w:color w:val="auto"/>
                      <w:u w:val="none" w:color="auto"/>
                      <w:lang w:val="en-US" w:eastAsia="zh-CN"/>
                    </w:rPr>
                    <w:t>安全结构玻璃</w:t>
                  </w:r>
                </w:p>
              </w:tc>
              <w:tc>
                <w:tcPr>
                  <w:tcW w:w="487" w:type="pct"/>
                  <w:vMerge w:val="restart"/>
                  <w:tcBorders>
                    <w:tl2br w:val="nil"/>
                    <w:tr2bl w:val="nil"/>
                  </w:tcBorders>
                  <w:noWrap w:val="0"/>
                  <w:vAlign w:val="center"/>
                </w:tcPr>
                <w:p w14:paraId="338E0F89">
                  <w:pPr>
                    <w:pStyle w:val="115"/>
                    <w:jc w:val="center"/>
                    <w:rPr>
                      <w:rFonts w:hint="default"/>
                      <w:b w:val="0"/>
                      <w:bCs w:val="0"/>
                      <w:color w:val="auto"/>
                      <w:u w:val="none" w:color="auto"/>
                      <w:lang w:val="en-US" w:eastAsia="zh-CN"/>
                    </w:rPr>
                  </w:pPr>
                  <w:r>
                    <w:rPr>
                      <w:rFonts w:hint="eastAsia"/>
                      <w:b w:val="0"/>
                      <w:bCs w:val="0"/>
                      <w:color w:val="auto"/>
                      <w:u w:val="none" w:color="auto"/>
                      <w:lang w:val="en-US" w:eastAsia="zh-CN"/>
                    </w:rPr>
                    <w:t>30万平方米</w:t>
                  </w:r>
                </w:p>
              </w:tc>
              <w:tc>
                <w:tcPr>
                  <w:tcW w:w="1849" w:type="pct"/>
                  <w:tcBorders>
                    <w:tl2br w:val="nil"/>
                    <w:tr2bl w:val="nil"/>
                  </w:tcBorders>
                  <w:noWrap w:val="0"/>
                  <w:vAlign w:val="center"/>
                </w:tcPr>
                <w:p w14:paraId="327B9B7A">
                  <w:pPr>
                    <w:keepNext w:val="0"/>
                    <w:keepLines w:val="0"/>
                    <w:widowControl/>
                    <w:suppressLineNumbers w:val="0"/>
                    <w:jc w:val="center"/>
                    <w:textAlignment w:val="center"/>
                    <w:rPr>
                      <w:rFonts w:hint="default"/>
                      <w:b w:val="0"/>
                      <w:bCs w:val="0"/>
                      <w:color w:val="auto"/>
                      <w:u w:val="none" w:color="auto"/>
                      <w:lang w:val="en-US" w:eastAsia="zh-CN"/>
                    </w:rPr>
                  </w:pPr>
                  <w:r>
                    <w:rPr>
                      <w:rFonts w:hint="eastAsia"/>
                      <w:b w:val="0"/>
                      <w:bCs w:val="0"/>
                      <w:color w:val="auto"/>
                      <w:u w:val="none" w:color="auto"/>
                      <w:lang w:val="en-US" w:eastAsia="zh-CN"/>
                    </w:rPr>
                    <w:t>夹胶玻璃20万平方米</w:t>
                  </w:r>
                </w:p>
              </w:tc>
              <w:tc>
                <w:tcPr>
                  <w:tcW w:w="959" w:type="pct"/>
                  <w:vMerge w:val="restart"/>
                  <w:tcBorders>
                    <w:right w:val="single" w:color="auto" w:sz="4" w:space="0"/>
                    <w:tl2br w:val="nil"/>
                    <w:tr2bl w:val="nil"/>
                  </w:tcBorders>
                  <w:noWrap w:val="0"/>
                  <w:vAlign w:val="center"/>
                </w:tcPr>
                <w:p w14:paraId="7A79AAD7">
                  <w:pPr>
                    <w:pStyle w:val="115"/>
                    <w:rPr>
                      <w:rFonts w:hint="default"/>
                      <w:b w:val="0"/>
                      <w:bCs w:val="0"/>
                      <w:color w:val="auto"/>
                      <w:u w:val="none" w:color="auto"/>
                      <w:lang w:val="en-US" w:eastAsia="zh-CN"/>
                    </w:rPr>
                  </w:pPr>
                  <w:r>
                    <w:rPr>
                      <w:rFonts w:hint="eastAsia"/>
                      <w:b w:val="0"/>
                      <w:bCs w:val="0"/>
                      <w:color w:val="auto"/>
                      <w:u w:val="none" w:color="auto"/>
                      <w:lang w:val="en-US" w:eastAsia="zh-CN"/>
                    </w:rPr>
                    <w:t>多层，2-6层</w:t>
                  </w:r>
                </w:p>
              </w:tc>
            </w:tr>
            <w:tr w14:paraId="70851E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16" w:hRule="atLeast"/>
              </w:trPr>
              <w:tc>
                <w:tcPr>
                  <w:tcW w:w="455" w:type="pct"/>
                  <w:vMerge w:val="continue"/>
                  <w:tcBorders>
                    <w:tl2br w:val="nil"/>
                    <w:tr2bl w:val="nil"/>
                  </w:tcBorders>
                  <w:shd w:val="clear" w:color="auto" w:fill="auto"/>
                  <w:noWrap w:val="0"/>
                  <w:vAlign w:val="center"/>
                </w:tcPr>
                <w:p w14:paraId="41BB3153">
                  <w:pPr>
                    <w:keepNext w:val="0"/>
                    <w:keepLines w:val="0"/>
                    <w:widowControl/>
                    <w:suppressLineNumbers w:val="0"/>
                    <w:jc w:val="center"/>
                    <w:textAlignment w:val="center"/>
                  </w:pPr>
                </w:p>
              </w:tc>
              <w:tc>
                <w:tcPr>
                  <w:tcW w:w="1248" w:type="pct"/>
                  <w:vMerge w:val="continue"/>
                  <w:tcBorders>
                    <w:tl2br w:val="nil"/>
                    <w:tr2bl w:val="nil"/>
                  </w:tcBorders>
                  <w:noWrap w:val="0"/>
                  <w:vAlign w:val="center"/>
                </w:tcPr>
                <w:p w14:paraId="1658F09D">
                  <w:pPr>
                    <w:keepNext w:val="0"/>
                    <w:keepLines w:val="0"/>
                    <w:widowControl/>
                    <w:suppressLineNumbers w:val="0"/>
                    <w:jc w:val="center"/>
                    <w:textAlignment w:val="center"/>
                  </w:pPr>
                </w:p>
              </w:tc>
              <w:tc>
                <w:tcPr>
                  <w:tcW w:w="487" w:type="pct"/>
                  <w:vMerge w:val="continue"/>
                  <w:tcBorders>
                    <w:tl2br w:val="nil"/>
                    <w:tr2bl w:val="nil"/>
                  </w:tcBorders>
                  <w:noWrap w:val="0"/>
                  <w:vAlign w:val="center"/>
                </w:tcPr>
                <w:p w14:paraId="477FF3EC">
                  <w:pPr>
                    <w:keepNext w:val="0"/>
                    <w:keepLines w:val="0"/>
                    <w:widowControl/>
                    <w:suppressLineNumbers w:val="0"/>
                    <w:jc w:val="center"/>
                    <w:textAlignment w:val="center"/>
                  </w:pPr>
                </w:p>
              </w:tc>
              <w:tc>
                <w:tcPr>
                  <w:tcW w:w="1849" w:type="pct"/>
                  <w:tcBorders>
                    <w:tl2br w:val="nil"/>
                    <w:tr2bl w:val="nil"/>
                  </w:tcBorders>
                  <w:noWrap w:val="0"/>
                  <w:vAlign w:val="center"/>
                </w:tcPr>
                <w:p w14:paraId="3C4A605E">
                  <w:pPr>
                    <w:keepNext w:val="0"/>
                    <w:keepLines w:val="0"/>
                    <w:widowControl/>
                    <w:suppressLineNumbers w:val="0"/>
                    <w:jc w:val="center"/>
                    <w:textAlignment w:val="center"/>
                    <w:rPr>
                      <w:rFonts w:hint="default"/>
                      <w:b w:val="0"/>
                      <w:bCs w:val="0"/>
                      <w:color w:val="auto"/>
                      <w:u w:val="none" w:color="auto"/>
                      <w:lang w:val="en-US" w:eastAsia="zh-CN"/>
                    </w:rPr>
                  </w:pPr>
                  <w:r>
                    <w:rPr>
                      <w:rFonts w:hint="eastAsia"/>
                      <w:b w:val="0"/>
                      <w:bCs w:val="0"/>
                      <w:color w:val="auto"/>
                      <w:u w:val="none" w:color="auto"/>
                      <w:lang w:val="en-US" w:eastAsia="zh-CN"/>
                    </w:rPr>
                    <w:t>中空玻璃10万平方米</w:t>
                  </w:r>
                </w:p>
              </w:tc>
              <w:tc>
                <w:tcPr>
                  <w:tcW w:w="959" w:type="pct"/>
                  <w:vMerge w:val="continue"/>
                  <w:tcBorders>
                    <w:right w:val="single" w:color="auto" w:sz="4" w:space="0"/>
                    <w:tl2br w:val="nil"/>
                    <w:tr2bl w:val="nil"/>
                  </w:tcBorders>
                  <w:noWrap w:val="0"/>
                  <w:vAlign w:val="center"/>
                </w:tcPr>
                <w:p w14:paraId="762BB8F9">
                  <w:pPr>
                    <w:keepNext w:val="0"/>
                    <w:keepLines w:val="0"/>
                    <w:widowControl/>
                    <w:suppressLineNumbers w:val="0"/>
                    <w:jc w:val="center"/>
                    <w:textAlignment w:val="center"/>
                    <w:rPr>
                      <w:rFonts w:hint="eastAsia"/>
                      <w:b w:val="0"/>
                      <w:bCs w:val="0"/>
                      <w:color w:val="auto"/>
                      <w:u w:val="none" w:color="auto"/>
                      <w:lang w:val="en-US" w:eastAsia="zh-CN"/>
                    </w:rPr>
                  </w:pPr>
                </w:p>
              </w:tc>
            </w:tr>
            <w:tr w14:paraId="340B04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27" w:hRule="atLeast"/>
              </w:trPr>
              <w:tc>
                <w:tcPr>
                  <w:tcW w:w="455" w:type="pct"/>
                  <w:tcBorders>
                    <w:tl2br w:val="nil"/>
                    <w:tr2bl w:val="nil"/>
                  </w:tcBorders>
                  <w:shd w:val="clear" w:color="auto" w:fill="auto"/>
                  <w:noWrap w:val="0"/>
                  <w:vAlign w:val="center"/>
                </w:tcPr>
                <w:p w14:paraId="32FB8321">
                  <w:pPr>
                    <w:pStyle w:val="115"/>
                    <w:rPr>
                      <w:rFonts w:hint="eastAsia" w:ascii="Times New Roman" w:hAnsi="Times New Roman" w:eastAsia="宋体" w:cs="Times New Roman"/>
                      <w:b w:val="0"/>
                      <w:bCs w:val="0"/>
                      <w:color w:val="auto"/>
                      <w:sz w:val="21"/>
                      <w:u w:val="none" w:color="auto"/>
                      <w:lang w:val="en-US" w:eastAsia="zh-CN" w:bidi="ar-SA"/>
                    </w:rPr>
                  </w:pPr>
                  <w:r>
                    <w:rPr>
                      <w:rFonts w:hint="eastAsia"/>
                      <w:b w:val="0"/>
                      <w:bCs w:val="0"/>
                      <w:color w:val="auto"/>
                      <w:u w:val="none" w:color="auto"/>
                      <w:lang w:val="en-US" w:eastAsia="zh-CN"/>
                    </w:rPr>
                    <w:t>3</w:t>
                  </w:r>
                </w:p>
              </w:tc>
              <w:tc>
                <w:tcPr>
                  <w:tcW w:w="1248" w:type="pct"/>
                  <w:tcBorders>
                    <w:tl2br w:val="nil"/>
                    <w:tr2bl w:val="nil"/>
                  </w:tcBorders>
                  <w:noWrap w:val="0"/>
                  <w:vAlign w:val="center"/>
                </w:tcPr>
                <w:p w14:paraId="56118B8A">
                  <w:pPr>
                    <w:pStyle w:val="115"/>
                    <w:rPr>
                      <w:rFonts w:hint="eastAsia"/>
                      <w:b w:val="0"/>
                      <w:bCs w:val="0"/>
                      <w:color w:val="auto"/>
                      <w:u w:val="none" w:color="auto"/>
                      <w:lang w:val="en-US" w:eastAsia="zh-CN"/>
                    </w:rPr>
                  </w:pPr>
                  <w:r>
                    <w:rPr>
                      <w:rFonts w:hint="eastAsia"/>
                      <w:b w:val="0"/>
                      <w:bCs w:val="0"/>
                      <w:color w:val="auto"/>
                      <w:u w:val="none" w:color="auto"/>
                      <w:lang w:val="en-US" w:eastAsia="zh-CN"/>
                    </w:rPr>
                    <w:t>LOW-E镀膜玻璃</w:t>
                  </w:r>
                </w:p>
              </w:tc>
              <w:tc>
                <w:tcPr>
                  <w:tcW w:w="2336" w:type="pct"/>
                  <w:gridSpan w:val="2"/>
                  <w:tcBorders>
                    <w:tl2br w:val="nil"/>
                    <w:tr2bl w:val="nil"/>
                  </w:tcBorders>
                  <w:noWrap w:val="0"/>
                  <w:vAlign w:val="center"/>
                </w:tcPr>
                <w:p w14:paraId="0DE674C9">
                  <w:pPr>
                    <w:pStyle w:val="115"/>
                    <w:rPr>
                      <w:rFonts w:hint="default" w:eastAsia="宋体"/>
                      <w:b w:val="0"/>
                      <w:bCs w:val="0"/>
                      <w:color w:val="auto"/>
                      <w:u w:val="none" w:color="auto"/>
                      <w:lang w:val="en-US" w:eastAsia="zh-CN"/>
                    </w:rPr>
                  </w:pPr>
                  <w:r>
                    <w:rPr>
                      <w:rFonts w:hint="eastAsia"/>
                      <w:b w:val="0"/>
                      <w:bCs w:val="0"/>
                      <w:color w:val="auto"/>
                      <w:u w:val="none" w:color="auto"/>
                      <w:lang w:val="en-US" w:eastAsia="zh-CN"/>
                    </w:rPr>
                    <w:t>100万平方米</w:t>
                  </w:r>
                </w:p>
              </w:tc>
              <w:tc>
                <w:tcPr>
                  <w:tcW w:w="959" w:type="pct"/>
                  <w:tcBorders>
                    <w:right w:val="single" w:color="auto" w:sz="4" w:space="0"/>
                    <w:tl2br w:val="nil"/>
                    <w:tr2bl w:val="nil"/>
                  </w:tcBorders>
                  <w:noWrap w:val="0"/>
                  <w:vAlign w:val="center"/>
                </w:tcPr>
                <w:p w14:paraId="319C80E1">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单层</w:t>
                  </w:r>
                </w:p>
              </w:tc>
            </w:tr>
            <w:tr w14:paraId="27BFAF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02" w:hRule="atLeast"/>
              </w:trPr>
              <w:tc>
                <w:tcPr>
                  <w:tcW w:w="455" w:type="pct"/>
                  <w:vMerge w:val="restart"/>
                  <w:tcBorders>
                    <w:tl2br w:val="nil"/>
                    <w:tr2bl w:val="nil"/>
                  </w:tcBorders>
                  <w:noWrap w:val="0"/>
                  <w:vAlign w:val="center"/>
                </w:tcPr>
                <w:p w14:paraId="35A3E0DA">
                  <w:pPr>
                    <w:pStyle w:val="115"/>
                    <w:rPr>
                      <w:rFonts w:hint="default"/>
                      <w:b w:val="0"/>
                      <w:bCs w:val="0"/>
                      <w:color w:val="auto"/>
                      <w:u w:val="none" w:color="auto"/>
                      <w:lang w:val="en-US" w:eastAsia="zh-CN"/>
                    </w:rPr>
                  </w:pPr>
                  <w:r>
                    <w:rPr>
                      <w:rFonts w:hint="eastAsia"/>
                      <w:b w:val="0"/>
                      <w:bCs w:val="0"/>
                      <w:color w:val="auto"/>
                      <w:u w:val="none" w:color="auto"/>
                      <w:lang w:val="en-US" w:eastAsia="zh-CN"/>
                    </w:rPr>
                    <w:t>4</w:t>
                  </w:r>
                </w:p>
              </w:tc>
              <w:tc>
                <w:tcPr>
                  <w:tcW w:w="1248" w:type="pct"/>
                  <w:vMerge w:val="restart"/>
                  <w:tcBorders>
                    <w:tl2br w:val="nil"/>
                    <w:tr2bl w:val="nil"/>
                  </w:tcBorders>
                  <w:noWrap w:val="0"/>
                  <w:vAlign w:val="center"/>
                </w:tcPr>
                <w:p w14:paraId="1BDCAB64">
                  <w:pPr>
                    <w:pStyle w:val="115"/>
                    <w:rPr>
                      <w:rFonts w:hint="default"/>
                      <w:b w:val="0"/>
                      <w:bCs w:val="0"/>
                      <w:color w:val="auto"/>
                      <w:u w:val="none" w:color="auto"/>
                      <w:lang w:val="en-US" w:eastAsia="zh-CN"/>
                    </w:rPr>
                  </w:pPr>
                  <w:r>
                    <w:rPr>
                      <w:rFonts w:hint="eastAsia"/>
                      <w:b w:val="0"/>
                      <w:bCs w:val="0"/>
                      <w:color w:val="auto"/>
                      <w:u w:val="none" w:color="auto"/>
                      <w:lang w:val="en-US" w:eastAsia="zh-CN"/>
                    </w:rPr>
                    <w:t>彩色成像钢化玻璃</w:t>
                  </w:r>
                </w:p>
              </w:tc>
              <w:tc>
                <w:tcPr>
                  <w:tcW w:w="487" w:type="pct"/>
                  <w:vMerge w:val="restart"/>
                  <w:tcBorders>
                    <w:tl2br w:val="nil"/>
                    <w:tr2bl w:val="nil"/>
                  </w:tcBorders>
                  <w:noWrap w:val="0"/>
                  <w:vAlign w:val="center"/>
                </w:tcPr>
                <w:p w14:paraId="6D91EFDB">
                  <w:pPr>
                    <w:pStyle w:val="115"/>
                    <w:rPr>
                      <w:rFonts w:hint="default" w:eastAsia="宋体"/>
                      <w:b w:val="0"/>
                      <w:bCs w:val="0"/>
                      <w:color w:val="auto"/>
                      <w:u w:val="none" w:color="auto"/>
                      <w:lang w:val="en-US" w:eastAsia="zh-CN"/>
                    </w:rPr>
                  </w:pPr>
                  <w:r>
                    <w:rPr>
                      <w:rFonts w:hint="eastAsia"/>
                      <w:b w:val="0"/>
                      <w:bCs w:val="0"/>
                      <w:color w:val="auto"/>
                      <w:u w:val="none" w:color="auto"/>
                      <w:lang w:val="en-US" w:eastAsia="zh-CN"/>
                    </w:rPr>
                    <w:t>5万平方米</w:t>
                  </w:r>
                </w:p>
              </w:tc>
              <w:tc>
                <w:tcPr>
                  <w:tcW w:w="1849" w:type="pct"/>
                  <w:tcBorders>
                    <w:tl2br w:val="nil"/>
                    <w:tr2bl w:val="nil"/>
                  </w:tcBorders>
                  <w:noWrap w:val="0"/>
                  <w:vAlign w:val="center"/>
                </w:tcPr>
                <w:p w14:paraId="082C6741">
                  <w:pPr>
                    <w:keepNext w:val="0"/>
                    <w:keepLines w:val="0"/>
                    <w:widowControl/>
                    <w:suppressLineNumbers w:val="0"/>
                    <w:jc w:val="center"/>
                    <w:rPr>
                      <w:rFonts w:hint="eastAsia"/>
                      <w:b w:val="0"/>
                      <w:bCs w:val="0"/>
                      <w:color w:val="auto"/>
                      <w:u w:val="none" w:color="auto"/>
                      <w:lang w:val="en-US" w:eastAsia="zh-CN"/>
                    </w:rPr>
                  </w:pPr>
                  <w:r>
                    <w:rPr>
                      <w:rFonts w:hint="default" w:ascii="Times New Roman" w:hAnsi="Times New Roman" w:eastAsia="宋体" w:cs="Times New Roman"/>
                      <w:color w:val="000000"/>
                      <w:kern w:val="0"/>
                      <w:sz w:val="21"/>
                      <w:szCs w:val="21"/>
                      <w:lang w:val="en-US" w:eastAsia="zh-CN" w:bidi="ar"/>
                    </w:rPr>
                    <w:t>1 万平方米彩色成像钢化玻璃</w:t>
                  </w:r>
                </w:p>
              </w:tc>
              <w:tc>
                <w:tcPr>
                  <w:tcW w:w="959" w:type="pct"/>
                  <w:tcBorders>
                    <w:right w:val="single" w:color="auto" w:sz="4" w:space="0"/>
                    <w:tl2br w:val="nil"/>
                    <w:tr2bl w:val="nil"/>
                  </w:tcBorders>
                  <w:noWrap w:val="0"/>
                  <w:vAlign w:val="center"/>
                </w:tcPr>
                <w:p w14:paraId="3EDC186E">
                  <w:pPr>
                    <w:pStyle w:val="115"/>
                    <w:rPr>
                      <w:rFonts w:hint="eastAsia" w:eastAsia="宋体"/>
                      <w:b w:val="0"/>
                      <w:bCs w:val="0"/>
                      <w:color w:val="auto"/>
                      <w:u w:val="none" w:color="auto"/>
                      <w:lang w:val="en-US" w:eastAsia="zh-CN"/>
                    </w:rPr>
                  </w:pPr>
                  <w:r>
                    <w:rPr>
                      <w:rFonts w:hint="eastAsia"/>
                      <w:b w:val="0"/>
                      <w:bCs w:val="0"/>
                      <w:color w:val="auto"/>
                      <w:u w:val="none" w:color="auto"/>
                      <w:lang w:val="en-US" w:eastAsia="zh-CN"/>
                    </w:rPr>
                    <w:t>单层</w:t>
                  </w:r>
                </w:p>
              </w:tc>
            </w:tr>
            <w:tr w14:paraId="3D7309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455" w:type="pct"/>
                  <w:vMerge w:val="continue"/>
                  <w:tcBorders>
                    <w:tl2br w:val="nil"/>
                    <w:tr2bl w:val="nil"/>
                  </w:tcBorders>
                  <w:noWrap w:val="0"/>
                  <w:vAlign w:val="center"/>
                </w:tcPr>
                <w:p w14:paraId="0E9B7319">
                  <w:pPr>
                    <w:pStyle w:val="115"/>
                  </w:pPr>
                </w:p>
              </w:tc>
              <w:tc>
                <w:tcPr>
                  <w:tcW w:w="1248" w:type="pct"/>
                  <w:vMerge w:val="continue"/>
                  <w:tcBorders>
                    <w:tl2br w:val="nil"/>
                    <w:tr2bl w:val="nil"/>
                  </w:tcBorders>
                  <w:noWrap w:val="0"/>
                  <w:vAlign w:val="center"/>
                </w:tcPr>
                <w:p w14:paraId="1C44ECF3">
                  <w:pPr>
                    <w:pStyle w:val="115"/>
                  </w:pPr>
                </w:p>
              </w:tc>
              <w:tc>
                <w:tcPr>
                  <w:tcW w:w="487" w:type="pct"/>
                  <w:vMerge w:val="continue"/>
                  <w:tcBorders>
                    <w:tl2br w:val="nil"/>
                    <w:tr2bl w:val="nil"/>
                  </w:tcBorders>
                  <w:noWrap w:val="0"/>
                  <w:vAlign w:val="center"/>
                </w:tcPr>
                <w:p w14:paraId="1BB9A40C">
                  <w:pPr>
                    <w:pStyle w:val="115"/>
                  </w:pPr>
                </w:p>
              </w:tc>
              <w:tc>
                <w:tcPr>
                  <w:tcW w:w="1849" w:type="pct"/>
                  <w:tcBorders>
                    <w:tl2br w:val="nil"/>
                    <w:tr2bl w:val="nil"/>
                  </w:tcBorders>
                  <w:noWrap w:val="0"/>
                  <w:vAlign w:val="center"/>
                </w:tcPr>
                <w:p w14:paraId="342CBCD6">
                  <w:pPr>
                    <w:rPr>
                      <w:rFonts w:hint="eastAsia"/>
                      <w:b w:val="0"/>
                      <w:bCs w:val="0"/>
                      <w:color w:val="auto"/>
                      <w:u w:val="none" w:color="auto"/>
                      <w:lang w:val="en-US" w:eastAsia="zh-CN"/>
                    </w:rPr>
                  </w:pPr>
                  <w:r>
                    <w:rPr>
                      <w:rFonts w:hint="default" w:ascii="Times New Roman" w:hAnsi="Times New Roman" w:eastAsia="宋体" w:cs="Times New Roman"/>
                      <w:color w:val="000000"/>
                      <w:kern w:val="0"/>
                      <w:sz w:val="21"/>
                      <w:szCs w:val="21"/>
                      <w:lang w:val="en-US" w:eastAsia="zh-CN" w:bidi="ar"/>
                    </w:rPr>
                    <w:t>4万平方米彩色成像夹胶玻璃</w:t>
                  </w:r>
                </w:p>
              </w:tc>
              <w:tc>
                <w:tcPr>
                  <w:tcW w:w="959" w:type="pct"/>
                  <w:tcBorders>
                    <w:right w:val="single" w:color="auto" w:sz="4" w:space="0"/>
                    <w:tl2br w:val="nil"/>
                    <w:tr2bl w:val="nil"/>
                  </w:tcBorders>
                  <w:noWrap w:val="0"/>
                  <w:vAlign w:val="center"/>
                </w:tcPr>
                <w:p w14:paraId="7E0A6FD4">
                  <w:pPr>
                    <w:pStyle w:val="115"/>
                    <w:rPr>
                      <w:rFonts w:hint="eastAsia"/>
                      <w:b w:val="0"/>
                      <w:bCs w:val="0"/>
                      <w:color w:val="auto"/>
                      <w:u w:val="none" w:color="auto"/>
                      <w:lang w:val="en-US" w:eastAsia="zh-CN"/>
                    </w:rPr>
                  </w:pPr>
                  <w:r>
                    <w:rPr>
                      <w:rFonts w:hint="default" w:ascii="Times New Roman" w:hAnsi="Times New Roman" w:eastAsia="宋体" w:cs="Times New Roman"/>
                      <w:color w:val="000000"/>
                      <w:kern w:val="0"/>
                      <w:sz w:val="21"/>
                      <w:szCs w:val="21"/>
                      <w:lang w:val="en-US" w:eastAsia="zh-CN" w:bidi="ar"/>
                    </w:rPr>
                    <w:t>双层</w:t>
                  </w:r>
                </w:p>
              </w:tc>
            </w:tr>
          </w:tbl>
          <w:p w14:paraId="48584CE6">
            <w:pPr>
              <w:pStyle w:val="21"/>
              <w:rPr>
                <w:rFonts w:hint="eastAsia" w:ascii="Times New Roman" w:hAnsi="Times New Roman" w:eastAsia="宋体" w:cs="Times New Roman"/>
                <w:b w:val="0"/>
                <w:bCs w:val="0"/>
                <w:snapToGrid w:val="0"/>
                <w:color w:val="auto"/>
                <w:kern w:val="0"/>
                <w:sz w:val="24"/>
                <w:szCs w:val="24"/>
                <w:lang w:val="en-US" w:eastAsia="zh-CN"/>
              </w:rPr>
            </w:pPr>
          </w:p>
          <w:p w14:paraId="53DDFE62">
            <w:pPr>
              <w:pStyle w:val="21"/>
              <w:numPr>
                <w:ilvl w:val="0"/>
                <w:numId w:val="8"/>
              </w:numPr>
              <w:spacing w:line="360" w:lineRule="auto"/>
              <w:ind w:left="0" w:leftChars="0" w:firstLine="482" w:firstLineChars="200"/>
              <w:rPr>
                <w:rFonts w:hint="eastAsia" w:ascii="Times New Roman" w:hAnsi="Times New Roman"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现有工程生产工艺</w:t>
            </w:r>
          </w:p>
          <w:p w14:paraId="0CC4A6E6">
            <w:pPr>
              <w:pStyle w:val="21"/>
              <w:numPr>
                <w:ilvl w:val="0"/>
                <w:numId w:val="0"/>
              </w:numPr>
              <w:spacing w:line="360" w:lineRule="auto"/>
              <w:ind w:firstLine="480" w:firstLineChars="200"/>
              <w:rPr>
                <w:rFonts w:hint="default"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现有工程产品与本项目产品基本一致，工艺流程也基本一致，本次不再对现有工程生产工艺进行描述。</w:t>
            </w:r>
          </w:p>
          <w:p w14:paraId="14CCC744">
            <w:pPr>
              <w:pStyle w:val="21"/>
              <w:numPr>
                <w:ilvl w:val="0"/>
                <w:numId w:val="8"/>
              </w:numPr>
              <w:spacing w:line="360" w:lineRule="auto"/>
              <w:ind w:left="0" w:leftChars="0" w:firstLine="482" w:firstLineChars="200"/>
              <w:rPr>
                <w:rFonts w:hint="default" w:ascii="Times New Roman" w:hAnsi="Times New Roman"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现有工程污染物产排情况分析</w:t>
            </w:r>
          </w:p>
          <w:p w14:paraId="6665FA61">
            <w:pPr>
              <w:spacing w:beforeLines="0" w:afterLines="0" w:line="360" w:lineRule="auto"/>
              <w:ind w:firstLine="482" w:firstLineChars="200"/>
              <w:jc w:val="left"/>
              <w:rPr>
                <w:rFonts w:hint="default" w:ascii="Times New Roman" w:hAnsi="Times New Roman" w:eastAsia="宋体" w:cs="Times New Roman"/>
                <w:sz w:val="24"/>
                <w:szCs w:val="24"/>
                <w:lang w:eastAsia="zh-CN"/>
              </w:rPr>
            </w:pPr>
            <w:r>
              <w:rPr>
                <w:rFonts w:hint="eastAsia" w:cs="Times New Roman"/>
                <w:b/>
                <w:bCs/>
                <w:snapToGrid w:val="0"/>
                <w:color w:val="auto"/>
                <w:kern w:val="0"/>
                <w:sz w:val="24"/>
                <w:szCs w:val="24"/>
                <w:lang w:val="en-US" w:eastAsia="zh-CN"/>
              </w:rPr>
              <w:t xml:space="preserve"> </w:t>
            </w:r>
            <w:r>
              <w:rPr>
                <w:rFonts w:hint="default" w:ascii="Times New Roman" w:hAnsi="Times New Roman" w:eastAsia="宋体" w:cs="Times New Roman"/>
                <w:sz w:val="24"/>
                <w:szCs w:val="24"/>
              </w:rPr>
              <w:t>现有工程各类产品生产过程中主要污染为：生产过程中产生的废水及员工生活污水，中空工序</w:t>
            </w:r>
            <w:r>
              <w:rPr>
                <w:rFonts w:hint="eastAsia" w:ascii="Times New Roman" w:hAnsi="Times New Roman" w:eastAsia="宋体" w:cs="Times New Roman"/>
                <w:sz w:val="24"/>
                <w:szCs w:val="24"/>
                <w:lang w:val="en-US" w:eastAsia="zh-CN"/>
              </w:rPr>
              <w:t>涂胶</w:t>
            </w:r>
            <w:r>
              <w:rPr>
                <w:rFonts w:hint="default" w:ascii="Times New Roman" w:hAnsi="Times New Roman" w:eastAsia="宋体" w:cs="Times New Roman"/>
                <w:sz w:val="24"/>
                <w:szCs w:val="24"/>
              </w:rPr>
              <w:t>固化过程中产生的有机废气（以非甲烷总烃计）</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彩色成像玻璃生产过程中彩打固化工序</w:t>
            </w:r>
            <w:r>
              <w:rPr>
                <w:rFonts w:hint="default" w:ascii="Times New Roman" w:hAnsi="Times New Roman" w:eastAsia="宋体" w:cs="Times New Roman"/>
                <w:sz w:val="24"/>
                <w:szCs w:val="24"/>
              </w:rPr>
              <w:t>产生的有机废气（以非甲烷总烃计），玻璃切割工序产生的玻璃边角料</w:t>
            </w:r>
            <w:r>
              <w:rPr>
                <w:rFonts w:hint="default" w:ascii="Times New Roman" w:hAnsi="Times New Roman" w:eastAsia="宋体" w:cs="Times New Roman"/>
                <w:sz w:val="24"/>
                <w:szCs w:val="24"/>
                <w:highlight w:val="none"/>
              </w:rPr>
              <w:t>、</w:t>
            </w:r>
            <w:r>
              <w:rPr>
                <w:rFonts w:hint="default" w:ascii="Times New Roman" w:hAnsi="Times New Roman" w:eastAsia="宋体" w:cs="Times New Roman"/>
                <w:sz w:val="24"/>
                <w:szCs w:val="24"/>
                <w:highlight w:val="none"/>
                <w:lang w:val="en-US" w:eastAsia="zh-CN"/>
              </w:rPr>
              <w:t>铝材切割产生的废金属材料</w:t>
            </w:r>
            <w:r>
              <w:rPr>
                <w:rFonts w:hint="default" w:ascii="Times New Roman" w:hAnsi="Times New Roman" w:eastAsia="宋体" w:cs="Times New Roman"/>
                <w:sz w:val="24"/>
                <w:szCs w:val="24"/>
                <w:highlight w:val="none"/>
              </w:rPr>
              <w:t>、</w:t>
            </w:r>
            <w:r>
              <w:rPr>
                <w:rFonts w:hint="default" w:ascii="Times New Roman" w:hAnsi="Times New Roman" w:eastAsia="宋体" w:cs="Times New Roman"/>
                <w:sz w:val="24"/>
                <w:szCs w:val="24"/>
              </w:rPr>
              <w:t>沉淀池产生的沉渣、不合格产品、废包装材料等一般工业固废，废胶桶、</w:t>
            </w:r>
            <w:r>
              <w:rPr>
                <w:rFonts w:hint="default" w:ascii="Times New Roman" w:hAnsi="Times New Roman" w:eastAsia="宋体" w:cs="Times New Roman"/>
                <w:sz w:val="24"/>
                <w:szCs w:val="24"/>
                <w:lang w:val="en-US" w:eastAsia="zh-CN"/>
              </w:rPr>
              <w:t>废油墨桶、</w:t>
            </w:r>
            <w:r>
              <w:rPr>
                <w:rFonts w:hint="default" w:ascii="Times New Roman" w:hAnsi="Times New Roman" w:eastAsia="宋体" w:cs="Times New Roman"/>
                <w:sz w:val="24"/>
                <w:szCs w:val="24"/>
              </w:rPr>
              <w:t>废活性炭、废靶材、废机油及废润滑油等危险废物，生产设备运行时产生的噪声</w:t>
            </w:r>
            <w:r>
              <w:rPr>
                <w:rFonts w:hint="default" w:ascii="Times New Roman" w:hAnsi="Times New Roman" w:eastAsia="宋体" w:cs="Times New Roman"/>
                <w:sz w:val="24"/>
                <w:szCs w:val="24"/>
                <w:lang w:eastAsia="zh-CN"/>
              </w:rPr>
              <w:t>。</w:t>
            </w:r>
          </w:p>
          <w:p w14:paraId="2856FA31">
            <w:pPr>
              <w:spacing w:beforeLines="0" w:afterLines="0" w:line="360" w:lineRule="auto"/>
              <w:ind w:firstLine="480" w:firstLineChars="20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现有工程于2025年5月</w:t>
            </w:r>
            <w:r>
              <w:rPr>
                <w:rFonts w:hint="eastAsia" w:ascii="Times New Roman" w:hAnsi="Times New Roman" w:eastAsia="宋体" w:cs="Times New Roman"/>
                <w:sz w:val="24"/>
                <w:szCs w:val="24"/>
                <w:lang w:val="en-US" w:eastAsia="zh-CN"/>
              </w:rPr>
              <w:t>27</w:t>
            </w:r>
            <w:r>
              <w:rPr>
                <w:rFonts w:hint="default" w:ascii="Times New Roman" w:hAnsi="Times New Roman" w:eastAsia="宋体" w:cs="Times New Roman"/>
                <w:sz w:val="24"/>
                <w:szCs w:val="24"/>
                <w:lang w:val="en-US" w:eastAsia="zh-CN"/>
              </w:rPr>
              <w:t>日对厂区内有组织废气、无组织废气及厂界噪声进行了</w:t>
            </w:r>
            <w:r>
              <w:rPr>
                <w:rFonts w:hint="eastAsia" w:ascii="Times New Roman" w:hAnsi="Times New Roman" w:eastAsia="宋体" w:cs="Times New Roman"/>
                <w:sz w:val="24"/>
                <w:szCs w:val="24"/>
                <w:lang w:val="en-US" w:eastAsia="zh-CN"/>
              </w:rPr>
              <w:t>自行</w:t>
            </w:r>
            <w:r>
              <w:rPr>
                <w:rFonts w:hint="default" w:ascii="Times New Roman" w:hAnsi="Times New Roman" w:eastAsia="宋体" w:cs="Times New Roman"/>
                <w:sz w:val="24"/>
                <w:szCs w:val="24"/>
                <w:lang w:val="en-US" w:eastAsia="zh-CN"/>
              </w:rPr>
              <w:t>监测，本次引用该监测数据来说明现有工程废气及噪声污染物排放情况。废水及固废主要根据现有工程验收报告及实际排放情况</w:t>
            </w:r>
            <w:r>
              <w:rPr>
                <w:rFonts w:hint="eastAsia" w:ascii="Times New Roman" w:hAnsi="Times New Roman" w:eastAsia="宋体" w:cs="Times New Roman"/>
                <w:sz w:val="24"/>
                <w:szCs w:val="24"/>
                <w:lang w:val="en-US" w:eastAsia="zh-CN"/>
              </w:rPr>
              <w:t>来</w:t>
            </w:r>
            <w:r>
              <w:rPr>
                <w:rFonts w:hint="default" w:ascii="Times New Roman" w:hAnsi="Times New Roman" w:eastAsia="宋体" w:cs="Times New Roman"/>
                <w:sz w:val="24"/>
                <w:szCs w:val="24"/>
                <w:lang w:val="en-US" w:eastAsia="zh-CN"/>
              </w:rPr>
              <w:t>进行说明。</w:t>
            </w:r>
          </w:p>
          <w:p w14:paraId="3C220E9C">
            <w:pPr>
              <w:numPr>
                <w:ilvl w:val="0"/>
                <w:numId w:val="9"/>
              </w:numPr>
              <w:spacing w:beforeLines="0" w:afterLines="0" w:line="360" w:lineRule="auto"/>
              <w:ind w:firstLine="482" w:firstLineChars="200"/>
              <w:jc w:val="left"/>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废气</w:t>
            </w:r>
          </w:p>
          <w:p w14:paraId="635418FD">
            <w:pPr>
              <w:numPr>
                <w:ilvl w:val="0"/>
                <w:numId w:val="0"/>
              </w:numPr>
              <w:spacing w:beforeLines="0" w:afterLines="0" w:line="360" w:lineRule="auto"/>
              <w:ind w:firstLine="480" w:firstLineChars="200"/>
              <w:jc w:val="left"/>
              <w:rPr>
                <w:rFonts w:hint="default" w:ascii="Times New Roman" w:hAnsi="Times New Roman" w:cs="Times New Roman"/>
                <w:sz w:val="24"/>
                <w:szCs w:val="24"/>
                <w:lang w:eastAsia="zh-CN"/>
              </w:rPr>
            </w:pPr>
            <w:r>
              <w:rPr>
                <w:rFonts w:hint="default" w:ascii="Times New Roman" w:hAnsi="Times New Roman" w:eastAsia="宋体" w:cs="Times New Roman"/>
                <w:sz w:val="24"/>
                <w:szCs w:val="24"/>
                <w:lang w:val="en-US" w:eastAsia="zh-CN"/>
              </w:rPr>
              <w:t>现有工程有组织废气主要包含</w:t>
            </w:r>
            <w:r>
              <w:rPr>
                <w:rFonts w:hint="default" w:ascii="Times New Roman" w:hAnsi="Times New Roman" w:eastAsia="宋体" w:cs="Times New Roman"/>
                <w:sz w:val="24"/>
                <w:szCs w:val="24"/>
              </w:rPr>
              <w:t>中空工序</w:t>
            </w:r>
            <w:r>
              <w:rPr>
                <w:rFonts w:hint="eastAsia" w:ascii="Times New Roman" w:hAnsi="Times New Roman" w:cs="Times New Roman"/>
                <w:sz w:val="24"/>
                <w:szCs w:val="24"/>
                <w:lang w:val="en-US" w:eastAsia="zh-CN"/>
              </w:rPr>
              <w:t>涂装</w:t>
            </w:r>
            <w:r>
              <w:rPr>
                <w:rFonts w:hint="default" w:ascii="Times New Roman" w:hAnsi="Times New Roman" w:eastAsia="宋体" w:cs="Times New Roman"/>
                <w:sz w:val="24"/>
                <w:szCs w:val="24"/>
              </w:rPr>
              <w:t>固化过程中产生的有机废气（以非甲烷总烃计）</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彩色成像玻璃生产过程中彩打固化工序</w:t>
            </w:r>
            <w:r>
              <w:rPr>
                <w:rFonts w:hint="default" w:ascii="Times New Roman" w:hAnsi="Times New Roman" w:eastAsia="宋体" w:cs="Times New Roman"/>
                <w:sz w:val="24"/>
                <w:szCs w:val="24"/>
              </w:rPr>
              <w:t>产生的有机废气（以非甲烷总烃计）</w:t>
            </w:r>
            <w:r>
              <w:rPr>
                <w:rFonts w:hint="default" w:ascii="Times New Roman" w:hAnsi="Times New Roman" w:cs="Times New Roman"/>
                <w:sz w:val="24"/>
                <w:szCs w:val="24"/>
                <w:lang w:eastAsia="zh-CN"/>
              </w:rPr>
              <w:t>。</w:t>
            </w:r>
          </w:p>
          <w:p w14:paraId="2BDCE847">
            <w:pPr>
              <w:numPr>
                <w:ilvl w:val="0"/>
                <w:numId w:val="0"/>
              </w:numPr>
              <w:spacing w:beforeLines="0" w:afterLines="0" w:line="360" w:lineRule="auto"/>
              <w:ind w:firstLine="480" w:firstLineChars="200"/>
              <w:jc w:val="left"/>
              <w:rPr>
                <w:rFonts w:hint="default" w:ascii="Times New Roman" w:hAnsi="Times New Roman" w:cs="Times New Roman"/>
                <w:sz w:val="24"/>
                <w:szCs w:val="24"/>
                <w:highlight w:val="none"/>
                <w:lang w:val="en-US" w:eastAsia="zh-CN"/>
              </w:rPr>
            </w:pPr>
            <w:r>
              <w:rPr>
                <w:rFonts w:hint="default" w:ascii="Times New Roman" w:hAnsi="Times New Roman" w:cs="Times New Roman"/>
                <w:sz w:val="24"/>
                <w:szCs w:val="24"/>
                <w:lang w:val="en-US" w:eastAsia="zh-CN"/>
              </w:rPr>
              <w:t>其中</w:t>
            </w:r>
            <w:r>
              <w:rPr>
                <w:rFonts w:hint="default" w:ascii="Times New Roman" w:hAnsi="Times New Roman" w:eastAsia="宋体" w:cs="Times New Roman"/>
                <w:sz w:val="24"/>
                <w:szCs w:val="24"/>
              </w:rPr>
              <w:t>中空工序</w:t>
            </w:r>
            <w:r>
              <w:rPr>
                <w:rFonts w:hint="eastAsia" w:ascii="Times New Roman" w:hAnsi="Times New Roman" w:cs="Times New Roman"/>
                <w:sz w:val="24"/>
                <w:szCs w:val="24"/>
                <w:lang w:val="en-US" w:eastAsia="zh-CN"/>
              </w:rPr>
              <w:t>涂装</w:t>
            </w:r>
            <w:r>
              <w:rPr>
                <w:rFonts w:hint="default" w:ascii="Times New Roman" w:hAnsi="Times New Roman" w:eastAsia="宋体" w:cs="Times New Roman"/>
                <w:sz w:val="24"/>
                <w:szCs w:val="24"/>
              </w:rPr>
              <w:t>固化过程中产生的有机废气（以非甲烷总烃计）</w:t>
            </w:r>
            <w:r>
              <w:rPr>
                <w:rFonts w:hint="default" w:ascii="Times New Roman" w:hAnsi="Times New Roman" w:cs="Times New Roman"/>
                <w:sz w:val="24"/>
                <w:szCs w:val="24"/>
                <w:lang w:val="en-US" w:eastAsia="zh-CN"/>
              </w:rPr>
              <w:t>经两级活性炭吸附后由一根15m高排气筒排放。河南精诚检测有限公司于2025年5月</w:t>
            </w:r>
            <w:r>
              <w:rPr>
                <w:rFonts w:hint="eastAsia" w:ascii="Times New Roman" w:hAnsi="Times New Roman" w:cs="Times New Roman"/>
                <w:sz w:val="24"/>
                <w:szCs w:val="24"/>
                <w:lang w:val="en-US" w:eastAsia="zh-CN"/>
              </w:rPr>
              <w:t>27</w:t>
            </w:r>
            <w:r>
              <w:rPr>
                <w:rFonts w:hint="default" w:ascii="Times New Roman" w:hAnsi="Times New Roman" w:cs="Times New Roman"/>
                <w:sz w:val="24"/>
                <w:szCs w:val="24"/>
                <w:lang w:val="en-US" w:eastAsia="zh-CN"/>
              </w:rPr>
              <w:t xml:space="preserve"> 日对该股废气排气筒中的非甲烷总烃浓度进行</w:t>
            </w:r>
            <w:r>
              <w:rPr>
                <w:rFonts w:hint="eastAsia" w:ascii="Times New Roman" w:hAnsi="Times New Roman" w:cs="Times New Roman"/>
                <w:sz w:val="24"/>
                <w:szCs w:val="24"/>
                <w:lang w:val="en-US" w:eastAsia="zh-CN"/>
              </w:rPr>
              <w:t>了</w:t>
            </w:r>
            <w:r>
              <w:rPr>
                <w:rFonts w:hint="default" w:ascii="Times New Roman" w:hAnsi="Times New Roman" w:cs="Times New Roman"/>
                <w:sz w:val="24"/>
                <w:szCs w:val="24"/>
                <w:lang w:val="en-US" w:eastAsia="zh-CN"/>
              </w:rPr>
              <w:t>检测，有组织非甲烷总烃排放浓度范围</w:t>
            </w:r>
            <w:r>
              <w:rPr>
                <w:rFonts w:hint="eastAsia" w:ascii="Times New Roman" w:hAnsi="Times New Roman" w:cs="Times New Roman"/>
                <w:sz w:val="24"/>
                <w:szCs w:val="24"/>
                <w:lang w:val="en-US" w:eastAsia="zh-CN"/>
              </w:rPr>
              <w:t>为</w:t>
            </w:r>
            <w:r>
              <w:rPr>
                <w:rFonts w:hint="default" w:ascii="Times New Roman" w:hAnsi="Times New Roman" w:cs="Times New Roman"/>
                <w:sz w:val="24"/>
                <w:szCs w:val="24"/>
                <w:lang w:val="en-US" w:eastAsia="zh-CN"/>
              </w:rPr>
              <w:t>3.37-3.64mg/m</w:t>
            </w:r>
            <w:r>
              <w:rPr>
                <w:rFonts w:hint="default" w:ascii="Times New Roman" w:hAnsi="Times New Roman" w:cs="Times New Roman"/>
                <w:sz w:val="24"/>
                <w:szCs w:val="24"/>
                <w:vertAlign w:val="superscript"/>
                <w:lang w:val="en-US" w:eastAsia="zh-CN"/>
              </w:rPr>
              <w:t>3</w:t>
            </w:r>
            <w:r>
              <w:rPr>
                <w:rFonts w:hint="default" w:ascii="Times New Roman" w:hAnsi="Times New Roman" w:cs="Times New Roman"/>
                <w:sz w:val="24"/>
                <w:szCs w:val="24"/>
                <w:lang w:val="en-US" w:eastAsia="zh-CN"/>
              </w:rPr>
              <w:t>，</w:t>
            </w:r>
            <w:r>
              <w:rPr>
                <w:rFonts w:hint="eastAsia" w:ascii="Times New Roman" w:hAnsi="Times New Roman" w:cs="Times New Roman"/>
                <w:sz w:val="24"/>
                <w:szCs w:val="24"/>
                <w:highlight w:val="none"/>
                <w:lang w:val="en-US" w:eastAsia="zh-CN"/>
              </w:rPr>
              <w:t>排放浓度</w:t>
            </w:r>
            <w:r>
              <w:rPr>
                <w:rFonts w:hint="default" w:ascii="Times New Roman" w:hAnsi="Times New Roman" w:cs="Times New Roman"/>
                <w:sz w:val="24"/>
                <w:szCs w:val="24"/>
                <w:highlight w:val="none"/>
                <w:lang w:val="en-US" w:eastAsia="zh-CN"/>
              </w:rPr>
              <w:t>满足</w:t>
            </w:r>
            <w:r>
              <w:rPr>
                <w:rFonts w:hint="eastAsia"/>
                <w:b w:val="0"/>
                <w:bCs/>
                <w:kern w:val="2"/>
                <w:sz w:val="24"/>
                <w:szCs w:val="24"/>
                <w:highlight w:val="none"/>
                <w:lang w:val="en-US" w:eastAsia="zh-CN" w:bidi="ar-SA"/>
              </w:rPr>
              <w:t>《玻璃工业大气污染物排放标准》（GB26453—2022）表1</w:t>
            </w:r>
            <w:r>
              <w:rPr>
                <w:rFonts w:hint="eastAsia" w:ascii="Times New Roman" w:hAnsi="Times New Roman" w:cs="Times New Roman"/>
                <w:b w:val="0"/>
                <w:bCs w:val="0"/>
                <w:sz w:val="24"/>
                <w:szCs w:val="24"/>
                <w:highlight w:val="none"/>
                <w:u w:val="none"/>
                <w:lang w:val="en-US" w:eastAsia="zh-CN"/>
              </w:rPr>
              <w:t>标准（</w:t>
            </w:r>
            <w:r>
              <w:rPr>
                <w:rFonts w:hint="default" w:ascii="Times New Roman" w:hAnsi="Times New Roman" w:cs="Times New Roman"/>
                <w:sz w:val="24"/>
                <w:szCs w:val="24"/>
                <w:highlight w:val="none"/>
                <w:lang w:val="en-US" w:eastAsia="zh-CN"/>
              </w:rPr>
              <w:t>非甲烷总烃排放浓度≤80mg/m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b w:val="0"/>
                <w:bCs w:val="0"/>
                <w:sz w:val="24"/>
                <w:szCs w:val="24"/>
                <w:highlight w:val="none"/>
                <w:u w:val="none"/>
                <w:lang w:val="en-US" w:eastAsia="zh-CN"/>
              </w:rPr>
              <w:t>）</w:t>
            </w:r>
            <w:r>
              <w:rPr>
                <w:rFonts w:hint="default" w:ascii="Times New Roman" w:hAnsi="Times New Roman" w:cs="Times New Roman"/>
                <w:sz w:val="24"/>
                <w:szCs w:val="24"/>
                <w:highlight w:val="none"/>
                <w:lang w:val="en-US" w:eastAsia="zh-CN"/>
              </w:rPr>
              <w:t>要求，排放浓度同时满足《关于全省开展工业企业挥发性有机物专项治理工作中排放建议值的通知》（豫环攻坚办[2017]162 号）（其他行业有组织非甲烷总烃排放浓度≤80mg/m</w:t>
            </w:r>
            <w:r>
              <w:rPr>
                <w:rFonts w:hint="default" w:ascii="Times New Roman" w:hAnsi="Times New Roman" w:cs="Times New Roman"/>
                <w:sz w:val="24"/>
                <w:szCs w:val="24"/>
                <w:highlight w:val="none"/>
                <w:vertAlign w:val="superscript"/>
                <w:lang w:val="en-US" w:eastAsia="zh-CN"/>
              </w:rPr>
              <w:t>3</w:t>
            </w:r>
            <w:r>
              <w:rPr>
                <w:rFonts w:hint="default" w:ascii="Times New Roman" w:hAnsi="Times New Roman" w:cs="Times New Roman"/>
                <w:sz w:val="24"/>
                <w:szCs w:val="24"/>
                <w:highlight w:val="none"/>
                <w:lang w:val="en-US" w:eastAsia="zh-CN"/>
              </w:rPr>
              <w:t>）</w:t>
            </w:r>
            <w:r>
              <w:rPr>
                <w:rFonts w:hint="eastAsia" w:ascii="Times New Roman" w:hAnsi="Times New Roman" w:cs="Times New Roman"/>
                <w:sz w:val="24"/>
                <w:szCs w:val="24"/>
                <w:highlight w:val="none"/>
                <w:lang w:val="en-US" w:eastAsia="zh-CN"/>
              </w:rPr>
              <w:t>以及</w:t>
            </w:r>
            <w:r>
              <w:rPr>
                <w:rFonts w:hint="default" w:ascii="Times New Roman" w:hAnsi="Times New Roman" w:cs="Times New Roman"/>
                <w:sz w:val="24"/>
                <w:szCs w:val="24"/>
                <w:highlight w:val="none"/>
                <w:lang w:val="en-US" w:eastAsia="zh-CN"/>
              </w:rPr>
              <w:t>《重污染天气重点行业应急减排措施制定技术指南》玻璃行业中玻璃后加工企业引领性指标</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非甲烷总烃排放浓度≤</w:t>
            </w:r>
            <w:r>
              <w:rPr>
                <w:rFonts w:hint="eastAsia" w:ascii="Times New Roman" w:hAnsi="Times New Roman" w:cs="Times New Roman"/>
                <w:sz w:val="24"/>
                <w:szCs w:val="24"/>
                <w:highlight w:val="none"/>
                <w:lang w:val="en-US" w:eastAsia="zh-CN"/>
              </w:rPr>
              <w:t>6</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sz w:val="24"/>
                <w:szCs w:val="24"/>
                <w:highlight w:val="none"/>
                <w:lang w:val="en-US" w:eastAsia="zh-CN"/>
              </w:rPr>
              <w:t>）。</w:t>
            </w:r>
          </w:p>
          <w:p w14:paraId="2BB26ABD">
            <w:pPr>
              <w:numPr>
                <w:ilvl w:val="0"/>
                <w:numId w:val="0"/>
              </w:numPr>
              <w:spacing w:beforeLines="0" w:afterLines="0" w:line="360" w:lineRule="auto"/>
              <w:jc w:val="center"/>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 xml:space="preserve">  </w:t>
            </w:r>
            <w:r>
              <w:drawing>
                <wp:anchor distT="0" distB="0" distL="114300" distR="114300" simplePos="0" relativeHeight="251660288" behindDoc="1" locked="0" layoutInCell="1" allowOverlap="1">
                  <wp:simplePos x="0" y="0"/>
                  <wp:positionH relativeFrom="column">
                    <wp:posOffset>42545</wp:posOffset>
                  </wp:positionH>
                  <wp:positionV relativeFrom="paragraph">
                    <wp:posOffset>229870</wp:posOffset>
                  </wp:positionV>
                  <wp:extent cx="5232400" cy="1602740"/>
                  <wp:effectExtent l="0" t="0" r="6350" b="16510"/>
                  <wp:wrapNone/>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8"/>
                          <a:stretch>
                            <a:fillRect/>
                          </a:stretch>
                        </pic:blipFill>
                        <pic:spPr>
                          <a:xfrm>
                            <a:off x="0" y="0"/>
                            <a:ext cx="5232400" cy="1602740"/>
                          </a:xfrm>
                          <a:prstGeom prst="rect">
                            <a:avLst/>
                          </a:prstGeom>
                          <a:noFill/>
                          <a:ln>
                            <a:noFill/>
                          </a:ln>
                        </pic:spPr>
                      </pic:pic>
                    </a:graphicData>
                  </a:graphic>
                </wp:anchor>
              </w:drawing>
            </w:r>
            <w:r>
              <w:rPr>
                <w:rFonts w:hint="eastAsia" w:ascii="Times New Roman" w:hAnsi="Times New Roman" w:cs="Times New Roman"/>
                <w:b/>
                <w:bCs/>
                <w:sz w:val="24"/>
                <w:szCs w:val="24"/>
                <w:lang w:val="en-US" w:eastAsia="zh-CN"/>
              </w:rPr>
              <w:t>表2-10    有组织废气（</w:t>
            </w:r>
            <w:r>
              <w:rPr>
                <w:rFonts w:hint="default" w:ascii="Times New Roman" w:hAnsi="Times New Roman" w:eastAsia="宋体" w:cs="Times New Roman"/>
                <w:b/>
                <w:bCs/>
                <w:sz w:val="24"/>
                <w:szCs w:val="24"/>
              </w:rPr>
              <w:t>中空工序固化</w:t>
            </w:r>
            <w:r>
              <w:rPr>
                <w:rFonts w:hint="eastAsia" w:cs="Times New Roman"/>
                <w:b/>
                <w:bCs/>
                <w:sz w:val="24"/>
                <w:szCs w:val="24"/>
                <w:lang w:val="en-US" w:eastAsia="zh-CN"/>
              </w:rPr>
              <w:t>过程</w:t>
            </w:r>
            <w:r>
              <w:rPr>
                <w:rFonts w:hint="eastAsia" w:ascii="Times New Roman" w:hAnsi="Times New Roman" w:cs="Times New Roman"/>
                <w:b/>
                <w:bCs/>
                <w:sz w:val="24"/>
                <w:szCs w:val="24"/>
                <w:lang w:val="en-US" w:eastAsia="zh-CN"/>
              </w:rPr>
              <w:t>）监测结果表</w:t>
            </w:r>
          </w:p>
          <w:p w14:paraId="1943D3C8">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47C79AC2">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50F672DC">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0D7B63EB">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3A7E8D62">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11388338">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7FD5C9D0">
            <w:pPr>
              <w:numPr>
                <w:ilvl w:val="0"/>
                <w:numId w:val="0"/>
              </w:numPr>
              <w:spacing w:beforeLines="0" w:afterLines="0" w:line="360" w:lineRule="auto"/>
              <w:jc w:val="left"/>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 xml:space="preserve"> </w:t>
            </w:r>
            <w:r>
              <w:rPr>
                <w:rFonts w:hint="eastAsia" w:ascii="Times New Roman" w:hAnsi="Times New Roman" w:cs="Times New Roman"/>
                <w:sz w:val="24"/>
                <w:szCs w:val="24"/>
                <w:lang w:val="en-US" w:eastAsia="zh-CN"/>
              </w:rPr>
              <w:t xml:space="preserve">      </w:t>
            </w:r>
            <w:r>
              <w:rPr>
                <w:rFonts w:hint="default" w:ascii="Times New Roman" w:hAnsi="Times New Roman" w:eastAsia="宋体" w:cs="Times New Roman"/>
                <w:sz w:val="24"/>
                <w:szCs w:val="24"/>
                <w:lang w:val="en-US" w:eastAsia="zh-CN"/>
              </w:rPr>
              <w:t>彩色成像玻璃生产过程中彩打固化工序</w:t>
            </w:r>
            <w:r>
              <w:rPr>
                <w:rFonts w:hint="default" w:ascii="Times New Roman" w:hAnsi="Times New Roman" w:eastAsia="宋体" w:cs="Times New Roman"/>
                <w:sz w:val="24"/>
                <w:szCs w:val="24"/>
              </w:rPr>
              <w:t>产生的有机废气（以非甲烷总烃计）</w:t>
            </w:r>
            <w:r>
              <w:rPr>
                <w:rFonts w:hint="default" w:ascii="Times New Roman" w:hAnsi="Times New Roman" w:cs="Times New Roman"/>
                <w:sz w:val="24"/>
                <w:szCs w:val="24"/>
                <w:lang w:val="en-US" w:eastAsia="zh-CN"/>
              </w:rPr>
              <w:t>，经集气罩收集后通过15m 高排气</w:t>
            </w:r>
            <w:r>
              <w:rPr>
                <w:rFonts w:hint="eastAsia" w:cs="Times New Roman"/>
                <w:sz w:val="24"/>
                <w:szCs w:val="24"/>
                <w:lang w:val="en-US" w:eastAsia="zh-CN"/>
              </w:rPr>
              <w:t>筒</w:t>
            </w:r>
            <w:r>
              <w:rPr>
                <w:rFonts w:hint="default" w:ascii="Times New Roman" w:hAnsi="Times New Roman" w:cs="Times New Roman"/>
                <w:sz w:val="24"/>
                <w:szCs w:val="24"/>
                <w:lang w:val="en-US" w:eastAsia="zh-CN"/>
              </w:rPr>
              <w:t>直接排放。河南精诚检测有限公司于2025年5月</w:t>
            </w:r>
            <w:r>
              <w:rPr>
                <w:rFonts w:hint="eastAsia" w:ascii="Times New Roman" w:hAnsi="Times New Roman" w:cs="Times New Roman"/>
                <w:sz w:val="24"/>
                <w:szCs w:val="24"/>
                <w:lang w:val="en-US" w:eastAsia="zh-CN"/>
              </w:rPr>
              <w:t>27</w:t>
            </w:r>
            <w:r>
              <w:rPr>
                <w:rFonts w:hint="default" w:ascii="Times New Roman" w:hAnsi="Times New Roman" w:cs="Times New Roman"/>
                <w:sz w:val="24"/>
                <w:szCs w:val="24"/>
                <w:lang w:val="en-US" w:eastAsia="zh-CN"/>
              </w:rPr>
              <w:t xml:space="preserve"> 日对该股废气排气筒中的非甲烷总烃浓度进行</w:t>
            </w:r>
            <w:r>
              <w:rPr>
                <w:rFonts w:hint="eastAsia" w:ascii="Times New Roman" w:hAnsi="Times New Roman" w:cs="Times New Roman"/>
                <w:sz w:val="24"/>
                <w:szCs w:val="24"/>
                <w:lang w:val="en-US" w:eastAsia="zh-CN"/>
              </w:rPr>
              <w:t>了</w:t>
            </w:r>
            <w:r>
              <w:rPr>
                <w:rFonts w:hint="default" w:ascii="Times New Roman" w:hAnsi="Times New Roman" w:cs="Times New Roman"/>
                <w:sz w:val="24"/>
                <w:szCs w:val="24"/>
                <w:lang w:val="en-US" w:eastAsia="zh-CN"/>
              </w:rPr>
              <w:t>检测，有组织非甲烷总烃排放浓度范围3.65-3.73mg/m</w:t>
            </w:r>
            <w:r>
              <w:rPr>
                <w:rFonts w:hint="default" w:ascii="Times New Roman" w:hAnsi="Times New Roman" w:cs="Times New Roman"/>
                <w:sz w:val="24"/>
                <w:szCs w:val="24"/>
                <w:vertAlign w:val="superscript"/>
                <w:lang w:val="en-US" w:eastAsia="zh-CN"/>
              </w:rPr>
              <w:t>3</w:t>
            </w:r>
            <w:r>
              <w:rPr>
                <w:rFonts w:hint="default" w:ascii="Times New Roman" w:hAnsi="Times New Roman" w:cs="Times New Roman"/>
                <w:sz w:val="24"/>
                <w:szCs w:val="24"/>
                <w:lang w:val="en-US" w:eastAsia="zh-CN"/>
              </w:rPr>
              <w:t>，排放速率范围0.00379kg/h~0.00409kg/h，排放浓度及排放速率均满足《印刷工业挥发性有机物排放标准》</w:t>
            </w:r>
            <w:r>
              <w:rPr>
                <w:rFonts w:hint="eastAsia" w:ascii="Times New Roman" w:hAnsi="Times New Roman" w:cs="Times New Roman"/>
                <w:sz w:val="24"/>
                <w:szCs w:val="24"/>
                <w:lang w:val="en-US" w:eastAsia="zh-CN"/>
              </w:rPr>
              <w:t>（</w:t>
            </w:r>
            <w:r>
              <w:rPr>
                <w:rFonts w:hint="default" w:ascii="Times New Roman" w:hAnsi="Times New Roman" w:cs="Times New Roman"/>
                <w:sz w:val="24"/>
                <w:szCs w:val="24"/>
                <w:lang w:val="en-US" w:eastAsia="zh-CN"/>
              </w:rPr>
              <w:t>DB41/1956-2020</w:t>
            </w:r>
            <w:r>
              <w:rPr>
                <w:rFonts w:hint="eastAsia" w:ascii="Times New Roman" w:hAnsi="Times New Roman" w:cs="Times New Roman"/>
                <w:sz w:val="24"/>
                <w:szCs w:val="24"/>
                <w:lang w:val="en-US" w:eastAsia="zh-CN"/>
              </w:rPr>
              <w:t>）</w:t>
            </w:r>
            <w:r>
              <w:rPr>
                <w:rFonts w:hint="default" w:ascii="Times New Roman" w:hAnsi="Times New Roman" w:cs="Times New Roman"/>
                <w:sz w:val="24"/>
                <w:szCs w:val="24"/>
                <w:lang w:val="en-US" w:eastAsia="zh-CN"/>
              </w:rPr>
              <w:t>表1 限值</w:t>
            </w:r>
            <w:r>
              <w:rPr>
                <w:rFonts w:hint="eastAsia" w:ascii="Times New Roman" w:hAnsi="Times New Roman" w:cs="Times New Roman"/>
                <w:sz w:val="24"/>
                <w:szCs w:val="24"/>
                <w:lang w:val="en-US" w:eastAsia="zh-CN"/>
              </w:rPr>
              <w:t>（有组织非甲烷总烃排放浓度≤40mg/m</w:t>
            </w:r>
            <w:r>
              <w:rPr>
                <w:rFonts w:hint="eastAsia" w:ascii="Times New Roman" w:hAnsi="Times New Roman" w:cs="Times New Roman"/>
                <w:sz w:val="24"/>
                <w:szCs w:val="24"/>
                <w:vertAlign w:val="superscript"/>
                <w:lang w:val="en-US" w:eastAsia="zh-CN"/>
              </w:rPr>
              <w:t>3</w:t>
            </w:r>
            <w:r>
              <w:rPr>
                <w:rFonts w:hint="eastAsia" w:ascii="Times New Roman" w:hAnsi="Times New Roman" w:cs="Times New Roman"/>
                <w:sz w:val="24"/>
                <w:szCs w:val="24"/>
                <w:lang w:val="en-US" w:eastAsia="zh-CN"/>
              </w:rPr>
              <w:t>，排放速率≤1kg/h）</w:t>
            </w:r>
            <w:r>
              <w:rPr>
                <w:rFonts w:hint="default" w:ascii="Times New Roman" w:hAnsi="Times New Roman" w:cs="Times New Roman"/>
                <w:sz w:val="24"/>
                <w:szCs w:val="24"/>
                <w:lang w:val="en-US" w:eastAsia="zh-CN"/>
              </w:rPr>
              <w:t>要求</w:t>
            </w:r>
            <w:r>
              <w:rPr>
                <w:rFonts w:hint="eastAsia" w:ascii="Times New Roman" w:hAnsi="Times New Roman" w:cs="Times New Roman"/>
                <w:sz w:val="24"/>
                <w:szCs w:val="24"/>
                <w:lang w:val="en-US" w:eastAsia="zh-CN"/>
              </w:rPr>
              <w:t>，排放浓度同时满足</w:t>
            </w:r>
            <w:r>
              <w:rPr>
                <w:rFonts w:hint="default" w:ascii="Times New Roman" w:hAnsi="Times New Roman" w:cs="Times New Roman"/>
                <w:sz w:val="24"/>
                <w:szCs w:val="24"/>
                <w:highlight w:val="none"/>
                <w:lang w:val="en-US" w:eastAsia="zh-CN"/>
              </w:rPr>
              <w:t>《关于全省开展工业企业挥发性有机物专项治理工作中排放建议值的通知》（豫环攻坚办[2017]162 号）（印刷行业有组织非甲烷总烃排放浓度≤</w:t>
            </w:r>
            <w:r>
              <w:rPr>
                <w:rFonts w:hint="eastAsia" w:ascii="Times New Roman" w:hAnsi="Times New Roman" w:cs="Times New Roman"/>
                <w:sz w:val="24"/>
                <w:szCs w:val="24"/>
                <w:highlight w:val="none"/>
                <w:lang w:val="en-US" w:eastAsia="zh-CN"/>
              </w:rPr>
              <w:t>5</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default" w:ascii="Times New Roman" w:hAnsi="Times New Roman" w:cs="Times New Roman"/>
                <w:sz w:val="24"/>
                <w:szCs w:val="24"/>
                <w:highlight w:val="none"/>
                <w:lang w:val="en-US" w:eastAsia="zh-CN"/>
              </w:rPr>
              <w:t>）</w:t>
            </w:r>
            <w:r>
              <w:rPr>
                <w:rFonts w:hint="eastAsia" w:ascii="Times New Roman" w:hAnsi="Times New Roman" w:cs="Times New Roman"/>
                <w:sz w:val="24"/>
                <w:szCs w:val="24"/>
                <w:highlight w:val="none"/>
                <w:lang w:val="en-US" w:eastAsia="zh-CN"/>
              </w:rPr>
              <w:t>以及</w:t>
            </w:r>
            <w:r>
              <w:rPr>
                <w:rFonts w:hint="default" w:ascii="Times New Roman" w:hAnsi="Times New Roman" w:cs="Times New Roman"/>
                <w:sz w:val="24"/>
                <w:szCs w:val="24"/>
                <w:highlight w:val="none"/>
                <w:lang w:val="en-US" w:eastAsia="zh-CN"/>
              </w:rPr>
              <w:t>《重污染天气重点行业应急减排措施制定技术指南》玻璃行业中玻璃后加工企业引领性指标</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非甲烷总烃排放浓度≤</w:t>
            </w:r>
            <w:r>
              <w:rPr>
                <w:rFonts w:hint="eastAsia" w:ascii="Times New Roman" w:hAnsi="Times New Roman" w:cs="Times New Roman"/>
                <w:sz w:val="24"/>
                <w:szCs w:val="24"/>
                <w:highlight w:val="none"/>
                <w:lang w:val="en-US" w:eastAsia="zh-CN"/>
              </w:rPr>
              <w:t>6</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sz w:val="24"/>
                <w:szCs w:val="24"/>
                <w:highlight w:val="none"/>
                <w:lang w:val="en-US" w:eastAsia="zh-CN"/>
              </w:rPr>
              <w:t>）和包装印刷行业A级企业指标要求（</w:t>
            </w:r>
            <w:r>
              <w:rPr>
                <w:rFonts w:hint="default" w:ascii="Times New Roman" w:hAnsi="Times New Roman" w:cs="Times New Roman"/>
                <w:sz w:val="24"/>
                <w:szCs w:val="24"/>
                <w:highlight w:val="none"/>
                <w:lang w:val="en-US" w:eastAsia="zh-CN"/>
              </w:rPr>
              <w:t>非甲烷总烃排放浓度≤</w:t>
            </w:r>
            <w:r>
              <w:rPr>
                <w:rFonts w:hint="eastAsia" w:ascii="Times New Roman" w:hAnsi="Times New Roman" w:cs="Times New Roman"/>
                <w:sz w:val="24"/>
                <w:szCs w:val="24"/>
                <w:highlight w:val="none"/>
                <w:lang w:val="en-US" w:eastAsia="zh-CN"/>
              </w:rPr>
              <w:t>3</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lang w:val="en-US" w:eastAsia="zh-CN"/>
              </w:rPr>
              <w:t>。</w:t>
            </w:r>
          </w:p>
          <w:p w14:paraId="15DD1B2F">
            <w:pPr>
              <w:numPr>
                <w:ilvl w:val="0"/>
                <w:numId w:val="0"/>
              </w:numPr>
              <w:spacing w:beforeLines="0" w:afterLines="0" w:line="360" w:lineRule="auto"/>
              <w:ind w:firstLine="211" w:firstLineChars="100"/>
              <w:jc w:val="left"/>
              <w:rPr>
                <w:rFonts w:hint="default" w:ascii="Times New Roman" w:hAnsi="Times New Roman" w:cs="Times New Roman"/>
                <w:b/>
                <w:bCs/>
                <w:sz w:val="24"/>
                <w:szCs w:val="24"/>
                <w:lang w:val="en-US" w:eastAsia="zh-CN"/>
              </w:rPr>
            </w:pPr>
            <w:r>
              <w:rPr>
                <w:b/>
                <w:bCs/>
              </w:rPr>
              <w:drawing>
                <wp:anchor distT="0" distB="0" distL="114300" distR="114300" simplePos="0" relativeHeight="251660288" behindDoc="1" locked="0" layoutInCell="1" allowOverlap="1">
                  <wp:simplePos x="0" y="0"/>
                  <wp:positionH relativeFrom="column">
                    <wp:posOffset>52070</wp:posOffset>
                  </wp:positionH>
                  <wp:positionV relativeFrom="paragraph">
                    <wp:posOffset>193040</wp:posOffset>
                  </wp:positionV>
                  <wp:extent cx="5238750" cy="1525270"/>
                  <wp:effectExtent l="0" t="0" r="0" b="17780"/>
                  <wp:wrapNone/>
                  <wp:docPr id="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pic:cNvPicPr>
                            <a:picLocks noChangeAspect="1"/>
                          </pic:cNvPicPr>
                        </pic:nvPicPr>
                        <pic:blipFill>
                          <a:blip r:embed="rId9"/>
                          <a:stretch>
                            <a:fillRect/>
                          </a:stretch>
                        </pic:blipFill>
                        <pic:spPr>
                          <a:xfrm>
                            <a:off x="0" y="0"/>
                            <a:ext cx="5238750" cy="1525270"/>
                          </a:xfrm>
                          <a:prstGeom prst="rect">
                            <a:avLst/>
                          </a:prstGeom>
                          <a:noFill/>
                          <a:ln>
                            <a:noFill/>
                          </a:ln>
                        </pic:spPr>
                      </pic:pic>
                    </a:graphicData>
                  </a:graphic>
                </wp:anchor>
              </w:drawing>
            </w:r>
            <w:r>
              <w:rPr>
                <w:rFonts w:hint="eastAsia" w:ascii="Times New Roman" w:hAnsi="Times New Roman" w:cs="Times New Roman"/>
                <w:b/>
                <w:bCs/>
                <w:sz w:val="24"/>
                <w:szCs w:val="24"/>
                <w:lang w:val="en-US" w:eastAsia="zh-CN"/>
              </w:rPr>
              <w:t>表2-11   有组织废气（</w:t>
            </w:r>
            <w:r>
              <w:rPr>
                <w:rFonts w:hint="default" w:ascii="Times New Roman" w:hAnsi="Times New Roman" w:cs="Times New Roman"/>
                <w:b/>
                <w:bCs/>
                <w:sz w:val="24"/>
                <w:szCs w:val="24"/>
                <w:lang w:val="en-US" w:eastAsia="zh-CN"/>
              </w:rPr>
              <w:t xml:space="preserve"> </w:t>
            </w:r>
            <w:r>
              <w:rPr>
                <w:rFonts w:hint="default" w:ascii="Times New Roman" w:hAnsi="Times New Roman" w:eastAsia="宋体" w:cs="Times New Roman"/>
                <w:b/>
                <w:bCs/>
                <w:sz w:val="24"/>
                <w:szCs w:val="24"/>
                <w:lang w:val="en-US" w:eastAsia="zh-CN"/>
              </w:rPr>
              <w:t>彩色成像玻璃生产过程中彩打固化工序</w:t>
            </w:r>
            <w:r>
              <w:rPr>
                <w:rFonts w:hint="eastAsia" w:ascii="Times New Roman" w:hAnsi="Times New Roman" w:cs="Times New Roman"/>
                <w:b/>
                <w:bCs/>
                <w:sz w:val="24"/>
                <w:szCs w:val="24"/>
                <w:lang w:val="en-US" w:eastAsia="zh-CN"/>
              </w:rPr>
              <w:t>）监测结果表</w:t>
            </w:r>
          </w:p>
          <w:p w14:paraId="3DE69023">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0CA01C05">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5BA0E78E">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4190C2A2">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4A23C8F1">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20CB0059">
            <w:pPr>
              <w:numPr>
                <w:ilvl w:val="0"/>
                <w:numId w:val="0"/>
              </w:numPr>
              <w:spacing w:beforeLines="0" w:afterLines="0" w:line="360" w:lineRule="auto"/>
              <w:jc w:val="left"/>
              <w:rPr>
                <w:rFonts w:hint="default" w:ascii="Times New Roman" w:hAnsi="Times New Roman" w:cs="Times New Roman"/>
                <w:sz w:val="24"/>
                <w:szCs w:val="24"/>
                <w:lang w:val="en-US" w:eastAsia="zh-CN"/>
              </w:rPr>
            </w:pPr>
          </w:p>
          <w:p w14:paraId="09988C2F">
            <w:pPr>
              <w:numPr>
                <w:ilvl w:val="0"/>
                <w:numId w:val="0"/>
              </w:numPr>
              <w:spacing w:beforeLines="0" w:afterLines="0" w:line="360" w:lineRule="auto"/>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 xml:space="preserve">       无组织废气监测如下：</w:t>
            </w:r>
          </w:p>
          <w:p w14:paraId="374605DF">
            <w:pPr>
              <w:numPr>
                <w:ilvl w:val="0"/>
                <w:numId w:val="0"/>
              </w:numPr>
              <w:spacing w:beforeLines="0" w:afterLines="0" w:line="360" w:lineRule="auto"/>
              <w:jc w:val="center"/>
              <w:rPr>
                <w:rFonts w:hint="default"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表2-12    无组织废气监测结果表</w:t>
            </w:r>
          </w:p>
          <w:p w14:paraId="6BB92464">
            <w:pPr>
              <w:numPr>
                <w:ilvl w:val="0"/>
                <w:numId w:val="0"/>
              </w:numPr>
              <w:spacing w:beforeLines="0" w:afterLines="0" w:line="360" w:lineRule="auto"/>
              <w:jc w:val="left"/>
              <w:rPr>
                <w:rFonts w:hint="default" w:ascii="Times New Roman" w:hAnsi="Times New Roman" w:cs="Times New Roman"/>
                <w:sz w:val="24"/>
                <w:szCs w:val="24"/>
                <w:lang w:val="en-US" w:eastAsia="zh-CN"/>
              </w:rPr>
            </w:pPr>
            <w:r>
              <w:drawing>
                <wp:inline distT="0" distB="0" distL="114300" distR="114300">
                  <wp:extent cx="5229860" cy="1595120"/>
                  <wp:effectExtent l="0" t="0" r="8890" b="5080"/>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pic:cNvPicPr>
                        </pic:nvPicPr>
                        <pic:blipFill>
                          <a:blip r:embed="rId10"/>
                          <a:stretch>
                            <a:fillRect/>
                          </a:stretch>
                        </pic:blipFill>
                        <pic:spPr>
                          <a:xfrm>
                            <a:off x="0" y="0"/>
                            <a:ext cx="5229860" cy="1595120"/>
                          </a:xfrm>
                          <a:prstGeom prst="rect">
                            <a:avLst/>
                          </a:prstGeom>
                          <a:noFill/>
                          <a:ln>
                            <a:noFill/>
                          </a:ln>
                        </pic:spPr>
                      </pic:pic>
                    </a:graphicData>
                  </a:graphic>
                </wp:inline>
              </w:drawing>
            </w:r>
          </w:p>
          <w:p w14:paraId="66D51656">
            <w:pPr>
              <w:numPr>
                <w:ilvl w:val="0"/>
                <w:numId w:val="0"/>
              </w:numPr>
              <w:spacing w:beforeLines="0" w:afterLines="0" w:line="360" w:lineRule="auto"/>
              <w:ind w:firstLine="480" w:firstLineChars="200"/>
              <w:jc w:val="left"/>
              <w:rPr>
                <w:rFonts w:hint="default" w:ascii="Times New Roman" w:hAnsi="Times New Roman" w:cs="Times New Roman"/>
                <w:sz w:val="24"/>
                <w:szCs w:val="24"/>
                <w:highlight w:val="none"/>
                <w:lang w:val="en-US" w:eastAsia="zh-CN"/>
              </w:rPr>
            </w:pPr>
            <w:r>
              <w:rPr>
                <w:rFonts w:hint="default" w:ascii="Times New Roman" w:hAnsi="Times New Roman" w:cs="Times New Roman"/>
                <w:sz w:val="24"/>
                <w:szCs w:val="24"/>
                <w:highlight w:val="none"/>
                <w:lang w:val="en-US" w:eastAsia="zh-CN"/>
              </w:rPr>
              <w:t>无组织厂界外上下风向非甲烷总烃浓度检测范围</w:t>
            </w:r>
            <w:r>
              <w:rPr>
                <w:rFonts w:hint="eastAsia" w:cs="Times New Roman"/>
                <w:sz w:val="24"/>
                <w:szCs w:val="24"/>
                <w:highlight w:val="none"/>
                <w:lang w:val="en-US" w:eastAsia="zh-CN"/>
              </w:rPr>
              <w:t>0.42</w:t>
            </w:r>
            <w:r>
              <w:rPr>
                <w:rFonts w:hint="default" w:ascii="Times New Roman" w:hAnsi="Times New Roman" w:cs="Times New Roman"/>
                <w:sz w:val="24"/>
                <w:szCs w:val="24"/>
                <w:highlight w:val="none"/>
                <w:lang w:val="en-US" w:eastAsia="zh-CN"/>
              </w:rPr>
              <w:t>-</w:t>
            </w:r>
            <w:r>
              <w:rPr>
                <w:rFonts w:hint="eastAsia" w:cs="Times New Roman"/>
                <w:sz w:val="24"/>
                <w:szCs w:val="24"/>
                <w:highlight w:val="none"/>
                <w:lang w:val="en-US" w:eastAsia="zh-CN"/>
              </w:rPr>
              <w:t>0.98</w:t>
            </w:r>
            <w:r>
              <w:rPr>
                <w:rFonts w:hint="default" w:ascii="Times New Roman" w:hAnsi="Times New Roman" w:cs="Times New Roman"/>
                <w:sz w:val="24"/>
                <w:szCs w:val="24"/>
                <w:highlight w:val="none"/>
                <w:lang w:val="en-US" w:eastAsia="zh-CN"/>
              </w:rPr>
              <w:t>mg/m</w:t>
            </w:r>
            <w:r>
              <w:rPr>
                <w:rFonts w:hint="default" w:ascii="Times New Roman" w:hAnsi="Times New Roman" w:cs="Times New Roman"/>
                <w:sz w:val="24"/>
                <w:szCs w:val="24"/>
                <w:highlight w:val="none"/>
                <w:vertAlign w:val="superscript"/>
                <w:lang w:val="en-US" w:eastAsia="zh-CN"/>
              </w:rPr>
              <w:t>3</w:t>
            </w:r>
            <w:r>
              <w:rPr>
                <w:rFonts w:hint="default" w:ascii="Times New Roman" w:hAnsi="Times New Roman" w:cs="Times New Roman"/>
                <w:sz w:val="24"/>
                <w:szCs w:val="24"/>
                <w:highlight w:val="none"/>
                <w:lang w:val="en-US" w:eastAsia="zh-CN"/>
              </w:rPr>
              <w:t>，满足《关于全省开展工业企业挥发性有机物专项治理工作中排放建议值的通知》（豫环攻坚办[2017]162 号）无组织排放限值（无组织非甲烷总烃排放浓度≤2.0mg/m</w:t>
            </w:r>
            <w:r>
              <w:rPr>
                <w:rFonts w:hint="default" w:ascii="Times New Roman" w:hAnsi="Times New Roman" w:cs="Times New Roman"/>
                <w:sz w:val="24"/>
                <w:szCs w:val="24"/>
                <w:highlight w:val="none"/>
                <w:vertAlign w:val="superscript"/>
                <w:lang w:val="en-US" w:eastAsia="zh-CN"/>
              </w:rPr>
              <w:t>3</w:t>
            </w:r>
            <w:r>
              <w:rPr>
                <w:rFonts w:hint="default" w:ascii="Times New Roman" w:hAnsi="Times New Roman" w:cs="Times New Roman"/>
                <w:sz w:val="24"/>
                <w:szCs w:val="24"/>
                <w:highlight w:val="none"/>
                <w:lang w:val="en-US" w:eastAsia="zh-CN"/>
              </w:rPr>
              <w:t>）要求</w:t>
            </w:r>
            <w:r>
              <w:rPr>
                <w:rFonts w:hint="eastAsia" w:ascii="Times New Roman" w:hAnsi="Times New Roman" w:cs="Times New Roman"/>
                <w:sz w:val="24"/>
                <w:szCs w:val="24"/>
                <w:highlight w:val="none"/>
                <w:lang w:val="en-US" w:eastAsia="zh-CN"/>
              </w:rPr>
              <w:t>。</w:t>
            </w:r>
          </w:p>
          <w:p w14:paraId="3F0BEAAE">
            <w:pPr>
              <w:numPr>
                <w:ilvl w:val="0"/>
                <w:numId w:val="0"/>
              </w:numPr>
              <w:spacing w:beforeLines="0" w:afterLines="0" w:line="360" w:lineRule="auto"/>
              <w:ind w:firstLine="482" w:firstLineChars="200"/>
              <w:jc w:val="left"/>
              <w:rPr>
                <w:rFonts w:hint="default"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2、废水</w:t>
            </w:r>
          </w:p>
          <w:p w14:paraId="4424C71E">
            <w:pPr>
              <w:spacing w:beforeLines="0" w:afterLines="0" w:line="360" w:lineRule="auto"/>
              <w:ind w:firstLine="480" w:firstLineChars="200"/>
              <w:jc w:val="left"/>
              <w:rPr>
                <w:rFonts w:hint="default"/>
                <w:lang w:eastAsia="zh-CN"/>
              </w:rPr>
            </w:pPr>
            <w:r>
              <w:rPr>
                <w:rFonts w:hint="default" w:ascii="Times New Roman" w:hAnsi="Times New Roman" w:eastAsia="宋体" w:cs="Times New Roman"/>
                <w:sz w:val="24"/>
                <w:szCs w:val="24"/>
                <w:lang w:eastAsia="zh-CN"/>
              </w:rPr>
              <w:t>现有项目废水主要是生产过程中产生的清洗</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lang w:eastAsia="zh-CN"/>
              </w:rPr>
              <w:t>磨边废水和员工生活污水。清洗</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lang w:eastAsia="zh-CN"/>
              </w:rPr>
              <w:t>磨边废水循环使用，不外排，生活污水经厂区化粪池预处理</w:t>
            </w:r>
            <w:r>
              <w:rPr>
                <w:rFonts w:hint="eastAsia" w:ascii="Times New Roman" w:hAnsi="Times New Roman" w:eastAsia="宋体" w:cs="Times New Roman"/>
                <w:sz w:val="24"/>
                <w:szCs w:val="24"/>
                <w:lang w:val="en-US" w:eastAsia="zh-CN"/>
              </w:rPr>
              <w:t>后排放水质</w:t>
            </w:r>
            <w:r>
              <w:rPr>
                <w:rFonts w:hint="default" w:ascii="Times New Roman" w:hAnsi="Times New Roman" w:eastAsia="宋体" w:cs="Times New Roman"/>
                <w:sz w:val="24"/>
                <w:szCs w:val="24"/>
                <w:lang w:eastAsia="zh-CN"/>
              </w:rPr>
              <w:t>符合《污水综合排放标准》（GB8978-1996）表4 三级标准及淮阳县污水处理厂进水水质要求，废水经市政污水管网排入淮阳县污水处理厂进一步处理达到《城镇污水处理厂污染物排放标准》（GB18918-2002，</w:t>
            </w:r>
            <w:r>
              <w:rPr>
                <w:rFonts w:hint="default" w:ascii="Times New Roman" w:hAnsi="Times New Roman" w:eastAsia="宋体" w:cs="Times New Roman"/>
                <w:sz w:val="24"/>
                <w:szCs w:val="24"/>
                <w:lang w:val="en-US" w:eastAsia="zh-CN"/>
              </w:rPr>
              <w:t>含2006年、2025年修改单</w:t>
            </w:r>
            <w:r>
              <w:rPr>
                <w:rFonts w:hint="default" w:ascii="Times New Roman" w:hAnsi="Times New Roman" w:eastAsia="宋体" w:cs="Times New Roman"/>
                <w:sz w:val="24"/>
                <w:szCs w:val="24"/>
                <w:lang w:eastAsia="zh-CN"/>
              </w:rPr>
              <w:t>）一级A标准后排放。</w:t>
            </w:r>
          </w:p>
          <w:p w14:paraId="4042B5A3">
            <w:pPr>
              <w:numPr>
                <w:ilvl w:val="0"/>
                <w:numId w:val="0"/>
              </w:numPr>
              <w:spacing w:beforeLines="0" w:afterLines="0" w:line="360" w:lineRule="auto"/>
              <w:ind w:firstLine="482" w:firstLineChars="200"/>
              <w:jc w:val="left"/>
              <w:rPr>
                <w:rFonts w:hint="default"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3、噪声</w:t>
            </w:r>
          </w:p>
          <w:p w14:paraId="470BAE4A">
            <w:pPr>
              <w:spacing w:beforeLines="0" w:afterLines="0" w:line="360" w:lineRule="auto"/>
              <w:ind w:firstLine="480" w:firstLineChars="20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根据河南精诚检测有限公司于2025年5月27日的监测结果可知，现有工程各厂界均满足《工业企业厂界环境噪声排放标准》（GB12348-2008）3 类标准限值要求，具体监测结果见下表。</w:t>
            </w:r>
          </w:p>
          <w:p w14:paraId="1427B961">
            <w:pPr>
              <w:spacing w:beforeLines="0" w:afterLines="0" w:line="360" w:lineRule="auto"/>
              <w:jc w:val="center"/>
              <w:rPr>
                <w:rFonts w:hint="default" w:ascii="Times New Roman" w:hAnsi="Times New Roman" w:eastAsia="宋体" w:cs="Times New Roman"/>
                <w:b/>
                <w:bCs/>
                <w:sz w:val="24"/>
                <w:szCs w:val="24"/>
                <w:lang w:val="en-US" w:eastAsia="zh-CN"/>
              </w:rPr>
            </w:pPr>
            <w:r>
              <w:rPr>
                <w:rFonts w:hint="default" w:ascii="Times New Roman" w:hAnsi="Times New Roman" w:cs="Times New Roman"/>
                <w:b/>
                <w:bCs/>
                <w:sz w:val="24"/>
                <w:szCs w:val="24"/>
              </w:rPr>
              <w:drawing>
                <wp:anchor distT="0" distB="0" distL="114300" distR="114300" simplePos="0" relativeHeight="251660288" behindDoc="1" locked="0" layoutInCell="1" allowOverlap="1">
                  <wp:simplePos x="0" y="0"/>
                  <wp:positionH relativeFrom="column">
                    <wp:posOffset>0</wp:posOffset>
                  </wp:positionH>
                  <wp:positionV relativeFrom="paragraph">
                    <wp:posOffset>177800</wp:posOffset>
                  </wp:positionV>
                  <wp:extent cx="5234940" cy="2054860"/>
                  <wp:effectExtent l="0" t="0" r="3810" b="2540"/>
                  <wp:wrapNone/>
                  <wp:docPr id="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11"/>
                          <a:stretch>
                            <a:fillRect/>
                          </a:stretch>
                        </pic:blipFill>
                        <pic:spPr>
                          <a:xfrm>
                            <a:off x="0" y="0"/>
                            <a:ext cx="5234940" cy="2054860"/>
                          </a:xfrm>
                          <a:prstGeom prst="rect">
                            <a:avLst/>
                          </a:prstGeom>
                          <a:noFill/>
                          <a:ln>
                            <a:noFill/>
                          </a:ln>
                        </pic:spPr>
                      </pic:pic>
                    </a:graphicData>
                  </a:graphic>
                </wp:anchor>
              </w:drawing>
            </w:r>
            <w:r>
              <w:rPr>
                <w:rFonts w:hint="default" w:ascii="Times New Roman" w:hAnsi="Times New Roman" w:eastAsia="宋体" w:cs="Times New Roman"/>
                <w:b/>
                <w:bCs/>
                <w:sz w:val="24"/>
                <w:szCs w:val="24"/>
                <w:lang w:val="en-US" w:eastAsia="zh-CN"/>
              </w:rPr>
              <w:t>表2-13</w:t>
            </w:r>
            <w:r>
              <w:rPr>
                <w:rFonts w:hint="eastAsia" w:cs="Times New Roman"/>
                <w:b/>
                <w:bCs/>
                <w:sz w:val="24"/>
                <w:szCs w:val="24"/>
                <w:lang w:val="en-US" w:eastAsia="zh-CN"/>
              </w:rPr>
              <w:t xml:space="preserve"> </w:t>
            </w:r>
            <w:r>
              <w:rPr>
                <w:rFonts w:hint="default" w:ascii="Times New Roman" w:hAnsi="Times New Roman" w:eastAsia="宋体" w:cs="Times New Roman"/>
                <w:b/>
                <w:bCs/>
                <w:sz w:val="24"/>
                <w:szCs w:val="24"/>
                <w:lang w:val="en-US" w:eastAsia="zh-CN"/>
              </w:rPr>
              <w:t xml:space="preserve">   厂界噪声监测结果表</w:t>
            </w:r>
          </w:p>
          <w:p w14:paraId="2CCE2084">
            <w:pPr>
              <w:spacing w:beforeLines="0" w:afterLines="0" w:line="360" w:lineRule="auto"/>
              <w:ind w:firstLine="482" w:firstLineChars="200"/>
              <w:jc w:val="left"/>
              <w:rPr>
                <w:rFonts w:hint="eastAsia" w:ascii="宋体" w:hAnsi="宋体" w:eastAsia="宋体"/>
                <w:b/>
                <w:bCs/>
                <w:sz w:val="24"/>
                <w:szCs w:val="24"/>
                <w:lang w:val="en-US" w:eastAsia="zh-CN"/>
              </w:rPr>
            </w:pPr>
          </w:p>
          <w:p w14:paraId="59628979">
            <w:pPr>
              <w:spacing w:beforeLines="0" w:afterLines="0" w:line="360" w:lineRule="auto"/>
              <w:ind w:firstLine="482" w:firstLineChars="200"/>
              <w:jc w:val="left"/>
              <w:rPr>
                <w:rFonts w:hint="eastAsia" w:ascii="宋体" w:hAnsi="宋体" w:eastAsia="宋体"/>
                <w:b/>
                <w:bCs/>
                <w:sz w:val="24"/>
                <w:szCs w:val="24"/>
                <w:lang w:val="en-US" w:eastAsia="zh-CN"/>
              </w:rPr>
            </w:pPr>
          </w:p>
          <w:p w14:paraId="13D9F5BA">
            <w:pPr>
              <w:spacing w:beforeLines="0" w:afterLines="0" w:line="360" w:lineRule="auto"/>
              <w:ind w:firstLine="482" w:firstLineChars="200"/>
              <w:jc w:val="left"/>
              <w:rPr>
                <w:rFonts w:hint="eastAsia" w:ascii="宋体" w:hAnsi="宋体" w:eastAsia="宋体"/>
                <w:b/>
                <w:bCs/>
                <w:sz w:val="24"/>
                <w:szCs w:val="24"/>
                <w:lang w:val="en-US" w:eastAsia="zh-CN"/>
              </w:rPr>
            </w:pPr>
          </w:p>
          <w:p w14:paraId="5834C39D">
            <w:pPr>
              <w:spacing w:beforeLines="0" w:afterLines="0" w:line="360" w:lineRule="auto"/>
              <w:ind w:firstLine="482" w:firstLineChars="200"/>
              <w:jc w:val="left"/>
              <w:rPr>
                <w:rFonts w:hint="eastAsia" w:ascii="宋体" w:hAnsi="宋体" w:eastAsia="宋体"/>
                <w:b/>
                <w:bCs/>
                <w:sz w:val="24"/>
                <w:szCs w:val="24"/>
                <w:lang w:val="en-US" w:eastAsia="zh-CN"/>
              </w:rPr>
            </w:pPr>
          </w:p>
          <w:p w14:paraId="6367D15C">
            <w:pPr>
              <w:spacing w:beforeLines="0" w:afterLines="0" w:line="360" w:lineRule="auto"/>
              <w:ind w:firstLine="482" w:firstLineChars="200"/>
              <w:jc w:val="left"/>
              <w:rPr>
                <w:rFonts w:hint="eastAsia" w:ascii="宋体" w:hAnsi="宋体" w:eastAsia="宋体"/>
                <w:b/>
                <w:bCs/>
                <w:sz w:val="24"/>
                <w:szCs w:val="24"/>
                <w:lang w:val="en-US" w:eastAsia="zh-CN"/>
              </w:rPr>
            </w:pPr>
          </w:p>
          <w:p w14:paraId="09389E71">
            <w:pPr>
              <w:spacing w:beforeLines="0" w:afterLines="0" w:line="360" w:lineRule="auto"/>
              <w:ind w:firstLine="482" w:firstLineChars="200"/>
              <w:jc w:val="left"/>
              <w:rPr>
                <w:rFonts w:hint="eastAsia" w:ascii="宋体" w:hAnsi="宋体" w:eastAsia="宋体"/>
                <w:b/>
                <w:bCs/>
                <w:sz w:val="24"/>
                <w:szCs w:val="24"/>
                <w:lang w:val="en-US" w:eastAsia="zh-CN"/>
              </w:rPr>
            </w:pPr>
          </w:p>
          <w:p w14:paraId="6C5F0170">
            <w:pPr>
              <w:spacing w:beforeLines="0" w:afterLines="0" w:line="360" w:lineRule="auto"/>
              <w:ind w:firstLine="482" w:firstLineChars="200"/>
              <w:jc w:val="left"/>
              <w:rPr>
                <w:rFonts w:hint="default" w:ascii="宋体" w:hAnsi="宋体" w:eastAsia="宋体"/>
                <w:b/>
                <w:bCs/>
                <w:sz w:val="24"/>
                <w:szCs w:val="24"/>
                <w:lang w:val="en-US" w:eastAsia="zh-CN"/>
              </w:rPr>
            </w:pPr>
          </w:p>
          <w:p w14:paraId="16A129DB">
            <w:pPr>
              <w:numPr>
                <w:ilvl w:val="0"/>
                <w:numId w:val="0"/>
              </w:numPr>
              <w:spacing w:beforeLines="0" w:afterLines="0" w:line="360" w:lineRule="auto"/>
              <w:ind w:firstLine="482" w:firstLineChars="200"/>
              <w:jc w:val="left"/>
              <w:rPr>
                <w:rFonts w:hint="default"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4、固废</w:t>
            </w:r>
          </w:p>
          <w:p w14:paraId="3CCCAB12">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r>
              <w:rPr>
                <w:rFonts w:hint="eastAsia" w:ascii="Times New Roman" w:hAnsi="Times New Roman" w:eastAsia="宋体" w:cs="Times New Roman"/>
                <w:b w:val="0"/>
                <w:bCs w:val="0"/>
                <w:snapToGrid w:val="0"/>
                <w:color w:val="auto"/>
                <w:kern w:val="0"/>
                <w:sz w:val="24"/>
                <w:szCs w:val="24"/>
                <w:lang w:val="en-US" w:eastAsia="zh-CN"/>
              </w:rPr>
              <w:t>现有工程生活垃圾经垃圾桶及垃圾箱收集后，交由环卫部门集中清运，统一处理；玻璃切割工序产生的玻璃边角料、洗磨工序沉淀池产生的沉渣</w:t>
            </w:r>
            <w:r>
              <w:rPr>
                <w:rFonts w:hint="eastAsia" w:ascii="Times New Roman" w:hAnsi="Times New Roman" w:eastAsia="宋体" w:cs="Times New Roman"/>
                <w:b w:val="0"/>
                <w:bCs w:val="0"/>
                <w:snapToGrid w:val="0"/>
                <w:color w:val="auto"/>
                <w:kern w:val="0"/>
                <w:sz w:val="24"/>
                <w:szCs w:val="24"/>
                <w:highlight w:val="none"/>
                <w:lang w:val="en-US" w:eastAsia="zh-CN"/>
              </w:rPr>
              <w:t>、</w:t>
            </w:r>
            <w:r>
              <w:rPr>
                <w:rFonts w:hint="eastAsia" w:ascii="Times New Roman" w:hAnsi="Times New Roman" w:eastAsia="宋体" w:cs="Times New Roman"/>
                <w:b w:val="0"/>
                <w:bCs w:val="0"/>
                <w:snapToGrid w:val="0"/>
                <w:color w:val="auto"/>
                <w:kern w:val="0"/>
                <w:sz w:val="24"/>
                <w:szCs w:val="24"/>
                <w:lang w:val="en-US" w:eastAsia="zh-CN"/>
              </w:rPr>
              <w:t>不合格产品、废包装材料作为一般工业固废分类收集，于一般固废暂存间暂存，外售物资单位；废胶桶</w:t>
            </w:r>
            <w:r>
              <w:rPr>
                <w:rFonts w:hint="eastAsia" w:ascii="Times New Roman" w:hAnsi="Times New Roman" w:cs="Times New Roman"/>
                <w:b w:val="0"/>
                <w:bCs w:val="0"/>
                <w:snapToGrid w:val="0"/>
                <w:color w:val="auto"/>
                <w:kern w:val="0"/>
                <w:sz w:val="24"/>
                <w:szCs w:val="24"/>
                <w:lang w:val="en-US" w:eastAsia="zh-CN"/>
              </w:rPr>
              <w:t>、废油墨桶</w:t>
            </w:r>
            <w:r>
              <w:rPr>
                <w:rFonts w:hint="eastAsia" w:ascii="Times New Roman" w:hAnsi="Times New Roman" w:eastAsia="宋体" w:cs="Times New Roman"/>
                <w:b w:val="0"/>
                <w:bCs w:val="0"/>
                <w:snapToGrid w:val="0"/>
                <w:color w:val="auto"/>
                <w:kern w:val="0"/>
                <w:sz w:val="24"/>
                <w:szCs w:val="24"/>
                <w:lang w:val="en-US" w:eastAsia="zh-CN"/>
              </w:rPr>
              <w:t>收集后暂存于危废暂存间，定期交由有资质单位处置，废靶材收集后暂存于危废暂存间，定期由供应商回收；废活性炭收集后暂存于危废暂存间，定期交由洛阳雷蒙环保科技有限公司处置；废机油由厂家定期到厂更换，</w:t>
            </w:r>
            <w:r>
              <w:rPr>
                <w:rFonts w:hint="eastAsia" w:ascii="Times New Roman" w:hAnsi="Times New Roman" w:cs="Times New Roman"/>
                <w:b w:val="0"/>
                <w:bCs w:val="0"/>
                <w:snapToGrid w:val="0"/>
                <w:color w:val="auto"/>
                <w:kern w:val="0"/>
                <w:sz w:val="24"/>
                <w:szCs w:val="24"/>
                <w:lang w:val="en-US" w:eastAsia="zh-CN"/>
              </w:rPr>
              <w:t>厂区内</w:t>
            </w:r>
            <w:r>
              <w:rPr>
                <w:rFonts w:hint="eastAsia" w:ascii="Times New Roman" w:hAnsi="Times New Roman" w:eastAsia="宋体" w:cs="Times New Roman"/>
                <w:b w:val="0"/>
                <w:bCs w:val="0"/>
                <w:snapToGrid w:val="0"/>
                <w:color w:val="auto"/>
                <w:kern w:val="0"/>
                <w:sz w:val="24"/>
                <w:szCs w:val="24"/>
                <w:lang w:val="en-US" w:eastAsia="zh-CN"/>
              </w:rPr>
              <w:t>不暂存</w:t>
            </w:r>
            <w:r>
              <w:rPr>
                <w:rFonts w:hint="eastAsia" w:ascii="Times New Roman" w:hAnsi="Times New Roman" w:cs="Times New Roman"/>
                <w:b w:val="0"/>
                <w:bCs w:val="0"/>
                <w:snapToGrid w:val="0"/>
                <w:color w:val="auto"/>
                <w:kern w:val="0"/>
                <w:sz w:val="24"/>
                <w:szCs w:val="24"/>
                <w:lang w:val="en-US" w:eastAsia="zh-CN"/>
              </w:rPr>
              <w:t>。</w:t>
            </w:r>
          </w:p>
          <w:p w14:paraId="0B82659F">
            <w:pPr>
              <w:keepNext w:val="0"/>
              <w:keepLines w:val="0"/>
              <w:widowControl/>
              <w:suppressLineNumbers w:val="0"/>
              <w:spacing w:line="360" w:lineRule="auto"/>
              <w:jc w:val="left"/>
            </w:pPr>
            <w:r>
              <w:rPr>
                <w:rFonts w:hint="eastAsia" w:ascii="Times New Roman" w:hAnsi="Times New Roman" w:cs="Times New Roman"/>
                <w:b/>
                <w:bCs/>
                <w:snapToGrid w:val="0"/>
                <w:color w:val="auto"/>
                <w:kern w:val="0"/>
                <w:sz w:val="24"/>
                <w:szCs w:val="24"/>
                <w:lang w:val="en-US" w:eastAsia="zh-CN"/>
              </w:rPr>
              <w:t>5、</w:t>
            </w:r>
            <w:r>
              <w:rPr>
                <w:rFonts w:hint="eastAsia" w:ascii="宋体" w:hAnsi="宋体" w:eastAsia="宋体" w:cs="宋体"/>
                <w:b/>
                <w:bCs/>
                <w:color w:val="000000"/>
                <w:kern w:val="0"/>
                <w:sz w:val="24"/>
                <w:szCs w:val="24"/>
                <w:lang w:val="en-US" w:eastAsia="zh-CN" w:bidi="ar"/>
              </w:rPr>
              <w:t>原有项目环保措施情况</w:t>
            </w:r>
          </w:p>
          <w:p w14:paraId="4A4261BD">
            <w:pPr>
              <w:pStyle w:val="21"/>
              <w:spacing w:line="360" w:lineRule="auto"/>
              <w:ind w:firstLine="480" w:firstLineChars="200"/>
              <w:rPr>
                <w:rFonts w:hint="eastAsia" w:hAnsi="宋体" w:cs="宋体"/>
                <w:b w:val="0"/>
                <w:bCs w:val="0"/>
                <w:color w:val="000000"/>
                <w:kern w:val="0"/>
                <w:sz w:val="24"/>
                <w:szCs w:val="24"/>
                <w:lang w:val="en-US" w:eastAsia="zh-CN" w:bidi="ar"/>
              </w:rPr>
            </w:pPr>
            <w:r>
              <w:rPr>
                <w:rFonts w:hint="eastAsia" w:ascii="宋体" w:hAnsi="宋体" w:eastAsia="宋体" w:cs="宋体"/>
                <w:b w:val="0"/>
                <w:bCs w:val="0"/>
                <w:color w:val="000000"/>
                <w:kern w:val="0"/>
                <w:sz w:val="24"/>
                <w:szCs w:val="24"/>
                <w:lang w:val="en-US" w:eastAsia="zh-CN" w:bidi="ar"/>
              </w:rPr>
              <w:t>原有项目环保措施情况</w:t>
            </w:r>
            <w:r>
              <w:rPr>
                <w:rFonts w:hint="eastAsia" w:hAnsi="宋体" w:cs="宋体"/>
                <w:b w:val="0"/>
                <w:bCs w:val="0"/>
                <w:color w:val="000000"/>
                <w:kern w:val="0"/>
                <w:sz w:val="24"/>
                <w:szCs w:val="24"/>
                <w:lang w:val="en-US" w:eastAsia="zh-CN" w:bidi="ar"/>
              </w:rPr>
              <w:t>见下表。</w:t>
            </w:r>
          </w:p>
          <w:p w14:paraId="758FBE03">
            <w:pPr>
              <w:pStyle w:val="21"/>
              <w:spacing w:line="360" w:lineRule="auto"/>
              <w:jc w:val="center"/>
              <w:rPr>
                <w:rFonts w:hint="default" w:ascii="Times New Roman" w:hAnsi="Times New Roman" w:cs="Times New Roman"/>
                <w:b/>
                <w:bCs/>
                <w:color w:val="000000"/>
                <w:kern w:val="0"/>
                <w:sz w:val="24"/>
                <w:szCs w:val="24"/>
                <w:lang w:val="en-US" w:eastAsia="zh-CN" w:bidi="ar"/>
              </w:rPr>
            </w:pPr>
            <w:r>
              <w:rPr>
                <w:rFonts w:hint="default" w:ascii="Times New Roman" w:hAnsi="Times New Roman" w:cs="Times New Roman"/>
                <w:b/>
                <w:bCs/>
                <w:color w:val="000000"/>
                <w:kern w:val="0"/>
                <w:sz w:val="24"/>
                <w:szCs w:val="24"/>
                <w:lang w:val="en-US" w:eastAsia="zh-CN" w:bidi="ar"/>
              </w:rPr>
              <w:t>表2-1</w:t>
            </w:r>
            <w:r>
              <w:rPr>
                <w:rFonts w:hint="eastAsia" w:ascii="Times New Roman" w:hAnsi="Times New Roman" w:cs="Times New Roman"/>
                <w:b/>
                <w:bCs/>
                <w:color w:val="000000"/>
                <w:kern w:val="0"/>
                <w:sz w:val="24"/>
                <w:szCs w:val="24"/>
                <w:lang w:val="en-US" w:eastAsia="zh-CN" w:bidi="ar"/>
              </w:rPr>
              <w:t xml:space="preserve">4   </w:t>
            </w:r>
            <w:r>
              <w:rPr>
                <w:rFonts w:hint="default" w:ascii="Times New Roman" w:hAnsi="Times New Roman" w:cs="Times New Roman"/>
                <w:b/>
                <w:bCs/>
                <w:color w:val="000000"/>
                <w:kern w:val="0"/>
                <w:sz w:val="24"/>
                <w:szCs w:val="24"/>
                <w:lang w:val="en-US" w:eastAsia="zh-CN" w:bidi="ar"/>
              </w:rPr>
              <w:t xml:space="preserve">  </w:t>
            </w:r>
            <w:r>
              <w:rPr>
                <w:rFonts w:hint="default" w:ascii="Times New Roman" w:hAnsi="Times New Roman" w:eastAsia="宋体" w:cs="Times New Roman"/>
                <w:b/>
                <w:bCs/>
                <w:color w:val="000000"/>
                <w:kern w:val="0"/>
                <w:sz w:val="24"/>
                <w:szCs w:val="24"/>
                <w:lang w:val="en-US" w:eastAsia="zh-CN" w:bidi="ar"/>
              </w:rPr>
              <w:t>原有项目环保措施情况</w:t>
            </w:r>
            <w:r>
              <w:rPr>
                <w:rFonts w:hint="default" w:ascii="Times New Roman" w:hAnsi="Times New Roman" w:cs="Times New Roman"/>
                <w:b/>
                <w:bCs/>
                <w:color w:val="000000"/>
                <w:kern w:val="0"/>
                <w:sz w:val="24"/>
                <w:szCs w:val="24"/>
                <w:lang w:val="en-US" w:eastAsia="zh-CN" w:bidi="ar"/>
              </w:rPr>
              <w:t>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3253"/>
              <w:gridCol w:w="4273"/>
            </w:tblGrid>
            <w:tr w14:paraId="7360A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0" w:hRule="atLeast"/>
              </w:trPr>
              <w:tc>
                <w:tcPr>
                  <w:tcW w:w="424" w:type="pct"/>
                  <w:vAlign w:val="center"/>
                </w:tcPr>
                <w:p w14:paraId="75E53797">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类别</w:t>
                  </w:r>
                </w:p>
              </w:tc>
              <w:tc>
                <w:tcPr>
                  <w:tcW w:w="1977" w:type="pct"/>
                  <w:vAlign w:val="center"/>
                </w:tcPr>
                <w:p w14:paraId="2FCC4778">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环评建议措施</w:t>
                  </w:r>
                </w:p>
              </w:tc>
              <w:tc>
                <w:tcPr>
                  <w:tcW w:w="2597" w:type="pct"/>
                  <w:vAlign w:val="center"/>
                </w:tcPr>
                <w:p w14:paraId="2927B514">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实际情况</w:t>
                  </w:r>
                </w:p>
              </w:tc>
            </w:tr>
            <w:tr w14:paraId="6107E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pct"/>
                  <w:vAlign w:val="center"/>
                </w:tcPr>
                <w:p w14:paraId="03637B43">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废水</w:t>
                  </w:r>
                </w:p>
              </w:tc>
              <w:tc>
                <w:tcPr>
                  <w:tcW w:w="1977" w:type="pct"/>
                  <w:vAlign w:val="center"/>
                </w:tcPr>
                <w:p w14:paraId="53FE7576">
                  <w:pPr>
                    <w:spacing w:beforeLines="0" w:afterLines="0"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rPr>
                    <w:t>采取雨污分流制，雨水收集后排入市政雨水管网。生活废水</w:t>
                  </w:r>
                  <w:r>
                    <w:rPr>
                      <w:rFonts w:hint="default" w:ascii="Times New Roman" w:hAnsi="Times New Roman" w:eastAsia="宋体" w:cs="Times New Roman"/>
                      <w:b w:val="0"/>
                      <w:bCs w:val="0"/>
                      <w:sz w:val="21"/>
                      <w:szCs w:val="21"/>
                      <w:lang w:val="en-US" w:eastAsia="zh-CN"/>
                    </w:rPr>
                    <w:t>经化粪池后排入淮阳县污水处理厂进一步处理后排放</w:t>
                  </w:r>
                  <w:r>
                    <w:rPr>
                      <w:rFonts w:hint="default" w:ascii="Times New Roman" w:hAnsi="Times New Roman" w:eastAsia="宋体" w:cs="Times New Roman"/>
                      <w:b w:val="0"/>
                      <w:bCs w:val="0"/>
                      <w:sz w:val="21"/>
                      <w:szCs w:val="21"/>
                    </w:rPr>
                    <w:t>，生产废水循环使用，不外排</w:t>
                  </w:r>
                </w:p>
              </w:tc>
              <w:tc>
                <w:tcPr>
                  <w:tcW w:w="2597" w:type="pct"/>
                  <w:vAlign w:val="center"/>
                </w:tcPr>
                <w:p w14:paraId="2C3F5517">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rPr>
                    <w:t>采取雨污分流制，雨水收集后排入市政雨水管网。生活废水</w:t>
                  </w:r>
                  <w:r>
                    <w:rPr>
                      <w:rFonts w:hint="default" w:ascii="Times New Roman" w:hAnsi="Times New Roman" w:eastAsia="宋体" w:cs="Times New Roman"/>
                      <w:b w:val="0"/>
                      <w:bCs w:val="0"/>
                      <w:sz w:val="21"/>
                      <w:szCs w:val="21"/>
                      <w:lang w:val="en-US" w:eastAsia="zh-CN"/>
                    </w:rPr>
                    <w:t>经化粪池后排入淮阳县污水处理厂进一步处理后排放</w:t>
                  </w:r>
                  <w:r>
                    <w:rPr>
                      <w:rFonts w:hint="default" w:ascii="Times New Roman" w:hAnsi="Times New Roman" w:eastAsia="宋体" w:cs="Times New Roman"/>
                      <w:b w:val="0"/>
                      <w:bCs w:val="0"/>
                      <w:sz w:val="21"/>
                      <w:szCs w:val="21"/>
                    </w:rPr>
                    <w:t>，生产废水循环使用，不外排</w:t>
                  </w:r>
                </w:p>
              </w:tc>
            </w:tr>
            <w:tr w14:paraId="1E94B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pct"/>
                  <w:vMerge w:val="restart"/>
                  <w:vAlign w:val="center"/>
                </w:tcPr>
                <w:p w14:paraId="6E667CDE">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废气</w:t>
                  </w:r>
                </w:p>
              </w:tc>
              <w:tc>
                <w:tcPr>
                  <w:tcW w:w="1977" w:type="pct"/>
                  <w:vAlign w:val="center"/>
                </w:tcPr>
                <w:p w14:paraId="36AC34C5">
                  <w:pPr>
                    <w:numPr>
                      <w:ilvl w:val="0"/>
                      <w:numId w:val="0"/>
                    </w:numPr>
                    <w:spacing w:beforeLines="0" w:afterLines="0"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lang w:val="en-US" w:eastAsia="zh-CN"/>
                    </w:rPr>
                    <w:t>1、</w:t>
                  </w:r>
                  <w:r>
                    <w:rPr>
                      <w:rFonts w:hint="default" w:ascii="Times New Roman" w:hAnsi="Times New Roman" w:eastAsia="宋体" w:cs="Times New Roman"/>
                      <w:b w:val="0"/>
                      <w:bCs w:val="0"/>
                      <w:sz w:val="21"/>
                      <w:szCs w:val="21"/>
                    </w:rPr>
                    <w:t>磨削工艺均在水环境中进行，无粉尘产生；所使用</w:t>
                  </w:r>
                  <w:r>
                    <w:rPr>
                      <w:rFonts w:hint="default" w:ascii="Times New Roman" w:hAnsi="Times New Roman" w:eastAsia="TimesNewRomanPSMT" w:cs="Times New Roman"/>
                      <w:b w:val="0"/>
                      <w:bCs w:val="0"/>
                      <w:sz w:val="21"/>
                      <w:szCs w:val="21"/>
                    </w:rPr>
                    <w:t xml:space="preserve">PVB </w:t>
                  </w:r>
                  <w:r>
                    <w:rPr>
                      <w:rFonts w:hint="default" w:ascii="Times New Roman" w:hAnsi="Times New Roman" w:eastAsia="宋体" w:cs="Times New Roman"/>
                      <w:b w:val="0"/>
                      <w:bCs w:val="0"/>
                      <w:sz w:val="21"/>
                      <w:szCs w:val="21"/>
                    </w:rPr>
                    <w:t>中间膜的分解温度为</w:t>
                  </w:r>
                  <w:r>
                    <w:rPr>
                      <w:rFonts w:hint="default" w:ascii="Times New Roman" w:hAnsi="Times New Roman" w:eastAsia="TimesNewRomanPSMT" w:cs="Times New Roman"/>
                      <w:b w:val="0"/>
                      <w:bCs w:val="0"/>
                      <w:sz w:val="21"/>
                      <w:szCs w:val="21"/>
                    </w:rPr>
                    <w:t>400~600</w:t>
                  </w:r>
                  <w:r>
                    <w:rPr>
                      <w:rFonts w:hint="default" w:ascii="Times New Roman" w:hAnsi="Times New Roman" w:eastAsia="宋体" w:cs="Times New Roman"/>
                      <w:b w:val="0"/>
                      <w:bCs w:val="0"/>
                      <w:sz w:val="21"/>
                      <w:szCs w:val="21"/>
                    </w:rPr>
                    <w:t>℃，分解产物主要为丁醛废气，高压釜温度控制在</w:t>
                  </w:r>
                  <w:r>
                    <w:rPr>
                      <w:rFonts w:hint="default" w:ascii="Times New Roman" w:hAnsi="Times New Roman" w:eastAsia="TimesNewRomanPSMT" w:cs="Times New Roman"/>
                      <w:b w:val="0"/>
                      <w:bCs w:val="0"/>
                      <w:sz w:val="21"/>
                      <w:szCs w:val="21"/>
                    </w:rPr>
                    <w:t>125~ 150</w:t>
                  </w:r>
                  <w:r>
                    <w:rPr>
                      <w:rFonts w:hint="default" w:ascii="Times New Roman" w:hAnsi="Times New Roman" w:eastAsia="宋体" w:cs="Times New Roman"/>
                      <w:b w:val="0"/>
                      <w:bCs w:val="0"/>
                      <w:sz w:val="21"/>
                      <w:szCs w:val="21"/>
                    </w:rPr>
                    <w:t>℃，加胶玻璃在高压釜中高压加热过程中不会产生</w:t>
                  </w:r>
                  <w:r>
                    <w:rPr>
                      <w:rFonts w:hint="default" w:ascii="Times New Roman" w:hAnsi="Times New Roman" w:eastAsia="TimesNewRomanPSMT" w:cs="Times New Roman"/>
                      <w:b w:val="0"/>
                      <w:bCs w:val="0"/>
                      <w:sz w:val="21"/>
                      <w:szCs w:val="21"/>
                    </w:rPr>
                    <w:t xml:space="preserve">PVB </w:t>
                  </w:r>
                  <w:r>
                    <w:rPr>
                      <w:rFonts w:hint="default" w:ascii="Times New Roman" w:hAnsi="Times New Roman" w:eastAsia="宋体" w:cs="Times New Roman"/>
                      <w:b w:val="0"/>
                      <w:bCs w:val="0"/>
                      <w:sz w:val="21"/>
                      <w:szCs w:val="21"/>
                    </w:rPr>
                    <w:t>分解废气，因此夹胶玻璃生产线生产过程无废气产生</w:t>
                  </w:r>
                </w:p>
              </w:tc>
              <w:tc>
                <w:tcPr>
                  <w:tcW w:w="2597" w:type="pct"/>
                  <w:vAlign w:val="center"/>
                </w:tcPr>
                <w:p w14:paraId="52314E63">
                  <w:pPr>
                    <w:pStyle w:val="21"/>
                    <w:spacing w:line="240" w:lineRule="auto"/>
                    <w:jc w:val="center"/>
                    <w:rPr>
                      <w:rFonts w:hint="default" w:ascii="Times New Roman" w:hAnsi="Times New Roman" w:cs="Times New Roman"/>
                      <w:b w:val="0"/>
                      <w:bCs w:val="0"/>
                      <w:sz w:val="21"/>
                      <w:szCs w:val="21"/>
                      <w:lang w:val="en-US" w:eastAsia="zh-CN"/>
                    </w:rPr>
                  </w:pPr>
                  <w:r>
                    <w:rPr>
                      <w:rFonts w:hint="default" w:ascii="Times New Roman" w:hAnsi="Times New Roman" w:eastAsia="宋体" w:cs="Times New Roman"/>
                      <w:b w:val="0"/>
                      <w:bCs w:val="0"/>
                      <w:sz w:val="21"/>
                      <w:szCs w:val="21"/>
                    </w:rPr>
                    <w:t>磨削工艺均在水环境中进行，无粉尘产生</w:t>
                  </w:r>
                  <w:r>
                    <w:rPr>
                      <w:rFonts w:hint="default" w:ascii="Times New Roman" w:hAnsi="Times New Roman" w:cs="Times New Roman"/>
                      <w:b w:val="0"/>
                      <w:bCs w:val="0"/>
                      <w:sz w:val="21"/>
                      <w:szCs w:val="21"/>
                      <w:lang w:eastAsia="zh-CN"/>
                    </w:rPr>
                    <w:t>；</w:t>
                  </w:r>
                  <w:r>
                    <w:rPr>
                      <w:rFonts w:hint="default" w:ascii="Times New Roman" w:hAnsi="Times New Roman" w:eastAsia="宋体" w:cs="Times New Roman"/>
                      <w:b w:val="0"/>
                      <w:bCs w:val="0"/>
                      <w:sz w:val="21"/>
                      <w:szCs w:val="21"/>
                    </w:rPr>
                    <w:t>夹胶玻璃生产线生产过程无废气产生</w:t>
                  </w:r>
                </w:p>
              </w:tc>
            </w:tr>
            <w:tr w14:paraId="6BF85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6" w:hRule="atLeast"/>
              </w:trPr>
              <w:tc>
                <w:tcPr>
                  <w:tcW w:w="424" w:type="pct"/>
                  <w:vMerge w:val="continue"/>
                  <w:vAlign w:val="center"/>
                </w:tcPr>
                <w:p w14:paraId="09B29470">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p>
              </w:tc>
              <w:tc>
                <w:tcPr>
                  <w:tcW w:w="1977" w:type="pct"/>
                  <w:vAlign w:val="center"/>
                </w:tcPr>
                <w:p w14:paraId="2239A6D5">
                  <w:pPr>
                    <w:numPr>
                      <w:ilvl w:val="0"/>
                      <w:numId w:val="0"/>
                    </w:numPr>
                    <w:spacing w:beforeLines="0" w:afterLines="0" w:line="240" w:lineRule="auto"/>
                    <w:jc w:val="center"/>
                    <w:rPr>
                      <w:rFonts w:hint="default" w:ascii="Times New Roman" w:hAnsi="Times New Roman" w:eastAsia="宋体" w:cs="Times New Roman"/>
                      <w:b w:val="0"/>
                      <w:bCs w:val="0"/>
                      <w:sz w:val="21"/>
                      <w:szCs w:val="21"/>
                    </w:rPr>
                  </w:pPr>
                  <w:r>
                    <w:rPr>
                      <w:rFonts w:hint="default" w:ascii="Times New Roman" w:hAnsi="Times New Roman" w:cs="Times New Roman"/>
                      <w:b w:val="0"/>
                      <w:bCs w:val="0"/>
                      <w:sz w:val="21"/>
                      <w:szCs w:val="21"/>
                      <w:lang w:val="en-US" w:eastAsia="zh-CN"/>
                    </w:rPr>
                    <w:t>2、</w:t>
                  </w:r>
                  <w:r>
                    <w:rPr>
                      <w:rFonts w:hint="default" w:ascii="Times New Roman" w:hAnsi="Times New Roman" w:eastAsia="宋体" w:cs="Times New Roman"/>
                      <w:b w:val="0"/>
                      <w:bCs w:val="0"/>
                      <w:sz w:val="21"/>
                      <w:szCs w:val="21"/>
                    </w:rPr>
                    <w:t>中空工序</w:t>
                  </w:r>
                  <w:r>
                    <w:rPr>
                      <w:rFonts w:hint="default" w:ascii="Times New Roman" w:hAnsi="Times New Roman" w:eastAsia="宋体" w:cs="Times New Roman"/>
                      <w:b w:val="0"/>
                      <w:bCs w:val="0"/>
                      <w:sz w:val="21"/>
                      <w:szCs w:val="21"/>
                      <w:lang w:val="en-US" w:eastAsia="zh-CN"/>
                    </w:rPr>
                    <w:t>涂装</w:t>
                  </w:r>
                  <w:r>
                    <w:rPr>
                      <w:rFonts w:hint="default" w:ascii="Times New Roman" w:hAnsi="Times New Roman" w:eastAsia="宋体" w:cs="Times New Roman"/>
                      <w:b w:val="0"/>
                      <w:bCs w:val="0"/>
                      <w:sz w:val="21"/>
                      <w:szCs w:val="21"/>
                    </w:rPr>
                    <w:t>固化过程中产生的有机废气由集气罩收集后经</w:t>
                  </w:r>
                  <w:r>
                    <w:rPr>
                      <w:rFonts w:hint="default" w:ascii="Times New Roman" w:hAnsi="Times New Roman" w:eastAsia="TimesNewRomanPSMT" w:cs="Times New Roman"/>
                      <w:b w:val="0"/>
                      <w:bCs w:val="0"/>
                      <w:sz w:val="21"/>
                      <w:szCs w:val="21"/>
                    </w:rPr>
                    <w:t xml:space="preserve">UV </w:t>
                  </w:r>
                  <w:r>
                    <w:rPr>
                      <w:rFonts w:hint="default" w:ascii="Times New Roman" w:hAnsi="Times New Roman" w:eastAsia="宋体" w:cs="Times New Roman"/>
                      <w:b w:val="0"/>
                      <w:bCs w:val="0"/>
                      <w:sz w:val="21"/>
                      <w:szCs w:val="21"/>
                    </w:rPr>
                    <w:t>光氧</w:t>
                  </w:r>
                  <w:r>
                    <w:rPr>
                      <w:rFonts w:hint="default" w:ascii="Times New Roman" w:hAnsi="Times New Roman" w:eastAsia="TimesNewRomanPSMT" w:cs="Times New Roman"/>
                      <w:b w:val="0"/>
                      <w:bCs w:val="0"/>
                      <w:sz w:val="21"/>
                      <w:szCs w:val="21"/>
                    </w:rPr>
                    <w:t>+</w:t>
                  </w:r>
                  <w:r>
                    <w:rPr>
                      <w:rFonts w:hint="default" w:ascii="Times New Roman" w:hAnsi="Times New Roman" w:eastAsia="宋体" w:cs="Times New Roman"/>
                      <w:b w:val="0"/>
                      <w:bCs w:val="0"/>
                      <w:sz w:val="21"/>
                      <w:szCs w:val="21"/>
                    </w:rPr>
                    <w:t>活性炭吸附处理后通过</w:t>
                  </w:r>
                  <w:r>
                    <w:rPr>
                      <w:rFonts w:hint="default" w:ascii="Times New Roman" w:hAnsi="Times New Roman" w:eastAsia="TimesNewRomanPSMT" w:cs="Times New Roman"/>
                      <w:b w:val="0"/>
                      <w:bCs w:val="0"/>
                      <w:sz w:val="21"/>
                      <w:szCs w:val="21"/>
                    </w:rPr>
                    <w:t xml:space="preserve">15m </w:t>
                  </w:r>
                  <w:r>
                    <w:rPr>
                      <w:rFonts w:hint="default" w:ascii="Times New Roman" w:hAnsi="Times New Roman" w:eastAsia="宋体" w:cs="Times New Roman"/>
                      <w:b w:val="0"/>
                      <w:bCs w:val="0"/>
                      <w:sz w:val="21"/>
                      <w:szCs w:val="21"/>
                    </w:rPr>
                    <w:t>排气筒排放</w:t>
                  </w:r>
                </w:p>
              </w:tc>
              <w:tc>
                <w:tcPr>
                  <w:tcW w:w="2597" w:type="pct"/>
                  <w:vAlign w:val="center"/>
                </w:tcPr>
                <w:p w14:paraId="05A77E59">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eastAsia" w:ascii="Times New Roman" w:hAnsi="Times New Roman" w:cs="Times New Roman"/>
                      <w:b w:val="0"/>
                      <w:bCs w:val="0"/>
                      <w:sz w:val="21"/>
                      <w:szCs w:val="21"/>
                      <w:lang w:val="en-US" w:eastAsia="zh-CN"/>
                    </w:rPr>
                    <w:t>废气处理工艺有提升。</w:t>
                  </w:r>
                  <w:r>
                    <w:rPr>
                      <w:rFonts w:hint="default" w:ascii="Times New Roman" w:hAnsi="Times New Roman" w:eastAsia="宋体" w:cs="Times New Roman"/>
                      <w:b w:val="0"/>
                      <w:bCs w:val="0"/>
                      <w:sz w:val="21"/>
                      <w:szCs w:val="21"/>
                    </w:rPr>
                    <w:t>由集气罩收集后经</w:t>
                  </w:r>
                  <w:r>
                    <w:rPr>
                      <w:rFonts w:hint="default" w:ascii="Times New Roman" w:hAnsi="Times New Roman" w:eastAsia="宋体" w:cs="Times New Roman"/>
                      <w:b w:val="0"/>
                      <w:bCs w:val="0"/>
                      <w:sz w:val="21"/>
                      <w:szCs w:val="21"/>
                      <w:lang w:val="en-US" w:eastAsia="zh-CN"/>
                    </w:rPr>
                    <w:t>两级</w:t>
                  </w:r>
                  <w:r>
                    <w:rPr>
                      <w:rFonts w:hint="default" w:ascii="Times New Roman" w:hAnsi="Times New Roman" w:eastAsia="宋体" w:cs="Times New Roman"/>
                      <w:b w:val="0"/>
                      <w:bCs w:val="0"/>
                      <w:sz w:val="21"/>
                      <w:szCs w:val="21"/>
                    </w:rPr>
                    <w:t>活性炭吸附处理后通过</w:t>
                  </w:r>
                  <w:r>
                    <w:rPr>
                      <w:rFonts w:hint="default" w:ascii="Times New Roman" w:hAnsi="Times New Roman" w:eastAsia="TimesNewRomanPSMT" w:cs="Times New Roman"/>
                      <w:b w:val="0"/>
                      <w:bCs w:val="0"/>
                      <w:sz w:val="21"/>
                      <w:szCs w:val="21"/>
                    </w:rPr>
                    <w:t xml:space="preserve">15m </w:t>
                  </w:r>
                  <w:r>
                    <w:rPr>
                      <w:rFonts w:hint="default" w:ascii="Times New Roman" w:hAnsi="Times New Roman" w:eastAsia="宋体" w:cs="Times New Roman"/>
                      <w:b w:val="0"/>
                      <w:bCs w:val="0"/>
                      <w:sz w:val="21"/>
                      <w:szCs w:val="21"/>
                    </w:rPr>
                    <w:t>排气筒排放</w:t>
                  </w:r>
                </w:p>
              </w:tc>
            </w:tr>
            <w:tr w14:paraId="4EC37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424" w:type="pct"/>
                  <w:vMerge w:val="continue"/>
                  <w:vAlign w:val="center"/>
                </w:tcPr>
                <w:p w14:paraId="60C589ED">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p>
              </w:tc>
              <w:tc>
                <w:tcPr>
                  <w:tcW w:w="1977" w:type="pct"/>
                  <w:vAlign w:val="center"/>
                </w:tcPr>
                <w:p w14:paraId="011DD51C">
                  <w:pPr>
                    <w:spacing w:beforeLines="0" w:afterLines="0"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lang w:val="en-US" w:eastAsia="zh-CN"/>
                    </w:rPr>
                    <w:t>3、彩色成像玻璃生产过程中彩打固化</w:t>
                  </w:r>
                  <w:r>
                    <w:rPr>
                      <w:rFonts w:hint="default" w:ascii="Times New Roman" w:hAnsi="Times New Roman" w:eastAsia="宋体" w:cs="Times New Roman"/>
                      <w:b w:val="0"/>
                      <w:bCs w:val="0"/>
                      <w:sz w:val="21"/>
                      <w:szCs w:val="21"/>
                    </w:rPr>
                    <w:t>工序</w:t>
                  </w:r>
                  <w:r>
                    <w:rPr>
                      <w:rFonts w:hint="default" w:ascii="Times New Roman" w:hAnsi="Times New Roman" w:eastAsia="宋体" w:cs="Times New Roman"/>
                      <w:b w:val="0"/>
                      <w:bCs w:val="0"/>
                      <w:sz w:val="21"/>
                      <w:szCs w:val="21"/>
                      <w:lang w:val="en-US" w:eastAsia="zh-CN"/>
                    </w:rPr>
                    <w:t>产生的有机</w:t>
                  </w:r>
                  <w:r>
                    <w:rPr>
                      <w:rFonts w:hint="default" w:ascii="Times New Roman" w:hAnsi="Times New Roman" w:eastAsia="宋体" w:cs="Times New Roman"/>
                      <w:b w:val="0"/>
                      <w:bCs w:val="0"/>
                      <w:sz w:val="21"/>
                      <w:szCs w:val="21"/>
                    </w:rPr>
                    <w:t>废气经集气罩收集后通过</w:t>
                  </w:r>
                  <w:r>
                    <w:rPr>
                      <w:rFonts w:hint="default" w:ascii="Times New Roman" w:hAnsi="Times New Roman" w:eastAsia="TimesNewRomanPSMT" w:cs="Times New Roman"/>
                      <w:b w:val="0"/>
                      <w:bCs w:val="0"/>
                      <w:sz w:val="21"/>
                      <w:szCs w:val="21"/>
                    </w:rPr>
                    <w:t xml:space="preserve">15m </w:t>
                  </w:r>
                  <w:r>
                    <w:rPr>
                      <w:rFonts w:hint="default" w:ascii="Times New Roman" w:hAnsi="Times New Roman" w:eastAsia="宋体" w:cs="Times New Roman"/>
                      <w:b w:val="0"/>
                      <w:bCs w:val="0"/>
                      <w:sz w:val="21"/>
                      <w:szCs w:val="21"/>
                    </w:rPr>
                    <w:t>排气筒直接排放</w:t>
                  </w:r>
                </w:p>
              </w:tc>
              <w:tc>
                <w:tcPr>
                  <w:tcW w:w="2597" w:type="pct"/>
                  <w:vAlign w:val="center"/>
                </w:tcPr>
                <w:p w14:paraId="76E56D38">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rPr>
                    <w:t>经集气罩收集后</w:t>
                  </w:r>
                  <w:r>
                    <w:rPr>
                      <w:rFonts w:hint="default" w:ascii="Times New Roman" w:hAnsi="Times New Roman" w:cs="Times New Roman"/>
                      <w:b w:val="0"/>
                      <w:bCs w:val="0"/>
                      <w:sz w:val="21"/>
                      <w:szCs w:val="21"/>
                      <w:lang w:val="en-US" w:eastAsia="zh-CN"/>
                    </w:rPr>
                    <w:t>直接</w:t>
                  </w:r>
                  <w:r>
                    <w:rPr>
                      <w:rFonts w:hint="default" w:ascii="Times New Roman" w:hAnsi="Times New Roman" w:eastAsia="宋体" w:cs="Times New Roman"/>
                      <w:b w:val="0"/>
                      <w:bCs w:val="0"/>
                      <w:sz w:val="21"/>
                      <w:szCs w:val="21"/>
                    </w:rPr>
                    <w:t>通过</w:t>
                  </w:r>
                  <w:r>
                    <w:rPr>
                      <w:rFonts w:hint="default" w:ascii="Times New Roman" w:hAnsi="Times New Roman" w:eastAsia="TimesNewRomanPSMT" w:cs="Times New Roman"/>
                      <w:b w:val="0"/>
                      <w:bCs w:val="0"/>
                      <w:sz w:val="21"/>
                      <w:szCs w:val="21"/>
                    </w:rPr>
                    <w:t xml:space="preserve">15m </w:t>
                  </w:r>
                  <w:r>
                    <w:rPr>
                      <w:rFonts w:hint="default" w:ascii="Times New Roman" w:hAnsi="Times New Roman" w:eastAsia="宋体" w:cs="Times New Roman"/>
                      <w:b w:val="0"/>
                      <w:bCs w:val="0"/>
                      <w:sz w:val="21"/>
                      <w:szCs w:val="21"/>
                    </w:rPr>
                    <w:t>排气筒直接排放</w:t>
                  </w:r>
                </w:p>
              </w:tc>
            </w:tr>
            <w:tr w14:paraId="13A3F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424" w:type="pct"/>
                  <w:vAlign w:val="center"/>
                </w:tcPr>
                <w:p w14:paraId="5040F494">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固废</w:t>
                  </w:r>
                </w:p>
              </w:tc>
              <w:tc>
                <w:tcPr>
                  <w:tcW w:w="1977" w:type="pct"/>
                  <w:vAlign w:val="center"/>
                </w:tcPr>
                <w:p w14:paraId="6E353E2C">
                  <w:pPr>
                    <w:spacing w:beforeLines="0" w:afterLines="0" w:line="240" w:lineRule="auto"/>
                    <w:jc w:val="center"/>
                    <w:rPr>
                      <w:rFonts w:hint="default" w:ascii="Times New Roman" w:hAnsi="Times New Roman" w:eastAsia="宋体"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rPr>
                    <w:t>玻璃切割工序产生的玻璃边角料、</w:t>
                  </w:r>
                  <w:r>
                    <w:rPr>
                      <w:rFonts w:hint="default" w:ascii="Times New Roman" w:hAnsi="Times New Roman" w:cs="Times New Roman"/>
                      <w:b w:val="0"/>
                      <w:bCs w:val="0"/>
                      <w:color w:val="000000"/>
                      <w:kern w:val="0"/>
                      <w:sz w:val="21"/>
                      <w:szCs w:val="21"/>
                      <w:vertAlign w:val="baseline"/>
                      <w:lang w:val="en-US" w:eastAsia="zh-CN" w:bidi="ar"/>
                    </w:rPr>
                    <w:t>洗磨工序沉淀池产生的沉渣、铝材切割产生的废金属材料</w:t>
                  </w:r>
                  <w:r>
                    <w:rPr>
                      <w:rFonts w:hint="default" w:ascii="Times New Roman" w:hAnsi="Times New Roman" w:eastAsia="宋体" w:cs="Times New Roman"/>
                      <w:b w:val="0"/>
                      <w:bCs w:val="0"/>
                      <w:sz w:val="21"/>
                      <w:szCs w:val="21"/>
                    </w:rPr>
                    <w:t>、不合格产品、废包装材料作为一般工业固废分类收集于一般固废暂存间，定期外售</w:t>
                  </w:r>
                  <w:r>
                    <w:rPr>
                      <w:rFonts w:hint="default" w:ascii="Times New Roman" w:hAnsi="Times New Roman" w:eastAsia="宋体" w:cs="Times New Roman"/>
                      <w:b w:val="0"/>
                      <w:bCs w:val="0"/>
                      <w:sz w:val="21"/>
                      <w:szCs w:val="21"/>
                      <w:lang w:eastAsia="zh-CN"/>
                    </w:rPr>
                    <w:t>；</w:t>
                  </w:r>
                  <w:r>
                    <w:rPr>
                      <w:rFonts w:hint="default" w:ascii="Times New Roman" w:hAnsi="Times New Roman" w:cs="Times New Roman"/>
                      <w:b w:val="0"/>
                      <w:bCs w:val="0"/>
                      <w:color w:val="000000"/>
                      <w:kern w:val="0"/>
                      <w:sz w:val="21"/>
                      <w:szCs w:val="21"/>
                      <w:vertAlign w:val="baseline"/>
                      <w:lang w:val="en-US" w:eastAsia="zh-CN" w:bidi="ar"/>
                    </w:rPr>
                    <w:t>废胶桶、废油墨桶、废靶材、废活性炭、废机油（桶）交有资质单位进行处理</w:t>
                  </w:r>
                </w:p>
              </w:tc>
              <w:tc>
                <w:tcPr>
                  <w:tcW w:w="2597" w:type="pct"/>
                  <w:vAlign w:val="center"/>
                </w:tcPr>
                <w:p w14:paraId="6C9C0098">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生活垃圾经垃圾桶及垃圾箱收集后，交由环卫部门集中清运，统一处理；玻璃切割工序产生的玻璃边角料、洗磨工序沉淀池产生的沉渣、不合格产品、废包装材料作为一般工业固废分类收集，于一般固废暂存间暂存，外售物资单位；废胶桶、废油墨桶收集后暂存于危废暂存间，定期交由有资质单位处置，废靶材收集后暂存于危废暂存间，定期由供应商回收；废活性炭收集后暂存于危废暂存间，定期交由洛阳雷蒙环保科技有限公司处置；废机油（桶）由厂家定期到厂更换，厂区内不暂存</w:t>
                  </w:r>
                </w:p>
              </w:tc>
            </w:tr>
            <w:tr w14:paraId="54BA5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424" w:type="pct"/>
                  <w:vAlign w:val="center"/>
                </w:tcPr>
                <w:p w14:paraId="4B394BDC">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cs="Times New Roman"/>
                      <w:b w:val="0"/>
                      <w:bCs w:val="0"/>
                      <w:color w:val="000000"/>
                      <w:kern w:val="0"/>
                      <w:sz w:val="21"/>
                      <w:szCs w:val="21"/>
                      <w:vertAlign w:val="baseline"/>
                      <w:lang w:val="en-US" w:eastAsia="zh-CN" w:bidi="ar"/>
                    </w:rPr>
                    <w:t>噪声</w:t>
                  </w:r>
                </w:p>
              </w:tc>
              <w:tc>
                <w:tcPr>
                  <w:tcW w:w="1977" w:type="pct"/>
                  <w:vAlign w:val="center"/>
                </w:tcPr>
                <w:p w14:paraId="25998A0B">
                  <w:pPr>
                    <w:spacing w:beforeLines="0" w:afterLines="0"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default" w:ascii="Times New Roman" w:hAnsi="Times New Roman" w:eastAsia="宋体" w:cs="Times New Roman"/>
                      <w:b w:val="0"/>
                      <w:bCs w:val="0"/>
                      <w:sz w:val="21"/>
                      <w:szCs w:val="21"/>
                    </w:rPr>
                    <w:t>采取设备基础加装减振垫、厂房墙体隔声措施</w:t>
                  </w:r>
                </w:p>
              </w:tc>
              <w:tc>
                <w:tcPr>
                  <w:tcW w:w="2597" w:type="pct"/>
                  <w:vAlign w:val="center"/>
                </w:tcPr>
                <w:p w14:paraId="3D3F084A">
                  <w:pPr>
                    <w:pStyle w:val="21"/>
                    <w:spacing w:line="240" w:lineRule="auto"/>
                    <w:jc w:val="center"/>
                    <w:rPr>
                      <w:rFonts w:hint="default" w:ascii="Times New Roman" w:hAnsi="Times New Roman" w:cs="Times New Roman"/>
                      <w:b w:val="0"/>
                      <w:bCs w:val="0"/>
                      <w:color w:val="000000"/>
                      <w:kern w:val="0"/>
                      <w:sz w:val="21"/>
                      <w:szCs w:val="21"/>
                      <w:vertAlign w:val="baseline"/>
                      <w:lang w:val="en-US" w:eastAsia="zh-CN" w:bidi="ar"/>
                    </w:rPr>
                  </w:pPr>
                  <w:r>
                    <w:rPr>
                      <w:rFonts w:hint="eastAsia" w:ascii="Times New Roman" w:hAnsi="Times New Roman" w:cs="Times New Roman"/>
                      <w:b w:val="0"/>
                      <w:bCs w:val="0"/>
                      <w:color w:val="000000"/>
                      <w:kern w:val="0"/>
                      <w:sz w:val="21"/>
                      <w:szCs w:val="21"/>
                      <w:vertAlign w:val="baseline"/>
                      <w:lang w:val="en-US" w:eastAsia="zh-CN" w:bidi="ar"/>
                    </w:rPr>
                    <w:t>根据监测数据，厂界噪声均达标</w:t>
                  </w:r>
                </w:p>
              </w:tc>
            </w:tr>
          </w:tbl>
          <w:p w14:paraId="7E2C538F">
            <w:pPr>
              <w:pStyle w:val="21"/>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textAlignment w:val="auto"/>
              <w:rPr>
                <w:rFonts w:hint="default" w:ascii="Times New Roman" w:hAnsi="Times New Roman"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6、排污许可及总量控制指标</w:t>
            </w:r>
          </w:p>
          <w:p w14:paraId="796438E8">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企业已申请排污许可证，</w:t>
            </w:r>
            <w:r>
              <w:rPr>
                <w:rFonts w:hint="eastAsia" w:ascii="Times New Roman" w:hAnsi="Times New Roman" w:eastAsia="宋体" w:cs="Times New Roman"/>
                <w:b w:val="0"/>
                <w:bCs w:val="0"/>
                <w:snapToGrid w:val="0"/>
                <w:color w:val="auto"/>
                <w:kern w:val="0"/>
                <w:sz w:val="24"/>
                <w:szCs w:val="24"/>
                <w:lang w:val="en-US" w:eastAsia="zh-CN"/>
              </w:rPr>
              <w:t>排污许可证编号为91411626052290062H001R</w:t>
            </w:r>
            <w:r>
              <w:rPr>
                <w:rFonts w:hint="eastAsia" w:ascii="Times New Roman" w:hAnsi="Times New Roman" w:cs="Times New Roman"/>
                <w:b w:val="0"/>
                <w:bCs w:val="0"/>
                <w:snapToGrid w:val="0"/>
                <w:color w:val="auto"/>
                <w:kern w:val="0"/>
                <w:sz w:val="24"/>
                <w:szCs w:val="24"/>
                <w:lang w:val="en-US" w:eastAsia="zh-CN"/>
              </w:rPr>
              <w:t>。</w:t>
            </w:r>
          </w:p>
          <w:p w14:paraId="2585C41E">
            <w:pPr>
              <w:pStyle w:val="21"/>
              <w:spacing w:line="360" w:lineRule="auto"/>
              <w:ind w:firstLine="480" w:firstLineChars="200"/>
              <w:rPr>
                <w:rFonts w:hint="default"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企业总量指标为：COD0.296t/a、NH</w:t>
            </w:r>
            <w:r>
              <w:rPr>
                <w:rFonts w:hint="eastAsia" w:ascii="Times New Roman" w:hAnsi="Times New Roman" w:cs="Times New Roman"/>
                <w:b w:val="0"/>
                <w:bCs w:val="0"/>
                <w:snapToGrid w:val="0"/>
                <w:color w:val="auto"/>
                <w:kern w:val="0"/>
                <w:sz w:val="24"/>
                <w:szCs w:val="24"/>
                <w:vertAlign w:val="subscript"/>
                <w:lang w:val="en-US" w:eastAsia="zh-CN"/>
              </w:rPr>
              <w:t>3</w:t>
            </w:r>
            <w:r>
              <w:rPr>
                <w:rFonts w:hint="eastAsia" w:ascii="Times New Roman" w:hAnsi="Times New Roman" w:cs="Times New Roman"/>
                <w:b w:val="0"/>
                <w:bCs w:val="0"/>
                <w:snapToGrid w:val="0"/>
                <w:color w:val="auto"/>
                <w:kern w:val="0"/>
                <w:sz w:val="24"/>
                <w:szCs w:val="24"/>
                <w:lang w:val="en-US" w:eastAsia="zh-CN"/>
              </w:rPr>
              <w:t>-N0.0296t/a、非甲烷总烃1.5156t/a，根据自行监测数据进行核算，非甲烷总烃实际排放量为0.1095t/a。</w:t>
            </w:r>
          </w:p>
          <w:p w14:paraId="351D8B85">
            <w:pPr>
              <w:pStyle w:val="21"/>
              <w:spacing w:line="360" w:lineRule="auto"/>
              <w:ind w:firstLine="482" w:firstLineChars="200"/>
              <w:rPr>
                <w:rFonts w:hint="default" w:ascii="Times New Roman" w:hAnsi="Times New Roman" w:eastAsia="宋体" w:cs="Times New Roman"/>
                <w:b/>
                <w:bCs/>
                <w:snapToGrid w:val="0"/>
                <w:color w:val="auto"/>
                <w:kern w:val="0"/>
                <w:sz w:val="24"/>
                <w:szCs w:val="24"/>
                <w:lang w:val="en-US" w:eastAsia="zh-CN"/>
              </w:rPr>
            </w:pPr>
            <w:r>
              <w:rPr>
                <w:rFonts w:hint="eastAsia" w:ascii="Times New Roman" w:hAnsi="Times New Roman" w:cs="Times New Roman"/>
                <w:b/>
                <w:bCs/>
                <w:snapToGrid w:val="0"/>
                <w:color w:val="auto"/>
                <w:kern w:val="0"/>
                <w:sz w:val="24"/>
                <w:szCs w:val="24"/>
                <w:lang w:val="en-US" w:eastAsia="zh-CN"/>
              </w:rPr>
              <w:t>7</w:t>
            </w:r>
            <w:r>
              <w:rPr>
                <w:rFonts w:hint="default" w:ascii="Times New Roman" w:hAnsi="Times New Roman" w:eastAsia="宋体" w:cs="Times New Roman"/>
                <w:b/>
                <w:bCs/>
                <w:snapToGrid w:val="0"/>
                <w:color w:val="auto"/>
                <w:kern w:val="0"/>
                <w:sz w:val="24"/>
                <w:szCs w:val="24"/>
                <w:lang w:val="en-US" w:eastAsia="zh-CN"/>
              </w:rPr>
              <w:t xml:space="preserve">、企业现有问题及整改措施 </w:t>
            </w:r>
          </w:p>
          <w:p w14:paraId="69AE176B">
            <w:pPr>
              <w:pStyle w:val="21"/>
              <w:spacing w:line="360" w:lineRule="auto"/>
              <w:ind w:firstLine="480" w:firstLineChars="200"/>
              <w:rPr>
                <w:rFonts w:hint="default" w:ascii="Times New Roman" w:hAnsi="Times New Roman" w:eastAsia="宋体"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目前彩色成像玻璃生产过程中彩打固化工序产生的有机废气经集气罩收集后直接通过15m 排气筒，虽然监测结果达标，为减少有机废气的排放，评价建议企业加装两级活性炭吸附装置对该股废气进行处理后再进行排放</w:t>
            </w:r>
            <w:r>
              <w:rPr>
                <w:rFonts w:hint="default" w:ascii="Times New Roman" w:hAnsi="Times New Roman" w:eastAsia="宋体" w:cs="Times New Roman"/>
                <w:b w:val="0"/>
                <w:bCs w:val="0"/>
                <w:snapToGrid w:val="0"/>
                <w:color w:val="auto"/>
                <w:kern w:val="0"/>
                <w:sz w:val="24"/>
                <w:szCs w:val="24"/>
                <w:lang w:val="en-US" w:eastAsia="zh-CN"/>
              </w:rPr>
              <w:t>。根据验收意见</w:t>
            </w:r>
            <w:r>
              <w:rPr>
                <w:rFonts w:hint="eastAsia" w:ascii="Times New Roman" w:hAnsi="Times New Roman" w:cs="Times New Roman"/>
                <w:b w:val="0"/>
                <w:bCs w:val="0"/>
                <w:snapToGrid w:val="0"/>
                <w:color w:val="auto"/>
                <w:kern w:val="0"/>
                <w:sz w:val="24"/>
                <w:szCs w:val="24"/>
                <w:lang w:val="en-US" w:eastAsia="zh-CN"/>
              </w:rPr>
              <w:t>及自行监测数据</w:t>
            </w:r>
            <w:r>
              <w:rPr>
                <w:rFonts w:hint="default" w:ascii="Times New Roman" w:hAnsi="Times New Roman" w:eastAsia="宋体" w:cs="Times New Roman"/>
                <w:b w:val="0"/>
                <w:bCs w:val="0"/>
                <w:snapToGrid w:val="0"/>
                <w:color w:val="auto"/>
                <w:kern w:val="0"/>
                <w:sz w:val="24"/>
                <w:szCs w:val="24"/>
                <w:lang w:val="en-US" w:eastAsia="zh-CN"/>
              </w:rPr>
              <w:t>，</w:t>
            </w:r>
            <w:r>
              <w:rPr>
                <w:rFonts w:hint="eastAsia" w:ascii="Times New Roman" w:hAnsi="Times New Roman" w:cs="Times New Roman"/>
                <w:b w:val="0"/>
                <w:bCs w:val="0"/>
                <w:snapToGrid w:val="0"/>
                <w:color w:val="auto"/>
                <w:kern w:val="0"/>
                <w:sz w:val="24"/>
                <w:szCs w:val="24"/>
                <w:lang w:val="en-US" w:eastAsia="zh-CN"/>
              </w:rPr>
              <w:t>项目</w:t>
            </w:r>
            <w:r>
              <w:rPr>
                <w:rFonts w:hint="default" w:ascii="Times New Roman" w:hAnsi="Times New Roman" w:eastAsia="宋体" w:cs="Times New Roman"/>
                <w:b w:val="0"/>
                <w:bCs w:val="0"/>
                <w:snapToGrid w:val="0"/>
                <w:color w:val="auto"/>
                <w:kern w:val="0"/>
                <w:sz w:val="24"/>
                <w:szCs w:val="24"/>
                <w:lang w:val="en-US" w:eastAsia="zh-CN"/>
              </w:rPr>
              <w:t>废气、废水</w:t>
            </w:r>
            <w:r>
              <w:rPr>
                <w:rFonts w:hint="eastAsia" w:ascii="Times New Roman" w:hAnsi="Times New Roman" w:cs="Times New Roman"/>
                <w:b w:val="0"/>
                <w:bCs w:val="0"/>
                <w:snapToGrid w:val="0"/>
                <w:color w:val="auto"/>
                <w:kern w:val="0"/>
                <w:sz w:val="24"/>
                <w:szCs w:val="24"/>
                <w:lang w:val="en-US" w:eastAsia="zh-CN"/>
              </w:rPr>
              <w:t>、噪声均</w:t>
            </w:r>
            <w:r>
              <w:rPr>
                <w:rFonts w:hint="default" w:ascii="Times New Roman" w:hAnsi="Times New Roman" w:eastAsia="宋体" w:cs="Times New Roman"/>
                <w:b w:val="0"/>
                <w:bCs w:val="0"/>
                <w:snapToGrid w:val="0"/>
                <w:color w:val="auto"/>
                <w:kern w:val="0"/>
                <w:sz w:val="24"/>
                <w:szCs w:val="24"/>
                <w:lang w:val="en-US" w:eastAsia="zh-CN"/>
              </w:rPr>
              <w:t>可达标排放</w:t>
            </w:r>
            <w:r>
              <w:rPr>
                <w:rFonts w:hint="eastAsia" w:ascii="Times New Roman" w:hAnsi="Times New Roman" w:cs="Times New Roman"/>
                <w:b w:val="0"/>
                <w:bCs w:val="0"/>
                <w:snapToGrid w:val="0"/>
                <w:color w:val="auto"/>
                <w:kern w:val="0"/>
                <w:sz w:val="24"/>
                <w:szCs w:val="24"/>
                <w:lang w:val="en-US" w:eastAsia="zh-CN"/>
              </w:rPr>
              <w:t>，且各项污染防治措施均已落实，建议企业加强管理，对沉淀池产生的沉渣定期打捞，同时各项固体废物及时收集，合理暂存，并</w:t>
            </w:r>
            <w:r>
              <w:rPr>
                <w:rFonts w:hint="default" w:ascii="Times New Roman" w:hAnsi="Times New Roman" w:eastAsia="宋体" w:cs="Times New Roman"/>
                <w:b w:val="0"/>
                <w:bCs w:val="0"/>
                <w:snapToGrid w:val="0"/>
                <w:color w:val="auto"/>
                <w:kern w:val="0"/>
                <w:sz w:val="24"/>
                <w:szCs w:val="24"/>
                <w:lang w:val="en-US" w:eastAsia="zh-CN"/>
              </w:rPr>
              <w:t>完善固废台账制度，记录要完整、准确、及时、规范，各项记录内容应妥善保管。</w:t>
            </w:r>
          </w:p>
          <w:p w14:paraId="40D0A23A">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r>
              <w:rPr>
                <w:rFonts w:hint="eastAsia" w:ascii="Times New Roman" w:hAnsi="Times New Roman" w:cs="Times New Roman"/>
                <w:b w:val="0"/>
                <w:bCs w:val="0"/>
                <w:snapToGrid w:val="0"/>
                <w:color w:val="auto"/>
                <w:kern w:val="0"/>
                <w:sz w:val="24"/>
                <w:szCs w:val="24"/>
                <w:lang w:val="en-US" w:eastAsia="zh-CN"/>
              </w:rPr>
              <w:t>本次扩建项目利用厂区为新厂区，目前厂区内为空地，不存在与项目有关的污染源。</w:t>
            </w:r>
          </w:p>
          <w:p w14:paraId="6CD6FAFC">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69DD12E0">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31E3C9E">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2251BBF">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9ADFC45">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3AB33618">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04F57012">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5EF9431F">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5ADFE4B0">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12843935">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FABD22F">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3F24EE81">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367BD5D">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DE6F13C">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2FF8B4BE">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3E9F64CC">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6CDEC901">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2E62E447">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6DB13B26">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0C5DE58E">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706C8CE">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38C51D4E">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6F73FC0D">
            <w:pPr>
              <w:pStyle w:val="21"/>
              <w:spacing w:line="360" w:lineRule="auto"/>
              <w:ind w:firstLine="480" w:firstLineChars="200"/>
              <w:rPr>
                <w:rFonts w:hint="eastAsia" w:ascii="Times New Roman" w:hAnsi="Times New Roman" w:cs="Times New Roman"/>
                <w:b w:val="0"/>
                <w:bCs w:val="0"/>
                <w:snapToGrid w:val="0"/>
                <w:color w:val="auto"/>
                <w:kern w:val="0"/>
                <w:sz w:val="24"/>
                <w:szCs w:val="24"/>
                <w:lang w:val="en-US" w:eastAsia="zh-CN"/>
              </w:rPr>
            </w:pPr>
          </w:p>
          <w:p w14:paraId="7C47F607">
            <w:pPr>
              <w:pStyle w:val="21"/>
              <w:spacing w:line="360" w:lineRule="auto"/>
              <w:rPr>
                <w:rFonts w:hint="default" w:ascii="Times New Roman" w:hAnsi="Times New Roman" w:cs="Times New Roman"/>
                <w:b w:val="0"/>
                <w:bCs w:val="0"/>
                <w:snapToGrid w:val="0"/>
                <w:color w:val="auto"/>
                <w:kern w:val="0"/>
                <w:sz w:val="24"/>
                <w:szCs w:val="24"/>
                <w:lang w:val="en-US" w:eastAsia="zh-CN"/>
              </w:rPr>
            </w:pPr>
          </w:p>
        </w:tc>
      </w:tr>
    </w:tbl>
    <w:p w14:paraId="3B5397B1">
      <w:pPr>
        <w:pStyle w:val="34"/>
        <w:jc w:val="center"/>
        <w:rPr>
          <w:rFonts w:ascii="Times New Roman" w:hAnsi="Times New Roman" w:eastAsia="黑体"/>
          <w:b w:val="0"/>
          <w:bCs w:val="0"/>
          <w:snapToGrid w:val="0"/>
          <w:color w:val="FF0000"/>
          <w:sz w:val="36"/>
          <w:szCs w:val="36"/>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14:paraId="3900D736">
      <w:pPr>
        <w:pStyle w:val="34"/>
        <w:jc w:val="center"/>
        <w:outlineLvl w:val="0"/>
        <w:rPr>
          <w:rFonts w:ascii="Times New Roman" w:hAnsi="Times New Roman" w:eastAsia="黑体"/>
          <w:b w:val="0"/>
          <w:bCs w:val="0"/>
          <w:snapToGrid w:val="0"/>
          <w:color w:val="auto"/>
          <w:sz w:val="30"/>
          <w:szCs w:val="30"/>
        </w:rPr>
      </w:pPr>
      <w:bookmarkStart w:id="80" w:name="_Toc8798"/>
      <w:r>
        <w:rPr>
          <w:rFonts w:ascii="Times New Roman" w:hAnsi="Times New Roman" w:eastAsia="黑体"/>
          <w:b w:val="0"/>
          <w:bCs w:val="0"/>
          <w:snapToGrid w:val="0"/>
          <w:color w:val="auto"/>
          <w:sz w:val="30"/>
          <w:szCs w:val="30"/>
        </w:rPr>
        <w:t>三、区域环境质量现状、环境保护目标及评价标准</w:t>
      </w:r>
      <w:bookmarkEnd w:id="80"/>
    </w:p>
    <w:tbl>
      <w:tblPr>
        <w:tblStyle w:val="3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0"/>
        <w:gridCol w:w="8611"/>
      </w:tblGrid>
      <w:tr w14:paraId="2AE528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56" w:hRule="atLeast"/>
          <w:jc w:val="center"/>
        </w:trPr>
        <w:tc>
          <w:tcPr>
            <w:tcW w:w="667" w:type="dxa"/>
            <w:noWrap w:val="0"/>
            <w:vAlign w:val="center"/>
          </w:tcPr>
          <w:p w14:paraId="24A1941D">
            <w:pPr>
              <w:adjustRightInd w:val="0"/>
              <w:snapToGrid w:val="0"/>
              <w:jc w:val="center"/>
              <w:rPr>
                <w:b w:val="0"/>
                <w:bCs w:val="0"/>
                <w:color w:val="auto"/>
                <w:kern w:val="0"/>
                <w:szCs w:val="21"/>
              </w:rPr>
            </w:pPr>
            <w:r>
              <w:rPr>
                <w:b w:val="0"/>
                <w:bCs w:val="0"/>
                <w:color w:val="auto"/>
                <w:kern w:val="0"/>
                <w:szCs w:val="21"/>
              </w:rPr>
              <w:t>区域</w:t>
            </w:r>
          </w:p>
          <w:p w14:paraId="5EEB554C">
            <w:pPr>
              <w:adjustRightInd w:val="0"/>
              <w:snapToGrid w:val="0"/>
              <w:jc w:val="center"/>
              <w:rPr>
                <w:b w:val="0"/>
                <w:bCs w:val="0"/>
                <w:color w:val="auto"/>
                <w:kern w:val="0"/>
                <w:szCs w:val="21"/>
              </w:rPr>
            </w:pPr>
            <w:r>
              <w:rPr>
                <w:b w:val="0"/>
                <w:bCs w:val="0"/>
                <w:color w:val="auto"/>
                <w:kern w:val="0"/>
                <w:szCs w:val="21"/>
              </w:rPr>
              <w:t>环境</w:t>
            </w:r>
          </w:p>
          <w:p w14:paraId="2BF71899">
            <w:pPr>
              <w:adjustRightInd w:val="0"/>
              <w:snapToGrid w:val="0"/>
              <w:jc w:val="center"/>
              <w:rPr>
                <w:b w:val="0"/>
                <w:bCs w:val="0"/>
                <w:color w:val="auto"/>
                <w:kern w:val="0"/>
                <w:szCs w:val="21"/>
              </w:rPr>
            </w:pPr>
            <w:r>
              <w:rPr>
                <w:b w:val="0"/>
                <w:bCs w:val="0"/>
                <w:color w:val="auto"/>
                <w:kern w:val="0"/>
                <w:szCs w:val="21"/>
              </w:rPr>
              <w:t>质量</w:t>
            </w:r>
          </w:p>
          <w:p w14:paraId="1AA1524E">
            <w:pPr>
              <w:adjustRightInd w:val="0"/>
              <w:snapToGrid w:val="0"/>
              <w:jc w:val="center"/>
              <w:rPr>
                <w:b w:val="0"/>
                <w:bCs w:val="0"/>
                <w:color w:val="FF0000"/>
                <w:kern w:val="0"/>
                <w:szCs w:val="21"/>
              </w:rPr>
            </w:pPr>
            <w:r>
              <w:rPr>
                <w:b w:val="0"/>
                <w:bCs w:val="0"/>
                <w:color w:val="auto"/>
                <w:kern w:val="0"/>
                <w:szCs w:val="21"/>
              </w:rPr>
              <w:t>现状</w:t>
            </w:r>
          </w:p>
        </w:tc>
        <w:tc>
          <w:tcPr>
            <w:tcW w:w="8394" w:type="dxa"/>
            <w:noWrap w:val="0"/>
            <w:vAlign w:val="center"/>
          </w:tcPr>
          <w:p w14:paraId="0E5426AA">
            <w:pPr>
              <w:pStyle w:val="2"/>
              <w:rPr>
                <w:rFonts w:hint="eastAsia" w:ascii="Times New Roman" w:hAnsi="Times New Roman" w:eastAsia="宋体" w:cs="Times New Roman"/>
                <w:b/>
                <w:bCs/>
                <w:color w:val="000000"/>
                <w:lang w:val="en-US" w:eastAsia="zh-CN"/>
              </w:rPr>
            </w:pPr>
            <w:bookmarkStart w:id="81" w:name="_Toc4453"/>
            <w:bookmarkStart w:id="82" w:name="_Toc11304"/>
            <w:r>
              <w:rPr>
                <w:rFonts w:hint="eastAsia" w:ascii="Times New Roman" w:hAnsi="Times New Roman" w:eastAsia="宋体" w:cs="Times New Roman"/>
                <w:b/>
                <w:bCs/>
                <w:color w:val="000000"/>
                <w:lang w:val="en-US" w:eastAsia="zh-CN"/>
              </w:rPr>
              <w:t>1、环境空气</w:t>
            </w:r>
            <w:bookmarkEnd w:id="81"/>
            <w:bookmarkEnd w:id="82"/>
          </w:p>
          <w:p w14:paraId="25DDEB3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textAlignment w:val="auto"/>
              <w:outlineLvl w:val="9"/>
              <w:rPr>
                <w:rFonts w:hint="default" w:ascii="Times New Roman" w:hAnsi="Times New Roman" w:eastAsia="宋体" w:cs="Times New Roman"/>
                <w:b w:val="0"/>
                <w:bCs w:val="0"/>
                <w:color w:val="auto"/>
                <w:sz w:val="24"/>
                <w:szCs w:val="24"/>
                <w:u w:val="single"/>
                <w:lang w:val="en-US" w:eastAsia="zh-CN"/>
              </w:rPr>
            </w:pPr>
            <w:r>
              <w:rPr>
                <w:rFonts w:hint="default" w:ascii="Times New Roman" w:hAnsi="Times New Roman" w:eastAsia="宋体" w:cs="Times New Roman"/>
                <w:b w:val="0"/>
                <w:bCs w:val="0"/>
                <w:color w:val="auto"/>
                <w:sz w:val="24"/>
                <w:lang w:val="en-US" w:eastAsia="zh-CN"/>
              </w:rPr>
              <w:t>本项目所在区域为二类功能区，环境空气质量应执行《环境空气质量标准》（GB3095-20</w:t>
            </w:r>
            <w:r>
              <w:rPr>
                <w:rFonts w:hint="eastAsia" w:cs="Times New Roman"/>
                <w:b w:val="0"/>
                <w:bCs w:val="0"/>
                <w:color w:val="auto"/>
                <w:sz w:val="24"/>
                <w:lang w:val="en-US" w:eastAsia="zh-CN"/>
              </w:rPr>
              <w:t>26</w:t>
            </w:r>
            <w:r>
              <w:rPr>
                <w:rFonts w:hint="default" w:ascii="Times New Roman" w:hAnsi="Times New Roman" w:eastAsia="宋体" w:cs="Times New Roman"/>
                <w:b w:val="0"/>
                <w:bCs w:val="0"/>
                <w:color w:val="auto"/>
                <w:sz w:val="24"/>
                <w:lang w:val="en-US" w:eastAsia="zh-CN"/>
              </w:rPr>
              <w:t>）二级标准。</w:t>
            </w:r>
            <w:r>
              <w:rPr>
                <w:rFonts w:hint="default" w:ascii="Times New Roman" w:hAnsi="Times New Roman" w:cs="Times New Roman"/>
                <w:b w:val="0"/>
                <w:bCs w:val="0"/>
                <w:color w:val="auto"/>
                <w:sz w:val="24"/>
                <w:u w:val="none"/>
                <w:lang w:val="en-US" w:eastAsia="zh-CN"/>
              </w:rPr>
              <w:t>本次评价采用</w:t>
            </w:r>
            <w:r>
              <w:rPr>
                <w:rFonts w:hint="eastAsia" w:ascii="Times New Roman" w:hAnsi="Times New Roman" w:cs="Times New Roman"/>
                <w:b w:val="0"/>
                <w:bCs w:val="0"/>
                <w:color w:val="auto"/>
                <w:sz w:val="24"/>
                <w:u w:val="none"/>
                <w:lang w:val="en-US" w:eastAsia="zh-CN"/>
              </w:rPr>
              <w:t>淮阳区大气监测站</w:t>
            </w:r>
            <w:r>
              <w:rPr>
                <w:rFonts w:hint="default" w:ascii="Times New Roman" w:hAnsi="Times New Roman" w:cs="Times New Roman"/>
                <w:b w:val="0"/>
                <w:bCs w:val="0"/>
                <w:color w:val="auto"/>
                <w:sz w:val="24"/>
                <w:u w:val="none"/>
                <w:lang w:val="en-US" w:eastAsia="zh-CN"/>
              </w:rPr>
              <w:t>202</w:t>
            </w:r>
            <w:r>
              <w:rPr>
                <w:rFonts w:hint="eastAsia" w:cs="Times New Roman"/>
                <w:b w:val="0"/>
                <w:bCs w:val="0"/>
                <w:color w:val="auto"/>
                <w:sz w:val="24"/>
                <w:u w:val="none"/>
                <w:lang w:val="en-US" w:eastAsia="zh-CN"/>
              </w:rPr>
              <w:t>4</w:t>
            </w:r>
            <w:r>
              <w:rPr>
                <w:rFonts w:hint="default" w:ascii="Times New Roman" w:hAnsi="Times New Roman" w:cs="Times New Roman"/>
                <w:b w:val="0"/>
                <w:bCs w:val="0"/>
                <w:color w:val="auto"/>
                <w:sz w:val="24"/>
                <w:u w:val="none"/>
                <w:lang w:val="en-US" w:eastAsia="zh-CN"/>
              </w:rPr>
              <w:t>年</w:t>
            </w:r>
            <w:r>
              <w:rPr>
                <w:rFonts w:hint="eastAsia" w:ascii="Times New Roman" w:hAnsi="Times New Roman" w:cs="Times New Roman"/>
                <w:b w:val="0"/>
                <w:bCs w:val="0"/>
                <w:color w:val="auto"/>
                <w:sz w:val="24"/>
                <w:u w:val="none"/>
                <w:lang w:val="en-US" w:eastAsia="zh-CN"/>
              </w:rPr>
              <w:t>全年的环境</w:t>
            </w:r>
            <w:r>
              <w:rPr>
                <w:rFonts w:hint="default" w:ascii="Times New Roman" w:hAnsi="Times New Roman" w:cs="Times New Roman"/>
                <w:b w:val="0"/>
                <w:bCs w:val="0"/>
                <w:color w:val="auto"/>
                <w:sz w:val="24"/>
                <w:u w:val="none"/>
                <w:lang w:val="en-US" w:eastAsia="zh-CN"/>
              </w:rPr>
              <w:t>空气质量</w:t>
            </w:r>
            <w:r>
              <w:rPr>
                <w:rFonts w:hint="eastAsia" w:ascii="Times New Roman" w:hAnsi="Times New Roman" w:cs="Times New Roman"/>
                <w:b w:val="0"/>
                <w:bCs w:val="0"/>
                <w:color w:val="auto"/>
                <w:sz w:val="24"/>
                <w:u w:val="none"/>
                <w:lang w:val="en-US" w:eastAsia="zh-CN"/>
              </w:rPr>
              <w:t>检测</w:t>
            </w:r>
            <w:r>
              <w:rPr>
                <w:rFonts w:hint="default" w:ascii="Times New Roman" w:hAnsi="Times New Roman" w:cs="Times New Roman"/>
                <w:b w:val="0"/>
                <w:bCs w:val="0"/>
                <w:color w:val="auto"/>
                <w:sz w:val="24"/>
                <w:u w:val="none"/>
                <w:lang w:val="en-US" w:eastAsia="zh-CN"/>
              </w:rPr>
              <w:t>数据，</w:t>
            </w:r>
            <w:r>
              <w:rPr>
                <w:rFonts w:hint="eastAsia" w:ascii="Times New Roman" w:hAnsi="Times New Roman" w:cs="Times New Roman"/>
                <w:b w:val="0"/>
                <w:bCs w:val="0"/>
                <w:color w:val="auto"/>
                <w:sz w:val="24"/>
                <w:u w:val="none"/>
                <w:lang w:val="en-US" w:eastAsia="zh-CN"/>
              </w:rPr>
              <w:t>监测因子为SO</w:t>
            </w:r>
            <w:r>
              <w:rPr>
                <w:rFonts w:hint="eastAsia" w:ascii="Times New Roman" w:hAnsi="Times New Roman" w:cs="Times New Roman"/>
                <w:b w:val="0"/>
                <w:bCs w:val="0"/>
                <w:color w:val="auto"/>
                <w:sz w:val="24"/>
                <w:u w:val="none"/>
                <w:vertAlign w:val="subscript"/>
                <w:lang w:val="en-US" w:eastAsia="zh-CN"/>
              </w:rPr>
              <w:t>2</w:t>
            </w:r>
            <w:r>
              <w:rPr>
                <w:rFonts w:hint="eastAsia" w:ascii="Times New Roman" w:hAnsi="Times New Roman" w:cs="Times New Roman"/>
                <w:b w:val="0"/>
                <w:bCs w:val="0"/>
                <w:color w:val="auto"/>
                <w:sz w:val="24"/>
                <w:u w:val="none"/>
                <w:lang w:val="en-US" w:eastAsia="zh-CN"/>
              </w:rPr>
              <w:t>、CO、NO</w:t>
            </w:r>
            <w:r>
              <w:rPr>
                <w:rFonts w:hint="eastAsia" w:ascii="Times New Roman" w:hAnsi="Times New Roman" w:cs="Times New Roman"/>
                <w:b w:val="0"/>
                <w:bCs w:val="0"/>
                <w:color w:val="auto"/>
                <w:sz w:val="24"/>
                <w:u w:val="none"/>
                <w:vertAlign w:val="subscript"/>
                <w:lang w:val="en-US" w:eastAsia="zh-CN"/>
              </w:rPr>
              <w:t>2</w:t>
            </w:r>
            <w:r>
              <w:rPr>
                <w:rFonts w:hint="eastAsia" w:ascii="Times New Roman" w:hAnsi="Times New Roman" w:cs="Times New Roman"/>
                <w:b w:val="0"/>
                <w:bCs w:val="0"/>
                <w:color w:val="auto"/>
                <w:sz w:val="24"/>
                <w:u w:val="none"/>
                <w:lang w:val="en-US" w:eastAsia="zh-CN"/>
              </w:rPr>
              <w:t>、O</w:t>
            </w:r>
            <w:r>
              <w:rPr>
                <w:rFonts w:hint="eastAsia" w:ascii="Times New Roman" w:hAnsi="Times New Roman" w:cs="Times New Roman"/>
                <w:b w:val="0"/>
                <w:bCs w:val="0"/>
                <w:color w:val="auto"/>
                <w:sz w:val="24"/>
                <w:u w:val="none"/>
                <w:vertAlign w:val="subscript"/>
                <w:lang w:val="en-US" w:eastAsia="zh-CN"/>
              </w:rPr>
              <w:t>3</w:t>
            </w:r>
            <w:r>
              <w:rPr>
                <w:rFonts w:hint="eastAsia" w:ascii="Times New Roman" w:hAnsi="Times New Roman" w:cs="Times New Roman"/>
                <w:b w:val="0"/>
                <w:bCs w:val="0"/>
                <w:color w:val="auto"/>
                <w:sz w:val="24"/>
                <w:u w:val="none"/>
                <w:lang w:val="en-US" w:eastAsia="zh-CN"/>
              </w:rPr>
              <w:t>、PM</w:t>
            </w:r>
            <w:r>
              <w:rPr>
                <w:rFonts w:hint="eastAsia" w:ascii="Times New Roman" w:hAnsi="Times New Roman" w:cs="Times New Roman"/>
                <w:b w:val="0"/>
                <w:bCs w:val="0"/>
                <w:color w:val="auto"/>
                <w:sz w:val="24"/>
                <w:u w:val="none"/>
                <w:vertAlign w:val="subscript"/>
                <w:lang w:val="en-US" w:eastAsia="zh-CN"/>
              </w:rPr>
              <w:t>10</w:t>
            </w:r>
            <w:r>
              <w:rPr>
                <w:rFonts w:hint="eastAsia" w:ascii="Times New Roman" w:hAnsi="Times New Roman" w:cs="Times New Roman"/>
                <w:b w:val="0"/>
                <w:bCs w:val="0"/>
                <w:color w:val="auto"/>
                <w:sz w:val="24"/>
                <w:u w:val="none"/>
                <w:lang w:val="en-US" w:eastAsia="zh-CN"/>
              </w:rPr>
              <w:t>、PM</w:t>
            </w:r>
            <w:r>
              <w:rPr>
                <w:rFonts w:hint="eastAsia" w:ascii="Times New Roman" w:hAnsi="Times New Roman" w:cs="Times New Roman"/>
                <w:b w:val="0"/>
                <w:bCs w:val="0"/>
                <w:color w:val="auto"/>
                <w:sz w:val="24"/>
                <w:u w:val="none"/>
                <w:vertAlign w:val="subscript"/>
                <w:lang w:val="en-US" w:eastAsia="zh-CN"/>
              </w:rPr>
              <w:t>2.5</w:t>
            </w:r>
            <w:r>
              <w:rPr>
                <w:rFonts w:hint="eastAsia" w:ascii="Times New Roman" w:hAnsi="Times New Roman" w:cs="Times New Roman"/>
                <w:b w:val="0"/>
                <w:bCs w:val="0"/>
                <w:color w:val="auto"/>
                <w:sz w:val="24"/>
                <w:u w:val="none"/>
                <w:lang w:val="en-US" w:eastAsia="zh-CN"/>
              </w:rPr>
              <w:t>共六项，监测数据统计</w:t>
            </w:r>
            <w:r>
              <w:rPr>
                <w:rFonts w:hint="default" w:ascii="Times New Roman" w:hAnsi="Times New Roman" w:cs="Times New Roman"/>
                <w:b w:val="0"/>
                <w:bCs w:val="0"/>
                <w:color w:val="auto"/>
                <w:sz w:val="24"/>
                <w:u w:val="none"/>
                <w:lang w:val="en-US" w:eastAsia="zh-CN"/>
              </w:rPr>
              <w:t>结果</w:t>
            </w:r>
            <w:r>
              <w:rPr>
                <w:rFonts w:hint="default" w:ascii="Times New Roman" w:hAnsi="Times New Roman" w:cs="Times New Roman"/>
                <w:b w:val="0"/>
                <w:bCs w:val="0"/>
                <w:color w:val="auto"/>
                <w:sz w:val="24"/>
                <w:szCs w:val="24"/>
                <w:u w:val="none"/>
              </w:rPr>
              <w:t>见</w:t>
            </w:r>
            <w:r>
              <w:rPr>
                <w:rFonts w:hint="default" w:ascii="Times New Roman" w:hAnsi="Times New Roman" w:cs="Times New Roman"/>
                <w:b w:val="0"/>
                <w:bCs w:val="0"/>
                <w:color w:val="auto"/>
                <w:sz w:val="24"/>
                <w:szCs w:val="24"/>
                <w:u w:val="none"/>
                <w:lang w:eastAsia="zh-CN"/>
              </w:rPr>
              <w:t>下表</w:t>
            </w:r>
            <w:r>
              <w:rPr>
                <w:rFonts w:hint="default" w:ascii="Times New Roman" w:hAnsi="Times New Roman" w:cs="Times New Roman"/>
                <w:b w:val="0"/>
                <w:bCs w:val="0"/>
                <w:color w:val="auto"/>
                <w:sz w:val="24"/>
                <w:szCs w:val="24"/>
                <w:u w:val="none"/>
              </w:rPr>
              <w:t>。</w:t>
            </w:r>
          </w:p>
          <w:p w14:paraId="27F014A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default" w:ascii="Times New Roman" w:hAnsi="Times New Roman" w:eastAsia="宋体" w:cs="Times New Roman"/>
                <w:b/>
                <w:bCs/>
                <w:snapToGrid w:val="0"/>
                <w:color w:val="auto"/>
                <w:kern w:val="0"/>
                <w:sz w:val="24"/>
                <w:szCs w:val="24"/>
                <w:lang w:val="en-US" w:eastAsia="zh-CN" w:bidi="ar-SA"/>
              </w:rPr>
              <w:t>表</w:t>
            </w:r>
            <w:r>
              <w:rPr>
                <w:rFonts w:hint="eastAsia" w:ascii="Times New Roman" w:hAnsi="Times New Roman" w:eastAsia="宋体" w:cs="Times New Roman"/>
                <w:b/>
                <w:bCs/>
                <w:snapToGrid w:val="0"/>
                <w:color w:val="auto"/>
                <w:kern w:val="0"/>
                <w:sz w:val="24"/>
                <w:szCs w:val="24"/>
                <w:lang w:val="en-US" w:eastAsia="zh-CN" w:bidi="ar-SA"/>
              </w:rPr>
              <w:t xml:space="preserve">3-1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 xml:space="preserve"> 202</w:t>
            </w:r>
            <w:r>
              <w:rPr>
                <w:rFonts w:hint="eastAsia" w:cs="Times New Roman"/>
                <w:b/>
                <w:bCs/>
                <w:snapToGrid w:val="0"/>
                <w:color w:val="auto"/>
                <w:kern w:val="0"/>
                <w:sz w:val="24"/>
                <w:szCs w:val="24"/>
                <w:lang w:val="en-US" w:eastAsia="zh-CN" w:bidi="ar-SA"/>
              </w:rPr>
              <w:t>4</w:t>
            </w:r>
            <w:r>
              <w:rPr>
                <w:rFonts w:hint="default" w:ascii="Times New Roman" w:hAnsi="Times New Roman" w:eastAsia="宋体" w:cs="Times New Roman"/>
                <w:b/>
                <w:bCs/>
                <w:snapToGrid w:val="0"/>
                <w:color w:val="auto"/>
                <w:kern w:val="0"/>
                <w:sz w:val="24"/>
                <w:szCs w:val="24"/>
                <w:lang w:val="en-US" w:eastAsia="zh-CN" w:bidi="ar-SA"/>
              </w:rPr>
              <w:t>年淮阳区环境空气常规因子检测结果统计一览表</w:t>
            </w:r>
          </w:p>
          <w:tbl>
            <w:tblPr>
              <w:tblStyle w:val="39"/>
              <w:tblW w:w="838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57" w:type="dxa"/>
                <w:left w:w="108" w:type="dxa"/>
                <w:bottom w:w="57" w:type="dxa"/>
                <w:right w:w="108" w:type="dxa"/>
              </w:tblCellMar>
            </w:tblPr>
            <w:tblGrid>
              <w:gridCol w:w="912"/>
              <w:gridCol w:w="3076"/>
              <w:gridCol w:w="1035"/>
              <w:gridCol w:w="1290"/>
              <w:gridCol w:w="1155"/>
              <w:gridCol w:w="912"/>
            </w:tblGrid>
            <w:tr w14:paraId="5F907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1671DDBA">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污染物</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3F33B197">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年评价指标</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2D30487">
                  <w:pPr>
                    <w:pStyle w:val="136"/>
                    <w:keepNext w:val="0"/>
                    <w:keepLines w:val="0"/>
                    <w:pageBreakBefore w:val="0"/>
                    <w:widowControl/>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现状浓度</w:t>
                  </w:r>
                </w:p>
                <w:p w14:paraId="3EDFF6F7">
                  <w:pPr>
                    <w:pStyle w:val="136"/>
                    <w:keepNext w:val="0"/>
                    <w:keepLines w:val="0"/>
                    <w:pageBreakBefore w:val="0"/>
                    <w:widowControl/>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rPr>
                    <w:t>（μg/m</w:t>
                  </w:r>
                  <w:r>
                    <w:rPr>
                      <w:rFonts w:hint="default" w:ascii="Times New Roman" w:hAnsi="Times New Roman" w:eastAsia="宋体" w:cs="Times New Roman"/>
                      <w:b w:val="0"/>
                      <w:bCs w:val="0"/>
                      <w:color w:val="auto"/>
                      <w:kern w:val="2"/>
                      <w:sz w:val="21"/>
                      <w:szCs w:val="21"/>
                      <w:u w:val="none"/>
                      <w:vertAlign w:val="superscript"/>
                    </w:rPr>
                    <w:t>3</w:t>
                  </w:r>
                  <w:r>
                    <w:rPr>
                      <w:rFonts w:hint="default" w:ascii="Times New Roman" w:hAnsi="Times New Roman" w:eastAsia="宋体" w:cs="Times New Roman"/>
                      <w:b w:val="0"/>
                      <w:bCs w:val="0"/>
                      <w:color w:val="auto"/>
                      <w:kern w:val="2"/>
                      <w:sz w:val="21"/>
                      <w:szCs w:val="21"/>
                      <w:u w:val="none"/>
                    </w:rPr>
                    <w:t>）</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0FFFBDF">
                  <w:pPr>
                    <w:pStyle w:val="136"/>
                    <w:keepNext w:val="0"/>
                    <w:keepLines w:val="0"/>
                    <w:pageBreakBefore w:val="0"/>
                    <w:widowControl/>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标准值</w:t>
                  </w:r>
                </w:p>
                <w:p w14:paraId="0D7B9D65">
                  <w:pPr>
                    <w:pStyle w:val="136"/>
                    <w:keepNext w:val="0"/>
                    <w:keepLines w:val="0"/>
                    <w:pageBreakBefore w:val="0"/>
                    <w:widowControl/>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rPr>
                    <w:t>（μg/m</w:t>
                  </w:r>
                  <w:r>
                    <w:rPr>
                      <w:rFonts w:hint="default" w:ascii="Times New Roman" w:hAnsi="Times New Roman" w:eastAsia="宋体" w:cs="Times New Roman"/>
                      <w:b w:val="0"/>
                      <w:bCs w:val="0"/>
                      <w:color w:val="auto"/>
                      <w:kern w:val="2"/>
                      <w:sz w:val="21"/>
                      <w:szCs w:val="21"/>
                      <w:u w:val="none"/>
                      <w:vertAlign w:val="superscript"/>
                    </w:rPr>
                    <w:t>3</w:t>
                  </w:r>
                  <w:r>
                    <w:rPr>
                      <w:rFonts w:hint="default" w:ascii="Times New Roman" w:hAnsi="Times New Roman" w:eastAsia="宋体" w:cs="Times New Roman"/>
                      <w:b w:val="0"/>
                      <w:bCs w:val="0"/>
                      <w:color w:val="auto"/>
                      <w:kern w:val="2"/>
                      <w:sz w:val="21"/>
                      <w:szCs w:val="21"/>
                      <w:u w:val="none"/>
                    </w:rPr>
                    <w:t>）</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7B898B04">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占标率（%）</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76BB6E9B">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达标情况</w:t>
                  </w:r>
                </w:p>
              </w:tc>
            </w:tr>
            <w:tr w14:paraId="10609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right w:val="single" w:color="auto" w:sz="6" w:space="0"/>
                  </w:tcBorders>
                  <w:noWrap w:val="0"/>
                  <w:tcMar>
                    <w:top w:w="28" w:type="dxa"/>
                    <w:left w:w="28" w:type="dxa"/>
                    <w:bottom w:w="28" w:type="dxa"/>
                    <w:right w:w="28" w:type="dxa"/>
                  </w:tcMar>
                  <w:vAlign w:val="center"/>
                </w:tcPr>
                <w:p w14:paraId="65574EFE">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SO</w:t>
                  </w:r>
                  <w:r>
                    <w:rPr>
                      <w:rFonts w:hint="default" w:ascii="Times New Roman" w:hAnsi="Times New Roman" w:eastAsia="宋体" w:cs="Times New Roman"/>
                      <w:b w:val="0"/>
                      <w:bCs w:val="0"/>
                      <w:color w:val="auto"/>
                      <w:kern w:val="2"/>
                      <w:sz w:val="21"/>
                      <w:szCs w:val="21"/>
                      <w:u w:val="none"/>
                      <w:vertAlign w:val="subscript"/>
                    </w:rPr>
                    <w:t>2</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A715551">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年平均质量浓度</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26D3809A">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lang w:val="en-US"/>
                    </w:rPr>
                  </w:pPr>
                  <w:r>
                    <w:rPr>
                      <w:rFonts w:hint="eastAsia" w:cs="Times New Roman"/>
                      <w:b w:val="0"/>
                      <w:bCs w:val="0"/>
                      <w:color w:val="auto"/>
                      <w:kern w:val="2"/>
                      <w:sz w:val="21"/>
                      <w:szCs w:val="21"/>
                      <w:u w:val="none"/>
                      <w:lang w:val="en-US" w:eastAsia="zh-CN"/>
                    </w:rPr>
                    <w:t>8</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AD4B154">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rPr>
                    <w:t>60</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32E8B534">
                  <w:pPr>
                    <w:keepNext w:val="0"/>
                    <w:keepLines w:val="0"/>
                    <w:pageBreakBefore w:val="0"/>
                    <w:widowControl/>
                    <w:suppressLineNumbers w:val="0"/>
                    <w:kinsoku/>
                    <w:wordWrap/>
                    <w:overflowPunct/>
                    <w:topLinePunct w:val="0"/>
                    <w:bidi w:val="0"/>
                    <w:adjustRightInd w:val="0"/>
                    <w:snapToGrid w:val="0"/>
                    <w:jc w:val="center"/>
                    <w:textAlignment w:val="center"/>
                    <w:rPr>
                      <w:rFonts w:hint="default" w:ascii="Times New Roman" w:hAnsi="Times New Roman" w:eastAsia="宋体" w:cs="Times New Roman"/>
                      <w:b w:val="0"/>
                      <w:bCs w:val="0"/>
                      <w:color w:val="auto"/>
                      <w:spacing w:val="-4"/>
                      <w:kern w:val="2"/>
                      <w:sz w:val="21"/>
                      <w:szCs w:val="21"/>
                      <w:u w:val="none"/>
                      <w:lang w:val="en-US" w:eastAsia="zh-CN" w:bidi="ar-SA"/>
                    </w:rPr>
                  </w:pPr>
                  <w:r>
                    <w:rPr>
                      <w:rFonts w:hint="eastAsia" w:cs="Times New Roman"/>
                      <w:b w:val="0"/>
                      <w:bCs w:val="0"/>
                      <w:i w:val="0"/>
                      <w:iCs w:val="0"/>
                      <w:color w:val="auto"/>
                      <w:kern w:val="0"/>
                      <w:sz w:val="21"/>
                      <w:szCs w:val="21"/>
                      <w:u w:val="none"/>
                      <w:lang w:val="en-US" w:eastAsia="zh-CN" w:bidi="ar"/>
                    </w:rPr>
                    <w:t>13.3</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2582127A">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达标</w:t>
                  </w:r>
                </w:p>
              </w:tc>
            </w:tr>
            <w:tr w14:paraId="40DE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right w:val="single" w:color="auto" w:sz="6" w:space="0"/>
                  </w:tcBorders>
                  <w:noWrap w:val="0"/>
                  <w:tcMar>
                    <w:top w:w="28" w:type="dxa"/>
                    <w:left w:w="28" w:type="dxa"/>
                    <w:bottom w:w="28" w:type="dxa"/>
                    <w:right w:w="28" w:type="dxa"/>
                  </w:tcMar>
                  <w:vAlign w:val="center"/>
                </w:tcPr>
                <w:p w14:paraId="4D7723A3">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NO</w:t>
                  </w:r>
                  <w:r>
                    <w:rPr>
                      <w:rFonts w:hint="default" w:ascii="Times New Roman" w:hAnsi="Times New Roman" w:eastAsia="宋体" w:cs="Times New Roman"/>
                      <w:b w:val="0"/>
                      <w:bCs w:val="0"/>
                      <w:color w:val="auto"/>
                      <w:kern w:val="2"/>
                      <w:sz w:val="21"/>
                      <w:szCs w:val="21"/>
                      <w:u w:val="none"/>
                      <w:vertAlign w:val="subscript"/>
                    </w:rPr>
                    <w:t>2</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640298B">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年平均质量浓度</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308C40AE">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lang w:val="en-US"/>
                    </w:rPr>
                  </w:pPr>
                  <w:r>
                    <w:rPr>
                      <w:rFonts w:hint="default" w:ascii="Times New Roman" w:hAnsi="Times New Roman" w:eastAsia="宋体" w:cs="Times New Roman"/>
                      <w:b w:val="0"/>
                      <w:bCs w:val="0"/>
                      <w:color w:val="auto"/>
                      <w:kern w:val="2"/>
                      <w:sz w:val="21"/>
                      <w:szCs w:val="21"/>
                      <w:u w:val="none"/>
                      <w:lang w:val="en-US" w:eastAsia="zh-CN"/>
                    </w:rPr>
                    <w:t>18</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511FC7D4">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rPr>
                    <w:t>40</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06D7CC95">
                  <w:pPr>
                    <w:keepNext w:val="0"/>
                    <w:keepLines w:val="0"/>
                    <w:pageBreakBefore w:val="0"/>
                    <w:widowControl/>
                    <w:suppressLineNumbers w:val="0"/>
                    <w:kinsoku/>
                    <w:wordWrap/>
                    <w:overflowPunct/>
                    <w:topLinePunct w:val="0"/>
                    <w:bidi w:val="0"/>
                    <w:adjustRightInd w:val="0"/>
                    <w:snapToGrid w:val="0"/>
                    <w:jc w:val="center"/>
                    <w:textAlignment w:val="center"/>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i w:val="0"/>
                      <w:iCs w:val="0"/>
                      <w:color w:val="auto"/>
                      <w:kern w:val="0"/>
                      <w:sz w:val="21"/>
                      <w:szCs w:val="21"/>
                      <w:u w:val="none"/>
                      <w:lang w:val="en-US" w:eastAsia="zh-CN" w:bidi="ar"/>
                    </w:rPr>
                    <w:t>45</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BB9652F">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达标</w:t>
                  </w:r>
                </w:p>
              </w:tc>
            </w:tr>
            <w:tr w14:paraId="3D463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right w:val="single" w:color="auto" w:sz="6" w:space="0"/>
                  </w:tcBorders>
                  <w:noWrap w:val="0"/>
                  <w:tcMar>
                    <w:top w:w="28" w:type="dxa"/>
                    <w:left w:w="28" w:type="dxa"/>
                    <w:bottom w:w="28" w:type="dxa"/>
                    <w:right w:w="28" w:type="dxa"/>
                  </w:tcMar>
                  <w:vAlign w:val="center"/>
                </w:tcPr>
                <w:p w14:paraId="1ADB96C3">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PM</w:t>
                  </w:r>
                  <w:r>
                    <w:rPr>
                      <w:rFonts w:hint="default" w:ascii="Times New Roman" w:hAnsi="Times New Roman" w:eastAsia="宋体" w:cs="Times New Roman"/>
                      <w:b w:val="0"/>
                      <w:bCs w:val="0"/>
                      <w:color w:val="auto"/>
                      <w:kern w:val="2"/>
                      <w:sz w:val="21"/>
                      <w:szCs w:val="21"/>
                      <w:u w:val="none"/>
                      <w:vertAlign w:val="subscript"/>
                    </w:rPr>
                    <w:t>10</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3159EBF">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年平均质量浓度</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21FACB09">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lang w:val="en-US"/>
                    </w:rPr>
                  </w:pPr>
                  <w:r>
                    <w:rPr>
                      <w:rFonts w:hint="eastAsia" w:cs="Times New Roman"/>
                      <w:b w:val="0"/>
                      <w:bCs w:val="0"/>
                      <w:color w:val="auto"/>
                      <w:kern w:val="2"/>
                      <w:sz w:val="21"/>
                      <w:szCs w:val="21"/>
                      <w:u w:val="none"/>
                      <w:lang w:val="en-US" w:eastAsia="zh-CN"/>
                    </w:rPr>
                    <w:t>81</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8D4EE68">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eastAsia" w:cs="Times New Roman"/>
                      <w:b w:val="0"/>
                      <w:bCs w:val="0"/>
                      <w:color w:val="auto"/>
                      <w:kern w:val="2"/>
                      <w:sz w:val="21"/>
                      <w:szCs w:val="21"/>
                      <w:u w:val="none"/>
                      <w:lang w:val="en-US" w:eastAsia="zh-CN"/>
                    </w:rPr>
                    <w:t>60</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564897C7">
                  <w:pPr>
                    <w:keepNext w:val="0"/>
                    <w:keepLines w:val="0"/>
                    <w:pageBreakBefore w:val="0"/>
                    <w:widowControl/>
                    <w:suppressLineNumbers w:val="0"/>
                    <w:kinsoku/>
                    <w:wordWrap/>
                    <w:overflowPunct/>
                    <w:topLinePunct w:val="0"/>
                    <w:bidi w:val="0"/>
                    <w:adjustRightInd w:val="0"/>
                    <w:snapToGrid w:val="0"/>
                    <w:jc w:val="center"/>
                    <w:textAlignment w:val="center"/>
                    <w:rPr>
                      <w:rFonts w:hint="default" w:ascii="Times New Roman" w:hAnsi="Times New Roman" w:eastAsia="宋体" w:cs="Times New Roman"/>
                      <w:b w:val="0"/>
                      <w:bCs w:val="0"/>
                      <w:color w:val="auto"/>
                      <w:spacing w:val="-4"/>
                      <w:kern w:val="2"/>
                      <w:sz w:val="21"/>
                      <w:szCs w:val="21"/>
                      <w:u w:val="none"/>
                      <w:lang w:val="en-US" w:eastAsia="zh-CN" w:bidi="ar-SA"/>
                    </w:rPr>
                  </w:pPr>
                  <w:r>
                    <w:rPr>
                      <w:rFonts w:hint="eastAsia" w:cs="Times New Roman"/>
                      <w:b w:val="0"/>
                      <w:bCs w:val="0"/>
                      <w:i w:val="0"/>
                      <w:iCs w:val="0"/>
                      <w:color w:val="auto"/>
                      <w:kern w:val="0"/>
                      <w:sz w:val="21"/>
                      <w:szCs w:val="21"/>
                      <w:u w:val="none"/>
                      <w:lang w:val="en-US" w:eastAsia="zh-CN" w:bidi="ar"/>
                    </w:rPr>
                    <w:t>135</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25AEB6CC">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lang w:val="en-US" w:eastAsia="zh-CN"/>
                    </w:rPr>
                    <w:t>不</w:t>
                  </w:r>
                  <w:r>
                    <w:rPr>
                      <w:rFonts w:hint="default" w:ascii="Times New Roman" w:hAnsi="Times New Roman" w:eastAsia="宋体" w:cs="Times New Roman"/>
                      <w:b w:val="0"/>
                      <w:bCs w:val="0"/>
                      <w:color w:val="auto"/>
                      <w:kern w:val="2"/>
                      <w:sz w:val="21"/>
                      <w:szCs w:val="21"/>
                      <w:u w:val="none"/>
                    </w:rPr>
                    <w:t>达标</w:t>
                  </w:r>
                </w:p>
              </w:tc>
            </w:tr>
            <w:tr w14:paraId="72D0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right w:val="single" w:color="auto" w:sz="6" w:space="0"/>
                  </w:tcBorders>
                  <w:noWrap w:val="0"/>
                  <w:tcMar>
                    <w:top w:w="28" w:type="dxa"/>
                    <w:left w:w="28" w:type="dxa"/>
                    <w:bottom w:w="28" w:type="dxa"/>
                    <w:right w:w="28" w:type="dxa"/>
                  </w:tcMar>
                  <w:vAlign w:val="center"/>
                </w:tcPr>
                <w:p w14:paraId="1BEBB28D">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PM</w:t>
                  </w:r>
                  <w:r>
                    <w:rPr>
                      <w:rFonts w:hint="default" w:ascii="Times New Roman" w:hAnsi="Times New Roman" w:eastAsia="宋体" w:cs="Times New Roman"/>
                      <w:b w:val="0"/>
                      <w:bCs w:val="0"/>
                      <w:color w:val="auto"/>
                      <w:kern w:val="2"/>
                      <w:sz w:val="21"/>
                      <w:szCs w:val="21"/>
                      <w:u w:val="none"/>
                      <w:vertAlign w:val="subscript"/>
                    </w:rPr>
                    <w:t>2.5</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53D2A9F">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年平均质量浓度</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058CF5A6">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lang w:val="en-US"/>
                    </w:rPr>
                  </w:pPr>
                  <w:r>
                    <w:rPr>
                      <w:rFonts w:hint="eastAsia" w:cs="Times New Roman"/>
                      <w:b w:val="0"/>
                      <w:bCs w:val="0"/>
                      <w:color w:val="auto"/>
                      <w:kern w:val="2"/>
                      <w:sz w:val="21"/>
                      <w:szCs w:val="21"/>
                      <w:u w:val="none"/>
                      <w:lang w:val="en-US" w:eastAsia="zh-CN"/>
                    </w:rPr>
                    <w:t>49</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0320181E">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eastAsia" w:cs="Times New Roman"/>
                      <w:b w:val="0"/>
                      <w:bCs w:val="0"/>
                      <w:color w:val="auto"/>
                      <w:kern w:val="2"/>
                      <w:sz w:val="21"/>
                      <w:szCs w:val="21"/>
                      <w:u w:val="none"/>
                      <w:lang w:val="en-US" w:eastAsia="zh-CN"/>
                    </w:rPr>
                    <w:t>30</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87038EB">
                  <w:pPr>
                    <w:keepNext w:val="0"/>
                    <w:keepLines w:val="0"/>
                    <w:pageBreakBefore w:val="0"/>
                    <w:widowControl/>
                    <w:suppressLineNumbers w:val="0"/>
                    <w:kinsoku/>
                    <w:wordWrap/>
                    <w:overflowPunct/>
                    <w:topLinePunct w:val="0"/>
                    <w:bidi w:val="0"/>
                    <w:adjustRightInd w:val="0"/>
                    <w:snapToGrid w:val="0"/>
                    <w:jc w:val="center"/>
                    <w:textAlignment w:val="center"/>
                    <w:rPr>
                      <w:rFonts w:hint="default" w:ascii="Times New Roman" w:hAnsi="Times New Roman" w:eastAsia="宋体" w:cs="Times New Roman"/>
                      <w:b w:val="0"/>
                      <w:bCs w:val="0"/>
                      <w:color w:val="auto"/>
                      <w:spacing w:val="-4"/>
                      <w:kern w:val="2"/>
                      <w:sz w:val="21"/>
                      <w:szCs w:val="21"/>
                      <w:u w:val="none"/>
                      <w:lang w:val="en-US" w:eastAsia="zh-CN" w:bidi="ar-SA"/>
                    </w:rPr>
                  </w:pPr>
                  <w:r>
                    <w:rPr>
                      <w:rFonts w:hint="eastAsia" w:cs="Times New Roman"/>
                      <w:b w:val="0"/>
                      <w:bCs w:val="0"/>
                      <w:i w:val="0"/>
                      <w:iCs w:val="0"/>
                      <w:color w:val="auto"/>
                      <w:kern w:val="0"/>
                      <w:sz w:val="21"/>
                      <w:szCs w:val="21"/>
                      <w:u w:val="none"/>
                      <w:lang w:val="en-US" w:eastAsia="zh-CN" w:bidi="ar"/>
                    </w:rPr>
                    <w:t>163.3</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9187C61">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lang w:val="en-US" w:eastAsia="zh-CN"/>
                    </w:rPr>
                    <w:t>不</w:t>
                  </w:r>
                  <w:r>
                    <w:rPr>
                      <w:rFonts w:hint="default" w:ascii="Times New Roman" w:hAnsi="Times New Roman" w:eastAsia="宋体" w:cs="Times New Roman"/>
                      <w:b w:val="0"/>
                      <w:bCs w:val="0"/>
                      <w:color w:val="auto"/>
                      <w:kern w:val="2"/>
                      <w:sz w:val="21"/>
                      <w:szCs w:val="21"/>
                      <w:u w:val="none"/>
                    </w:rPr>
                    <w:t>达标</w:t>
                  </w:r>
                </w:p>
              </w:tc>
            </w:tr>
            <w:tr w14:paraId="54ED0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0867C15">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CO</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0CCE18C1">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24小时平均第95百分位数</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19E19F79">
                  <w:pPr>
                    <w:pStyle w:val="136"/>
                    <w:keepNext w:val="0"/>
                    <w:keepLines w:val="0"/>
                    <w:pageBreakBefore w:val="0"/>
                    <w:widowControl/>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lang w:val="en-US" w:eastAsia="zh-CN"/>
                    </w:rPr>
                    <w:t>1000</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2431582">
                  <w:pPr>
                    <w:pStyle w:val="136"/>
                    <w:keepNext w:val="0"/>
                    <w:keepLines w:val="0"/>
                    <w:pageBreakBefore w:val="0"/>
                    <w:widowControl/>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rPr>
                    <w:t>4</w:t>
                  </w:r>
                  <w:r>
                    <w:rPr>
                      <w:rFonts w:hint="default" w:ascii="Times New Roman" w:hAnsi="Times New Roman" w:eastAsia="宋体" w:cs="Times New Roman"/>
                      <w:b w:val="0"/>
                      <w:bCs w:val="0"/>
                      <w:color w:val="auto"/>
                      <w:kern w:val="2"/>
                      <w:sz w:val="21"/>
                      <w:szCs w:val="21"/>
                      <w:u w:val="none"/>
                      <w:lang w:val="en-US" w:eastAsia="zh-CN"/>
                    </w:rPr>
                    <w:t>000</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127134B5">
                  <w:pPr>
                    <w:keepNext w:val="0"/>
                    <w:keepLines w:val="0"/>
                    <w:pageBreakBefore w:val="0"/>
                    <w:widowControl/>
                    <w:suppressLineNumbers w:val="0"/>
                    <w:kinsoku/>
                    <w:wordWrap/>
                    <w:overflowPunct/>
                    <w:topLinePunct w:val="0"/>
                    <w:bidi w:val="0"/>
                    <w:adjustRightInd w:val="0"/>
                    <w:snapToGrid w:val="0"/>
                    <w:jc w:val="center"/>
                    <w:textAlignment w:val="center"/>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i w:val="0"/>
                      <w:iCs w:val="0"/>
                      <w:color w:val="auto"/>
                      <w:kern w:val="0"/>
                      <w:sz w:val="21"/>
                      <w:szCs w:val="21"/>
                      <w:u w:val="none"/>
                      <w:lang w:val="en-US" w:eastAsia="zh-CN" w:bidi="ar"/>
                    </w:rPr>
                    <w:t>25</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498F810D">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达标</w:t>
                  </w:r>
                </w:p>
              </w:tc>
            </w:tr>
            <w:tr w14:paraId="297B8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108" w:type="dxa"/>
                  <w:bottom w:w="57" w:type="dxa"/>
                  <w:right w:w="108" w:type="dxa"/>
                </w:tblCellMar>
              </w:tblPrEx>
              <w:trPr>
                <w:cantSplit/>
                <w:trHeight w:val="0" w:hRule="atLeast"/>
                <w:jc w:val="center"/>
              </w:trPr>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6D3A3577">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O</w:t>
                  </w:r>
                  <w:r>
                    <w:rPr>
                      <w:rFonts w:hint="default" w:ascii="Times New Roman" w:hAnsi="Times New Roman" w:eastAsia="宋体" w:cs="Times New Roman"/>
                      <w:b w:val="0"/>
                      <w:bCs w:val="0"/>
                      <w:color w:val="auto"/>
                      <w:kern w:val="2"/>
                      <w:sz w:val="21"/>
                      <w:szCs w:val="21"/>
                      <w:u w:val="none"/>
                      <w:vertAlign w:val="subscript"/>
                    </w:rPr>
                    <w:t>3</w:t>
                  </w:r>
                </w:p>
              </w:tc>
              <w:tc>
                <w:tcPr>
                  <w:tcW w:w="3076"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27EBD590">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rPr>
                    <w:t>日最大8小时平均值第90百分位数</w:t>
                  </w:r>
                </w:p>
              </w:tc>
              <w:tc>
                <w:tcPr>
                  <w:tcW w:w="103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530D6FF0">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lang w:val="en-US"/>
                    </w:rPr>
                  </w:pPr>
                  <w:r>
                    <w:rPr>
                      <w:rFonts w:hint="default" w:ascii="Times New Roman" w:hAnsi="Times New Roman" w:eastAsia="宋体" w:cs="Times New Roman"/>
                      <w:b w:val="0"/>
                      <w:bCs w:val="0"/>
                      <w:color w:val="auto"/>
                      <w:kern w:val="2"/>
                      <w:sz w:val="21"/>
                      <w:szCs w:val="21"/>
                      <w:highlight w:val="none"/>
                      <w:u w:val="none"/>
                      <w:lang w:val="en-US" w:eastAsia="zh-CN"/>
                    </w:rPr>
                    <w:t>168</w:t>
                  </w:r>
                </w:p>
              </w:tc>
              <w:tc>
                <w:tcPr>
                  <w:tcW w:w="1290"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55C48E14">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color w:val="auto"/>
                      <w:kern w:val="2"/>
                      <w:sz w:val="21"/>
                      <w:szCs w:val="21"/>
                      <w:u w:val="none"/>
                    </w:rPr>
                    <w:t>160</w:t>
                  </w:r>
                </w:p>
              </w:tc>
              <w:tc>
                <w:tcPr>
                  <w:tcW w:w="1155"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30A31D57">
                  <w:pPr>
                    <w:keepNext w:val="0"/>
                    <w:keepLines w:val="0"/>
                    <w:pageBreakBefore w:val="0"/>
                    <w:widowControl/>
                    <w:suppressLineNumbers w:val="0"/>
                    <w:kinsoku/>
                    <w:wordWrap/>
                    <w:overflowPunct/>
                    <w:topLinePunct w:val="0"/>
                    <w:bidi w:val="0"/>
                    <w:adjustRightInd w:val="0"/>
                    <w:snapToGrid w:val="0"/>
                    <w:jc w:val="center"/>
                    <w:textAlignment w:val="center"/>
                    <w:rPr>
                      <w:rFonts w:hint="default" w:ascii="Times New Roman" w:hAnsi="Times New Roman" w:eastAsia="宋体" w:cs="Times New Roman"/>
                      <w:b w:val="0"/>
                      <w:bCs w:val="0"/>
                      <w:color w:val="auto"/>
                      <w:spacing w:val="-4"/>
                      <w:kern w:val="2"/>
                      <w:sz w:val="21"/>
                      <w:szCs w:val="21"/>
                      <w:u w:val="none"/>
                      <w:lang w:val="en-US" w:eastAsia="zh-CN" w:bidi="ar-SA"/>
                    </w:rPr>
                  </w:pPr>
                  <w:r>
                    <w:rPr>
                      <w:rFonts w:hint="default" w:ascii="Times New Roman" w:hAnsi="Times New Roman" w:eastAsia="宋体" w:cs="Times New Roman"/>
                      <w:b w:val="0"/>
                      <w:bCs w:val="0"/>
                      <w:i w:val="0"/>
                      <w:iCs w:val="0"/>
                      <w:color w:val="auto"/>
                      <w:kern w:val="0"/>
                      <w:sz w:val="21"/>
                      <w:szCs w:val="21"/>
                      <w:u w:val="none"/>
                      <w:lang w:val="en-US" w:eastAsia="zh-CN" w:bidi="ar"/>
                    </w:rPr>
                    <w:t>105</w:t>
                  </w:r>
                </w:p>
              </w:tc>
              <w:tc>
                <w:tcPr>
                  <w:tcW w:w="912" w:type="dxa"/>
                  <w:tcBorders>
                    <w:top w:val="single" w:color="auto" w:sz="6" w:space="0"/>
                    <w:left w:val="single" w:color="auto" w:sz="6" w:space="0"/>
                    <w:bottom w:val="single" w:color="auto" w:sz="6" w:space="0"/>
                    <w:right w:val="single" w:color="auto" w:sz="6" w:space="0"/>
                  </w:tcBorders>
                  <w:noWrap w:val="0"/>
                  <w:tcMar>
                    <w:top w:w="28" w:type="dxa"/>
                    <w:left w:w="28" w:type="dxa"/>
                    <w:bottom w:w="28" w:type="dxa"/>
                    <w:right w:w="28" w:type="dxa"/>
                  </w:tcMar>
                  <w:vAlign w:val="center"/>
                </w:tcPr>
                <w:p w14:paraId="04796927">
                  <w:pPr>
                    <w:pStyle w:val="136"/>
                    <w:keepNext w:val="0"/>
                    <w:keepLines w:val="0"/>
                    <w:pageBreakBefore w:val="0"/>
                    <w:widowControl/>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u w:val="none"/>
                    </w:rPr>
                  </w:pPr>
                  <w:r>
                    <w:rPr>
                      <w:rFonts w:hint="default" w:ascii="Times New Roman" w:hAnsi="Times New Roman" w:eastAsia="宋体" w:cs="Times New Roman"/>
                      <w:b w:val="0"/>
                      <w:bCs w:val="0"/>
                      <w:color w:val="auto"/>
                      <w:kern w:val="2"/>
                      <w:sz w:val="21"/>
                      <w:szCs w:val="21"/>
                      <w:u w:val="none"/>
                      <w:lang w:val="en-US" w:eastAsia="zh-CN"/>
                    </w:rPr>
                    <w:t>不</w:t>
                  </w:r>
                  <w:r>
                    <w:rPr>
                      <w:rFonts w:hint="default" w:ascii="Times New Roman" w:hAnsi="Times New Roman" w:eastAsia="宋体" w:cs="Times New Roman"/>
                      <w:b w:val="0"/>
                      <w:bCs w:val="0"/>
                      <w:color w:val="auto"/>
                      <w:kern w:val="2"/>
                      <w:sz w:val="21"/>
                      <w:szCs w:val="21"/>
                      <w:u w:val="none"/>
                    </w:rPr>
                    <w:t>达标</w:t>
                  </w:r>
                </w:p>
              </w:tc>
            </w:tr>
          </w:tbl>
          <w:p w14:paraId="3A2B20C5">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根据表可知，20</w:t>
            </w:r>
            <w:r>
              <w:rPr>
                <w:rFonts w:hint="default" w:ascii="Times New Roman" w:hAnsi="Times New Roman" w:eastAsia="宋体" w:cs="Times New Roman"/>
                <w:b w:val="0"/>
                <w:bCs w:val="0"/>
                <w:color w:val="auto"/>
                <w:sz w:val="24"/>
                <w:szCs w:val="24"/>
                <w:u w:val="none"/>
                <w:lang w:val="en-US" w:eastAsia="zh-CN"/>
              </w:rPr>
              <w:t>2</w:t>
            </w:r>
            <w:r>
              <w:rPr>
                <w:rFonts w:hint="eastAsia" w:cs="Times New Roman"/>
                <w:b w:val="0"/>
                <w:bCs w:val="0"/>
                <w:color w:val="auto"/>
                <w:sz w:val="24"/>
                <w:szCs w:val="24"/>
                <w:u w:val="none"/>
                <w:lang w:val="en-US" w:eastAsia="zh-CN"/>
              </w:rPr>
              <w:t>4</w:t>
            </w:r>
            <w:r>
              <w:rPr>
                <w:rFonts w:hint="default" w:ascii="Times New Roman" w:hAnsi="Times New Roman" w:eastAsia="宋体" w:cs="Times New Roman"/>
                <w:b w:val="0"/>
                <w:bCs w:val="0"/>
                <w:color w:val="auto"/>
                <w:sz w:val="24"/>
                <w:szCs w:val="24"/>
                <w:u w:val="none"/>
              </w:rPr>
              <w:t>年</w:t>
            </w:r>
            <w:r>
              <w:rPr>
                <w:rFonts w:hint="default" w:ascii="Times New Roman" w:hAnsi="Times New Roman" w:eastAsia="宋体" w:cs="Times New Roman"/>
                <w:b w:val="0"/>
                <w:bCs w:val="0"/>
                <w:color w:val="auto"/>
                <w:sz w:val="24"/>
                <w:szCs w:val="24"/>
                <w:u w:val="none"/>
                <w:lang w:val="en-US" w:eastAsia="zh-CN"/>
              </w:rPr>
              <w:t>淮阳区</w:t>
            </w:r>
            <w:r>
              <w:rPr>
                <w:rFonts w:hint="default" w:ascii="Times New Roman" w:hAnsi="Times New Roman" w:eastAsia="宋体" w:cs="Times New Roman"/>
                <w:b w:val="0"/>
                <w:bCs w:val="0"/>
                <w:color w:val="auto"/>
                <w:sz w:val="24"/>
                <w:szCs w:val="24"/>
                <w:u w:val="none"/>
              </w:rPr>
              <w:t>SO</w:t>
            </w:r>
            <w:r>
              <w:rPr>
                <w:rFonts w:hint="default" w:ascii="Times New Roman" w:hAnsi="Times New Roman" w:eastAsia="宋体" w:cs="Times New Roman"/>
                <w:b w:val="0"/>
                <w:bCs w:val="0"/>
                <w:color w:val="auto"/>
                <w:sz w:val="24"/>
                <w:szCs w:val="24"/>
                <w:u w:val="none"/>
                <w:vertAlign w:val="subscript"/>
              </w:rPr>
              <w:t>2</w:t>
            </w:r>
            <w:r>
              <w:rPr>
                <w:rFonts w:hint="default" w:ascii="Times New Roman" w:hAnsi="Times New Roman" w:eastAsia="宋体" w:cs="Times New Roman"/>
                <w:b w:val="0"/>
                <w:bCs w:val="0"/>
                <w:color w:val="auto"/>
                <w:sz w:val="24"/>
                <w:szCs w:val="24"/>
                <w:u w:val="none"/>
              </w:rPr>
              <w:t>、NO</w:t>
            </w:r>
            <w:r>
              <w:rPr>
                <w:rFonts w:hint="default" w:ascii="Times New Roman" w:hAnsi="Times New Roman" w:eastAsia="宋体" w:cs="Times New Roman"/>
                <w:b w:val="0"/>
                <w:bCs w:val="0"/>
                <w:color w:val="auto"/>
                <w:sz w:val="24"/>
                <w:szCs w:val="24"/>
                <w:u w:val="none"/>
                <w:vertAlign w:val="subscript"/>
              </w:rPr>
              <w:t>2</w:t>
            </w:r>
            <w:r>
              <w:rPr>
                <w:rFonts w:hint="default" w:ascii="Times New Roman" w:hAnsi="Times New Roman" w:eastAsia="宋体" w:cs="Times New Roman"/>
                <w:b w:val="0"/>
                <w:bCs w:val="0"/>
                <w:color w:val="auto"/>
                <w:kern w:val="2"/>
                <w:sz w:val="24"/>
                <w:szCs w:val="24"/>
                <w:u w:val="none"/>
              </w:rPr>
              <w:t>年平均质量浓度</w:t>
            </w:r>
            <w:r>
              <w:rPr>
                <w:rFonts w:hint="default" w:ascii="Times New Roman" w:hAnsi="Times New Roman" w:eastAsia="宋体" w:cs="Times New Roman"/>
                <w:b w:val="0"/>
                <w:bCs w:val="0"/>
                <w:color w:val="auto"/>
                <w:sz w:val="24"/>
                <w:szCs w:val="24"/>
                <w:u w:val="none"/>
              </w:rPr>
              <w:t xml:space="preserve">和CO </w:t>
            </w:r>
            <w:r>
              <w:rPr>
                <w:rFonts w:hint="default" w:ascii="Times New Roman" w:hAnsi="Times New Roman" w:eastAsia="宋体" w:cs="Times New Roman"/>
                <w:b w:val="0"/>
                <w:bCs w:val="0"/>
                <w:color w:val="auto"/>
                <w:kern w:val="2"/>
                <w:sz w:val="24"/>
                <w:szCs w:val="24"/>
                <w:u w:val="none"/>
              </w:rPr>
              <w:t>24小时平均第95百分位数</w:t>
            </w:r>
            <w:r>
              <w:rPr>
                <w:rFonts w:hint="default" w:ascii="Times New Roman" w:hAnsi="Times New Roman" w:eastAsia="宋体" w:cs="Times New Roman"/>
                <w:b w:val="0"/>
                <w:bCs w:val="0"/>
                <w:color w:val="auto"/>
                <w:sz w:val="24"/>
                <w:szCs w:val="24"/>
                <w:u w:val="none"/>
                <w:lang w:val="en-US" w:eastAsia="zh-CN"/>
              </w:rPr>
              <w:t>浓度</w:t>
            </w:r>
            <w:r>
              <w:rPr>
                <w:rFonts w:hint="default" w:ascii="Times New Roman" w:hAnsi="Times New Roman" w:eastAsia="宋体" w:cs="Times New Roman"/>
                <w:b w:val="0"/>
                <w:bCs w:val="0"/>
                <w:color w:val="auto"/>
                <w:sz w:val="24"/>
                <w:szCs w:val="24"/>
                <w:u w:val="none"/>
              </w:rPr>
              <w:t>均</w:t>
            </w:r>
            <w:r>
              <w:rPr>
                <w:rFonts w:hint="default" w:ascii="Times New Roman" w:hAnsi="Times New Roman" w:eastAsia="宋体" w:cs="Times New Roman"/>
                <w:b w:val="0"/>
                <w:bCs w:val="0"/>
                <w:color w:val="auto"/>
                <w:sz w:val="24"/>
                <w:szCs w:val="24"/>
                <w:u w:val="none"/>
                <w:lang w:val="en-US" w:eastAsia="zh-CN"/>
              </w:rPr>
              <w:t>能</w:t>
            </w:r>
            <w:r>
              <w:rPr>
                <w:rFonts w:hint="default" w:ascii="Times New Roman" w:hAnsi="Times New Roman" w:eastAsia="宋体" w:cs="Times New Roman"/>
                <w:b w:val="0"/>
                <w:bCs w:val="0"/>
                <w:color w:val="auto"/>
                <w:sz w:val="24"/>
                <w:szCs w:val="24"/>
                <w:u w:val="none"/>
                <w:lang w:eastAsia="zh-CN"/>
              </w:rPr>
              <w:t>满足</w:t>
            </w:r>
            <w:r>
              <w:rPr>
                <w:rFonts w:hint="default" w:ascii="Times New Roman" w:hAnsi="Times New Roman" w:eastAsia="宋体" w:cs="Times New Roman"/>
                <w:b w:val="0"/>
                <w:bCs w:val="0"/>
                <w:color w:val="auto"/>
                <w:sz w:val="24"/>
                <w:szCs w:val="24"/>
                <w:u w:val="none"/>
              </w:rPr>
              <w:t>《环境空气质量标准》（GB3095-20</w:t>
            </w:r>
            <w:r>
              <w:rPr>
                <w:rFonts w:hint="eastAsia" w:cs="Times New Roman"/>
                <w:b w:val="0"/>
                <w:bCs w:val="0"/>
                <w:color w:val="auto"/>
                <w:sz w:val="24"/>
                <w:szCs w:val="24"/>
                <w:u w:val="none"/>
                <w:lang w:val="en-US" w:eastAsia="zh-CN"/>
              </w:rPr>
              <w:t>26</w:t>
            </w:r>
            <w:r>
              <w:rPr>
                <w:rFonts w:hint="default" w:ascii="Times New Roman" w:hAnsi="Times New Roman" w:eastAsia="宋体" w:cs="Times New Roman"/>
                <w:b w:val="0"/>
                <w:bCs w:val="0"/>
                <w:color w:val="auto"/>
                <w:sz w:val="24"/>
                <w:szCs w:val="24"/>
                <w:u w:val="none"/>
              </w:rPr>
              <w:t>）</w:t>
            </w:r>
            <w:r>
              <w:rPr>
                <w:rFonts w:hint="eastAsia" w:cs="Times New Roman"/>
                <w:b w:val="0"/>
                <w:bCs w:val="0"/>
                <w:color w:val="auto"/>
                <w:sz w:val="24"/>
                <w:szCs w:val="24"/>
                <w:u w:val="none"/>
                <w:lang w:val="en-US" w:eastAsia="zh-CN"/>
              </w:rPr>
              <w:t>中过渡阶段</w:t>
            </w:r>
            <w:r>
              <w:rPr>
                <w:rFonts w:hint="default" w:ascii="Times New Roman" w:hAnsi="Times New Roman" w:eastAsia="宋体" w:cs="Times New Roman"/>
                <w:b w:val="0"/>
                <w:bCs w:val="0"/>
                <w:color w:val="auto"/>
                <w:sz w:val="24"/>
                <w:szCs w:val="24"/>
                <w:u w:val="none"/>
              </w:rPr>
              <w:t>二级标准</w:t>
            </w:r>
            <w:r>
              <w:rPr>
                <w:rFonts w:hint="eastAsia" w:cs="Times New Roman"/>
                <w:b w:val="0"/>
                <w:bCs w:val="0"/>
                <w:color w:val="auto"/>
                <w:sz w:val="24"/>
                <w:szCs w:val="24"/>
                <w:u w:val="none"/>
                <w:lang w:val="en-US" w:eastAsia="zh-CN"/>
              </w:rPr>
              <w:t>浓度限值</w:t>
            </w:r>
            <w:r>
              <w:rPr>
                <w:rFonts w:hint="default" w:ascii="Times New Roman" w:hAnsi="Times New Roman" w:eastAsia="宋体" w:cs="Times New Roman"/>
                <w:b w:val="0"/>
                <w:bCs w:val="0"/>
                <w:color w:val="auto"/>
                <w:sz w:val="24"/>
                <w:szCs w:val="24"/>
                <w:u w:val="none"/>
              </w:rPr>
              <w:t>， PM</w:t>
            </w:r>
            <w:r>
              <w:rPr>
                <w:rFonts w:hint="default" w:ascii="Times New Roman" w:hAnsi="Times New Roman" w:eastAsia="宋体" w:cs="Times New Roman"/>
                <w:b w:val="0"/>
                <w:bCs w:val="0"/>
                <w:color w:val="auto"/>
                <w:sz w:val="24"/>
                <w:szCs w:val="24"/>
                <w:u w:val="none"/>
                <w:vertAlign w:val="subscript"/>
              </w:rPr>
              <w:t>10</w:t>
            </w:r>
            <w:r>
              <w:rPr>
                <w:rFonts w:hint="default" w:ascii="Times New Roman" w:hAnsi="Times New Roman" w:eastAsia="宋体" w:cs="Times New Roman"/>
                <w:b w:val="0"/>
                <w:bCs w:val="0"/>
                <w:color w:val="auto"/>
                <w:sz w:val="24"/>
                <w:szCs w:val="24"/>
                <w:u w:val="none"/>
              </w:rPr>
              <w:t>、PM</w:t>
            </w:r>
            <w:r>
              <w:rPr>
                <w:rFonts w:hint="default" w:ascii="Times New Roman" w:hAnsi="Times New Roman" w:eastAsia="宋体" w:cs="Times New Roman"/>
                <w:b w:val="0"/>
                <w:bCs w:val="0"/>
                <w:color w:val="auto"/>
                <w:sz w:val="24"/>
                <w:szCs w:val="24"/>
                <w:u w:val="none"/>
                <w:vertAlign w:val="subscript"/>
              </w:rPr>
              <w:t>2.5</w:t>
            </w:r>
            <w:r>
              <w:rPr>
                <w:rFonts w:hint="default" w:ascii="Times New Roman" w:hAnsi="Times New Roman" w:eastAsia="宋体" w:cs="Times New Roman"/>
                <w:b w:val="0"/>
                <w:bCs w:val="0"/>
                <w:color w:val="auto"/>
                <w:kern w:val="2"/>
                <w:sz w:val="24"/>
                <w:szCs w:val="24"/>
                <w:u w:val="none"/>
              </w:rPr>
              <w:t>年平均质量浓度</w:t>
            </w:r>
            <w:r>
              <w:rPr>
                <w:rFonts w:hint="default" w:ascii="Times New Roman" w:hAnsi="Times New Roman" w:eastAsia="宋体" w:cs="Times New Roman"/>
                <w:b w:val="0"/>
                <w:bCs w:val="0"/>
                <w:color w:val="auto"/>
                <w:sz w:val="24"/>
                <w:szCs w:val="24"/>
                <w:u w:val="none"/>
                <w:lang w:val="en-US" w:eastAsia="zh-CN"/>
              </w:rPr>
              <w:t>和</w:t>
            </w:r>
            <w:r>
              <w:rPr>
                <w:rFonts w:hint="default" w:ascii="Times New Roman" w:hAnsi="Times New Roman" w:eastAsia="宋体" w:cs="Times New Roman"/>
                <w:b w:val="0"/>
                <w:bCs w:val="0"/>
                <w:color w:val="auto"/>
                <w:sz w:val="24"/>
                <w:szCs w:val="24"/>
                <w:u w:val="none"/>
              </w:rPr>
              <w:t>O</w:t>
            </w:r>
            <w:r>
              <w:rPr>
                <w:rFonts w:hint="default" w:ascii="Times New Roman" w:hAnsi="Times New Roman" w:eastAsia="宋体" w:cs="Times New Roman"/>
                <w:b w:val="0"/>
                <w:bCs w:val="0"/>
                <w:color w:val="auto"/>
                <w:sz w:val="24"/>
                <w:szCs w:val="24"/>
                <w:u w:val="none"/>
                <w:vertAlign w:val="subscript"/>
              </w:rPr>
              <w:t>3</w:t>
            </w:r>
            <w:r>
              <w:rPr>
                <w:rFonts w:hint="default" w:ascii="Times New Roman" w:hAnsi="Times New Roman" w:eastAsia="宋体" w:cs="Times New Roman"/>
                <w:b w:val="0"/>
                <w:bCs w:val="0"/>
                <w:color w:val="auto"/>
                <w:kern w:val="2"/>
                <w:sz w:val="24"/>
                <w:szCs w:val="24"/>
                <w:u w:val="none"/>
              </w:rPr>
              <w:t>日最大8小时平均值第90百分位数</w:t>
            </w:r>
            <w:r>
              <w:rPr>
                <w:rFonts w:hint="default" w:ascii="Times New Roman" w:hAnsi="Times New Roman" w:eastAsia="宋体" w:cs="Times New Roman"/>
                <w:b w:val="0"/>
                <w:bCs w:val="0"/>
                <w:color w:val="auto"/>
                <w:sz w:val="24"/>
                <w:szCs w:val="24"/>
                <w:u w:val="none"/>
                <w:lang w:val="en-US" w:eastAsia="zh-CN"/>
              </w:rPr>
              <w:t>浓度均不能</w:t>
            </w:r>
            <w:r>
              <w:rPr>
                <w:rFonts w:hint="default" w:ascii="Times New Roman" w:hAnsi="Times New Roman" w:eastAsia="宋体" w:cs="Times New Roman"/>
                <w:b w:val="0"/>
                <w:bCs w:val="0"/>
                <w:color w:val="auto"/>
                <w:sz w:val="24"/>
                <w:szCs w:val="24"/>
                <w:u w:val="none"/>
                <w:lang w:eastAsia="zh-CN"/>
              </w:rPr>
              <w:t>满足</w:t>
            </w:r>
            <w:r>
              <w:rPr>
                <w:rFonts w:hint="default" w:ascii="Times New Roman" w:hAnsi="Times New Roman" w:eastAsia="宋体" w:cs="Times New Roman"/>
                <w:b w:val="0"/>
                <w:bCs w:val="0"/>
                <w:color w:val="auto"/>
                <w:sz w:val="24"/>
                <w:szCs w:val="24"/>
                <w:u w:val="none"/>
              </w:rPr>
              <w:t>《环境空气质量标准》（GB3095-20</w:t>
            </w:r>
            <w:r>
              <w:rPr>
                <w:rFonts w:hint="eastAsia" w:cs="Times New Roman"/>
                <w:b w:val="0"/>
                <w:bCs w:val="0"/>
                <w:color w:val="auto"/>
                <w:sz w:val="24"/>
                <w:szCs w:val="24"/>
                <w:u w:val="none"/>
                <w:lang w:val="en-US" w:eastAsia="zh-CN"/>
              </w:rPr>
              <w:t>26</w:t>
            </w:r>
            <w:r>
              <w:rPr>
                <w:rFonts w:hint="default" w:ascii="Times New Roman" w:hAnsi="Times New Roman" w:eastAsia="宋体" w:cs="Times New Roman"/>
                <w:b w:val="0"/>
                <w:bCs w:val="0"/>
                <w:color w:val="auto"/>
                <w:sz w:val="24"/>
                <w:szCs w:val="24"/>
                <w:u w:val="none"/>
              </w:rPr>
              <w:t>）</w:t>
            </w:r>
            <w:r>
              <w:rPr>
                <w:rFonts w:hint="eastAsia" w:cs="Times New Roman"/>
                <w:b w:val="0"/>
                <w:bCs w:val="0"/>
                <w:color w:val="auto"/>
                <w:sz w:val="24"/>
                <w:szCs w:val="24"/>
                <w:u w:val="none"/>
                <w:lang w:val="en-US" w:eastAsia="zh-CN"/>
              </w:rPr>
              <w:t>中过渡阶段</w:t>
            </w:r>
            <w:r>
              <w:rPr>
                <w:rFonts w:hint="default" w:ascii="Times New Roman" w:hAnsi="Times New Roman" w:eastAsia="宋体" w:cs="Times New Roman"/>
                <w:b w:val="0"/>
                <w:bCs w:val="0"/>
                <w:color w:val="auto"/>
                <w:sz w:val="24"/>
                <w:szCs w:val="24"/>
                <w:u w:val="none"/>
              </w:rPr>
              <w:t>二级标准</w:t>
            </w:r>
            <w:r>
              <w:rPr>
                <w:rFonts w:hint="eastAsia" w:cs="Times New Roman"/>
                <w:b w:val="0"/>
                <w:bCs w:val="0"/>
                <w:color w:val="auto"/>
                <w:sz w:val="24"/>
                <w:szCs w:val="24"/>
                <w:u w:val="none"/>
                <w:lang w:val="en-US" w:eastAsia="zh-CN"/>
              </w:rPr>
              <w:t>浓度限值</w:t>
            </w:r>
            <w:r>
              <w:rPr>
                <w:rFonts w:hint="default" w:ascii="Times New Roman" w:hAnsi="Times New Roman" w:eastAsia="宋体" w:cs="Times New Roman"/>
                <w:b w:val="0"/>
                <w:bCs w:val="0"/>
                <w:color w:val="auto"/>
                <w:sz w:val="24"/>
                <w:szCs w:val="24"/>
                <w:u w:val="none"/>
                <w:lang w:val="en-US" w:eastAsia="zh-CN"/>
              </w:rPr>
              <w:t>。</w:t>
            </w:r>
            <w:r>
              <w:rPr>
                <w:rFonts w:hint="default" w:ascii="Times New Roman" w:hAnsi="Times New Roman" w:eastAsia="宋体" w:cs="Times New Roman"/>
                <w:b w:val="0"/>
                <w:bCs w:val="0"/>
                <w:color w:val="auto"/>
                <w:sz w:val="24"/>
                <w:szCs w:val="24"/>
                <w:u w:val="none"/>
              </w:rPr>
              <w:t>因此本项目所在区域属于不达标区。</w:t>
            </w:r>
          </w:p>
          <w:p w14:paraId="12EA6E3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u w:val="none"/>
              </w:rPr>
            </w:pPr>
            <w:r>
              <w:rPr>
                <w:rFonts w:hint="default" w:ascii="Times New Roman" w:hAnsi="Times New Roman" w:eastAsia="宋体" w:cs="Times New Roman"/>
                <w:b w:val="0"/>
                <w:bCs w:val="0"/>
                <w:color w:val="auto"/>
                <w:sz w:val="24"/>
                <w:u w:val="none"/>
              </w:rPr>
              <w:t>周口市正在实施周口市生态环境保护委员会办公室《关于印发〈周口市202</w:t>
            </w:r>
            <w:r>
              <w:rPr>
                <w:rFonts w:hint="eastAsia" w:cs="Times New Roman"/>
                <w:b w:val="0"/>
                <w:bCs w:val="0"/>
                <w:color w:val="auto"/>
                <w:sz w:val="24"/>
                <w:u w:val="none"/>
                <w:lang w:val="en-US" w:eastAsia="zh-CN"/>
              </w:rPr>
              <w:t>5</w:t>
            </w:r>
            <w:r>
              <w:rPr>
                <w:rFonts w:hint="default" w:ascii="Times New Roman" w:hAnsi="Times New Roman" w:eastAsia="宋体" w:cs="Times New Roman"/>
                <w:b w:val="0"/>
                <w:bCs w:val="0"/>
                <w:color w:val="auto"/>
                <w:sz w:val="24"/>
                <w:u w:val="none"/>
              </w:rPr>
              <w:t>年蓝天保卫战实施方案〉的通知》（周环委办</w:t>
            </w:r>
            <w:r>
              <w:rPr>
                <w:rFonts w:hint="eastAsia" w:ascii="Times New Roman" w:hAnsi="Times New Roman" w:eastAsia="宋体" w:cs="Times New Roman"/>
                <w:b w:val="0"/>
                <w:bCs w:val="0"/>
                <w:color w:val="auto"/>
                <w:sz w:val="24"/>
                <w:u w:val="none"/>
                <w:lang w:val="en-US" w:eastAsia="zh-CN"/>
              </w:rPr>
              <w:t>[</w:t>
            </w:r>
            <w:r>
              <w:rPr>
                <w:rFonts w:hint="default" w:ascii="Times New Roman" w:hAnsi="Times New Roman" w:eastAsia="宋体" w:cs="Times New Roman"/>
                <w:b w:val="0"/>
                <w:bCs w:val="0"/>
                <w:color w:val="auto"/>
                <w:sz w:val="24"/>
                <w:u w:val="none"/>
              </w:rPr>
              <w:t>202</w:t>
            </w:r>
            <w:r>
              <w:rPr>
                <w:rFonts w:hint="eastAsia" w:cs="Times New Roman"/>
                <w:b w:val="0"/>
                <w:bCs w:val="0"/>
                <w:color w:val="auto"/>
                <w:sz w:val="24"/>
                <w:u w:val="none"/>
                <w:lang w:val="en-US" w:eastAsia="zh-CN"/>
              </w:rPr>
              <w:t>5</w:t>
            </w:r>
            <w:r>
              <w:rPr>
                <w:rFonts w:hint="eastAsia" w:ascii="Times New Roman" w:hAnsi="Times New Roman" w:eastAsia="宋体" w:cs="Times New Roman"/>
                <w:b w:val="0"/>
                <w:bCs w:val="0"/>
                <w:color w:val="auto"/>
                <w:sz w:val="24"/>
                <w:u w:val="none"/>
                <w:lang w:val="en-US" w:eastAsia="zh-CN"/>
              </w:rPr>
              <w:t>]</w:t>
            </w:r>
            <w:r>
              <w:rPr>
                <w:rFonts w:hint="default" w:ascii="Times New Roman" w:hAnsi="Times New Roman" w:eastAsia="宋体" w:cs="Times New Roman"/>
                <w:b w:val="0"/>
                <w:bCs w:val="0"/>
                <w:color w:val="auto"/>
                <w:sz w:val="24"/>
                <w:u w:val="none"/>
              </w:rPr>
              <w:t>1</w:t>
            </w:r>
            <w:r>
              <w:rPr>
                <w:rFonts w:hint="eastAsia" w:cs="Times New Roman"/>
                <w:b w:val="0"/>
                <w:bCs w:val="0"/>
                <w:color w:val="auto"/>
                <w:sz w:val="24"/>
                <w:u w:val="none"/>
                <w:lang w:val="en-US" w:eastAsia="zh-CN"/>
              </w:rPr>
              <w:t>4</w:t>
            </w:r>
            <w:r>
              <w:rPr>
                <w:rFonts w:hint="default" w:ascii="Times New Roman" w:hAnsi="Times New Roman" w:eastAsia="宋体" w:cs="Times New Roman"/>
                <w:b w:val="0"/>
                <w:bCs w:val="0"/>
                <w:color w:val="auto"/>
                <w:sz w:val="24"/>
                <w:u w:val="none"/>
              </w:rPr>
              <w:t xml:space="preserve"> 号），通过采取减污降碳协同增效行动、工业污染治理减排行动、移动源污染排放控制行动、面源污染综合防治攻坚行动、重污染天气联合应对行动、科技支撑能力建设提升行动以上措施，将不断改善区域大气环境质量。</w:t>
            </w:r>
          </w:p>
          <w:p w14:paraId="18957638">
            <w:pPr>
              <w:pStyle w:val="2"/>
              <w:rPr>
                <w:rFonts w:hint="eastAsia" w:ascii="Times New Roman" w:hAnsi="Times New Roman" w:eastAsia="宋体" w:cs="Times New Roman"/>
                <w:b/>
                <w:bCs/>
                <w:color w:val="000000"/>
                <w:lang w:val="en-US" w:eastAsia="zh-CN"/>
              </w:rPr>
            </w:pPr>
            <w:bookmarkStart w:id="83" w:name="_Toc32744"/>
            <w:bookmarkStart w:id="84" w:name="_Toc13456"/>
            <w:r>
              <w:rPr>
                <w:rFonts w:hint="eastAsia" w:ascii="Times New Roman" w:hAnsi="Times New Roman" w:eastAsia="宋体" w:cs="Times New Roman"/>
                <w:b/>
                <w:bCs/>
                <w:color w:val="000000"/>
                <w:lang w:val="en-US" w:eastAsia="zh-CN"/>
              </w:rPr>
              <w:t>2、地表水</w:t>
            </w:r>
            <w:bookmarkEnd w:id="83"/>
            <w:bookmarkEnd w:id="84"/>
          </w:p>
          <w:p w14:paraId="73385C96">
            <w:pPr>
              <w:pStyle w:val="96"/>
              <w:ind w:firstLine="480"/>
              <w:rPr>
                <w:b w:val="0"/>
                <w:bCs w:val="0"/>
                <w:color w:val="auto"/>
              </w:rPr>
            </w:pPr>
            <w:r>
              <w:rPr>
                <w:b w:val="0"/>
                <w:bCs w:val="0"/>
                <w:color w:val="auto"/>
              </w:rPr>
              <w:t>距离本项目最近的河流为七里河，七里河流入新蔡河。新蔡河规划功能为Ⅳ类水体。新蔡河出境控制断面为淮阳冯唐邱屯断面，属于市控断面，执行《地表水环境质量标准》（GB3838-2002）Ⅳ类标准。 根据</w:t>
            </w:r>
            <w:r>
              <w:rPr>
                <w:rFonts w:hint="eastAsia"/>
                <w:b w:val="0"/>
                <w:bCs w:val="0"/>
                <w:color w:val="auto"/>
                <w:lang w:val="en-US" w:eastAsia="zh-CN"/>
              </w:rPr>
              <w:t>2024年</w:t>
            </w:r>
            <w:r>
              <w:rPr>
                <w:b w:val="0"/>
                <w:bCs w:val="0"/>
                <w:color w:val="auto"/>
              </w:rPr>
              <w:t>新蔡河（淮阳冯唐邱屯断面）监测数据统计分析详见下表。</w:t>
            </w:r>
          </w:p>
          <w:p w14:paraId="37AC19C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zh-CN" w:eastAsia="zh-CN" w:bidi="ar-SA"/>
              </w:rPr>
            </w:pPr>
            <w:r>
              <w:rPr>
                <w:rFonts w:hint="default" w:ascii="Times New Roman" w:hAnsi="Times New Roman" w:eastAsia="宋体" w:cs="Times New Roman"/>
                <w:b/>
                <w:bCs/>
                <w:snapToGrid w:val="0"/>
                <w:color w:val="auto"/>
                <w:kern w:val="0"/>
                <w:sz w:val="24"/>
                <w:szCs w:val="24"/>
                <w:lang w:val="zh-CN" w:eastAsia="zh-CN" w:bidi="ar-SA"/>
              </w:rPr>
              <w:t xml:space="preserve">表3-2 </w:t>
            </w:r>
            <w:r>
              <w:rPr>
                <w:rFonts w:hint="eastAsia" w:cs="Times New Roman"/>
                <w:b/>
                <w:bCs/>
                <w:snapToGrid w:val="0"/>
                <w:color w:val="auto"/>
                <w:kern w:val="0"/>
                <w:sz w:val="24"/>
                <w:szCs w:val="24"/>
                <w:lang w:val="en-US" w:eastAsia="zh-CN" w:bidi="ar-SA"/>
              </w:rPr>
              <w:t xml:space="preserve"> </w:t>
            </w:r>
            <w:r>
              <w:rPr>
                <w:rFonts w:hint="default" w:ascii="Times New Roman" w:hAnsi="Times New Roman" w:eastAsia="宋体" w:cs="Times New Roman"/>
                <w:b/>
                <w:bCs/>
                <w:snapToGrid w:val="0"/>
                <w:color w:val="auto"/>
                <w:kern w:val="0"/>
                <w:sz w:val="24"/>
                <w:szCs w:val="24"/>
                <w:lang w:val="zh-CN" w:eastAsia="zh-CN" w:bidi="ar-SA"/>
              </w:rPr>
              <w:t xml:space="preserve"> 新蔡河淮阳冯唐邱屯监测数据统计分析表  单位：mg/L</w:t>
            </w: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25"/>
              <w:gridCol w:w="2726"/>
              <w:gridCol w:w="2726"/>
            </w:tblGrid>
            <w:tr w14:paraId="2E7B1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25" w:type="dxa"/>
                  <w:noWrap w:val="0"/>
                  <w:vAlign w:val="center"/>
                </w:tcPr>
                <w:p w14:paraId="0AC0BF8C">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时间指标</w:t>
                  </w:r>
                </w:p>
              </w:tc>
              <w:tc>
                <w:tcPr>
                  <w:tcW w:w="2726" w:type="dxa"/>
                  <w:noWrap w:val="0"/>
                  <w:vAlign w:val="center"/>
                </w:tcPr>
                <w:p w14:paraId="03C283AC">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COD</w:t>
                  </w:r>
                </w:p>
              </w:tc>
              <w:tc>
                <w:tcPr>
                  <w:tcW w:w="2726" w:type="dxa"/>
                  <w:noWrap w:val="0"/>
                  <w:vAlign w:val="center"/>
                </w:tcPr>
                <w:p w14:paraId="115C504C">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氨氮</w:t>
                  </w:r>
                </w:p>
              </w:tc>
            </w:tr>
            <w:tr w14:paraId="50A6F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25" w:type="dxa"/>
                  <w:noWrap w:val="0"/>
                  <w:vAlign w:val="center"/>
                </w:tcPr>
                <w:p w14:paraId="3B048BDB">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年均值</w:t>
                  </w:r>
                </w:p>
              </w:tc>
              <w:tc>
                <w:tcPr>
                  <w:tcW w:w="2726" w:type="dxa"/>
                  <w:noWrap w:val="0"/>
                  <w:vAlign w:val="center"/>
                </w:tcPr>
                <w:p w14:paraId="47E53F88">
                  <w:pPr>
                    <w:pStyle w:val="4"/>
                    <w:snapToGrid w:val="0"/>
                    <w:spacing w:before="0" w:after="0" w:line="240" w:lineRule="auto"/>
                    <w:contextualSpacing/>
                    <w:jc w:val="center"/>
                    <w:rPr>
                      <w:rFonts w:hint="default" w:eastAsia="宋体"/>
                      <w:b w:val="0"/>
                      <w:bCs w:val="0"/>
                      <w:color w:val="auto"/>
                      <w:sz w:val="21"/>
                      <w:szCs w:val="21"/>
                      <w:lang w:val="en-US" w:eastAsia="zh-CN"/>
                    </w:rPr>
                  </w:pPr>
                  <w:r>
                    <w:rPr>
                      <w:rFonts w:hint="eastAsia"/>
                      <w:b w:val="0"/>
                      <w:bCs w:val="0"/>
                      <w:color w:val="auto"/>
                      <w:sz w:val="21"/>
                      <w:szCs w:val="21"/>
                      <w:lang w:val="en-US" w:eastAsia="zh-CN"/>
                    </w:rPr>
                    <w:t>16.31</w:t>
                  </w:r>
                </w:p>
              </w:tc>
              <w:tc>
                <w:tcPr>
                  <w:tcW w:w="2726" w:type="dxa"/>
                  <w:noWrap w:val="0"/>
                  <w:vAlign w:val="center"/>
                </w:tcPr>
                <w:p w14:paraId="0C6F0F8E">
                  <w:pPr>
                    <w:pStyle w:val="4"/>
                    <w:snapToGrid w:val="0"/>
                    <w:spacing w:before="0" w:after="0" w:line="240" w:lineRule="auto"/>
                    <w:contextualSpacing/>
                    <w:jc w:val="center"/>
                    <w:rPr>
                      <w:rFonts w:hint="default" w:eastAsia="宋体"/>
                      <w:b w:val="0"/>
                      <w:bCs w:val="0"/>
                      <w:color w:val="auto"/>
                      <w:sz w:val="21"/>
                      <w:szCs w:val="21"/>
                      <w:lang w:val="en-US" w:eastAsia="zh-CN"/>
                    </w:rPr>
                  </w:pPr>
                  <w:r>
                    <w:rPr>
                      <w:rFonts w:hint="eastAsia"/>
                      <w:b w:val="0"/>
                      <w:bCs w:val="0"/>
                      <w:color w:val="auto"/>
                      <w:sz w:val="21"/>
                      <w:szCs w:val="21"/>
                      <w:lang w:val="en-US" w:eastAsia="zh-CN"/>
                    </w:rPr>
                    <w:t>0.68</w:t>
                  </w:r>
                </w:p>
              </w:tc>
            </w:tr>
            <w:tr w14:paraId="479D0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25" w:type="dxa"/>
                  <w:noWrap w:val="0"/>
                  <w:vAlign w:val="center"/>
                </w:tcPr>
                <w:p w14:paraId="5B3E9C83">
                  <w:pPr>
                    <w:pStyle w:val="4"/>
                    <w:snapToGrid w:val="0"/>
                    <w:spacing w:before="0" w:after="0" w:line="240" w:lineRule="auto"/>
                    <w:contextualSpacing/>
                    <w:jc w:val="center"/>
                    <w:rPr>
                      <w:b w:val="0"/>
                      <w:bCs w:val="0"/>
                      <w:color w:val="auto"/>
                      <w:sz w:val="21"/>
                      <w:szCs w:val="21"/>
                    </w:rPr>
                  </w:pPr>
                  <w:r>
                    <w:rPr>
                      <w:b w:val="0"/>
                      <w:bCs w:val="0"/>
                      <w:color w:val="auto"/>
                      <w:sz w:val="21"/>
                      <w:szCs w:val="21"/>
                    </w:rPr>
                    <w:t>GB3838-2002</w:t>
                  </w:r>
                  <w:r>
                    <w:rPr>
                      <w:rFonts w:hint="eastAsia"/>
                      <w:b w:val="0"/>
                      <w:bCs w:val="0"/>
                      <w:color w:val="auto"/>
                      <w:sz w:val="21"/>
                      <w:szCs w:val="21"/>
                    </w:rPr>
                    <w:t xml:space="preserve">  </w:t>
                  </w:r>
                  <w:r>
                    <w:rPr>
                      <w:b w:val="0"/>
                      <w:bCs w:val="0"/>
                      <w:color w:val="auto"/>
                      <w:sz w:val="21"/>
                      <w:szCs w:val="21"/>
                    </w:rPr>
                    <w:t>Ⅳ类</w:t>
                  </w:r>
                </w:p>
              </w:tc>
              <w:tc>
                <w:tcPr>
                  <w:tcW w:w="2726" w:type="dxa"/>
                  <w:noWrap w:val="0"/>
                  <w:vAlign w:val="center"/>
                </w:tcPr>
                <w:p w14:paraId="0AC66AF5">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30.0</w:t>
                  </w:r>
                </w:p>
              </w:tc>
              <w:tc>
                <w:tcPr>
                  <w:tcW w:w="2726" w:type="dxa"/>
                  <w:noWrap w:val="0"/>
                  <w:vAlign w:val="center"/>
                </w:tcPr>
                <w:p w14:paraId="50FC5E40">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1.5</w:t>
                  </w:r>
                </w:p>
              </w:tc>
            </w:tr>
            <w:tr w14:paraId="0F779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25" w:type="dxa"/>
                  <w:noWrap w:val="0"/>
                  <w:vAlign w:val="center"/>
                </w:tcPr>
                <w:p w14:paraId="49CCBBC4">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达标分析</w:t>
                  </w:r>
                </w:p>
              </w:tc>
              <w:tc>
                <w:tcPr>
                  <w:tcW w:w="2726" w:type="dxa"/>
                  <w:noWrap w:val="0"/>
                  <w:vAlign w:val="center"/>
                </w:tcPr>
                <w:p w14:paraId="0D7C9038">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达标</w:t>
                  </w:r>
                </w:p>
              </w:tc>
              <w:tc>
                <w:tcPr>
                  <w:tcW w:w="2726" w:type="dxa"/>
                  <w:noWrap w:val="0"/>
                  <w:vAlign w:val="center"/>
                </w:tcPr>
                <w:p w14:paraId="556993FC">
                  <w:pPr>
                    <w:pStyle w:val="4"/>
                    <w:snapToGrid w:val="0"/>
                    <w:spacing w:before="0" w:after="0" w:line="240" w:lineRule="auto"/>
                    <w:contextualSpacing/>
                    <w:jc w:val="center"/>
                    <w:rPr>
                      <w:b w:val="0"/>
                      <w:bCs w:val="0"/>
                      <w:color w:val="auto"/>
                      <w:sz w:val="21"/>
                      <w:szCs w:val="21"/>
                      <w:lang w:val="zh-CN"/>
                    </w:rPr>
                  </w:pPr>
                  <w:r>
                    <w:rPr>
                      <w:b w:val="0"/>
                      <w:bCs w:val="0"/>
                      <w:color w:val="auto"/>
                      <w:sz w:val="21"/>
                      <w:szCs w:val="21"/>
                    </w:rPr>
                    <w:t>达标</w:t>
                  </w:r>
                </w:p>
              </w:tc>
            </w:tr>
          </w:tbl>
          <w:p w14:paraId="5B3D36B4">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textAlignment w:val="auto"/>
              <w:rPr>
                <w:rFonts w:hint="default" w:eastAsia="宋体"/>
                <w:b w:val="0"/>
                <w:bCs w:val="0"/>
                <w:color w:val="auto"/>
                <w:sz w:val="24"/>
                <w:lang w:val="en-US" w:eastAsia="zh-CN"/>
              </w:rPr>
            </w:pPr>
            <w:r>
              <w:rPr>
                <w:b w:val="0"/>
                <w:bCs w:val="0"/>
                <w:color w:val="auto"/>
                <w:sz w:val="24"/>
              </w:rPr>
              <w:t>由表3-2可知，202</w:t>
            </w:r>
            <w:r>
              <w:rPr>
                <w:rFonts w:hint="eastAsia"/>
                <w:b w:val="0"/>
                <w:bCs w:val="0"/>
                <w:color w:val="auto"/>
                <w:sz w:val="24"/>
                <w:lang w:val="en-US" w:eastAsia="zh-CN"/>
              </w:rPr>
              <w:t>4</w:t>
            </w:r>
            <w:r>
              <w:rPr>
                <w:b w:val="0"/>
                <w:bCs w:val="0"/>
                <w:color w:val="auto"/>
                <w:sz w:val="24"/>
              </w:rPr>
              <w:t>年新蔡河淮阳冯唐邱屯断面COD、氨氮</w:t>
            </w:r>
            <w:r>
              <w:rPr>
                <w:rFonts w:hint="eastAsia"/>
                <w:b w:val="0"/>
                <w:bCs w:val="0"/>
                <w:color w:val="auto"/>
                <w:sz w:val="24"/>
                <w:lang w:val="en-US" w:eastAsia="zh-CN"/>
              </w:rPr>
              <w:t>年均值</w:t>
            </w:r>
            <w:r>
              <w:rPr>
                <w:b w:val="0"/>
                <w:bCs w:val="0"/>
                <w:color w:val="auto"/>
                <w:sz w:val="24"/>
              </w:rPr>
              <w:t>均能够满足</w:t>
            </w:r>
            <w:r>
              <w:rPr>
                <w:rFonts w:hint="eastAsia"/>
                <w:b w:val="0"/>
                <w:bCs w:val="0"/>
                <w:color w:val="auto"/>
                <w:sz w:val="24"/>
                <w:lang w:eastAsia="zh-CN"/>
              </w:rPr>
              <w:t>《</w:t>
            </w:r>
            <w:r>
              <w:rPr>
                <w:rFonts w:hint="eastAsia"/>
                <w:b w:val="0"/>
                <w:bCs w:val="0"/>
                <w:color w:val="auto"/>
                <w:sz w:val="24"/>
                <w:lang w:val="en-US" w:eastAsia="zh-CN"/>
              </w:rPr>
              <w:t>地表水环境质量标准</w:t>
            </w:r>
            <w:r>
              <w:rPr>
                <w:rFonts w:hint="eastAsia"/>
                <w:b w:val="0"/>
                <w:bCs w:val="0"/>
                <w:color w:val="auto"/>
                <w:sz w:val="24"/>
                <w:lang w:eastAsia="zh-CN"/>
              </w:rPr>
              <w:t>》（</w:t>
            </w:r>
            <w:r>
              <w:rPr>
                <w:rFonts w:hint="eastAsia"/>
                <w:b w:val="0"/>
                <w:bCs w:val="0"/>
                <w:color w:val="auto"/>
                <w:sz w:val="24"/>
                <w:lang w:val="en-US" w:eastAsia="zh-CN"/>
              </w:rPr>
              <w:t>GB3838-2002</w:t>
            </w:r>
            <w:r>
              <w:rPr>
                <w:rFonts w:hint="eastAsia"/>
                <w:b w:val="0"/>
                <w:bCs w:val="0"/>
                <w:color w:val="auto"/>
                <w:sz w:val="24"/>
                <w:lang w:eastAsia="zh-CN"/>
              </w:rPr>
              <w:t>）</w:t>
            </w:r>
            <w:r>
              <w:rPr>
                <w:b w:val="0"/>
                <w:bCs w:val="0"/>
                <w:color w:val="auto"/>
                <w:sz w:val="24"/>
              </w:rPr>
              <w:fldChar w:fldCharType="begin"/>
            </w:r>
            <w:r>
              <w:rPr>
                <w:b w:val="0"/>
                <w:bCs w:val="0"/>
                <w:color w:val="auto"/>
                <w:sz w:val="24"/>
              </w:rPr>
              <w:instrText xml:space="preserve"> = 4 \* ROMAN \* MERGEFORMAT </w:instrText>
            </w:r>
            <w:r>
              <w:rPr>
                <w:b w:val="0"/>
                <w:bCs w:val="0"/>
                <w:color w:val="auto"/>
                <w:sz w:val="24"/>
              </w:rPr>
              <w:fldChar w:fldCharType="separate"/>
            </w:r>
            <w:r>
              <w:rPr>
                <w:b w:val="0"/>
                <w:bCs w:val="0"/>
                <w:color w:val="auto"/>
                <w:sz w:val="24"/>
              </w:rPr>
              <w:t>IV</w:t>
            </w:r>
            <w:r>
              <w:rPr>
                <w:b w:val="0"/>
                <w:bCs w:val="0"/>
                <w:color w:val="auto"/>
                <w:sz w:val="24"/>
              </w:rPr>
              <w:fldChar w:fldCharType="end"/>
            </w:r>
            <w:r>
              <w:rPr>
                <w:b w:val="0"/>
                <w:bCs w:val="0"/>
                <w:color w:val="auto"/>
                <w:sz w:val="24"/>
              </w:rPr>
              <w:t>类</w:t>
            </w:r>
            <w:r>
              <w:rPr>
                <w:rFonts w:hint="eastAsia"/>
                <w:b w:val="0"/>
                <w:bCs w:val="0"/>
                <w:color w:val="auto"/>
                <w:sz w:val="24"/>
                <w:lang w:val="en-US" w:eastAsia="zh-CN"/>
              </w:rPr>
              <w:t>标准</w:t>
            </w:r>
            <w:r>
              <w:rPr>
                <w:b w:val="0"/>
                <w:bCs w:val="0"/>
                <w:color w:val="auto"/>
                <w:sz w:val="24"/>
              </w:rPr>
              <w:t>要求。</w:t>
            </w:r>
            <w:r>
              <w:rPr>
                <w:rFonts w:hint="eastAsia"/>
                <w:b w:val="0"/>
                <w:bCs w:val="0"/>
                <w:color w:val="auto"/>
                <w:sz w:val="24"/>
                <w:lang w:val="en-US" w:eastAsia="zh-CN"/>
              </w:rPr>
              <w:t>目前周口市正在实施《河南省2025 年碧水保卫战实施方案》、《周口市 2025 年碧水保卫战实施方案》，新蔡河水质将进一步提高。</w:t>
            </w:r>
          </w:p>
          <w:p w14:paraId="4D55ECA1">
            <w:pPr>
              <w:pStyle w:val="2"/>
              <w:rPr>
                <w:rFonts w:hint="eastAsia" w:ascii="Times New Roman" w:hAnsi="Times New Roman" w:eastAsia="宋体" w:cs="Times New Roman"/>
                <w:b/>
                <w:bCs/>
                <w:color w:val="000000"/>
                <w:lang w:val="en-US" w:eastAsia="zh-CN"/>
              </w:rPr>
            </w:pPr>
            <w:bookmarkStart w:id="85" w:name="_Toc18734"/>
            <w:bookmarkStart w:id="86" w:name="_Toc7929"/>
            <w:r>
              <w:rPr>
                <w:rFonts w:hint="eastAsia" w:ascii="Times New Roman" w:hAnsi="Times New Roman" w:eastAsia="宋体" w:cs="Times New Roman"/>
                <w:b/>
                <w:bCs/>
                <w:color w:val="000000"/>
                <w:lang w:val="en-US" w:eastAsia="zh-CN"/>
              </w:rPr>
              <w:t>3、声环境质量现状</w:t>
            </w:r>
            <w:bookmarkEnd w:id="85"/>
            <w:bookmarkEnd w:id="86"/>
          </w:p>
          <w:p w14:paraId="12B70ED8">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项目厂界外50米范围内</w:t>
            </w:r>
            <w:r>
              <w:rPr>
                <w:rFonts w:hint="eastAsia" w:cs="Times New Roman"/>
                <w:b w:val="0"/>
                <w:bCs w:val="0"/>
                <w:color w:val="auto"/>
                <w:sz w:val="24"/>
                <w:szCs w:val="24"/>
                <w:highlight w:val="none"/>
                <w:lang w:val="en-US" w:eastAsia="zh-CN"/>
              </w:rPr>
              <w:t>有</w:t>
            </w:r>
            <w:r>
              <w:rPr>
                <w:rFonts w:hint="default" w:ascii="Times New Roman" w:hAnsi="Times New Roman" w:eastAsia="宋体" w:cs="Times New Roman"/>
                <w:b w:val="0"/>
                <w:bCs w:val="0"/>
                <w:color w:val="auto"/>
                <w:sz w:val="24"/>
                <w:szCs w:val="24"/>
                <w:highlight w:val="none"/>
                <w:lang w:val="en-US" w:eastAsia="zh-CN"/>
              </w:rPr>
              <w:t>声环境保护目标，因此，</w:t>
            </w:r>
            <w:r>
              <w:rPr>
                <w:rFonts w:hint="eastAsia" w:cs="Times New Roman"/>
                <w:b w:val="0"/>
                <w:bCs w:val="0"/>
                <w:color w:val="auto"/>
                <w:sz w:val="24"/>
                <w:szCs w:val="24"/>
                <w:highlight w:val="none"/>
                <w:lang w:val="en-US" w:eastAsia="zh-CN"/>
              </w:rPr>
              <w:t>需对区域内</w:t>
            </w:r>
            <w:r>
              <w:rPr>
                <w:rFonts w:hint="default" w:ascii="Times New Roman" w:hAnsi="Times New Roman" w:eastAsia="宋体" w:cs="Times New Roman"/>
                <w:b w:val="0"/>
                <w:bCs w:val="0"/>
                <w:color w:val="auto"/>
                <w:sz w:val="24"/>
                <w:szCs w:val="24"/>
                <w:highlight w:val="none"/>
                <w:lang w:val="en-US" w:eastAsia="zh-CN"/>
              </w:rPr>
              <w:t>声环境进行监测</w:t>
            </w:r>
            <w:r>
              <w:rPr>
                <w:rFonts w:hint="eastAsia" w:cs="Times New Roman"/>
                <w:b w:val="0"/>
                <w:bCs w:val="0"/>
                <w:color w:val="auto"/>
                <w:sz w:val="24"/>
                <w:szCs w:val="24"/>
                <w:highlight w:val="none"/>
                <w:lang w:val="en-US" w:eastAsia="zh-CN"/>
              </w:rPr>
              <w:t>，本次委托河南四源环境检测有限公司于2026年3月15日-2026年3月16日对50m范围内的敏感点进行了监测，监测结果见下表</w:t>
            </w:r>
            <w:r>
              <w:rPr>
                <w:rFonts w:hint="eastAsia" w:ascii="Times New Roman" w:hAnsi="Times New Roman" w:eastAsia="宋体" w:cs="Times New Roman"/>
                <w:b w:val="0"/>
                <w:bCs w:val="0"/>
                <w:color w:val="auto"/>
                <w:sz w:val="24"/>
                <w:szCs w:val="24"/>
                <w:highlight w:val="none"/>
                <w:lang w:eastAsia="zh-CN"/>
              </w:rPr>
              <w:t>。</w:t>
            </w:r>
          </w:p>
          <w:p w14:paraId="5903E1D8">
            <w:pPr>
              <w:keepNext w:val="0"/>
              <w:keepLines w:val="0"/>
              <w:pageBreakBefore w:val="0"/>
              <w:widowControl w:val="0"/>
              <w:kinsoku/>
              <w:wordWrap/>
              <w:overflowPunct/>
              <w:topLinePunct w:val="0"/>
              <w:autoSpaceDE/>
              <w:autoSpaceDN/>
              <w:bidi w:val="0"/>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表3-3     声环境质量现状监测结果表</w:t>
            </w:r>
          </w:p>
          <w:tbl>
            <w:tblPr>
              <w:tblStyle w:val="39"/>
              <w:tblW w:w="8137" w:type="dxa"/>
              <w:jc w:val="center"/>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autofit"/>
              <w:tblCellMar>
                <w:top w:w="0" w:type="dxa"/>
                <w:left w:w="108" w:type="dxa"/>
                <w:bottom w:w="0" w:type="dxa"/>
                <w:right w:w="108" w:type="dxa"/>
              </w:tblCellMar>
            </w:tblPr>
            <w:tblGrid>
              <w:gridCol w:w="876"/>
              <w:gridCol w:w="1406"/>
              <w:gridCol w:w="2083"/>
              <w:gridCol w:w="1886"/>
              <w:gridCol w:w="1886"/>
            </w:tblGrid>
            <w:tr w14:paraId="2AC68203">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13" w:hRule="atLeast"/>
                <w:tblHeader/>
                <w:jc w:val="center"/>
              </w:trPr>
              <w:tc>
                <w:tcPr>
                  <w:tcW w:w="876" w:type="dxa"/>
                  <w:vMerge w:val="restart"/>
                  <w:tcBorders>
                    <w:tl2br w:val="nil"/>
                    <w:tr2bl w:val="nil"/>
                  </w:tcBorders>
                  <w:vAlign w:val="center"/>
                </w:tcPr>
                <w:p w14:paraId="43EEECE8">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序号</w:t>
                  </w:r>
                </w:p>
              </w:tc>
              <w:tc>
                <w:tcPr>
                  <w:tcW w:w="1406" w:type="dxa"/>
                  <w:vMerge w:val="restart"/>
                  <w:tcBorders>
                    <w:tl2br w:val="nil"/>
                    <w:tr2bl w:val="nil"/>
                  </w:tcBorders>
                  <w:vAlign w:val="center"/>
                </w:tcPr>
                <w:p w14:paraId="10C46F2A">
                  <w:pPr>
                    <w:jc w:val="center"/>
                    <w:rPr>
                      <w:rFonts w:hint="default" w:ascii="Times New Roman" w:hAnsi="Times New Roman" w:cs="Times New Roman" w:eastAsiaTheme="minorEastAsia"/>
                      <w:bCs/>
                      <w:color w:val="auto"/>
                      <w:szCs w:val="21"/>
                      <w:lang w:eastAsia="zh-CN"/>
                    </w:rPr>
                  </w:pPr>
                  <w:r>
                    <w:rPr>
                      <w:rFonts w:hint="eastAsia" w:ascii="Times New Roman" w:hAnsi="Times New Roman" w:cs="Times New Roman"/>
                      <w:bCs/>
                      <w:color w:val="auto"/>
                      <w:szCs w:val="21"/>
                      <w:lang w:eastAsia="zh-CN"/>
                    </w:rPr>
                    <w:t>检测</w:t>
                  </w:r>
                  <w:r>
                    <w:rPr>
                      <w:rFonts w:hint="default" w:ascii="Times New Roman" w:hAnsi="Times New Roman" w:cs="Times New Roman"/>
                      <w:bCs/>
                      <w:color w:val="auto"/>
                      <w:szCs w:val="21"/>
                      <w:lang w:eastAsia="zh-CN"/>
                    </w:rPr>
                    <w:t>时间</w:t>
                  </w:r>
                </w:p>
              </w:tc>
              <w:tc>
                <w:tcPr>
                  <w:tcW w:w="2083" w:type="dxa"/>
                  <w:vMerge w:val="restart"/>
                  <w:tcBorders>
                    <w:tl2br w:val="nil"/>
                    <w:tr2bl w:val="nil"/>
                  </w:tcBorders>
                  <w:vAlign w:val="center"/>
                </w:tcPr>
                <w:p w14:paraId="7422A06F">
                  <w:pPr>
                    <w:jc w:val="center"/>
                    <w:rPr>
                      <w:rFonts w:hint="default" w:ascii="Times New Roman" w:hAnsi="Times New Roman" w:cs="Times New Roman" w:eastAsiaTheme="minorEastAsia"/>
                      <w:bCs/>
                      <w:color w:val="auto"/>
                      <w:szCs w:val="21"/>
                      <w:lang w:eastAsia="zh-CN"/>
                    </w:rPr>
                  </w:pPr>
                  <w:r>
                    <w:rPr>
                      <w:rFonts w:hint="default" w:ascii="Times New Roman" w:hAnsi="Times New Roman" w:cs="Times New Roman"/>
                      <w:bCs/>
                      <w:color w:val="auto"/>
                      <w:szCs w:val="21"/>
                      <w:lang w:eastAsia="zh-CN"/>
                    </w:rPr>
                    <w:t>检测点位</w:t>
                  </w:r>
                </w:p>
              </w:tc>
              <w:tc>
                <w:tcPr>
                  <w:tcW w:w="3772" w:type="dxa"/>
                  <w:gridSpan w:val="2"/>
                  <w:tcBorders>
                    <w:tl2br w:val="nil"/>
                    <w:tr2bl w:val="nil"/>
                  </w:tcBorders>
                  <w:vAlign w:val="center"/>
                </w:tcPr>
                <w:p w14:paraId="523656B5">
                  <w:pPr>
                    <w:widowControl w:val="0"/>
                    <w:jc w:val="center"/>
                    <w:rPr>
                      <w:rFonts w:hint="eastAsia" w:ascii="Times New Roman" w:hAnsi="Times New Roman" w:eastAsia="宋体" w:cs="Times New Roman"/>
                      <w:spacing w:val="0"/>
                      <w:sz w:val="21"/>
                      <w:szCs w:val="21"/>
                      <w:lang w:eastAsia="zh-CN"/>
                    </w:rPr>
                  </w:pPr>
                  <w:r>
                    <w:rPr>
                      <w:rFonts w:hint="eastAsia" w:ascii="Times New Roman" w:hAnsi="Times New Roman" w:cs="Times New Roman"/>
                      <w:lang w:eastAsia="zh-CN"/>
                    </w:rPr>
                    <w:t>等效连续</w:t>
                  </w:r>
                  <w:r>
                    <w:rPr>
                      <w:rFonts w:hint="eastAsia" w:ascii="Times New Roman" w:hAnsi="Times New Roman" w:cs="Times New Roman"/>
                      <w:lang w:val="en-US" w:eastAsia="zh-CN"/>
                    </w:rPr>
                    <w:t>A声级L</w:t>
                  </w:r>
                  <w:r>
                    <w:rPr>
                      <w:rFonts w:hint="eastAsia" w:ascii="Times New Roman" w:hAnsi="Times New Roman" w:cs="Times New Roman"/>
                      <w:vertAlign w:val="subscript"/>
                      <w:lang w:val="en-US" w:eastAsia="zh-CN"/>
                    </w:rPr>
                    <w:t>eq</w:t>
                  </w:r>
                </w:p>
              </w:tc>
            </w:tr>
            <w:tr w14:paraId="54CFC529">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23" w:hRule="atLeast"/>
                <w:tblHeader/>
                <w:jc w:val="center"/>
              </w:trPr>
              <w:tc>
                <w:tcPr>
                  <w:tcW w:w="876" w:type="dxa"/>
                  <w:vMerge w:val="continue"/>
                  <w:tcBorders>
                    <w:tl2br w:val="nil"/>
                    <w:tr2bl w:val="nil"/>
                  </w:tcBorders>
                  <w:vAlign w:val="center"/>
                </w:tcPr>
                <w:p w14:paraId="16D499C8">
                  <w:pPr>
                    <w:jc w:val="center"/>
                    <w:rPr>
                      <w:rFonts w:hint="default" w:ascii="Times New Roman" w:hAnsi="Times New Roman" w:cs="Times New Roman"/>
                    </w:rPr>
                  </w:pPr>
                </w:p>
              </w:tc>
              <w:tc>
                <w:tcPr>
                  <w:tcW w:w="1406" w:type="dxa"/>
                  <w:vMerge w:val="continue"/>
                  <w:tcBorders>
                    <w:tl2br w:val="nil"/>
                    <w:tr2bl w:val="nil"/>
                  </w:tcBorders>
                  <w:vAlign w:val="center"/>
                </w:tcPr>
                <w:p w14:paraId="5591CC45">
                  <w:pPr>
                    <w:jc w:val="center"/>
                    <w:rPr>
                      <w:rFonts w:hint="default" w:ascii="Times New Roman" w:hAnsi="Times New Roman" w:cs="Times New Roman"/>
                    </w:rPr>
                  </w:pPr>
                </w:p>
              </w:tc>
              <w:tc>
                <w:tcPr>
                  <w:tcW w:w="2083" w:type="dxa"/>
                  <w:vMerge w:val="continue"/>
                  <w:tcBorders>
                    <w:tl2br w:val="nil"/>
                    <w:tr2bl w:val="nil"/>
                  </w:tcBorders>
                  <w:vAlign w:val="center"/>
                </w:tcPr>
                <w:p w14:paraId="54FEF839">
                  <w:pPr>
                    <w:jc w:val="center"/>
                    <w:rPr>
                      <w:rFonts w:hint="default" w:ascii="Times New Roman" w:hAnsi="Times New Roman" w:cs="Times New Roman"/>
                    </w:rPr>
                  </w:pPr>
                </w:p>
              </w:tc>
              <w:tc>
                <w:tcPr>
                  <w:tcW w:w="1886" w:type="dxa"/>
                  <w:tcBorders>
                    <w:tl2br w:val="nil"/>
                    <w:tr2bl w:val="nil"/>
                  </w:tcBorders>
                  <w:vAlign w:val="center"/>
                </w:tcPr>
                <w:p w14:paraId="05D80719">
                  <w:pPr>
                    <w:widowControl w:val="0"/>
                    <w:jc w:val="center"/>
                    <w:rPr>
                      <w:rFonts w:hint="default" w:ascii="Times New Roman" w:hAnsi="Times New Roman" w:eastAsia="宋体" w:cs="Times New Roman"/>
                      <w:spacing w:val="0"/>
                      <w:sz w:val="21"/>
                      <w:szCs w:val="21"/>
                      <w:highlight w:val="none"/>
                      <w:lang w:eastAsia="zh-CN"/>
                    </w:rPr>
                  </w:pPr>
                  <w:r>
                    <w:rPr>
                      <w:rFonts w:hint="default" w:ascii="Times New Roman" w:hAnsi="Times New Roman" w:eastAsia="宋体" w:cs="Times New Roman"/>
                      <w:spacing w:val="0"/>
                      <w:sz w:val="21"/>
                      <w:szCs w:val="21"/>
                      <w:highlight w:val="none"/>
                      <w:lang w:eastAsia="zh-CN"/>
                    </w:rPr>
                    <w:t>昼</w:t>
                  </w:r>
                  <w:r>
                    <w:rPr>
                      <w:rFonts w:hint="default" w:ascii="Times New Roman" w:hAnsi="Times New Roman" w:eastAsia="宋体" w:cs="Times New Roman"/>
                      <w:spacing w:val="0"/>
                      <w:sz w:val="21"/>
                      <w:szCs w:val="21"/>
                      <w:highlight w:val="none"/>
                    </w:rPr>
                    <w:t>间</w:t>
                  </w:r>
                  <w:r>
                    <w:rPr>
                      <w:rFonts w:hint="default" w:ascii="Times New Roman" w:hAnsi="Times New Roman" w:cs="Times New Roman"/>
                      <w:b w:val="0"/>
                      <w:bCs/>
                      <w:spacing w:val="0"/>
                      <w:sz w:val="21"/>
                      <w:szCs w:val="21"/>
                      <w:highlight w:val="none"/>
                      <w:lang w:eastAsia="zh-CN"/>
                    </w:rPr>
                    <w:t>（</w:t>
                  </w:r>
                  <w:r>
                    <w:rPr>
                      <w:rFonts w:hint="default" w:ascii="Times New Roman" w:hAnsi="Times New Roman" w:cs="Times New Roman"/>
                      <w:b w:val="0"/>
                      <w:bCs/>
                      <w:spacing w:val="0"/>
                      <w:sz w:val="21"/>
                      <w:szCs w:val="21"/>
                      <w:highlight w:val="none"/>
                    </w:rPr>
                    <w:t>dB(A)</w:t>
                  </w:r>
                  <w:r>
                    <w:rPr>
                      <w:rFonts w:hint="default" w:ascii="Times New Roman" w:hAnsi="Times New Roman" w:cs="Times New Roman"/>
                      <w:b w:val="0"/>
                      <w:bCs/>
                      <w:spacing w:val="0"/>
                      <w:sz w:val="21"/>
                      <w:szCs w:val="21"/>
                      <w:highlight w:val="none"/>
                      <w:lang w:eastAsia="zh-CN"/>
                    </w:rPr>
                    <w:t>）</w:t>
                  </w:r>
                </w:p>
              </w:tc>
              <w:tc>
                <w:tcPr>
                  <w:tcW w:w="1886" w:type="dxa"/>
                  <w:tcBorders>
                    <w:tl2br w:val="nil"/>
                    <w:tr2bl w:val="nil"/>
                  </w:tcBorders>
                  <w:vAlign w:val="center"/>
                </w:tcPr>
                <w:p w14:paraId="14412791">
                  <w:pPr>
                    <w:widowControl w:val="0"/>
                    <w:jc w:val="center"/>
                    <w:rPr>
                      <w:rFonts w:hint="default" w:ascii="Times New Roman" w:hAnsi="Times New Roman" w:eastAsia="宋体" w:cs="Times New Roman"/>
                      <w:spacing w:val="0"/>
                      <w:sz w:val="21"/>
                      <w:szCs w:val="21"/>
                      <w:highlight w:val="none"/>
                      <w:lang w:eastAsia="zh-CN"/>
                    </w:rPr>
                  </w:pPr>
                  <w:r>
                    <w:rPr>
                      <w:rFonts w:hint="eastAsia" w:ascii="Times New Roman" w:hAnsi="Times New Roman" w:eastAsia="宋体" w:cs="Times New Roman"/>
                      <w:spacing w:val="0"/>
                      <w:sz w:val="21"/>
                      <w:szCs w:val="21"/>
                      <w:highlight w:val="none"/>
                      <w:lang w:val="en-US" w:eastAsia="zh-CN"/>
                    </w:rPr>
                    <w:t>夜</w:t>
                  </w:r>
                  <w:r>
                    <w:rPr>
                      <w:rFonts w:hint="default" w:ascii="Times New Roman" w:hAnsi="Times New Roman" w:eastAsia="宋体" w:cs="Times New Roman"/>
                      <w:spacing w:val="0"/>
                      <w:sz w:val="21"/>
                      <w:szCs w:val="21"/>
                      <w:highlight w:val="none"/>
                    </w:rPr>
                    <w:t>间</w:t>
                  </w:r>
                  <w:r>
                    <w:rPr>
                      <w:rFonts w:hint="default" w:ascii="Times New Roman" w:hAnsi="Times New Roman" w:cs="Times New Roman"/>
                      <w:b w:val="0"/>
                      <w:bCs/>
                      <w:spacing w:val="0"/>
                      <w:sz w:val="21"/>
                      <w:szCs w:val="21"/>
                      <w:highlight w:val="none"/>
                      <w:lang w:eastAsia="zh-CN"/>
                    </w:rPr>
                    <w:t>（</w:t>
                  </w:r>
                  <w:r>
                    <w:rPr>
                      <w:rFonts w:hint="default" w:ascii="Times New Roman" w:hAnsi="Times New Roman" w:cs="Times New Roman"/>
                      <w:b w:val="0"/>
                      <w:bCs/>
                      <w:spacing w:val="0"/>
                      <w:sz w:val="21"/>
                      <w:szCs w:val="21"/>
                      <w:highlight w:val="none"/>
                    </w:rPr>
                    <w:t>dB(A)</w:t>
                  </w:r>
                  <w:r>
                    <w:rPr>
                      <w:rFonts w:hint="default" w:ascii="Times New Roman" w:hAnsi="Times New Roman" w:cs="Times New Roman"/>
                      <w:b w:val="0"/>
                      <w:bCs/>
                      <w:spacing w:val="0"/>
                      <w:sz w:val="21"/>
                      <w:szCs w:val="21"/>
                      <w:highlight w:val="none"/>
                      <w:lang w:eastAsia="zh-CN"/>
                    </w:rPr>
                    <w:t>）</w:t>
                  </w:r>
                </w:p>
              </w:tc>
            </w:tr>
            <w:tr w14:paraId="4899E1BE">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23" w:hRule="atLeast"/>
                <w:jc w:val="center"/>
              </w:trPr>
              <w:tc>
                <w:tcPr>
                  <w:tcW w:w="876" w:type="dxa"/>
                  <w:tcBorders>
                    <w:tl2br w:val="nil"/>
                    <w:tr2bl w:val="nil"/>
                  </w:tcBorders>
                  <w:vAlign w:val="center"/>
                </w:tcPr>
                <w:p w14:paraId="256405BC">
                  <w:pPr>
                    <w:widowControl w:val="0"/>
                    <w:jc w:val="center"/>
                    <w:rPr>
                      <w:rFonts w:hint="default" w:ascii="Times New Roman" w:hAnsi="Times New Roman" w:eastAsia="宋体" w:cs="Times New Roman"/>
                      <w:spacing w:val="0"/>
                      <w:sz w:val="21"/>
                      <w:szCs w:val="21"/>
                      <w:vertAlign w:val="baseline"/>
                      <w:lang w:val="en-US" w:eastAsia="zh-CN"/>
                    </w:rPr>
                  </w:pPr>
                  <w:r>
                    <w:rPr>
                      <w:rFonts w:hint="eastAsia" w:ascii="Times New Roman" w:hAnsi="Times New Roman" w:eastAsia="宋体" w:cs="Times New Roman"/>
                      <w:spacing w:val="0"/>
                      <w:sz w:val="21"/>
                      <w:szCs w:val="21"/>
                      <w:vertAlign w:val="baseline"/>
                      <w:lang w:val="en-US" w:eastAsia="zh-CN"/>
                    </w:rPr>
                    <w:t>1</w:t>
                  </w:r>
                </w:p>
              </w:tc>
              <w:tc>
                <w:tcPr>
                  <w:tcW w:w="1406" w:type="dxa"/>
                  <w:vMerge w:val="restart"/>
                  <w:tcBorders>
                    <w:tl2br w:val="nil"/>
                    <w:tr2bl w:val="nil"/>
                  </w:tcBorders>
                  <w:vAlign w:val="center"/>
                </w:tcPr>
                <w:p w14:paraId="065D7D3A">
                  <w:pPr>
                    <w:jc w:val="center"/>
                    <w:rPr>
                      <w:rFonts w:hint="default" w:ascii="Times New Roman" w:hAnsi="Times New Roman" w:cs="Times New Roman" w:eastAsiaTheme="minorEastAsia"/>
                      <w:color w:val="auto"/>
                      <w:kern w:val="2"/>
                      <w:sz w:val="21"/>
                      <w:szCs w:val="21"/>
                      <w:highlight w:val="yellow"/>
                      <w:lang w:val="en-US" w:eastAsia="zh-CN" w:bidi="ar-SA"/>
                    </w:rPr>
                  </w:pPr>
                  <w:r>
                    <w:rPr>
                      <w:rFonts w:hint="default" w:ascii="Times New Roman" w:hAnsi="Times New Roman" w:eastAsia="宋体" w:cs="Times New Roman"/>
                      <w:sz w:val="21"/>
                      <w:szCs w:val="21"/>
                      <w:highlight w:val="none"/>
                      <w:lang w:val="en-US" w:eastAsia="zh-CN"/>
                    </w:rPr>
                    <w:t>2026.0</w:t>
                  </w:r>
                  <w:r>
                    <w:rPr>
                      <w:rFonts w:hint="eastAsia" w:ascii="Times New Roman" w:hAnsi="Times New Roman" w:eastAsia="宋体" w:cs="Times New Roman"/>
                      <w:sz w:val="21"/>
                      <w:szCs w:val="21"/>
                      <w:highlight w:val="none"/>
                      <w:lang w:val="en-US" w:eastAsia="zh-CN"/>
                    </w:rPr>
                    <w:t>3.15</w:t>
                  </w:r>
                </w:p>
              </w:tc>
              <w:tc>
                <w:tcPr>
                  <w:tcW w:w="2083" w:type="dxa"/>
                  <w:tcBorders>
                    <w:tl2br w:val="nil"/>
                    <w:tr2bl w:val="nil"/>
                  </w:tcBorders>
                  <w:vAlign w:val="center"/>
                </w:tcPr>
                <w:p w14:paraId="2AF37A8B">
                  <w:pPr>
                    <w:jc w:val="center"/>
                    <w:rPr>
                      <w:rFonts w:hint="default" w:ascii="Times New Roman" w:hAnsi="Times New Roman" w:cs="Times New Roman"/>
                      <w:i w:val="0"/>
                      <w:color w:val="000000"/>
                      <w:kern w:val="0"/>
                      <w:sz w:val="21"/>
                      <w:szCs w:val="21"/>
                      <w:highlight w:val="none"/>
                      <w:u w:val="none"/>
                      <w:lang w:val="en-US" w:eastAsia="zh-CN" w:bidi="ar"/>
                    </w:rPr>
                  </w:pPr>
                  <w:r>
                    <w:rPr>
                      <w:rFonts w:hint="eastAsia" w:ascii="Times New Roman" w:hAnsi="Times New Roman" w:eastAsia="宋体" w:cs="Times New Roman"/>
                      <w:snapToGrid w:val="0"/>
                      <w:color w:val="000000"/>
                      <w:kern w:val="0"/>
                      <w:sz w:val="21"/>
                      <w:szCs w:val="21"/>
                      <w:lang w:val="en-US" w:eastAsia="zh-CN"/>
                    </w:rPr>
                    <w:t>焦岗村1#</w:t>
                  </w:r>
                </w:p>
              </w:tc>
              <w:tc>
                <w:tcPr>
                  <w:tcW w:w="1886" w:type="dxa"/>
                  <w:tcBorders>
                    <w:tl2br w:val="nil"/>
                    <w:tr2bl w:val="nil"/>
                  </w:tcBorders>
                  <w:vAlign w:val="center"/>
                </w:tcPr>
                <w:p w14:paraId="60547186">
                  <w:pPr>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54</w:t>
                  </w:r>
                </w:p>
              </w:tc>
              <w:tc>
                <w:tcPr>
                  <w:tcW w:w="1886" w:type="dxa"/>
                  <w:tcBorders>
                    <w:tl2br w:val="nil"/>
                    <w:tr2bl w:val="nil"/>
                  </w:tcBorders>
                  <w:vAlign w:val="center"/>
                </w:tcPr>
                <w:p w14:paraId="294A2E94">
                  <w:pPr>
                    <w:spacing w:beforeLines="0" w:afterLines="0"/>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43</w:t>
                  </w:r>
                </w:p>
              </w:tc>
            </w:tr>
            <w:tr w14:paraId="43ACA385">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23" w:hRule="atLeast"/>
                <w:jc w:val="center"/>
              </w:trPr>
              <w:tc>
                <w:tcPr>
                  <w:tcW w:w="876" w:type="dxa"/>
                  <w:tcBorders>
                    <w:tl2br w:val="nil"/>
                    <w:tr2bl w:val="nil"/>
                  </w:tcBorders>
                  <w:vAlign w:val="center"/>
                </w:tcPr>
                <w:p w14:paraId="39217BFE">
                  <w:pPr>
                    <w:widowControl w:val="0"/>
                    <w:jc w:val="center"/>
                    <w:rPr>
                      <w:rFonts w:hint="default" w:ascii="Times New Roman" w:hAnsi="Times New Roman" w:eastAsia="宋体" w:cs="Times New Roman"/>
                      <w:spacing w:val="0"/>
                      <w:sz w:val="21"/>
                      <w:szCs w:val="21"/>
                      <w:vertAlign w:val="baseline"/>
                      <w:lang w:val="en-US" w:eastAsia="zh-CN"/>
                    </w:rPr>
                  </w:pPr>
                  <w:r>
                    <w:rPr>
                      <w:rFonts w:hint="eastAsia" w:ascii="Times New Roman" w:hAnsi="Times New Roman" w:eastAsia="宋体" w:cs="Times New Roman"/>
                      <w:spacing w:val="0"/>
                      <w:sz w:val="21"/>
                      <w:szCs w:val="21"/>
                      <w:vertAlign w:val="baseline"/>
                      <w:lang w:val="en-US" w:eastAsia="zh-CN"/>
                    </w:rPr>
                    <w:t>2</w:t>
                  </w:r>
                </w:p>
              </w:tc>
              <w:tc>
                <w:tcPr>
                  <w:tcW w:w="1406" w:type="dxa"/>
                  <w:vMerge w:val="continue"/>
                  <w:tcBorders>
                    <w:tl2br w:val="nil"/>
                    <w:tr2bl w:val="nil"/>
                  </w:tcBorders>
                  <w:vAlign w:val="center"/>
                </w:tcPr>
                <w:p w14:paraId="37CA6C45">
                  <w:pPr>
                    <w:jc w:val="center"/>
                    <w:rPr>
                      <w:rFonts w:hint="default" w:ascii="Times New Roman" w:hAnsi="Times New Roman" w:eastAsia="宋体" w:cs="Times New Roman"/>
                      <w:sz w:val="21"/>
                      <w:szCs w:val="21"/>
                      <w:highlight w:val="none"/>
                      <w:lang w:val="en-US" w:eastAsia="zh-CN"/>
                    </w:rPr>
                  </w:pPr>
                </w:p>
              </w:tc>
              <w:tc>
                <w:tcPr>
                  <w:tcW w:w="2083" w:type="dxa"/>
                  <w:tcBorders>
                    <w:tl2br w:val="nil"/>
                    <w:tr2bl w:val="nil"/>
                  </w:tcBorders>
                  <w:vAlign w:val="center"/>
                </w:tcPr>
                <w:p w14:paraId="1098C3C3">
                  <w:pPr>
                    <w:jc w:val="center"/>
                    <w:rPr>
                      <w:rFonts w:hint="eastAsia" w:ascii="Times New Roman" w:hAnsi="Times New Roman" w:eastAsia="宋体" w:cs="Times New Roman"/>
                      <w:color w:val="auto"/>
                      <w:sz w:val="21"/>
                      <w:szCs w:val="21"/>
                      <w:lang w:val="en-US" w:eastAsia="zh-CN" w:bidi="ar-SA"/>
                    </w:rPr>
                  </w:pPr>
                  <w:r>
                    <w:rPr>
                      <w:rFonts w:hint="eastAsia" w:ascii="Times New Roman" w:hAnsi="Times New Roman" w:eastAsia="宋体" w:cs="Times New Roman"/>
                      <w:snapToGrid w:val="0"/>
                      <w:color w:val="000000"/>
                      <w:kern w:val="0"/>
                      <w:sz w:val="21"/>
                      <w:szCs w:val="21"/>
                      <w:lang w:val="en-US" w:eastAsia="zh-CN"/>
                    </w:rPr>
                    <w:t>焦岗村2#</w:t>
                  </w:r>
                </w:p>
              </w:tc>
              <w:tc>
                <w:tcPr>
                  <w:tcW w:w="1886" w:type="dxa"/>
                  <w:tcBorders>
                    <w:tl2br w:val="nil"/>
                    <w:tr2bl w:val="nil"/>
                  </w:tcBorders>
                  <w:vAlign w:val="center"/>
                </w:tcPr>
                <w:p w14:paraId="400ED754">
                  <w:pPr>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52</w:t>
                  </w:r>
                </w:p>
              </w:tc>
              <w:tc>
                <w:tcPr>
                  <w:tcW w:w="1886" w:type="dxa"/>
                  <w:tcBorders>
                    <w:tl2br w:val="nil"/>
                    <w:tr2bl w:val="nil"/>
                  </w:tcBorders>
                  <w:vAlign w:val="center"/>
                </w:tcPr>
                <w:p w14:paraId="4BEDF38B">
                  <w:pPr>
                    <w:spacing w:beforeLines="0" w:afterLines="0"/>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42</w:t>
                  </w:r>
                </w:p>
              </w:tc>
            </w:tr>
            <w:tr w14:paraId="0253546A">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23" w:hRule="atLeast"/>
                <w:jc w:val="center"/>
              </w:trPr>
              <w:tc>
                <w:tcPr>
                  <w:tcW w:w="876" w:type="dxa"/>
                  <w:tcBorders>
                    <w:tl2br w:val="nil"/>
                    <w:tr2bl w:val="nil"/>
                  </w:tcBorders>
                  <w:vAlign w:val="center"/>
                </w:tcPr>
                <w:p w14:paraId="362D191F">
                  <w:pPr>
                    <w:widowControl w:val="0"/>
                    <w:jc w:val="center"/>
                    <w:rPr>
                      <w:rFonts w:hint="default" w:ascii="Times New Roman" w:hAnsi="Times New Roman" w:eastAsia="宋体" w:cs="Times New Roman"/>
                      <w:spacing w:val="0"/>
                      <w:sz w:val="21"/>
                      <w:szCs w:val="21"/>
                      <w:vertAlign w:val="baseline"/>
                      <w:lang w:val="en-US" w:eastAsia="zh-CN"/>
                    </w:rPr>
                  </w:pPr>
                  <w:r>
                    <w:rPr>
                      <w:rFonts w:hint="eastAsia" w:ascii="Times New Roman" w:hAnsi="Times New Roman" w:eastAsia="宋体" w:cs="Times New Roman"/>
                      <w:spacing w:val="0"/>
                      <w:sz w:val="21"/>
                      <w:szCs w:val="21"/>
                      <w:vertAlign w:val="baseline"/>
                      <w:lang w:val="en-US" w:eastAsia="zh-CN"/>
                    </w:rPr>
                    <w:t>3</w:t>
                  </w:r>
                </w:p>
              </w:tc>
              <w:tc>
                <w:tcPr>
                  <w:tcW w:w="1406" w:type="dxa"/>
                  <w:vMerge w:val="restart"/>
                  <w:tcBorders>
                    <w:tl2br w:val="nil"/>
                    <w:tr2bl w:val="nil"/>
                  </w:tcBorders>
                  <w:vAlign w:val="center"/>
                </w:tcPr>
                <w:p w14:paraId="0A1AD75D">
                  <w:pPr>
                    <w:jc w:val="center"/>
                    <w:rPr>
                      <w:rFonts w:hint="default" w:ascii="Times New Roman" w:hAnsi="Times New Roman" w:cs="Times New Roman" w:eastAsiaTheme="minorEastAsia"/>
                      <w:color w:val="auto"/>
                      <w:kern w:val="2"/>
                      <w:sz w:val="21"/>
                      <w:szCs w:val="21"/>
                      <w:highlight w:val="yellow"/>
                      <w:lang w:val="en-US" w:eastAsia="zh-CN" w:bidi="ar-SA"/>
                    </w:rPr>
                  </w:pPr>
                  <w:r>
                    <w:rPr>
                      <w:rFonts w:hint="default" w:ascii="Times New Roman" w:hAnsi="Times New Roman" w:eastAsia="宋体" w:cs="Times New Roman"/>
                      <w:sz w:val="21"/>
                      <w:szCs w:val="21"/>
                      <w:highlight w:val="none"/>
                      <w:lang w:val="en-US" w:eastAsia="zh-CN"/>
                    </w:rPr>
                    <w:t>2026.0</w:t>
                  </w:r>
                  <w:r>
                    <w:rPr>
                      <w:rFonts w:hint="eastAsia" w:ascii="Times New Roman" w:hAnsi="Times New Roman" w:eastAsia="宋体" w:cs="Times New Roman"/>
                      <w:sz w:val="21"/>
                      <w:szCs w:val="21"/>
                      <w:highlight w:val="none"/>
                      <w:lang w:val="en-US" w:eastAsia="zh-CN"/>
                    </w:rPr>
                    <w:t>3.16</w:t>
                  </w:r>
                </w:p>
              </w:tc>
              <w:tc>
                <w:tcPr>
                  <w:tcW w:w="2083" w:type="dxa"/>
                  <w:tcBorders>
                    <w:tl2br w:val="nil"/>
                    <w:tr2bl w:val="nil"/>
                  </w:tcBorders>
                  <w:vAlign w:val="center"/>
                </w:tcPr>
                <w:p w14:paraId="2DC1C2EB">
                  <w:pPr>
                    <w:jc w:val="center"/>
                    <w:rPr>
                      <w:rFonts w:hint="default" w:ascii="Times New Roman" w:hAnsi="Times New Roman" w:cs="Times New Roman"/>
                      <w:i w:val="0"/>
                      <w:color w:val="000000"/>
                      <w:kern w:val="0"/>
                      <w:sz w:val="21"/>
                      <w:szCs w:val="21"/>
                      <w:highlight w:val="none"/>
                      <w:u w:val="none"/>
                      <w:lang w:val="en-US" w:eastAsia="zh-CN" w:bidi="ar"/>
                    </w:rPr>
                  </w:pPr>
                  <w:r>
                    <w:rPr>
                      <w:rFonts w:hint="eastAsia" w:ascii="Times New Roman" w:hAnsi="Times New Roman" w:eastAsia="宋体" w:cs="Times New Roman"/>
                      <w:snapToGrid w:val="0"/>
                      <w:color w:val="000000"/>
                      <w:kern w:val="0"/>
                      <w:sz w:val="21"/>
                      <w:szCs w:val="21"/>
                      <w:lang w:val="en-US" w:eastAsia="zh-CN"/>
                    </w:rPr>
                    <w:t>焦岗村1#</w:t>
                  </w:r>
                </w:p>
              </w:tc>
              <w:tc>
                <w:tcPr>
                  <w:tcW w:w="1886" w:type="dxa"/>
                  <w:tcBorders>
                    <w:tl2br w:val="nil"/>
                    <w:tr2bl w:val="nil"/>
                  </w:tcBorders>
                  <w:vAlign w:val="center"/>
                </w:tcPr>
                <w:p w14:paraId="39BD8E2E">
                  <w:pPr>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53</w:t>
                  </w:r>
                </w:p>
              </w:tc>
              <w:tc>
                <w:tcPr>
                  <w:tcW w:w="1886" w:type="dxa"/>
                  <w:tcBorders>
                    <w:tl2br w:val="nil"/>
                    <w:tr2bl w:val="nil"/>
                  </w:tcBorders>
                  <w:vAlign w:val="center"/>
                </w:tcPr>
                <w:p w14:paraId="068A4093">
                  <w:pPr>
                    <w:spacing w:beforeLines="0" w:afterLines="0"/>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42</w:t>
                  </w:r>
                </w:p>
              </w:tc>
            </w:tr>
            <w:tr w14:paraId="5B40FEC4">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33" w:hRule="atLeast"/>
                <w:jc w:val="center"/>
              </w:trPr>
              <w:tc>
                <w:tcPr>
                  <w:tcW w:w="876" w:type="dxa"/>
                  <w:tcBorders>
                    <w:tl2br w:val="nil"/>
                    <w:tr2bl w:val="nil"/>
                  </w:tcBorders>
                  <w:vAlign w:val="center"/>
                </w:tcPr>
                <w:p w14:paraId="59DE93D0">
                  <w:pPr>
                    <w:widowControl w:val="0"/>
                    <w:jc w:val="center"/>
                    <w:rPr>
                      <w:rFonts w:hint="default" w:ascii="Times New Roman" w:hAnsi="Times New Roman" w:eastAsia="宋体" w:cs="Times New Roman"/>
                      <w:spacing w:val="0"/>
                      <w:sz w:val="21"/>
                      <w:szCs w:val="21"/>
                      <w:vertAlign w:val="baseline"/>
                      <w:lang w:val="en-US" w:eastAsia="zh-CN"/>
                    </w:rPr>
                  </w:pPr>
                  <w:r>
                    <w:rPr>
                      <w:rFonts w:hint="eastAsia" w:ascii="Times New Roman" w:hAnsi="Times New Roman" w:eastAsia="宋体" w:cs="Times New Roman"/>
                      <w:spacing w:val="0"/>
                      <w:sz w:val="21"/>
                      <w:szCs w:val="21"/>
                      <w:vertAlign w:val="baseline"/>
                      <w:lang w:val="en-US" w:eastAsia="zh-CN"/>
                    </w:rPr>
                    <w:t>4</w:t>
                  </w:r>
                </w:p>
              </w:tc>
              <w:tc>
                <w:tcPr>
                  <w:tcW w:w="1406" w:type="dxa"/>
                  <w:vMerge w:val="continue"/>
                  <w:tcBorders>
                    <w:tl2br w:val="nil"/>
                    <w:tr2bl w:val="nil"/>
                  </w:tcBorders>
                  <w:vAlign w:val="center"/>
                </w:tcPr>
                <w:p w14:paraId="7FEF0A6C">
                  <w:pPr>
                    <w:jc w:val="center"/>
                    <w:rPr>
                      <w:rFonts w:hint="default" w:ascii="Times New Roman" w:hAnsi="Times New Roman" w:eastAsia="宋体" w:cs="Times New Roman"/>
                      <w:sz w:val="21"/>
                      <w:szCs w:val="21"/>
                      <w:highlight w:val="none"/>
                      <w:lang w:val="en-US" w:eastAsia="zh-CN"/>
                    </w:rPr>
                  </w:pPr>
                </w:p>
              </w:tc>
              <w:tc>
                <w:tcPr>
                  <w:tcW w:w="2083" w:type="dxa"/>
                  <w:tcBorders>
                    <w:tl2br w:val="nil"/>
                    <w:tr2bl w:val="nil"/>
                  </w:tcBorders>
                  <w:vAlign w:val="center"/>
                </w:tcPr>
                <w:p w14:paraId="76A001B1">
                  <w:pPr>
                    <w:jc w:val="center"/>
                    <w:rPr>
                      <w:rFonts w:hint="eastAsia" w:ascii="Times New Roman" w:hAnsi="Times New Roman" w:eastAsia="宋体" w:cs="Times New Roman"/>
                      <w:color w:val="auto"/>
                      <w:sz w:val="21"/>
                      <w:szCs w:val="21"/>
                      <w:lang w:val="en-US" w:eastAsia="zh-CN" w:bidi="ar-SA"/>
                    </w:rPr>
                  </w:pPr>
                  <w:r>
                    <w:rPr>
                      <w:rFonts w:hint="eastAsia" w:ascii="Times New Roman" w:hAnsi="Times New Roman" w:eastAsia="宋体" w:cs="Times New Roman"/>
                      <w:snapToGrid w:val="0"/>
                      <w:color w:val="000000"/>
                      <w:kern w:val="0"/>
                      <w:sz w:val="21"/>
                      <w:szCs w:val="21"/>
                      <w:lang w:val="en-US" w:eastAsia="zh-CN"/>
                    </w:rPr>
                    <w:t>焦岗村2#</w:t>
                  </w:r>
                </w:p>
              </w:tc>
              <w:tc>
                <w:tcPr>
                  <w:tcW w:w="1886" w:type="dxa"/>
                  <w:tcBorders>
                    <w:tl2br w:val="nil"/>
                    <w:tr2bl w:val="nil"/>
                  </w:tcBorders>
                  <w:vAlign w:val="center"/>
                </w:tcPr>
                <w:p w14:paraId="535DCF39">
                  <w:pPr>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52</w:t>
                  </w:r>
                </w:p>
              </w:tc>
              <w:tc>
                <w:tcPr>
                  <w:tcW w:w="1886" w:type="dxa"/>
                  <w:tcBorders>
                    <w:tl2br w:val="nil"/>
                    <w:tr2bl w:val="nil"/>
                  </w:tcBorders>
                  <w:vAlign w:val="center"/>
                </w:tcPr>
                <w:p w14:paraId="1B528A8F">
                  <w:pPr>
                    <w:spacing w:beforeLines="0" w:afterLines="0"/>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41</w:t>
                  </w:r>
                </w:p>
              </w:tc>
            </w:tr>
          </w:tbl>
          <w:p w14:paraId="27562B05">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eastAsia" w:cs="Times New Roman"/>
                <w:b w:val="0"/>
                <w:bCs w:val="0"/>
                <w:color w:val="auto"/>
                <w:sz w:val="24"/>
                <w:szCs w:val="24"/>
                <w:highlight w:val="none"/>
                <w:lang w:val="en-US" w:eastAsia="zh-CN"/>
              </w:rPr>
              <w:t>由表3-3可知，项目厂界外50m范围内的敏感点（焦岗村）监测结果满足《声环境质量标准》（GB3096-2008）2类标准要求，项目周边声环境质量较好。</w:t>
            </w:r>
          </w:p>
          <w:p w14:paraId="50A33D8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imes New Roman" w:hAnsi="Times New Roman" w:eastAsia="宋体" w:cs="Times New Roman"/>
                <w:b w:val="0"/>
                <w:bCs w:val="0"/>
                <w:color w:val="auto"/>
                <w:sz w:val="24"/>
                <w:szCs w:val="24"/>
                <w:highlight w:val="yellow"/>
                <w:lang w:val="en-US" w:eastAsia="zh-CN"/>
              </w:rPr>
            </w:pPr>
          </w:p>
          <w:p w14:paraId="5A25C891">
            <w:pPr>
              <w:pStyle w:val="2"/>
              <w:keepNext/>
              <w:keepLines w:val="0"/>
              <w:pageBreakBefore w:val="0"/>
              <w:widowControl w:val="0"/>
              <w:kinsoku/>
              <w:wordWrap/>
              <w:overflowPunct w:val="0"/>
              <w:topLinePunct w:val="0"/>
              <w:autoSpaceDE/>
              <w:autoSpaceDN/>
              <w:bidi w:val="0"/>
              <w:adjustRightInd/>
              <w:snapToGrid w:val="0"/>
              <w:spacing w:before="60" w:after="60"/>
              <w:textAlignment w:val="auto"/>
              <w:rPr>
                <w:rFonts w:hint="eastAsia" w:ascii="Times New Roman" w:hAnsi="Times New Roman" w:eastAsia="宋体" w:cs="Times New Roman"/>
                <w:b/>
                <w:bCs/>
                <w:color w:val="000000"/>
                <w:lang w:val="en-US" w:eastAsia="zh-CN"/>
              </w:rPr>
            </w:pPr>
            <w:bookmarkStart w:id="87" w:name="_Toc27076"/>
            <w:bookmarkStart w:id="88" w:name="_Toc13028"/>
            <w:r>
              <w:rPr>
                <w:rFonts w:hint="eastAsia" w:ascii="Times New Roman" w:hAnsi="Times New Roman" w:eastAsia="宋体" w:cs="Times New Roman"/>
                <w:b/>
                <w:bCs/>
                <w:color w:val="000000"/>
                <w:lang w:val="en-US" w:eastAsia="zh-CN"/>
              </w:rPr>
              <w:t>4、生态环境</w:t>
            </w:r>
            <w:bookmarkEnd w:id="87"/>
            <w:bookmarkEnd w:id="88"/>
          </w:p>
          <w:p w14:paraId="7444B9B5">
            <w:pPr>
              <w:snapToGrid w:val="0"/>
              <w:spacing w:line="360" w:lineRule="auto"/>
              <w:ind w:firstLine="464" w:firstLineChars="200"/>
              <w:rPr>
                <w:b w:val="0"/>
                <w:bCs w:val="0"/>
                <w:color w:val="auto"/>
                <w:spacing w:val="-4"/>
                <w:sz w:val="24"/>
              </w:rPr>
            </w:pPr>
            <w:r>
              <w:rPr>
                <w:b w:val="0"/>
                <w:bCs w:val="0"/>
                <w:color w:val="auto"/>
                <w:spacing w:val="-4"/>
                <w:sz w:val="24"/>
              </w:rPr>
              <w:t>本</w:t>
            </w:r>
            <w:r>
              <w:rPr>
                <w:rFonts w:hint="eastAsia"/>
                <w:b w:val="0"/>
                <w:bCs w:val="0"/>
                <w:color w:val="auto"/>
                <w:spacing w:val="-4"/>
                <w:sz w:val="24"/>
              </w:rPr>
              <w:t>项目选址位于</w:t>
            </w:r>
            <w:r>
              <w:rPr>
                <w:rFonts w:hint="eastAsia"/>
                <w:b w:val="0"/>
                <w:bCs w:val="0"/>
                <w:color w:val="auto"/>
                <w:spacing w:val="-4"/>
                <w:sz w:val="24"/>
                <w:lang w:val="en-US" w:eastAsia="zh-CN"/>
              </w:rPr>
              <w:t>周口市周口先进制造业开发区</w:t>
            </w:r>
            <w:r>
              <w:rPr>
                <w:rFonts w:hint="eastAsia"/>
                <w:b w:val="0"/>
                <w:bCs w:val="0"/>
                <w:color w:val="auto"/>
                <w:spacing w:val="-4"/>
                <w:sz w:val="24"/>
              </w:rPr>
              <w:t>内</w:t>
            </w:r>
            <w:r>
              <w:rPr>
                <w:b w:val="0"/>
                <w:bCs w:val="0"/>
                <w:color w:val="auto"/>
                <w:spacing w:val="-4"/>
                <w:sz w:val="24"/>
              </w:rPr>
              <w:t>，用地范围内无生态环境保护目标。</w:t>
            </w:r>
          </w:p>
          <w:p w14:paraId="693EF3A9">
            <w:pPr>
              <w:pStyle w:val="2"/>
              <w:keepNext/>
              <w:keepLines w:val="0"/>
              <w:pageBreakBefore w:val="0"/>
              <w:widowControl w:val="0"/>
              <w:kinsoku/>
              <w:wordWrap/>
              <w:overflowPunct w:val="0"/>
              <w:topLinePunct w:val="0"/>
              <w:autoSpaceDE/>
              <w:autoSpaceDN/>
              <w:bidi w:val="0"/>
              <w:adjustRightInd w:val="0"/>
              <w:snapToGrid w:val="0"/>
              <w:spacing w:before="60" w:after="60"/>
              <w:textAlignment w:val="auto"/>
              <w:rPr>
                <w:rFonts w:hint="eastAsia" w:ascii="Times New Roman" w:hAnsi="Times New Roman" w:eastAsia="宋体" w:cs="Times New Roman"/>
                <w:b/>
                <w:bCs/>
                <w:color w:val="000000"/>
                <w:lang w:val="en-US" w:eastAsia="zh-CN"/>
              </w:rPr>
            </w:pPr>
            <w:bookmarkStart w:id="89" w:name="_Toc27805"/>
            <w:bookmarkStart w:id="90" w:name="_Toc22847"/>
            <w:r>
              <w:rPr>
                <w:rFonts w:hint="eastAsia" w:ascii="Times New Roman" w:hAnsi="Times New Roman" w:eastAsia="宋体" w:cs="Times New Roman"/>
                <w:b/>
                <w:bCs/>
                <w:color w:val="000000"/>
                <w:lang w:val="en-US" w:eastAsia="zh-CN"/>
              </w:rPr>
              <w:t>5、土壤及地下水</w:t>
            </w:r>
            <w:bookmarkEnd w:id="89"/>
            <w:bookmarkEnd w:id="90"/>
          </w:p>
          <w:p w14:paraId="0CEBC1C1">
            <w:pPr>
              <w:pStyle w:val="96"/>
              <w:ind w:firstLine="480"/>
              <w:rPr>
                <w:b w:val="0"/>
                <w:bCs w:val="0"/>
                <w:color w:val="FF0000"/>
              </w:rPr>
            </w:pPr>
            <w:r>
              <w:rPr>
                <w:rFonts w:hint="default" w:ascii="Times New Roman" w:hAnsi="Times New Roman" w:cs="Times New Roman"/>
                <w:b w:val="0"/>
                <w:bCs w:val="0"/>
                <w:color w:val="000000"/>
                <w:sz w:val="24"/>
                <w:u w:val="none"/>
              </w:rPr>
              <w:t>根据《建设项目环境影响报告表编制技术指南（污染影响类）</w:t>
            </w:r>
            <w:r>
              <w:rPr>
                <w:rFonts w:hint="eastAsia" w:ascii="Times New Roman" w:hAnsi="Times New Roman" w:cs="Times New Roman"/>
                <w:b w:val="0"/>
                <w:bCs w:val="0"/>
                <w:color w:val="000000"/>
                <w:sz w:val="24"/>
                <w:u w:val="none"/>
                <w:lang w:eastAsia="zh-CN"/>
              </w:rPr>
              <w:t>（试行）》</w:t>
            </w:r>
            <w:r>
              <w:rPr>
                <w:rFonts w:hint="default" w:ascii="Times New Roman" w:hAnsi="Times New Roman" w:cs="Times New Roman"/>
                <w:b w:val="0"/>
                <w:bCs w:val="0"/>
                <w:color w:val="000000"/>
                <w:sz w:val="24"/>
                <w:u w:val="none"/>
              </w:rPr>
              <w:t>的要求，地下水、土壤环境原则上不开展环境质量现状调查。建设项目存在地下水、土壤环境污染途径的，应结合污染源、保护目标分布情况开展现状调查以留作背景值。本项目</w:t>
            </w:r>
            <w:r>
              <w:rPr>
                <w:rFonts w:hint="eastAsia" w:cs="Times New Roman"/>
                <w:b w:val="0"/>
                <w:bCs w:val="0"/>
                <w:color w:val="000000"/>
                <w:sz w:val="24"/>
                <w:u w:val="none"/>
                <w:lang w:val="en-US" w:eastAsia="zh-CN"/>
              </w:rPr>
              <w:t>正常情况下</w:t>
            </w:r>
            <w:r>
              <w:rPr>
                <w:rFonts w:hint="default" w:ascii="Times New Roman" w:hAnsi="Times New Roman" w:cs="Times New Roman"/>
                <w:b w:val="0"/>
                <w:bCs w:val="0"/>
                <w:color w:val="000000"/>
                <w:sz w:val="24"/>
                <w:u w:val="none"/>
              </w:rPr>
              <w:t>不存在土壤、地下水环境污染途径。因此不再开展地下水、土壤环境质量现状调查</w:t>
            </w:r>
            <w:r>
              <w:rPr>
                <w:rFonts w:hint="eastAsia"/>
                <w:b w:val="0"/>
                <w:bCs w:val="0"/>
                <w:color w:val="auto"/>
              </w:rPr>
              <w:t>。</w:t>
            </w:r>
          </w:p>
        </w:tc>
      </w:tr>
      <w:tr w14:paraId="2688A4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11" w:hRule="atLeast"/>
          <w:jc w:val="center"/>
        </w:trPr>
        <w:tc>
          <w:tcPr>
            <w:tcW w:w="667" w:type="dxa"/>
            <w:noWrap w:val="0"/>
            <w:vAlign w:val="center"/>
          </w:tcPr>
          <w:p w14:paraId="78B51BFF">
            <w:pPr>
              <w:adjustRightInd w:val="0"/>
              <w:snapToGrid w:val="0"/>
              <w:jc w:val="center"/>
              <w:rPr>
                <w:b w:val="0"/>
                <w:bCs w:val="0"/>
                <w:color w:val="auto"/>
                <w:kern w:val="0"/>
                <w:szCs w:val="21"/>
              </w:rPr>
            </w:pPr>
            <w:r>
              <w:rPr>
                <w:b w:val="0"/>
                <w:bCs w:val="0"/>
                <w:color w:val="auto"/>
                <w:kern w:val="0"/>
                <w:szCs w:val="21"/>
              </w:rPr>
              <w:t>环境</w:t>
            </w:r>
          </w:p>
          <w:p w14:paraId="1C9D4E45">
            <w:pPr>
              <w:adjustRightInd w:val="0"/>
              <w:snapToGrid w:val="0"/>
              <w:jc w:val="center"/>
              <w:rPr>
                <w:b w:val="0"/>
                <w:bCs w:val="0"/>
                <w:color w:val="auto"/>
                <w:kern w:val="0"/>
                <w:szCs w:val="21"/>
              </w:rPr>
            </w:pPr>
            <w:r>
              <w:rPr>
                <w:b w:val="0"/>
                <w:bCs w:val="0"/>
                <w:color w:val="auto"/>
                <w:kern w:val="0"/>
                <w:szCs w:val="21"/>
              </w:rPr>
              <w:t>保护</w:t>
            </w:r>
          </w:p>
          <w:p w14:paraId="3587867D">
            <w:pPr>
              <w:adjustRightInd w:val="0"/>
              <w:snapToGrid w:val="0"/>
              <w:jc w:val="center"/>
              <w:rPr>
                <w:b w:val="0"/>
                <w:bCs w:val="0"/>
                <w:color w:val="FF0000"/>
                <w:kern w:val="0"/>
                <w:szCs w:val="21"/>
              </w:rPr>
            </w:pPr>
            <w:r>
              <w:rPr>
                <w:b w:val="0"/>
                <w:bCs w:val="0"/>
                <w:color w:val="auto"/>
                <w:kern w:val="0"/>
                <w:szCs w:val="21"/>
              </w:rPr>
              <w:t>目标</w:t>
            </w:r>
          </w:p>
        </w:tc>
        <w:tc>
          <w:tcPr>
            <w:tcW w:w="8394" w:type="dxa"/>
            <w:noWrap w:val="0"/>
            <w:vAlign w:val="center"/>
          </w:tcPr>
          <w:tbl>
            <w:tblPr>
              <w:tblStyle w:val="40"/>
              <w:tblW w:w="8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8"/>
              <w:gridCol w:w="1164"/>
              <w:gridCol w:w="1678"/>
              <w:gridCol w:w="1030"/>
              <w:gridCol w:w="750"/>
              <w:gridCol w:w="966"/>
              <w:gridCol w:w="696"/>
              <w:gridCol w:w="1250"/>
            </w:tblGrid>
            <w:tr w14:paraId="1B7C2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vMerge w:val="restart"/>
                  <w:tcBorders>
                    <w:tl2br w:val="nil"/>
                    <w:tr2bl w:val="nil"/>
                  </w:tcBorders>
                  <w:noWrap w:val="0"/>
                  <w:vAlign w:val="center"/>
                </w:tcPr>
                <w:p w14:paraId="04F9C7B4">
                  <w:pPr>
                    <w:widowControl/>
                    <w:jc w:val="center"/>
                    <w:rPr>
                      <w:b w:val="0"/>
                      <w:bCs w:val="0"/>
                      <w:color w:val="auto"/>
                      <w:kern w:val="0"/>
                      <w:sz w:val="21"/>
                      <w:szCs w:val="21"/>
                    </w:rPr>
                  </w:pPr>
                  <w:r>
                    <w:rPr>
                      <w:b w:val="0"/>
                      <w:bCs w:val="0"/>
                      <w:color w:val="auto"/>
                      <w:kern w:val="0"/>
                      <w:sz w:val="21"/>
                      <w:szCs w:val="21"/>
                    </w:rPr>
                    <w:t>环境要素</w:t>
                  </w:r>
                </w:p>
              </w:tc>
              <w:tc>
                <w:tcPr>
                  <w:tcW w:w="1266" w:type="dxa"/>
                  <w:vMerge w:val="restart"/>
                  <w:tcBorders>
                    <w:tl2br w:val="nil"/>
                    <w:tr2bl w:val="nil"/>
                  </w:tcBorders>
                  <w:noWrap w:val="0"/>
                  <w:vAlign w:val="center"/>
                </w:tcPr>
                <w:p w14:paraId="107E2738">
                  <w:pPr>
                    <w:widowControl/>
                    <w:jc w:val="center"/>
                    <w:rPr>
                      <w:b w:val="0"/>
                      <w:bCs w:val="0"/>
                      <w:color w:val="auto"/>
                      <w:kern w:val="0"/>
                      <w:sz w:val="21"/>
                      <w:szCs w:val="21"/>
                    </w:rPr>
                  </w:pPr>
                  <w:r>
                    <w:rPr>
                      <w:b w:val="0"/>
                      <w:bCs w:val="0"/>
                      <w:color w:val="auto"/>
                      <w:kern w:val="0"/>
                      <w:sz w:val="21"/>
                      <w:szCs w:val="21"/>
                    </w:rPr>
                    <w:t>名称</w:t>
                  </w:r>
                </w:p>
              </w:tc>
              <w:tc>
                <w:tcPr>
                  <w:tcW w:w="1287" w:type="dxa"/>
                  <w:vMerge w:val="restart"/>
                  <w:tcBorders>
                    <w:tl2br w:val="nil"/>
                    <w:tr2bl w:val="nil"/>
                  </w:tcBorders>
                  <w:noWrap w:val="0"/>
                  <w:vAlign w:val="center"/>
                </w:tcPr>
                <w:p w14:paraId="78728A55">
                  <w:pPr>
                    <w:widowControl/>
                    <w:jc w:val="center"/>
                    <w:rPr>
                      <w:rFonts w:hint="default" w:eastAsia="宋体"/>
                      <w:b w:val="0"/>
                      <w:bCs w:val="0"/>
                      <w:color w:val="auto"/>
                      <w:kern w:val="0"/>
                      <w:sz w:val="21"/>
                      <w:szCs w:val="21"/>
                      <w:lang w:val="en-US" w:eastAsia="zh-CN"/>
                    </w:rPr>
                  </w:pPr>
                  <w:r>
                    <w:rPr>
                      <w:rFonts w:hint="eastAsia"/>
                      <w:b w:val="0"/>
                      <w:bCs w:val="0"/>
                      <w:color w:val="auto"/>
                      <w:kern w:val="0"/>
                      <w:sz w:val="21"/>
                      <w:szCs w:val="21"/>
                      <w:lang w:val="en-US" w:eastAsia="zh-CN"/>
                    </w:rPr>
                    <w:t>坐标</w:t>
                  </w:r>
                </w:p>
              </w:tc>
              <w:tc>
                <w:tcPr>
                  <w:tcW w:w="1893" w:type="dxa"/>
                  <w:gridSpan w:val="2"/>
                  <w:tcBorders>
                    <w:tl2br w:val="nil"/>
                    <w:tr2bl w:val="nil"/>
                  </w:tcBorders>
                  <w:noWrap w:val="0"/>
                  <w:vAlign w:val="center"/>
                </w:tcPr>
                <w:p w14:paraId="0E48A75E">
                  <w:pPr>
                    <w:widowControl/>
                    <w:jc w:val="center"/>
                    <w:rPr>
                      <w:b w:val="0"/>
                      <w:bCs w:val="0"/>
                      <w:color w:val="auto"/>
                      <w:kern w:val="0"/>
                      <w:sz w:val="21"/>
                      <w:szCs w:val="21"/>
                    </w:rPr>
                  </w:pPr>
                  <w:r>
                    <w:rPr>
                      <w:b w:val="0"/>
                      <w:bCs w:val="0"/>
                      <w:color w:val="auto"/>
                      <w:kern w:val="0"/>
                      <w:sz w:val="21"/>
                      <w:szCs w:val="21"/>
                    </w:rPr>
                    <w:t>相对厂界</w:t>
                  </w:r>
                </w:p>
              </w:tc>
              <w:tc>
                <w:tcPr>
                  <w:tcW w:w="1040" w:type="dxa"/>
                  <w:vMerge w:val="restart"/>
                  <w:tcBorders>
                    <w:tl2br w:val="nil"/>
                    <w:tr2bl w:val="nil"/>
                  </w:tcBorders>
                  <w:noWrap w:val="0"/>
                  <w:vAlign w:val="center"/>
                </w:tcPr>
                <w:p w14:paraId="7BAA39EE">
                  <w:pPr>
                    <w:widowControl/>
                    <w:jc w:val="center"/>
                    <w:rPr>
                      <w:b w:val="0"/>
                      <w:bCs w:val="0"/>
                      <w:color w:val="auto"/>
                      <w:kern w:val="0"/>
                      <w:sz w:val="21"/>
                      <w:szCs w:val="21"/>
                    </w:rPr>
                  </w:pPr>
                  <w:r>
                    <w:rPr>
                      <w:b w:val="0"/>
                      <w:bCs w:val="0"/>
                      <w:color w:val="auto"/>
                      <w:kern w:val="0"/>
                      <w:sz w:val="21"/>
                      <w:szCs w:val="21"/>
                    </w:rPr>
                    <w:t>保护</w:t>
                  </w:r>
                </w:p>
                <w:p w14:paraId="78B93DFA">
                  <w:pPr>
                    <w:widowControl/>
                    <w:jc w:val="center"/>
                    <w:rPr>
                      <w:b w:val="0"/>
                      <w:bCs w:val="0"/>
                      <w:color w:val="auto"/>
                      <w:kern w:val="0"/>
                      <w:sz w:val="21"/>
                      <w:szCs w:val="21"/>
                    </w:rPr>
                  </w:pPr>
                  <w:r>
                    <w:rPr>
                      <w:b w:val="0"/>
                      <w:bCs w:val="0"/>
                      <w:color w:val="auto"/>
                      <w:kern w:val="0"/>
                      <w:sz w:val="21"/>
                      <w:szCs w:val="21"/>
                    </w:rPr>
                    <w:t>对象</w:t>
                  </w:r>
                </w:p>
              </w:tc>
              <w:tc>
                <w:tcPr>
                  <w:tcW w:w="733" w:type="dxa"/>
                  <w:vMerge w:val="restart"/>
                  <w:tcBorders>
                    <w:tl2br w:val="nil"/>
                    <w:tr2bl w:val="nil"/>
                  </w:tcBorders>
                  <w:noWrap w:val="0"/>
                  <w:vAlign w:val="center"/>
                </w:tcPr>
                <w:p w14:paraId="05739C78">
                  <w:pPr>
                    <w:widowControl/>
                    <w:jc w:val="center"/>
                    <w:rPr>
                      <w:b w:val="0"/>
                      <w:bCs w:val="0"/>
                      <w:color w:val="auto"/>
                      <w:kern w:val="0"/>
                      <w:sz w:val="21"/>
                      <w:szCs w:val="21"/>
                    </w:rPr>
                  </w:pPr>
                  <w:r>
                    <w:rPr>
                      <w:b w:val="0"/>
                      <w:bCs w:val="0"/>
                      <w:color w:val="auto"/>
                      <w:kern w:val="0"/>
                      <w:sz w:val="21"/>
                      <w:szCs w:val="21"/>
                    </w:rPr>
                    <w:t>保护内容</w:t>
                  </w:r>
                </w:p>
              </w:tc>
              <w:tc>
                <w:tcPr>
                  <w:tcW w:w="1256" w:type="dxa"/>
                  <w:vMerge w:val="restart"/>
                  <w:tcBorders>
                    <w:tl2br w:val="nil"/>
                    <w:tr2bl w:val="nil"/>
                  </w:tcBorders>
                  <w:noWrap w:val="0"/>
                  <w:vAlign w:val="center"/>
                </w:tcPr>
                <w:p w14:paraId="7E39962B">
                  <w:pPr>
                    <w:widowControl/>
                    <w:jc w:val="center"/>
                    <w:rPr>
                      <w:b w:val="0"/>
                      <w:bCs w:val="0"/>
                      <w:color w:val="auto"/>
                      <w:kern w:val="0"/>
                      <w:sz w:val="21"/>
                      <w:szCs w:val="21"/>
                    </w:rPr>
                  </w:pPr>
                  <w:r>
                    <w:rPr>
                      <w:b w:val="0"/>
                      <w:bCs w:val="0"/>
                      <w:color w:val="auto"/>
                      <w:kern w:val="0"/>
                      <w:sz w:val="21"/>
                      <w:szCs w:val="21"/>
                    </w:rPr>
                    <w:t>环境功能区</w:t>
                  </w:r>
                </w:p>
              </w:tc>
            </w:tr>
            <w:tr w14:paraId="3F65D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vMerge w:val="continue"/>
                  <w:tcBorders>
                    <w:tl2br w:val="nil"/>
                    <w:tr2bl w:val="nil"/>
                  </w:tcBorders>
                  <w:noWrap w:val="0"/>
                  <w:vAlign w:val="center"/>
                </w:tcPr>
                <w:p w14:paraId="21D0D1DD">
                  <w:pPr>
                    <w:widowControl/>
                    <w:jc w:val="center"/>
                    <w:rPr>
                      <w:b w:val="0"/>
                      <w:bCs w:val="0"/>
                      <w:color w:val="auto"/>
                      <w:kern w:val="0"/>
                      <w:sz w:val="21"/>
                      <w:szCs w:val="21"/>
                    </w:rPr>
                  </w:pPr>
                </w:p>
              </w:tc>
              <w:tc>
                <w:tcPr>
                  <w:tcW w:w="1266" w:type="dxa"/>
                  <w:vMerge w:val="continue"/>
                  <w:tcBorders>
                    <w:tl2br w:val="nil"/>
                    <w:tr2bl w:val="nil"/>
                  </w:tcBorders>
                  <w:noWrap w:val="0"/>
                  <w:vAlign w:val="center"/>
                </w:tcPr>
                <w:p w14:paraId="6F6A1B21">
                  <w:pPr>
                    <w:widowControl/>
                    <w:jc w:val="center"/>
                    <w:rPr>
                      <w:b w:val="0"/>
                      <w:bCs w:val="0"/>
                      <w:color w:val="auto"/>
                      <w:kern w:val="0"/>
                      <w:sz w:val="21"/>
                      <w:szCs w:val="21"/>
                    </w:rPr>
                  </w:pPr>
                </w:p>
              </w:tc>
              <w:tc>
                <w:tcPr>
                  <w:tcW w:w="1287" w:type="dxa"/>
                  <w:vMerge w:val="continue"/>
                  <w:tcBorders>
                    <w:tl2br w:val="nil"/>
                    <w:tr2bl w:val="nil"/>
                  </w:tcBorders>
                  <w:noWrap w:val="0"/>
                  <w:vAlign w:val="center"/>
                </w:tcPr>
                <w:p w14:paraId="2D156DF5">
                  <w:pPr>
                    <w:widowControl/>
                    <w:jc w:val="center"/>
                    <w:rPr>
                      <w:b w:val="0"/>
                      <w:bCs w:val="0"/>
                      <w:color w:val="auto"/>
                      <w:kern w:val="0"/>
                      <w:sz w:val="21"/>
                      <w:szCs w:val="21"/>
                    </w:rPr>
                  </w:pPr>
                </w:p>
              </w:tc>
              <w:tc>
                <w:tcPr>
                  <w:tcW w:w="1113" w:type="dxa"/>
                  <w:tcBorders>
                    <w:tl2br w:val="nil"/>
                    <w:tr2bl w:val="nil"/>
                  </w:tcBorders>
                  <w:noWrap w:val="0"/>
                  <w:vAlign w:val="center"/>
                </w:tcPr>
                <w:p w14:paraId="611B0FFF">
                  <w:pPr>
                    <w:widowControl/>
                    <w:jc w:val="center"/>
                    <w:rPr>
                      <w:b w:val="0"/>
                      <w:bCs w:val="0"/>
                      <w:color w:val="auto"/>
                      <w:kern w:val="0"/>
                      <w:sz w:val="21"/>
                      <w:szCs w:val="21"/>
                    </w:rPr>
                  </w:pPr>
                  <w:r>
                    <w:rPr>
                      <w:b w:val="0"/>
                      <w:bCs w:val="0"/>
                      <w:color w:val="auto"/>
                      <w:kern w:val="0"/>
                      <w:sz w:val="21"/>
                      <w:szCs w:val="21"/>
                    </w:rPr>
                    <w:t>方位</w:t>
                  </w:r>
                </w:p>
              </w:tc>
              <w:tc>
                <w:tcPr>
                  <w:tcW w:w="780" w:type="dxa"/>
                  <w:tcBorders>
                    <w:tl2br w:val="nil"/>
                    <w:tr2bl w:val="nil"/>
                  </w:tcBorders>
                  <w:noWrap w:val="0"/>
                  <w:vAlign w:val="center"/>
                </w:tcPr>
                <w:p w14:paraId="452A6CAA">
                  <w:pPr>
                    <w:widowControl/>
                    <w:jc w:val="center"/>
                    <w:rPr>
                      <w:b w:val="0"/>
                      <w:bCs w:val="0"/>
                      <w:color w:val="auto"/>
                      <w:kern w:val="0"/>
                      <w:sz w:val="21"/>
                      <w:szCs w:val="21"/>
                    </w:rPr>
                  </w:pPr>
                  <w:r>
                    <w:rPr>
                      <w:b w:val="0"/>
                      <w:bCs w:val="0"/>
                      <w:color w:val="auto"/>
                      <w:kern w:val="0"/>
                      <w:sz w:val="21"/>
                      <w:szCs w:val="21"/>
                    </w:rPr>
                    <w:t>距离/m</w:t>
                  </w:r>
                </w:p>
              </w:tc>
              <w:tc>
                <w:tcPr>
                  <w:tcW w:w="1040" w:type="dxa"/>
                  <w:vMerge w:val="continue"/>
                  <w:tcBorders>
                    <w:tl2br w:val="nil"/>
                    <w:tr2bl w:val="nil"/>
                  </w:tcBorders>
                  <w:noWrap w:val="0"/>
                  <w:vAlign w:val="center"/>
                </w:tcPr>
                <w:p w14:paraId="73822FBA">
                  <w:pPr>
                    <w:widowControl/>
                    <w:jc w:val="center"/>
                    <w:rPr>
                      <w:b w:val="0"/>
                      <w:bCs w:val="0"/>
                      <w:color w:val="auto"/>
                      <w:kern w:val="0"/>
                      <w:sz w:val="21"/>
                      <w:szCs w:val="21"/>
                    </w:rPr>
                  </w:pPr>
                </w:p>
              </w:tc>
              <w:tc>
                <w:tcPr>
                  <w:tcW w:w="733" w:type="dxa"/>
                  <w:vMerge w:val="continue"/>
                  <w:tcBorders>
                    <w:tl2br w:val="nil"/>
                    <w:tr2bl w:val="nil"/>
                  </w:tcBorders>
                  <w:noWrap w:val="0"/>
                  <w:vAlign w:val="center"/>
                </w:tcPr>
                <w:p w14:paraId="65E2C94A">
                  <w:pPr>
                    <w:widowControl/>
                    <w:jc w:val="center"/>
                    <w:rPr>
                      <w:b w:val="0"/>
                      <w:bCs w:val="0"/>
                      <w:color w:val="auto"/>
                      <w:kern w:val="0"/>
                      <w:sz w:val="21"/>
                      <w:szCs w:val="21"/>
                    </w:rPr>
                  </w:pPr>
                </w:p>
              </w:tc>
              <w:tc>
                <w:tcPr>
                  <w:tcW w:w="1256" w:type="dxa"/>
                  <w:vMerge w:val="continue"/>
                  <w:tcBorders>
                    <w:tl2br w:val="nil"/>
                    <w:tr2bl w:val="nil"/>
                  </w:tcBorders>
                  <w:noWrap w:val="0"/>
                  <w:vAlign w:val="center"/>
                </w:tcPr>
                <w:p w14:paraId="23773491">
                  <w:pPr>
                    <w:widowControl/>
                    <w:jc w:val="center"/>
                    <w:rPr>
                      <w:b w:val="0"/>
                      <w:bCs w:val="0"/>
                      <w:color w:val="auto"/>
                      <w:kern w:val="0"/>
                      <w:sz w:val="21"/>
                      <w:szCs w:val="21"/>
                    </w:rPr>
                  </w:pPr>
                </w:p>
              </w:tc>
            </w:tr>
            <w:tr w14:paraId="7148F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vMerge w:val="restart"/>
                  <w:tcBorders>
                    <w:tl2br w:val="nil"/>
                    <w:tr2bl w:val="nil"/>
                  </w:tcBorders>
                  <w:noWrap w:val="0"/>
                  <w:vAlign w:val="center"/>
                </w:tcPr>
                <w:p w14:paraId="02EE4B05">
                  <w:pPr>
                    <w:widowControl/>
                    <w:jc w:val="center"/>
                    <w:rPr>
                      <w:b w:val="0"/>
                      <w:bCs w:val="0"/>
                      <w:color w:val="auto"/>
                      <w:kern w:val="0"/>
                      <w:sz w:val="21"/>
                      <w:szCs w:val="21"/>
                    </w:rPr>
                  </w:pPr>
                  <w:r>
                    <w:rPr>
                      <w:b w:val="0"/>
                      <w:bCs w:val="0"/>
                      <w:color w:val="auto"/>
                      <w:kern w:val="0"/>
                      <w:sz w:val="21"/>
                      <w:szCs w:val="21"/>
                    </w:rPr>
                    <w:t>环境空气</w:t>
                  </w:r>
                </w:p>
              </w:tc>
              <w:tc>
                <w:tcPr>
                  <w:tcW w:w="1266" w:type="dxa"/>
                  <w:tcBorders>
                    <w:tl2br w:val="nil"/>
                    <w:tr2bl w:val="nil"/>
                  </w:tcBorders>
                  <w:noWrap w:val="0"/>
                  <w:vAlign w:val="center"/>
                </w:tcPr>
                <w:p w14:paraId="060C6435">
                  <w:pPr>
                    <w:widowControl/>
                    <w:jc w:val="center"/>
                    <w:rPr>
                      <w:rFonts w:hint="default" w:ascii="Times New Roman" w:hAnsi="Times New Roman" w:eastAsia="宋体" w:cs="Times New Roman"/>
                      <w:b w:val="0"/>
                      <w:bCs w:val="0"/>
                      <w:color w:val="auto"/>
                      <w:kern w:val="0"/>
                      <w:sz w:val="21"/>
                      <w:szCs w:val="21"/>
                      <w:lang w:val="en-US" w:eastAsia="zh-CN" w:bidi="ar-SA"/>
                    </w:rPr>
                  </w:pPr>
                  <w:r>
                    <w:rPr>
                      <w:rFonts w:hint="default" w:ascii="Times New Roman" w:hAnsi="Times New Roman" w:cs="Times New Roman"/>
                      <w:b w:val="0"/>
                      <w:bCs w:val="0"/>
                      <w:snapToGrid w:val="0"/>
                      <w:color w:val="auto"/>
                      <w:kern w:val="0"/>
                      <w:sz w:val="21"/>
                      <w:szCs w:val="21"/>
                      <w:lang w:val="en-US" w:eastAsia="zh-CN"/>
                    </w:rPr>
                    <w:t>焦岗村</w:t>
                  </w:r>
                </w:p>
              </w:tc>
              <w:tc>
                <w:tcPr>
                  <w:tcW w:w="1287" w:type="dxa"/>
                  <w:tcBorders>
                    <w:tl2br w:val="nil"/>
                    <w:tr2bl w:val="nil"/>
                  </w:tcBorders>
                  <w:noWrap w:val="0"/>
                  <w:vAlign w:val="center"/>
                </w:tcPr>
                <w:p w14:paraId="0AB0B79B">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N114°50'09.929"</w:t>
                  </w:r>
                </w:p>
                <w:p w14:paraId="390C46E3">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E33°40'43.367"</w:t>
                  </w:r>
                </w:p>
              </w:tc>
              <w:tc>
                <w:tcPr>
                  <w:tcW w:w="1113" w:type="dxa"/>
                  <w:tcBorders>
                    <w:tl2br w:val="nil"/>
                    <w:tr2bl w:val="nil"/>
                  </w:tcBorders>
                  <w:noWrap w:val="0"/>
                  <w:vAlign w:val="center"/>
                </w:tcPr>
                <w:p w14:paraId="6609E7DC">
                  <w:pPr>
                    <w:widowControl/>
                    <w:jc w:val="center"/>
                    <w:rPr>
                      <w:rFonts w:hint="eastAsia" w:ascii="Times New Roman" w:hAnsi="Times New Roman" w:eastAsia="宋体" w:cs="Times New Roman"/>
                      <w:b w:val="0"/>
                      <w:bCs w:val="0"/>
                      <w:color w:val="auto"/>
                      <w:kern w:val="0"/>
                      <w:sz w:val="21"/>
                      <w:szCs w:val="21"/>
                      <w:lang w:val="en-US" w:eastAsia="zh-CN" w:bidi="ar-SA"/>
                    </w:rPr>
                  </w:pPr>
                  <w:r>
                    <w:rPr>
                      <w:rFonts w:hint="eastAsia"/>
                      <w:b w:val="0"/>
                      <w:bCs w:val="0"/>
                      <w:color w:val="auto"/>
                      <w:kern w:val="0"/>
                      <w:sz w:val="21"/>
                      <w:szCs w:val="21"/>
                      <w:lang w:val="en-US" w:eastAsia="zh-CN"/>
                    </w:rPr>
                    <w:t>南</w:t>
                  </w:r>
                </w:p>
              </w:tc>
              <w:tc>
                <w:tcPr>
                  <w:tcW w:w="780" w:type="dxa"/>
                  <w:tcBorders>
                    <w:tl2br w:val="nil"/>
                    <w:tr2bl w:val="nil"/>
                  </w:tcBorders>
                  <w:noWrap w:val="0"/>
                  <w:vAlign w:val="center"/>
                </w:tcPr>
                <w:p w14:paraId="288E429E">
                  <w:pPr>
                    <w:widowControl/>
                    <w:jc w:val="center"/>
                    <w:rPr>
                      <w:rFonts w:hint="default" w:ascii="Times New Roman" w:hAnsi="Times New Roman" w:eastAsia="宋体" w:cs="Times New Roman"/>
                      <w:b w:val="0"/>
                      <w:bCs w:val="0"/>
                      <w:color w:val="auto"/>
                      <w:kern w:val="0"/>
                      <w:sz w:val="21"/>
                      <w:szCs w:val="21"/>
                      <w:lang w:val="en-US" w:eastAsia="zh-CN" w:bidi="ar-SA"/>
                    </w:rPr>
                  </w:pPr>
                  <w:r>
                    <w:rPr>
                      <w:rFonts w:hint="eastAsia"/>
                      <w:b w:val="0"/>
                      <w:bCs w:val="0"/>
                      <w:color w:val="auto"/>
                      <w:kern w:val="0"/>
                      <w:sz w:val="21"/>
                      <w:szCs w:val="21"/>
                      <w:lang w:val="en-US" w:eastAsia="zh-CN"/>
                    </w:rPr>
                    <w:t>35</w:t>
                  </w:r>
                </w:p>
              </w:tc>
              <w:tc>
                <w:tcPr>
                  <w:tcW w:w="1040" w:type="dxa"/>
                  <w:tcBorders>
                    <w:tl2br w:val="nil"/>
                    <w:tr2bl w:val="nil"/>
                  </w:tcBorders>
                  <w:noWrap w:val="0"/>
                  <w:vAlign w:val="center"/>
                </w:tcPr>
                <w:p w14:paraId="2B275F34">
                  <w:pPr>
                    <w:widowControl/>
                    <w:jc w:val="center"/>
                    <w:rPr>
                      <w:rFonts w:ascii="Times New Roman" w:hAnsi="Times New Roman" w:eastAsia="宋体" w:cs="Times New Roman"/>
                      <w:b w:val="0"/>
                      <w:bCs w:val="0"/>
                      <w:color w:val="auto"/>
                      <w:kern w:val="0"/>
                      <w:sz w:val="21"/>
                      <w:szCs w:val="21"/>
                      <w:lang w:val="en-US" w:eastAsia="zh-CN" w:bidi="ar-SA"/>
                    </w:rPr>
                  </w:pPr>
                  <w:r>
                    <w:rPr>
                      <w:b w:val="0"/>
                      <w:bCs w:val="0"/>
                      <w:color w:val="auto"/>
                      <w:kern w:val="0"/>
                      <w:sz w:val="21"/>
                      <w:szCs w:val="21"/>
                    </w:rPr>
                    <w:t>居住区</w:t>
                  </w:r>
                </w:p>
              </w:tc>
              <w:tc>
                <w:tcPr>
                  <w:tcW w:w="733" w:type="dxa"/>
                  <w:tcBorders>
                    <w:tl2br w:val="nil"/>
                    <w:tr2bl w:val="nil"/>
                  </w:tcBorders>
                  <w:noWrap w:val="0"/>
                  <w:vAlign w:val="center"/>
                </w:tcPr>
                <w:p w14:paraId="501FDB15">
                  <w:pPr>
                    <w:widowControl/>
                    <w:jc w:val="center"/>
                    <w:rPr>
                      <w:rFonts w:hint="default" w:ascii="Times New Roman" w:hAnsi="Times New Roman" w:eastAsia="宋体" w:cs="Times New Roman"/>
                      <w:b w:val="0"/>
                      <w:bCs w:val="0"/>
                      <w:color w:val="auto"/>
                      <w:kern w:val="0"/>
                      <w:sz w:val="21"/>
                      <w:szCs w:val="21"/>
                      <w:lang w:val="en-US" w:eastAsia="zh-CN" w:bidi="ar-SA"/>
                    </w:rPr>
                  </w:pPr>
                  <w:r>
                    <w:rPr>
                      <w:rFonts w:hint="eastAsia" w:cs="Times New Roman"/>
                      <w:b w:val="0"/>
                      <w:bCs w:val="0"/>
                      <w:color w:val="auto"/>
                      <w:kern w:val="0"/>
                      <w:sz w:val="21"/>
                      <w:szCs w:val="21"/>
                      <w:lang w:val="en-US" w:eastAsia="zh-CN" w:bidi="ar-SA"/>
                    </w:rPr>
                    <w:t>居民</w:t>
                  </w:r>
                </w:p>
              </w:tc>
              <w:tc>
                <w:tcPr>
                  <w:tcW w:w="1256" w:type="dxa"/>
                  <w:vMerge w:val="restart"/>
                  <w:tcBorders>
                    <w:tl2br w:val="nil"/>
                    <w:tr2bl w:val="nil"/>
                  </w:tcBorders>
                  <w:noWrap w:val="0"/>
                  <w:vAlign w:val="center"/>
                </w:tcPr>
                <w:p w14:paraId="21E99BA5">
                  <w:pPr>
                    <w:widowControl/>
                    <w:jc w:val="center"/>
                    <w:rPr>
                      <w:b w:val="0"/>
                      <w:bCs w:val="0"/>
                      <w:color w:val="auto"/>
                      <w:kern w:val="0"/>
                      <w:sz w:val="21"/>
                      <w:szCs w:val="21"/>
                    </w:rPr>
                  </w:pPr>
                  <w:r>
                    <w:rPr>
                      <w:b w:val="0"/>
                      <w:bCs w:val="0"/>
                      <w:color w:val="auto"/>
                      <w:kern w:val="0"/>
                      <w:sz w:val="21"/>
                      <w:szCs w:val="21"/>
                    </w:rPr>
                    <w:t>《环境空气质量标准》（GB3095-20</w:t>
                  </w:r>
                  <w:r>
                    <w:rPr>
                      <w:rFonts w:hint="eastAsia"/>
                      <w:b w:val="0"/>
                      <w:bCs w:val="0"/>
                      <w:color w:val="auto"/>
                      <w:kern w:val="0"/>
                      <w:sz w:val="21"/>
                      <w:szCs w:val="21"/>
                      <w:lang w:val="en-US" w:eastAsia="zh-CN"/>
                    </w:rPr>
                    <w:t>26</w:t>
                  </w:r>
                  <w:r>
                    <w:rPr>
                      <w:b w:val="0"/>
                      <w:bCs w:val="0"/>
                      <w:color w:val="auto"/>
                      <w:kern w:val="0"/>
                      <w:sz w:val="21"/>
                      <w:szCs w:val="21"/>
                    </w:rPr>
                    <w:t>）</w:t>
                  </w:r>
                </w:p>
              </w:tc>
            </w:tr>
            <w:tr w14:paraId="0B536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vMerge w:val="continue"/>
                  <w:tcBorders>
                    <w:tl2br w:val="nil"/>
                    <w:tr2bl w:val="nil"/>
                  </w:tcBorders>
                  <w:noWrap w:val="0"/>
                  <w:vAlign w:val="center"/>
                </w:tcPr>
                <w:p w14:paraId="33C2681A">
                  <w:pPr>
                    <w:widowControl/>
                    <w:jc w:val="center"/>
                    <w:rPr>
                      <w:b w:val="0"/>
                      <w:bCs w:val="0"/>
                      <w:color w:val="auto"/>
                      <w:kern w:val="0"/>
                      <w:sz w:val="21"/>
                      <w:szCs w:val="21"/>
                    </w:rPr>
                  </w:pPr>
                </w:p>
              </w:tc>
              <w:tc>
                <w:tcPr>
                  <w:tcW w:w="1266" w:type="dxa"/>
                  <w:tcBorders>
                    <w:tl2br w:val="nil"/>
                    <w:tr2bl w:val="nil"/>
                  </w:tcBorders>
                  <w:noWrap w:val="0"/>
                  <w:vAlign w:val="center"/>
                </w:tcPr>
                <w:p w14:paraId="03E478E4">
                  <w:pPr>
                    <w:widowControl/>
                    <w:jc w:val="center"/>
                    <w:rPr>
                      <w:rFonts w:hint="default" w:ascii="Times New Roman" w:hAnsi="Times New Roman" w:cs="Times New Roman"/>
                      <w:b w:val="0"/>
                      <w:bCs w:val="0"/>
                      <w:color w:val="auto"/>
                      <w:kern w:val="0"/>
                      <w:sz w:val="21"/>
                      <w:szCs w:val="21"/>
                    </w:rPr>
                  </w:pPr>
                  <w:r>
                    <w:rPr>
                      <w:rFonts w:hint="default" w:ascii="Times New Roman" w:hAnsi="Times New Roman" w:cs="Times New Roman"/>
                      <w:b w:val="0"/>
                      <w:bCs w:val="0"/>
                      <w:snapToGrid w:val="0"/>
                      <w:color w:val="auto"/>
                      <w:kern w:val="0"/>
                      <w:sz w:val="21"/>
                      <w:szCs w:val="21"/>
                      <w:lang w:val="en-US" w:eastAsia="zh-CN"/>
                    </w:rPr>
                    <w:t>黄庄</w:t>
                  </w:r>
                </w:p>
              </w:tc>
              <w:tc>
                <w:tcPr>
                  <w:tcW w:w="1287" w:type="dxa"/>
                  <w:tcBorders>
                    <w:tl2br w:val="nil"/>
                    <w:tr2bl w:val="nil"/>
                  </w:tcBorders>
                  <w:noWrap w:val="0"/>
                  <w:vAlign w:val="center"/>
                </w:tcPr>
                <w:p w14:paraId="7BE1EA53">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N114°50'31.129"</w:t>
                  </w:r>
                </w:p>
                <w:p w14:paraId="0FC816DF">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E33°41'11.297"</w:t>
                  </w:r>
                </w:p>
              </w:tc>
              <w:tc>
                <w:tcPr>
                  <w:tcW w:w="1113" w:type="dxa"/>
                  <w:tcBorders>
                    <w:tl2br w:val="nil"/>
                    <w:tr2bl w:val="nil"/>
                  </w:tcBorders>
                  <w:noWrap w:val="0"/>
                  <w:vAlign w:val="center"/>
                </w:tcPr>
                <w:p w14:paraId="1711AF4F">
                  <w:pPr>
                    <w:widowControl/>
                    <w:jc w:val="center"/>
                    <w:rPr>
                      <w:rFonts w:hint="default" w:eastAsia="宋体"/>
                      <w:b w:val="0"/>
                      <w:bCs w:val="0"/>
                      <w:color w:val="auto"/>
                      <w:kern w:val="0"/>
                      <w:sz w:val="21"/>
                      <w:szCs w:val="21"/>
                      <w:lang w:val="en-US" w:eastAsia="zh-CN"/>
                    </w:rPr>
                  </w:pPr>
                  <w:r>
                    <w:rPr>
                      <w:rFonts w:hint="eastAsia"/>
                      <w:b w:val="0"/>
                      <w:bCs w:val="0"/>
                      <w:color w:val="auto"/>
                      <w:kern w:val="0"/>
                      <w:sz w:val="21"/>
                      <w:szCs w:val="21"/>
                      <w:lang w:val="en-US" w:eastAsia="zh-CN"/>
                    </w:rPr>
                    <w:t>东北</w:t>
                  </w:r>
                </w:p>
              </w:tc>
              <w:tc>
                <w:tcPr>
                  <w:tcW w:w="780" w:type="dxa"/>
                  <w:tcBorders>
                    <w:tl2br w:val="nil"/>
                    <w:tr2bl w:val="nil"/>
                  </w:tcBorders>
                  <w:noWrap w:val="0"/>
                  <w:vAlign w:val="center"/>
                </w:tcPr>
                <w:p w14:paraId="3A940965">
                  <w:pPr>
                    <w:widowControl/>
                    <w:jc w:val="center"/>
                    <w:rPr>
                      <w:rFonts w:hint="default" w:eastAsia="宋体"/>
                      <w:b w:val="0"/>
                      <w:bCs w:val="0"/>
                      <w:color w:val="auto"/>
                      <w:kern w:val="0"/>
                      <w:sz w:val="21"/>
                      <w:szCs w:val="21"/>
                      <w:lang w:val="en-US" w:eastAsia="zh-CN"/>
                    </w:rPr>
                  </w:pPr>
                  <w:r>
                    <w:rPr>
                      <w:rFonts w:hint="eastAsia"/>
                      <w:b w:val="0"/>
                      <w:bCs w:val="0"/>
                      <w:color w:val="auto"/>
                      <w:kern w:val="0"/>
                      <w:sz w:val="21"/>
                      <w:szCs w:val="21"/>
                      <w:lang w:val="en-US" w:eastAsia="zh-CN"/>
                    </w:rPr>
                    <w:t>400</w:t>
                  </w:r>
                </w:p>
              </w:tc>
              <w:tc>
                <w:tcPr>
                  <w:tcW w:w="1040" w:type="dxa"/>
                  <w:tcBorders>
                    <w:tl2br w:val="nil"/>
                    <w:tr2bl w:val="nil"/>
                  </w:tcBorders>
                  <w:noWrap w:val="0"/>
                  <w:vAlign w:val="center"/>
                </w:tcPr>
                <w:p w14:paraId="2F3C394F">
                  <w:pPr>
                    <w:widowControl/>
                    <w:jc w:val="center"/>
                    <w:rPr>
                      <w:b w:val="0"/>
                      <w:bCs w:val="0"/>
                      <w:color w:val="auto"/>
                      <w:kern w:val="0"/>
                      <w:sz w:val="21"/>
                      <w:szCs w:val="21"/>
                    </w:rPr>
                  </w:pPr>
                  <w:r>
                    <w:rPr>
                      <w:b w:val="0"/>
                      <w:bCs w:val="0"/>
                      <w:color w:val="auto"/>
                      <w:kern w:val="0"/>
                      <w:sz w:val="21"/>
                      <w:szCs w:val="21"/>
                    </w:rPr>
                    <w:t>居住区</w:t>
                  </w:r>
                </w:p>
              </w:tc>
              <w:tc>
                <w:tcPr>
                  <w:tcW w:w="733" w:type="dxa"/>
                  <w:tcBorders>
                    <w:tl2br w:val="nil"/>
                    <w:tr2bl w:val="nil"/>
                  </w:tcBorders>
                  <w:noWrap w:val="0"/>
                  <w:vAlign w:val="center"/>
                </w:tcPr>
                <w:p w14:paraId="79B43F1C">
                  <w:pPr>
                    <w:widowControl/>
                    <w:jc w:val="center"/>
                    <w:rPr>
                      <w:b w:val="0"/>
                      <w:bCs w:val="0"/>
                      <w:color w:val="auto"/>
                      <w:kern w:val="0"/>
                      <w:sz w:val="21"/>
                      <w:szCs w:val="21"/>
                    </w:rPr>
                  </w:pPr>
                  <w:r>
                    <w:rPr>
                      <w:rFonts w:hint="eastAsia" w:cs="Times New Roman"/>
                      <w:b w:val="0"/>
                      <w:bCs w:val="0"/>
                      <w:color w:val="auto"/>
                      <w:kern w:val="0"/>
                      <w:sz w:val="21"/>
                      <w:szCs w:val="21"/>
                      <w:lang w:val="en-US" w:eastAsia="zh-CN" w:bidi="ar-SA"/>
                    </w:rPr>
                    <w:t>居民</w:t>
                  </w:r>
                </w:p>
              </w:tc>
              <w:tc>
                <w:tcPr>
                  <w:tcW w:w="1256" w:type="dxa"/>
                  <w:vMerge w:val="continue"/>
                  <w:tcBorders>
                    <w:tl2br w:val="nil"/>
                    <w:tr2bl w:val="nil"/>
                  </w:tcBorders>
                  <w:noWrap w:val="0"/>
                  <w:vAlign w:val="center"/>
                </w:tcPr>
                <w:p w14:paraId="4BFCD5CB">
                  <w:pPr>
                    <w:widowControl/>
                    <w:jc w:val="center"/>
                    <w:rPr>
                      <w:b w:val="0"/>
                      <w:bCs w:val="0"/>
                      <w:color w:val="auto"/>
                      <w:kern w:val="0"/>
                      <w:sz w:val="21"/>
                      <w:szCs w:val="21"/>
                    </w:rPr>
                  </w:pPr>
                </w:p>
              </w:tc>
            </w:tr>
            <w:tr w14:paraId="19602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vMerge w:val="continue"/>
                  <w:tcBorders>
                    <w:tl2br w:val="nil"/>
                    <w:tr2bl w:val="nil"/>
                  </w:tcBorders>
                  <w:noWrap w:val="0"/>
                  <w:vAlign w:val="center"/>
                </w:tcPr>
                <w:p w14:paraId="62AE7E38">
                  <w:pPr>
                    <w:widowControl/>
                    <w:jc w:val="center"/>
                    <w:rPr>
                      <w:b w:val="0"/>
                      <w:bCs w:val="0"/>
                      <w:color w:val="auto"/>
                      <w:kern w:val="0"/>
                      <w:sz w:val="21"/>
                      <w:szCs w:val="21"/>
                    </w:rPr>
                  </w:pPr>
                </w:p>
              </w:tc>
              <w:tc>
                <w:tcPr>
                  <w:tcW w:w="1266" w:type="dxa"/>
                  <w:tcBorders>
                    <w:tl2br w:val="nil"/>
                    <w:tr2bl w:val="nil"/>
                  </w:tcBorders>
                  <w:noWrap w:val="0"/>
                  <w:vAlign w:val="center"/>
                </w:tcPr>
                <w:p w14:paraId="532954FA">
                  <w:pPr>
                    <w:widowControl/>
                    <w:jc w:val="center"/>
                    <w:rPr>
                      <w:rFonts w:hint="default" w:ascii="Times New Roman" w:hAnsi="Times New Roman" w:cs="Times New Roman"/>
                      <w:b w:val="0"/>
                      <w:bCs w:val="0"/>
                      <w:color w:val="auto"/>
                      <w:kern w:val="0"/>
                      <w:sz w:val="21"/>
                      <w:szCs w:val="21"/>
                    </w:rPr>
                  </w:pPr>
                  <w:r>
                    <w:rPr>
                      <w:rFonts w:hint="default" w:ascii="Times New Roman" w:hAnsi="Times New Roman" w:cs="Times New Roman"/>
                      <w:b w:val="0"/>
                      <w:bCs w:val="0"/>
                      <w:snapToGrid w:val="0"/>
                      <w:color w:val="auto"/>
                      <w:kern w:val="0"/>
                      <w:sz w:val="21"/>
                      <w:szCs w:val="21"/>
                      <w:lang w:val="en-US" w:eastAsia="zh-CN"/>
                    </w:rPr>
                    <w:t>大童庄</w:t>
                  </w:r>
                </w:p>
              </w:tc>
              <w:tc>
                <w:tcPr>
                  <w:tcW w:w="1287" w:type="dxa"/>
                  <w:tcBorders>
                    <w:tl2br w:val="nil"/>
                    <w:tr2bl w:val="nil"/>
                  </w:tcBorders>
                  <w:noWrap w:val="0"/>
                  <w:vAlign w:val="center"/>
                </w:tcPr>
                <w:p w14:paraId="159098CF">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N114°49'34.780"</w:t>
                  </w:r>
                </w:p>
                <w:p w14:paraId="0330B631">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E33°40'37.77</w:t>
                  </w:r>
                  <w:r>
                    <w:rPr>
                      <w:rFonts w:hint="eastAsia" w:ascii="Times New Roman" w:hAnsi="Times New Roman" w:cs="Times New Roman"/>
                      <w:b w:val="0"/>
                      <w:bCs w:val="0"/>
                      <w:snapToGrid w:val="0"/>
                      <w:color w:val="auto"/>
                      <w:kern w:val="0"/>
                      <w:sz w:val="21"/>
                      <w:szCs w:val="21"/>
                      <w:lang w:val="en-US" w:eastAsia="zh-CN"/>
                    </w:rPr>
                    <w:t>5</w:t>
                  </w:r>
                  <w:r>
                    <w:rPr>
                      <w:rFonts w:hint="default" w:ascii="Times New Roman" w:hAnsi="Times New Roman" w:cs="Times New Roman"/>
                      <w:b w:val="0"/>
                      <w:bCs w:val="0"/>
                      <w:snapToGrid w:val="0"/>
                      <w:color w:val="auto"/>
                      <w:kern w:val="0"/>
                      <w:sz w:val="21"/>
                      <w:szCs w:val="21"/>
                      <w:lang w:val="en-US" w:eastAsia="zh-CN"/>
                    </w:rPr>
                    <w:t>9"</w:t>
                  </w:r>
                </w:p>
              </w:tc>
              <w:tc>
                <w:tcPr>
                  <w:tcW w:w="1113" w:type="dxa"/>
                  <w:tcBorders>
                    <w:tl2br w:val="nil"/>
                    <w:tr2bl w:val="nil"/>
                  </w:tcBorders>
                  <w:noWrap w:val="0"/>
                  <w:vAlign w:val="center"/>
                </w:tcPr>
                <w:p w14:paraId="03E77AA6">
                  <w:pPr>
                    <w:widowControl/>
                    <w:jc w:val="center"/>
                    <w:rPr>
                      <w:rFonts w:hint="default" w:eastAsia="宋体"/>
                      <w:b w:val="0"/>
                      <w:bCs w:val="0"/>
                      <w:color w:val="auto"/>
                      <w:kern w:val="0"/>
                      <w:sz w:val="21"/>
                      <w:szCs w:val="21"/>
                      <w:lang w:val="en-US" w:eastAsia="zh-CN"/>
                    </w:rPr>
                  </w:pPr>
                  <w:r>
                    <w:rPr>
                      <w:rFonts w:hint="eastAsia"/>
                      <w:b w:val="0"/>
                      <w:bCs w:val="0"/>
                      <w:color w:val="auto"/>
                      <w:kern w:val="0"/>
                      <w:sz w:val="21"/>
                      <w:szCs w:val="21"/>
                      <w:lang w:val="en-US" w:eastAsia="zh-CN"/>
                    </w:rPr>
                    <w:t>西南</w:t>
                  </w:r>
                </w:p>
              </w:tc>
              <w:tc>
                <w:tcPr>
                  <w:tcW w:w="780" w:type="dxa"/>
                  <w:tcBorders>
                    <w:tl2br w:val="nil"/>
                    <w:tr2bl w:val="nil"/>
                  </w:tcBorders>
                  <w:noWrap w:val="0"/>
                  <w:vAlign w:val="center"/>
                </w:tcPr>
                <w:p w14:paraId="0D7CB89B">
                  <w:pPr>
                    <w:widowControl/>
                    <w:jc w:val="center"/>
                    <w:rPr>
                      <w:rFonts w:hint="default" w:eastAsia="宋体"/>
                      <w:b w:val="0"/>
                      <w:bCs w:val="0"/>
                      <w:color w:val="auto"/>
                      <w:kern w:val="0"/>
                      <w:sz w:val="21"/>
                      <w:szCs w:val="21"/>
                      <w:lang w:val="en-US" w:eastAsia="zh-CN"/>
                    </w:rPr>
                  </w:pPr>
                  <w:r>
                    <w:rPr>
                      <w:rFonts w:hint="eastAsia"/>
                      <w:b w:val="0"/>
                      <w:bCs w:val="0"/>
                      <w:color w:val="auto"/>
                      <w:kern w:val="0"/>
                      <w:sz w:val="21"/>
                      <w:szCs w:val="21"/>
                      <w:lang w:val="en-US" w:eastAsia="zh-CN"/>
                    </w:rPr>
                    <w:t>411</w:t>
                  </w:r>
                </w:p>
              </w:tc>
              <w:tc>
                <w:tcPr>
                  <w:tcW w:w="1040" w:type="dxa"/>
                  <w:tcBorders>
                    <w:tl2br w:val="nil"/>
                    <w:tr2bl w:val="nil"/>
                  </w:tcBorders>
                  <w:noWrap w:val="0"/>
                  <w:vAlign w:val="center"/>
                </w:tcPr>
                <w:p w14:paraId="320F0DBC">
                  <w:pPr>
                    <w:widowControl/>
                    <w:jc w:val="center"/>
                    <w:rPr>
                      <w:b w:val="0"/>
                      <w:bCs w:val="0"/>
                      <w:color w:val="auto"/>
                      <w:kern w:val="0"/>
                      <w:sz w:val="21"/>
                      <w:szCs w:val="21"/>
                    </w:rPr>
                  </w:pPr>
                  <w:r>
                    <w:rPr>
                      <w:b w:val="0"/>
                      <w:bCs w:val="0"/>
                      <w:color w:val="auto"/>
                      <w:kern w:val="0"/>
                      <w:sz w:val="21"/>
                      <w:szCs w:val="21"/>
                    </w:rPr>
                    <w:t>居住区</w:t>
                  </w:r>
                </w:p>
              </w:tc>
              <w:tc>
                <w:tcPr>
                  <w:tcW w:w="733" w:type="dxa"/>
                  <w:tcBorders>
                    <w:tl2br w:val="nil"/>
                    <w:tr2bl w:val="nil"/>
                  </w:tcBorders>
                  <w:noWrap w:val="0"/>
                  <w:vAlign w:val="center"/>
                </w:tcPr>
                <w:p w14:paraId="4B1295B7">
                  <w:pPr>
                    <w:widowControl/>
                    <w:jc w:val="center"/>
                    <w:rPr>
                      <w:b w:val="0"/>
                      <w:bCs w:val="0"/>
                      <w:color w:val="auto"/>
                      <w:kern w:val="0"/>
                      <w:sz w:val="21"/>
                      <w:szCs w:val="21"/>
                    </w:rPr>
                  </w:pPr>
                  <w:r>
                    <w:rPr>
                      <w:rFonts w:hint="eastAsia" w:cs="Times New Roman"/>
                      <w:b w:val="0"/>
                      <w:bCs w:val="0"/>
                      <w:color w:val="auto"/>
                      <w:kern w:val="0"/>
                      <w:sz w:val="21"/>
                      <w:szCs w:val="21"/>
                      <w:lang w:val="en-US" w:eastAsia="zh-CN" w:bidi="ar-SA"/>
                    </w:rPr>
                    <w:t>居民</w:t>
                  </w:r>
                </w:p>
              </w:tc>
              <w:tc>
                <w:tcPr>
                  <w:tcW w:w="1256" w:type="dxa"/>
                  <w:vMerge w:val="continue"/>
                  <w:tcBorders>
                    <w:tl2br w:val="nil"/>
                    <w:tr2bl w:val="nil"/>
                  </w:tcBorders>
                  <w:noWrap w:val="0"/>
                  <w:vAlign w:val="center"/>
                </w:tcPr>
                <w:p w14:paraId="7E08068A">
                  <w:pPr>
                    <w:widowControl/>
                    <w:jc w:val="center"/>
                    <w:rPr>
                      <w:b w:val="0"/>
                      <w:bCs w:val="0"/>
                      <w:color w:val="auto"/>
                      <w:kern w:val="0"/>
                      <w:sz w:val="21"/>
                      <w:szCs w:val="21"/>
                    </w:rPr>
                  </w:pPr>
                </w:p>
              </w:tc>
            </w:tr>
            <w:tr w14:paraId="0660A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907" w:type="dxa"/>
                  <w:vMerge w:val="continue"/>
                  <w:tcBorders>
                    <w:tl2br w:val="nil"/>
                    <w:tr2bl w:val="nil"/>
                  </w:tcBorders>
                  <w:noWrap w:val="0"/>
                  <w:vAlign w:val="center"/>
                </w:tcPr>
                <w:p w14:paraId="2C68FD1A">
                  <w:pPr>
                    <w:widowControl/>
                    <w:jc w:val="center"/>
                    <w:rPr>
                      <w:b w:val="0"/>
                      <w:bCs w:val="0"/>
                      <w:color w:val="auto"/>
                      <w:kern w:val="0"/>
                      <w:sz w:val="21"/>
                      <w:szCs w:val="21"/>
                    </w:rPr>
                  </w:pPr>
                </w:p>
              </w:tc>
              <w:tc>
                <w:tcPr>
                  <w:tcW w:w="1266" w:type="dxa"/>
                  <w:tcBorders>
                    <w:tl2br w:val="nil"/>
                    <w:tr2bl w:val="nil"/>
                  </w:tcBorders>
                  <w:noWrap w:val="0"/>
                  <w:vAlign w:val="center"/>
                </w:tcPr>
                <w:p w14:paraId="0A853D7C">
                  <w:pPr>
                    <w:widowControl/>
                    <w:jc w:val="center"/>
                    <w:rPr>
                      <w:rFonts w:hint="default" w:ascii="Times New Roman" w:hAnsi="Times New Roman" w:cs="Times New Roman"/>
                      <w:b w:val="0"/>
                      <w:bCs w:val="0"/>
                      <w:color w:val="auto"/>
                      <w:kern w:val="0"/>
                      <w:sz w:val="21"/>
                      <w:szCs w:val="21"/>
                    </w:rPr>
                  </w:pPr>
                  <w:r>
                    <w:rPr>
                      <w:rFonts w:hint="default" w:ascii="Times New Roman" w:hAnsi="Times New Roman" w:cs="Times New Roman"/>
                      <w:b w:val="0"/>
                      <w:bCs w:val="0"/>
                      <w:snapToGrid w:val="0"/>
                      <w:color w:val="auto"/>
                      <w:kern w:val="0"/>
                      <w:sz w:val="21"/>
                      <w:szCs w:val="21"/>
                      <w:lang w:val="en-US" w:eastAsia="zh-CN"/>
                    </w:rPr>
                    <w:t>彭老家村</w:t>
                  </w:r>
                </w:p>
              </w:tc>
              <w:tc>
                <w:tcPr>
                  <w:tcW w:w="1287" w:type="dxa"/>
                  <w:tcBorders>
                    <w:tl2br w:val="nil"/>
                    <w:tr2bl w:val="nil"/>
                  </w:tcBorders>
                  <w:noWrap w:val="0"/>
                  <w:vAlign w:val="center"/>
                </w:tcPr>
                <w:p w14:paraId="70EE048F">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N114°50'43.538"</w:t>
                  </w:r>
                </w:p>
                <w:p w14:paraId="614655E8">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E33°40'51.149"</w:t>
                  </w:r>
                </w:p>
              </w:tc>
              <w:tc>
                <w:tcPr>
                  <w:tcW w:w="1113" w:type="dxa"/>
                  <w:tcBorders>
                    <w:tl2br w:val="nil"/>
                    <w:tr2bl w:val="nil"/>
                  </w:tcBorders>
                  <w:noWrap w:val="0"/>
                  <w:vAlign w:val="center"/>
                </w:tcPr>
                <w:p w14:paraId="31E26EC0">
                  <w:pPr>
                    <w:widowControl/>
                    <w:jc w:val="center"/>
                    <w:rPr>
                      <w:rFonts w:hint="eastAsia" w:eastAsia="宋体"/>
                      <w:b w:val="0"/>
                      <w:bCs w:val="0"/>
                      <w:color w:val="auto"/>
                      <w:kern w:val="0"/>
                      <w:sz w:val="21"/>
                      <w:szCs w:val="21"/>
                      <w:lang w:val="en-US" w:eastAsia="zh-CN"/>
                    </w:rPr>
                  </w:pPr>
                  <w:r>
                    <w:rPr>
                      <w:rFonts w:hint="eastAsia"/>
                      <w:b w:val="0"/>
                      <w:bCs w:val="0"/>
                      <w:color w:val="auto"/>
                      <w:kern w:val="0"/>
                      <w:sz w:val="21"/>
                      <w:szCs w:val="21"/>
                      <w:lang w:val="en-US" w:eastAsia="zh-CN"/>
                    </w:rPr>
                    <w:t>东</w:t>
                  </w:r>
                </w:p>
              </w:tc>
              <w:tc>
                <w:tcPr>
                  <w:tcW w:w="780" w:type="dxa"/>
                  <w:tcBorders>
                    <w:tl2br w:val="nil"/>
                    <w:tr2bl w:val="nil"/>
                  </w:tcBorders>
                  <w:noWrap w:val="0"/>
                  <w:vAlign w:val="center"/>
                </w:tcPr>
                <w:p w14:paraId="3C649450">
                  <w:pPr>
                    <w:widowControl/>
                    <w:jc w:val="center"/>
                    <w:rPr>
                      <w:rFonts w:hint="default" w:eastAsia="宋体"/>
                      <w:b w:val="0"/>
                      <w:bCs w:val="0"/>
                      <w:color w:val="auto"/>
                      <w:kern w:val="0"/>
                      <w:sz w:val="21"/>
                      <w:szCs w:val="21"/>
                      <w:lang w:val="en-US" w:eastAsia="zh-CN"/>
                    </w:rPr>
                  </w:pPr>
                  <w:r>
                    <w:rPr>
                      <w:rFonts w:hint="eastAsia"/>
                      <w:b w:val="0"/>
                      <w:bCs w:val="0"/>
                      <w:color w:val="auto"/>
                      <w:kern w:val="0"/>
                      <w:sz w:val="21"/>
                      <w:szCs w:val="21"/>
                      <w:lang w:val="en-US" w:eastAsia="zh-CN"/>
                    </w:rPr>
                    <w:t>483</w:t>
                  </w:r>
                </w:p>
              </w:tc>
              <w:tc>
                <w:tcPr>
                  <w:tcW w:w="1040" w:type="dxa"/>
                  <w:tcBorders>
                    <w:tl2br w:val="nil"/>
                    <w:tr2bl w:val="nil"/>
                  </w:tcBorders>
                  <w:noWrap w:val="0"/>
                  <w:vAlign w:val="center"/>
                </w:tcPr>
                <w:p w14:paraId="12F4C544">
                  <w:pPr>
                    <w:widowControl/>
                    <w:jc w:val="center"/>
                    <w:rPr>
                      <w:b w:val="0"/>
                      <w:bCs w:val="0"/>
                      <w:color w:val="auto"/>
                      <w:kern w:val="0"/>
                      <w:sz w:val="21"/>
                      <w:szCs w:val="21"/>
                    </w:rPr>
                  </w:pPr>
                  <w:r>
                    <w:rPr>
                      <w:b w:val="0"/>
                      <w:bCs w:val="0"/>
                      <w:color w:val="auto"/>
                      <w:kern w:val="0"/>
                      <w:sz w:val="21"/>
                      <w:szCs w:val="21"/>
                    </w:rPr>
                    <w:t>居住区</w:t>
                  </w:r>
                </w:p>
              </w:tc>
              <w:tc>
                <w:tcPr>
                  <w:tcW w:w="733" w:type="dxa"/>
                  <w:tcBorders>
                    <w:tl2br w:val="nil"/>
                    <w:tr2bl w:val="nil"/>
                  </w:tcBorders>
                  <w:noWrap w:val="0"/>
                  <w:vAlign w:val="center"/>
                </w:tcPr>
                <w:p w14:paraId="2062473C">
                  <w:pPr>
                    <w:widowControl/>
                    <w:jc w:val="center"/>
                    <w:rPr>
                      <w:b w:val="0"/>
                      <w:bCs w:val="0"/>
                      <w:color w:val="auto"/>
                      <w:kern w:val="0"/>
                      <w:sz w:val="21"/>
                      <w:szCs w:val="21"/>
                    </w:rPr>
                  </w:pPr>
                  <w:r>
                    <w:rPr>
                      <w:rFonts w:hint="eastAsia" w:cs="Times New Roman"/>
                      <w:b w:val="0"/>
                      <w:bCs w:val="0"/>
                      <w:color w:val="auto"/>
                      <w:kern w:val="0"/>
                      <w:sz w:val="21"/>
                      <w:szCs w:val="21"/>
                      <w:lang w:val="en-US" w:eastAsia="zh-CN" w:bidi="ar-SA"/>
                    </w:rPr>
                    <w:t>居民</w:t>
                  </w:r>
                </w:p>
              </w:tc>
              <w:tc>
                <w:tcPr>
                  <w:tcW w:w="1256" w:type="dxa"/>
                  <w:vMerge w:val="continue"/>
                  <w:tcBorders>
                    <w:tl2br w:val="nil"/>
                    <w:tr2bl w:val="nil"/>
                  </w:tcBorders>
                  <w:noWrap w:val="0"/>
                  <w:vAlign w:val="center"/>
                </w:tcPr>
                <w:p w14:paraId="615C0086">
                  <w:pPr>
                    <w:widowControl/>
                    <w:jc w:val="center"/>
                    <w:rPr>
                      <w:b w:val="0"/>
                      <w:bCs w:val="0"/>
                      <w:color w:val="auto"/>
                      <w:kern w:val="0"/>
                      <w:sz w:val="21"/>
                      <w:szCs w:val="21"/>
                    </w:rPr>
                  </w:pPr>
                </w:p>
              </w:tc>
            </w:tr>
            <w:tr w14:paraId="70174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tcBorders>
                    <w:tl2br w:val="nil"/>
                    <w:tr2bl w:val="nil"/>
                  </w:tcBorders>
                  <w:noWrap w:val="0"/>
                  <w:vAlign w:val="center"/>
                </w:tcPr>
                <w:p w14:paraId="72FA27D8">
                  <w:pPr>
                    <w:widowControl/>
                    <w:jc w:val="center"/>
                    <w:rPr>
                      <w:b w:val="0"/>
                      <w:bCs w:val="0"/>
                      <w:color w:val="auto"/>
                      <w:kern w:val="0"/>
                      <w:sz w:val="21"/>
                      <w:szCs w:val="21"/>
                    </w:rPr>
                  </w:pPr>
                  <w:r>
                    <w:rPr>
                      <w:rFonts w:hint="eastAsia"/>
                      <w:b w:val="0"/>
                      <w:bCs w:val="0"/>
                      <w:color w:val="auto"/>
                      <w:kern w:val="0"/>
                      <w:sz w:val="21"/>
                      <w:szCs w:val="21"/>
                    </w:rPr>
                    <w:t>声环境</w:t>
                  </w:r>
                </w:p>
              </w:tc>
              <w:tc>
                <w:tcPr>
                  <w:tcW w:w="1266" w:type="dxa"/>
                  <w:tcBorders>
                    <w:tl2br w:val="nil"/>
                    <w:tr2bl w:val="nil"/>
                  </w:tcBorders>
                  <w:noWrap w:val="0"/>
                  <w:vAlign w:val="center"/>
                </w:tcPr>
                <w:p w14:paraId="7FCA0F18">
                  <w:pPr>
                    <w:widowControl/>
                    <w:jc w:val="center"/>
                    <w:rPr>
                      <w:rFonts w:hint="default" w:ascii="Times New Roman" w:hAnsi="Times New Roman" w:cs="Times New Roman"/>
                      <w:b w:val="0"/>
                      <w:bCs w:val="0"/>
                      <w:color w:val="auto"/>
                      <w:kern w:val="0"/>
                      <w:sz w:val="21"/>
                      <w:szCs w:val="21"/>
                    </w:rPr>
                  </w:pPr>
                  <w:r>
                    <w:rPr>
                      <w:rFonts w:hint="default" w:ascii="Times New Roman" w:hAnsi="Times New Roman" w:cs="Times New Roman"/>
                      <w:b w:val="0"/>
                      <w:bCs w:val="0"/>
                      <w:snapToGrid w:val="0"/>
                      <w:color w:val="auto"/>
                      <w:kern w:val="0"/>
                      <w:sz w:val="21"/>
                      <w:szCs w:val="21"/>
                      <w:lang w:val="en-US" w:eastAsia="zh-CN"/>
                    </w:rPr>
                    <w:t>焦岗村</w:t>
                  </w:r>
                </w:p>
              </w:tc>
              <w:tc>
                <w:tcPr>
                  <w:tcW w:w="1287" w:type="dxa"/>
                  <w:tcBorders>
                    <w:tl2br w:val="nil"/>
                    <w:tr2bl w:val="nil"/>
                  </w:tcBorders>
                  <w:noWrap w:val="0"/>
                  <w:vAlign w:val="center"/>
                </w:tcPr>
                <w:p w14:paraId="60DE7B0D">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N114°50'09.929"</w:t>
                  </w:r>
                </w:p>
                <w:p w14:paraId="6B31658F">
                  <w:pPr>
                    <w:widowControl/>
                    <w:jc w:val="center"/>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E33°40'43.367"</w:t>
                  </w:r>
                </w:p>
              </w:tc>
              <w:tc>
                <w:tcPr>
                  <w:tcW w:w="1113" w:type="dxa"/>
                  <w:tcBorders>
                    <w:tl2br w:val="nil"/>
                    <w:tr2bl w:val="nil"/>
                  </w:tcBorders>
                  <w:noWrap w:val="0"/>
                  <w:vAlign w:val="center"/>
                </w:tcPr>
                <w:p w14:paraId="41F12643">
                  <w:pPr>
                    <w:widowControl/>
                    <w:jc w:val="center"/>
                    <w:rPr>
                      <w:rFonts w:hint="eastAsia"/>
                      <w:b w:val="0"/>
                      <w:bCs w:val="0"/>
                      <w:color w:val="auto"/>
                      <w:kern w:val="0"/>
                      <w:sz w:val="21"/>
                      <w:szCs w:val="21"/>
                      <w:lang w:val="en-US" w:eastAsia="zh-CN"/>
                    </w:rPr>
                  </w:pPr>
                  <w:r>
                    <w:rPr>
                      <w:rFonts w:hint="eastAsia"/>
                      <w:b w:val="0"/>
                      <w:bCs w:val="0"/>
                      <w:color w:val="auto"/>
                      <w:kern w:val="0"/>
                      <w:sz w:val="21"/>
                      <w:szCs w:val="21"/>
                      <w:lang w:val="en-US" w:eastAsia="zh-CN"/>
                    </w:rPr>
                    <w:t>南</w:t>
                  </w:r>
                </w:p>
              </w:tc>
              <w:tc>
                <w:tcPr>
                  <w:tcW w:w="780" w:type="dxa"/>
                  <w:tcBorders>
                    <w:tl2br w:val="nil"/>
                    <w:tr2bl w:val="nil"/>
                  </w:tcBorders>
                  <w:noWrap w:val="0"/>
                  <w:vAlign w:val="center"/>
                </w:tcPr>
                <w:p w14:paraId="0E6D13FD">
                  <w:pPr>
                    <w:widowControl/>
                    <w:jc w:val="center"/>
                    <w:rPr>
                      <w:rFonts w:hint="eastAsia"/>
                      <w:b w:val="0"/>
                      <w:bCs w:val="0"/>
                      <w:color w:val="auto"/>
                      <w:kern w:val="0"/>
                      <w:sz w:val="21"/>
                      <w:szCs w:val="21"/>
                      <w:lang w:val="en-US" w:eastAsia="zh-CN"/>
                    </w:rPr>
                  </w:pPr>
                  <w:r>
                    <w:rPr>
                      <w:rFonts w:hint="eastAsia"/>
                      <w:b w:val="0"/>
                      <w:bCs w:val="0"/>
                      <w:color w:val="auto"/>
                      <w:kern w:val="0"/>
                      <w:sz w:val="21"/>
                      <w:szCs w:val="21"/>
                      <w:lang w:val="en-US" w:eastAsia="zh-CN"/>
                    </w:rPr>
                    <w:t>35</w:t>
                  </w:r>
                </w:p>
              </w:tc>
              <w:tc>
                <w:tcPr>
                  <w:tcW w:w="3029" w:type="dxa"/>
                  <w:gridSpan w:val="3"/>
                  <w:tcBorders>
                    <w:tl2br w:val="nil"/>
                    <w:tr2bl w:val="nil"/>
                  </w:tcBorders>
                  <w:noWrap w:val="0"/>
                  <w:vAlign w:val="center"/>
                </w:tcPr>
                <w:p w14:paraId="1FB82457">
                  <w:pPr>
                    <w:widowControl/>
                    <w:jc w:val="center"/>
                    <w:rPr>
                      <w:rFonts w:hint="eastAsia"/>
                      <w:b w:val="0"/>
                      <w:bCs w:val="0"/>
                      <w:color w:val="auto"/>
                      <w:kern w:val="0"/>
                      <w:sz w:val="21"/>
                      <w:szCs w:val="21"/>
                      <w:lang w:val="en-US" w:eastAsia="zh-CN"/>
                    </w:rPr>
                  </w:pPr>
                  <w:r>
                    <w:rPr>
                      <w:rFonts w:hint="eastAsia"/>
                      <w:b w:val="0"/>
                      <w:bCs w:val="0"/>
                      <w:color w:val="auto"/>
                      <w:kern w:val="0"/>
                      <w:sz w:val="21"/>
                      <w:szCs w:val="21"/>
                      <w:lang w:val="en-US" w:eastAsia="zh-CN"/>
                    </w:rPr>
                    <w:t>《声环境质量标准》（GB3096-2008）2 类标准要求</w:t>
                  </w:r>
                </w:p>
              </w:tc>
            </w:tr>
            <w:tr w14:paraId="2B5DC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trPr>
              <w:tc>
                <w:tcPr>
                  <w:tcW w:w="907" w:type="dxa"/>
                  <w:tcBorders>
                    <w:tl2br w:val="nil"/>
                    <w:tr2bl w:val="nil"/>
                  </w:tcBorders>
                  <w:noWrap w:val="0"/>
                  <w:vAlign w:val="center"/>
                </w:tcPr>
                <w:p w14:paraId="1F37ED6A">
                  <w:pPr>
                    <w:widowControl/>
                    <w:jc w:val="center"/>
                    <w:rPr>
                      <w:b w:val="0"/>
                      <w:bCs w:val="0"/>
                      <w:color w:val="auto"/>
                      <w:kern w:val="0"/>
                      <w:sz w:val="21"/>
                      <w:szCs w:val="21"/>
                    </w:rPr>
                  </w:pPr>
                  <w:r>
                    <w:rPr>
                      <w:b w:val="0"/>
                      <w:bCs w:val="0"/>
                      <w:color w:val="auto"/>
                      <w:kern w:val="0"/>
                      <w:sz w:val="21"/>
                      <w:szCs w:val="21"/>
                    </w:rPr>
                    <w:t>地下水环境</w:t>
                  </w:r>
                </w:p>
              </w:tc>
              <w:tc>
                <w:tcPr>
                  <w:tcW w:w="7475" w:type="dxa"/>
                  <w:gridSpan w:val="7"/>
                  <w:tcBorders>
                    <w:tl2br w:val="nil"/>
                    <w:tr2bl w:val="nil"/>
                  </w:tcBorders>
                  <w:noWrap w:val="0"/>
                  <w:vAlign w:val="center"/>
                </w:tcPr>
                <w:p w14:paraId="3BF382D5">
                  <w:pPr>
                    <w:widowControl/>
                    <w:rPr>
                      <w:b w:val="0"/>
                      <w:bCs w:val="0"/>
                      <w:color w:val="auto"/>
                      <w:sz w:val="21"/>
                      <w:szCs w:val="21"/>
                    </w:rPr>
                  </w:pPr>
                  <w:r>
                    <w:rPr>
                      <w:b w:val="0"/>
                      <w:bCs w:val="0"/>
                      <w:color w:val="auto"/>
                      <w:sz w:val="21"/>
                      <w:szCs w:val="21"/>
                    </w:rPr>
                    <w:t>厂界外500m范围内无地下水集中式饮用水水源或热水、矿泉水、温泉等特殊地下水资源</w:t>
                  </w:r>
                </w:p>
              </w:tc>
            </w:tr>
            <w:tr w14:paraId="5247B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 w:type="dxa"/>
                  <w:tcBorders>
                    <w:tl2br w:val="nil"/>
                    <w:tr2bl w:val="nil"/>
                  </w:tcBorders>
                  <w:noWrap w:val="0"/>
                  <w:vAlign w:val="center"/>
                </w:tcPr>
                <w:p w14:paraId="7223A785">
                  <w:pPr>
                    <w:widowControl/>
                    <w:jc w:val="center"/>
                    <w:rPr>
                      <w:b w:val="0"/>
                      <w:bCs w:val="0"/>
                      <w:color w:val="auto"/>
                      <w:kern w:val="0"/>
                      <w:sz w:val="21"/>
                      <w:szCs w:val="21"/>
                    </w:rPr>
                  </w:pPr>
                  <w:r>
                    <w:rPr>
                      <w:b w:val="0"/>
                      <w:bCs w:val="0"/>
                      <w:color w:val="auto"/>
                      <w:kern w:val="0"/>
                      <w:sz w:val="21"/>
                      <w:szCs w:val="21"/>
                    </w:rPr>
                    <w:t>生态环境</w:t>
                  </w:r>
                </w:p>
              </w:tc>
              <w:tc>
                <w:tcPr>
                  <w:tcW w:w="7475" w:type="dxa"/>
                  <w:gridSpan w:val="7"/>
                  <w:tcBorders>
                    <w:tl2br w:val="nil"/>
                    <w:tr2bl w:val="nil"/>
                  </w:tcBorders>
                  <w:noWrap w:val="0"/>
                  <w:vAlign w:val="center"/>
                </w:tcPr>
                <w:p w14:paraId="168830DD">
                  <w:pPr>
                    <w:widowControl/>
                    <w:rPr>
                      <w:b w:val="0"/>
                      <w:bCs w:val="0"/>
                      <w:color w:val="auto"/>
                      <w:sz w:val="21"/>
                      <w:szCs w:val="21"/>
                    </w:rPr>
                  </w:pPr>
                  <w:r>
                    <w:rPr>
                      <w:b w:val="0"/>
                      <w:bCs w:val="0"/>
                      <w:color w:val="auto"/>
                      <w:sz w:val="21"/>
                      <w:szCs w:val="21"/>
                    </w:rPr>
                    <w:t>本项目位于</w:t>
                  </w:r>
                  <w:r>
                    <w:rPr>
                      <w:rFonts w:hint="eastAsia"/>
                      <w:b w:val="0"/>
                      <w:bCs w:val="0"/>
                      <w:color w:val="auto"/>
                      <w:sz w:val="21"/>
                      <w:szCs w:val="21"/>
                    </w:rPr>
                    <w:t>周口先进制造业开发区</w:t>
                  </w:r>
                  <w:r>
                    <w:rPr>
                      <w:b w:val="0"/>
                      <w:bCs w:val="0"/>
                      <w:color w:val="auto"/>
                      <w:sz w:val="21"/>
                      <w:szCs w:val="21"/>
                    </w:rPr>
                    <w:t>，用地范围内无生态环境保护目标</w:t>
                  </w:r>
                </w:p>
              </w:tc>
            </w:tr>
          </w:tbl>
          <w:p w14:paraId="71388557">
            <w:pPr>
              <w:adjustRightInd w:val="0"/>
              <w:snapToGrid w:val="0"/>
              <w:rPr>
                <w:b w:val="0"/>
                <w:bCs w:val="0"/>
                <w:color w:val="FF0000"/>
                <w:kern w:val="0"/>
                <w:szCs w:val="21"/>
              </w:rPr>
            </w:pPr>
          </w:p>
        </w:tc>
      </w:tr>
      <w:tr w14:paraId="16BA43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18" w:hRule="atLeast"/>
          <w:jc w:val="center"/>
        </w:trPr>
        <w:tc>
          <w:tcPr>
            <w:tcW w:w="667" w:type="dxa"/>
            <w:noWrap w:val="0"/>
            <w:tcMar>
              <w:left w:w="28" w:type="dxa"/>
              <w:right w:w="28" w:type="dxa"/>
            </w:tcMar>
            <w:vAlign w:val="center"/>
          </w:tcPr>
          <w:p w14:paraId="2B40DEC3">
            <w:pPr>
              <w:adjustRightInd w:val="0"/>
              <w:snapToGrid w:val="0"/>
              <w:jc w:val="center"/>
              <w:rPr>
                <w:b w:val="0"/>
                <w:bCs w:val="0"/>
                <w:color w:val="auto"/>
                <w:kern w:val="0"/>
                <w:szCs w:val="21"/>
              </w:rPr>
            </w:pPr>
            <w:r>
              <w:rPr>
                <w:b w:val="0"/>
                <w:bCs w:val="0"/>
                <w:color w:val="auto"/>
                <w:kern w:val="0"/>
                <w:szCs w:val="21"/>
              </w:rPr>
              <w:t>污染</w:t>
            </w:r>
          </w:p>
          <w:p w14:paraId="443C69D1">
            <w:pPr>
              <w:adjustRightInd w:val="0"/>
              <w:snapToGrid w:val="0"/>
              <w:jc w:val="center"/>
              <w:rPr>
                <w:b w:val="0"/>
                <w:bCs w:val="0"/>
                <w:color w:val="auto"/>
                <w:kern w:val="0"/>
                <w:szCs w:val="21"/>
              </w:rPr>
            </w:pPr>
            <w:r>
              <w:rPr>
                <w:b w:val="0"/>
                <w:bCs w:val="0"/>
                <w:color w:val="auto"/>
                <w:kern w:val="0"/>
                <w:szCs w:val="21"/>
              </w:rPr>
              <w:t>物排</w:t>
            </w:r>
          </w:p>
          <w:p w14:paraId="0837C779">
            <w:pPr>
              <w:adjustRightInd w:val="0"/>
              <w:snapToGrid w:val="0"/>
              <w:jc w:val="center"/>
              <w:rPr>
                <w:b w:val="0"/>
                <w:bCs w:val="0"/>
                <w:color w:val="auto"/>
                <w:kern w:val="0"/>
                <w:szCs w:val="21"/>
              </w:rPr>
            </w:pPr>
            <w:r>
              <w:rPr>
                <w:b w:val="0"/>
                <w:bCs w:val="0"/>
                <w:color w:val="auto"/>
                <w:kern w:val="0"/>
                <w:szCs w:val="21"/>
              </w:rPr>
              <w:t>放控</w:t>
            </w:r>
          </w:p>
          <w:p w14:paraId="72696C83">
            <w:pPr>
              <w:adjustRightInd w:val="0"/>
              <w:snapToGrid w:val="0"/>
              <w:jc w:val="center"/>
              <w:rPr>
                <w:b w:val="0"/>
                <w:bCs w:val="0"/>
                <w:color w:val="auto"/>
                <w:kern w:val="0"/>
                <w:szCs w:val="21"/>
              </w:rPr>
            </w:pPr>
            <w:r>
              <w:rPr>
                <w:b w:val="0"/>
                <w:bCs w:val="0"/>
                <w:color w:val="auto"/>
                <w:kern w:val="0"/>
                <w:szCs w:val="21"/>
              </w:rPr>
              <w:t>制标</w:t>
            </w:r>
          </w:p>
          <w:p w14:paraId="18E67EAA">
            <w:pPr>
              <w:adjustRightInd w:val="0"/>
              <w:snapToGrid w:val="0"/>
              <w:jc w:val="center"/>
              <w:rPr>
                <w:b w:val="0"/>
                <w:bCs w:val="0"/>
                <w:color w:val="FF0000"/>
                <w:kern w:val="0"/>
                <w:szCs w:val="21"/>
              </w:rPr>
            </w:pPr>
            <w:r>
              <w:rPr>
                <w:b w:val="0"/>
                <w:bCs w:val="0"/>
                <w:color w:val="auto"/>
                <w:kern w:val="0"/>
                <w:szCs w:val="21"/>
              </w:rPr>
              <w:t>准</w:t>
            </w:r>
          </w:p>
        </w:tc>
        <w:tc>
          <w:tcPr>
            <w:tcW w:w="8394" w:type="dxa"/>
            <w:noWrap w:val="0"/>
            <w:vAlign w:val="center"/>
          </w:tcPr>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518"/>
              <w:gridCol w:w="1018"/>
              <w:gridCol w:w="1008"/>
              <w:gridCol w:w="2995"/>
            </w:tblGrid>
            <w:tr w14:paraId="0AFA1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noWrap w:val="0"/>
                  <w:vAlign w:val="center"/>
                </w:tcPr>
                <w:p w14:paraId="0785E70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b/>
                      <w:kern w:val="2"/>
                      <w:sz w:val="21"/>
                      <w:lang w:val="en-US" w:eastAsia="zh-CN" w:bidi="ar-SA"/>
                    </w:rPr>
                  </w:pPr>
                  <w:r>
                    <w:rPr>
                      <w:b/>
                      <w:sz w:val="21"/>
                    </w:rPr>
                    <w:t>环境要素</w:t>
                  </w:r>
                </w:p>
              </w:tc>
              <w:tc>
                <w:tcPr>
                  <w:tcW w:w="3536" w:type="dxa"/>
                  <w:gridSpan w:val="2"/>
                  <w:noWrap w:val="0"/>
                  <w:vAlign w:val="center"/>
                </w:tcPr>
                <w:p w14:paraId="303FF59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b/>
                      <w:kern w:val="2"/>
                      <w:sz w:val="21"/>
                      <w:lang w:val="en-US" w:eastAsia="zh-CN" w:bidi="ar-SA"/>
                    </w:rPr>
                  </w:pPr>
                  <w:r>
                    <w:rPr>
                      <w:b/>
                      <w:sz w:val="21"/>
                    </w:rPr>
                    <w:t>标准名称</w:t>
                  </w:r>
                </w:p>
              </w:tc>
              <w:tc>
                <w:tcPr>
                  <w:tcW w:w="4003" w:type="dxa"/>
                  <w:gridSpan w:val="2"/>
                  <w:noWrap w:val="0"/>
                  <w:vAlign w:val="center"/>
                </w:tcPr>
                <w:p w14:paraId="4C8E0FD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b/>
                      <w:kern w:val="2"/>
                      <w:sz w:val="21"/>
                      <w:lang w:val="en-US" w:eastAsia="zh-CN" w:bidi="ar-SA"/>
                    </w:rPr>
                  </w:pPr>
                  <w:r>
                    <w:rPr>
                      <w:b/>
                      <w:sz w:val="21"/>
                    </w:rPr>
                    <w:t>主要污染物限值</w:t>
                  </w:r>
                </w:p>
              </w:tc>
            </w:tr>
            <w:tr w14:paraId="7B797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846" w:type="dxa"/>
                  <w:vMerge w:val="restart"/>
                  <w:noWrap w:val="0"/>
                  <w:vAlign w:val="center"/>
                </w:tcPr>
                <w:p w14:paraId="5963E957">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sz w:val="21"/>
                      <w:szCs w:val="21"/>
                    </w:rPr>
                  </w:pPr>
                  <w:r>
                    <w:rPr>
                      <w:sz w:val="21"/>
                      <w:szCs w:val="21"/>
                    </w:rPr>
                    <w:t>废气</w:t>
                  </w:r>
                </w:p>
              </w:tc>
              <w:tc>
                <w:tcPr>
                  <w:tcW w:w="3536" w:type="dxa"/>
                  <w:gridSpan w:val="2"/>
                  <w:noWrap w:val="0"/>
                  <w:vAlign w:val="center"/>
                </w:tcPr>
                <w:p w14:paraId="4DBF56A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b w:val="0"/>
                      <w:bCs/>
                      <w:kern w:val="2"/>
                      <w:sz w:val="21"/>
                      <w:lang w:val="en-US" w:eastAsia="zh-CN" w:bidi="ar-SA"/>
                    </w:rPr>
                  </w:pPr>
                  <w:r>
                    <w:rPr>
                      <w:rFonts w:hint="eastAsia"/>
                      <w:b w:val="0"/>
                      <w:bCs/>
                      <w:kern w:val="2"/>
                      <w:sz w:val="21"/>
                      <w:lang w:val="en-US" w:eastAsia="zh-CN" w:bidi="ar-SA"/>
                    </w:rPr>
                    <w:t>《玻璃工业大气污染物排放标准》（GB26453—2022）表1</w:t>
                  </w:r>
                  <w:r>
                    <w:rPr>
                      <w:rFonts w:hint="eastAsia" w:ascii="Times New Roman" w:hAnsi="Times New Roman" w:cs="Times New Roman"/>
                      <w:b w:val="0"/>
                      <w:bCs w:val="0"/>
                      <w:sz w:val="21"/>
                      <w:szCs w:val="21"/>
                      <w:u w:val="none"/>
                      <w:lang w:val="en-US" w:eastAsia="zh-CN"/>
                    </w:rPr>
                    <w:t>标准</w:t>
                  </w:r>
                </w:p>
              </w:tc>
              <w:tc>
                <w:tcPr>
                  <w:tcW w:w="4003" w:type="dxa"/>
                  <w:gridSpan w:val="2"/>
                  <w:noWrap w:val="0"/>
                  <w:vAlign w:val="center"/>
                </w:tcPr>
                <w:p w14:paraId="2DC5C7E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kern w:val="2"/>
                      <w:sz w:val="21"/>
                      <w:szCs w:val="21"/>
                      <w:u w:val="none"/>
                      <w:lang w:val="en-US" w:eastAsia="zh-CN" w:bidi="ar-SA"/>
                    </w:rPr>
                  </w:pPr>
                  <w:r>
                    <w:rPr>
                      <w:rFonts w:hint="eastAsia" w:ascii="Times New Roman" w:hAnsi="Times New Roman" w:eastAsia="宋体" w:cs="Times New Roman"/>
                      <w:kern w:val="2"/>
                      <w:sz w:val="21"/>
                      <w:szCs w:val="21"/>
                      <w:lang w:val="en-US" w:eastAsia="zh-CN" w:bidi="ar-SA"/>
                    </w:rPr>
                    <w:t>非甲烷总烃</w:t>
                  </w:r>
                  <w:r>
                    <w:rPr>
                      <w:rFonts w:hint="default" w:ascii="Times New Roman" w:hAnsi="Times New Roman" w:cs="Times New Roman"/>
                      <w:b w:val="0"/>
                      <w:bCs w:val="0"/>
                      <w:sz w:val="21"/>
                      <w:szCs w:val="21"/>
                      <w:u w:val="none"/>
                    </w:rPr>
                    <w:t>有组织</w:t>
                  </w:r>
                  <w:r>
                    <w:rPr>
                      <w:rFonts w:hint="default" w:ascii="Times New Roman" w:hAnsi="Times New Roman" w:eastAsia="宋体" w:cs="Times New Roman"/>
                      <w:color w:val="auto"/>
                      <w:sz w:val="21"/>
                      <w:szCs w:val="21"/>
                      <w:vertAlign w:val="baseline"/>
                      <w:lang w:val="en-US" w:eastAsia="zh-CN"/>
                    </w:rPr>
                    <w:t>排放浓度≤</w:t>
                  </w:r>
                  <w:r>
                    <w:rPr>
                      <w:rFonts w:hint="eastAsia" w:ascii="Times New Roman" w:hAnsi="Times New Roman" w:eastAsia="宋体" w:cs="Times New Roman"/>
                      <w:color w:val="auto"/>
                      <w:sz w:val="21"/>
                      <w:szCs w:val="21"/>
                      <w:vertAlign w:val="baseline"/>
                      <w:lang w:val="en-US" w:eastAsia="zh-CN"/>
                    </w:rPr>
                    <w:t>8</w:t>
                  </w:r>
                  <w:r>
                    <w:rPr>
                      <w:rFonts w:hint="default" w:ascii="Times New Roman" w:hAnsi="Times New Roman" w:eastAsia="宋体" w:cs="Times New Roman"/>
                      <w:color w:val="auto"/>
                      <w:sz w:val="21"/>
                      <w:szCs w:val="21"/>
                      <w:vertAlign w:val="baseline"/>
                      <w:lang w:val="en-US" w:eastAsia="zh-CN"/>
                    </w:rPr>
                    <w:t>0mg/m</w:t>
                  </w:r>
                  <w:r>
                    <w:rPr>
                      <w:rFonts w:hint="default" w:ascii="Times New Roman" w:hAnsi="Times New Roman" w:eastAsia="宋体" w:cs="Times New Roman"/>
                      <w:color w:val="auto"/>
                      <w:sz w:val="22"/>
                      <w:szCs w:val="22"/>
                      <w:vertAlign w:val="superscript"/>
                      <w:lang w:val="en-US" w:eastAsia="zh-CN"/>
                    </w:rPr>
                    <w:t>3</w:t>
                  </w:r>
                  <w:r>
                    <w:rPr>
                      <w:rFonts w:hint="eastAsia" w:cs="Times New Roman"/>
                      <w:color w:val="auto"/>
                      <w:sz w:val="22"/>
                      <w:szCs w:val="22"/>
                      <w:vertAlign w:val="baseline"/>
                      <w:lang w:val="en-US" w:eastAsia="zh-CN"/>
                    </w:rPr>
                    <w:t>、颗粒物有组织排放浓度</w:t>
                  </w:r>
                  <w:r>
                    <w:rPr>
                      <w:rFonts w:hint="default" w:ascii="Times New Roman" w:hAnsi="Times New Roman" w:eastAsia="宋体" w:cs="Times New Roman"/>
                      <w:color w:val="auto"/>
                      <w:sz w:val="21"/>
                      <w:szCs w:val="21"/>
                      <w:vertAlign w:val="baseline"/>
                      <w:lang w:val="en-US" w:eastAsia="zh-CN"/>
                    </w:rPr>
                    <w:t>≤</w:t>
                  </w:r>
                  <w:r>
                    <w:rPr>
                      <w:rFonts w:hint="eastAsia" w:cs="Times New Roman"/>
                      <w:color w:val="auto"/>
                      <w:sz w:val="21"/>
                      <w:szCs w:val="21"/>
                      <w:vertAlign w:val="baseline"/>
                      <w:lang w:val="en-US" w:eastAsia="zh-CN"/>
                    </w:rPr>
                    <w:t>3</w:t>
                  </w:r>
                  <w:r>
                    <w:rPr>
                      <w:rFonts w:hint="default" w:ascii="Times New Roman" w:hAnsi="Times New Roman" w:eastAsia="宋体" w:cs="Times New Roman"/>
                      <w:color w:val="auto"/>
                      <w:sz w:val="21"/>
                      <w:szCs w:val="21"/>
                      <w:vertAlign w:val="baseline"/>
                      <w:lang w:val="en-US" w:eastAsia="zh-CN"/>
                    </w:rPr>
                    <w:t>0mg/m</w:t>
                  </w:r>
                  <w:r>
                    <w:rPr>
                      <w:rFonts w:hint="default" w:ascii="Times New Roman" w:hAnsi="Times New Roman" w:eastAsia="宋体" w:cs="Times New Roman"/>
                      <w:color w:val="auto"/>
                      <w:sz w:val="22"/>
                      <w:szCs w:val="22"/>
                      <w:vertAlign w:val="superscript"/>
                      <w:lang w:val="en-US" w:eastAsia="zh-CN"/>
                    </w:rPr>
                    <w:t>3</w:t>
                  </w:r>
                </w:p>
              </w:tc>
            </w:tr>
            <w:tr w14:paraId="41FF6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trPr>
              <w:tc>
                <w:tcPr>
                  <w:tcW w:w="846" w:type="dxa"/>
                  <w:vMerge w:val="continue"/>
                  <w:noWrap w:val="0"/>
                  <w:vAlign w:val="center"/>
                </w:tcPr>
                <w:p w14:paraId="608E0456">
                  <w:pPr>
                    <w:pStyle w:val="16"/>
                    <w:keepNext w:val="0"/>
                    <w:keepLines w:val="0"/>
                    <w:pageBreakBefore w:val="0"/>
                    <w:widowControl w:val="0"/>
                    <w:kinsoku/>
                    <w:wordWrap/>
                    <w:overflowPunct/>
                    <w:topLinePunct w:val="0"/>
                    <w:autoSpaceDE/>
                    <w:autoSpaceDN/>
                    <w:bidi w:val="0"/>
                    <w:adjustRightInd w:val="0"/>
                    <w:snapToGrid w:val="0"/>
                    <w:jc w:val="center"/>
                    <w:textAlignment w:val="auto"/>
                    <w:rPr>
                      <w:sz w:val="21"/>
                      <w:szCs w:val="21"/>
                    </w:rPr>
                  </w:pPr>
                </w:p>
              </w:tc>
              <w:tc>
                <w:tcPr>
                  <w:tcW w:w="3536" w:type="dxa"/>
                  <w:gridSpan w:val="2"/>
                  <w:vMerge w:val="restart"/>
                  <w:noWrap w:val="0"/>
                  <w:vAlign w:val="center"/>
                </w:tcPr>
                <w:p w14:paraId="366E8D5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b w:val="0"/>
                      <w:bCs/>
                      <w:kern w:val="2"/>
                      <w:sz w:val="21"/>
                      <w:lang w:val="en-US" w:eastAsia="zh-CN" w:bidi="ar-SA"/>
                    </w:rPr>
                  </w:pPr>
                  <w:r>
                    <w:rPr>
                      <w:rFonts w:hint="default"/>
                      <w:b w:val="0"/>
                      <w:bCs/>
                      <w:kern w:val="2"/>
                      <w:sz w:val="21"/>
                      <w:lang w:val="en-US" w:eastAsia="zh-CN" w:bidi="ar-SA"/>
                    </w:rPr>
                    <w:t>《印刷工业挥发性有机物排放标准》（DB41/1956-2020）</w:t>
                  </w:r>
                  <w:r>
                    <w:rPr>
                      <w:rFonts w:hint="eastAsia"/>
                      <w:b w:val="0"/>
                      <w:bCs/>
                      <w:kern w:val="2"/>
                      <w:sz w:val="21"/>
                      <w:lang w:val="en-US" w:eastAsia="zh-CN" w:bidi="ar-SA"/>
                    </w:rPr>
                    <w:t>表1</w:t>
                  </w:r>
                  <w:r>
                    <w:rPr>
                      <w:rFonts w:hint="eastAsia" w:ascii="Times New Roman" w:hAnsi="Times New Roman" w:cs="Times New Roman"/>
                      <w:b w:val="0"/>
                      <w:bCs w:val="0"/>
                      <w:sz w:val="21"/>
                      <w:szCs w:val="21"/>
                      <w:u w:val="none"/>
                      <w:lang w:val="en-US" w:eastAsia="zh-CN"/>
                    </w:rPr>
                    <w:t>标准</w:t>
                  </w:r>
                </w:p>
              </w:tc>
              <w:tc>
                <w:tcPr>
                  <w:tcW w:w="4003" w:type="dxa"/>
                  <w:gridSpan w:val="2"/>
                  <w:noWrap w:val="0"/>
                  <w:vAlign w:val="center"/>
                </w:tcPr>
                <w:p w14:paraId="5AABF3C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有组织非甲烷总烃</w:t>
                  </w:r>
                  <w:r>
                    <w:rPr>
                      <w:rFonts w:hint="default" w:ascii="Times New Roman" w:hAnsi="Times New Roman" w:eastAsia="宋体" w:cs="Times New Roman"/>
                      <w:color w:val="auto"/>
                      <w:sz w:val="21"/>
                      <w:szCs w:val="21"/>
                      <w:vertAlign w:val="baseline"/>
                      <w:lang w:val="en-US" w:eastAsia="zh-CN"/>
                    </w:rPr>
                    <w:t>排放浓度≤</w:t>
                  </w:r>
                  <w:r>
                    <w:rPr>
                      <w:rFonts w:hint="eastAsia" w:ascii="Times New Roman" w:hAnsi="Times New Roman" w:eastAsia="宋体" w:cs="Times New Roman"/>
                      <w:color w:val="auto"/>
                      <w:sz w:val="21"/>
                      <w:szCs w:val="21"/>
                      <w:vertAlign w:val="baseline"/>
                      <w:lang w:val="en-US" w:eastAsia="zh-CN"/>
                    </w:rPr>
                    <w:t>4</w:t>
                  </w:r>
                  <w:r>
                    <w:rPr>
                      <w:rFonts w:hint="default" w:ascii="Times New Roman" w:hAnsi="Times New Roman" w:eastAsia="宋体" w:cs="Times New Roman"/>
                      <w:color w:val="auto"/>
                      <w:sz w:val="21"/>
                      <w:szCs w:val="21"/>
                      <w:vertAlign w:val="baseline"/>
                      <w:lang w:val="en-US" w:eastAsia="zh-CN"/>
                    </w:rPr>
                    <w:t>0mg/m</w:t>
                  </w:r>
                  <w:r>
                    <w:rPr>
                      <w:rFonts w:hint="default" w:ascii="Times New Roman" w:hAnsi="Times New Roman" w:eastAsia="宋体" w:cs="Times New Roman"/>
                      <w:color w:val="auto"/>
                      <w:sz w:val="22"/>
                      <w:szCs w:val="22"/>
                      <w:vertAlign w:val="superscript"/>
                      <w:lang w:val="en-US" w:eastAsia="zh-CN"/>
                    </w:rPr>
                    <w:t>3</w:t>
                  </w:r>
                  <w:r>
                    <w:rPr>
                      <w:rFonts w:hint="eastAsia" w:ascii="Times New Roman" w:hAnsi="Times New Roman" w:eastAsia="宋体" w:cs="Times New Roman"/>
                      <w:color w:val="auto"/>
                      <w:sz w:val="22"/>
                      <w:szCs w:val="22"/>
                      <w:vertAlign w:val="baseline"/>
                      <w:lang w:val="en-US" w:eastAsia="zh-CN"/>
                    </w:rPr>
                    <w:t>，</w:t>
                  </w:r>
                  <w:r>
                    <w:rPr>
                      <w:rFonts w:hint="eastAsia" w:ascii="Times New Roman" w:hAnsi="Times New Roman" w:eastAsia="宋体" w:cs="Times New Roman"/>
                      <w:color w:val="auto"/>
                      <w:sz w:val="21"/>
                      <w:szCs w:val="21"/>
                      <w:vertAlign w:val="baseline"/>
                      <w:lang w:val="en-US" w:eastAsia="zh-CN"/>
                    </w:rPr>
                    <w:t>排放速率</w:t>
                  </w:r>
                  <w:r>
                    <w:rPr>
                      <w:rFonts w:hint="default" w:ascii="Times New Roman" w:hAnsi="Times New Roman" w:eastAsia="宋体" w:cs="Times New Roman"/>
                      <w:color w:val="auto"/>
                      <w:sz w:val="21"/>
                      <w:szCs w:val="21"/>
                      <w:vertAlign w:val="baseline"/>
                      <w:lang w:val="en-US" w:eastAsia="zh-CN"/>
                    </w:rPr>
                    <w:t>≤</w:t>
                  </w:r>
                  <w:r>
                    <w:rPr>
                      <w:rFonts w:hint="eastAsia" w:ascii="Times New Roman" w:hAnsi="Times New Roman" w:eastAsia="宋体" w:cs="Times New Roman"/>
                      <w:color w:val="auto"/>
                      <w:sz w:val="21"/>
                      <w:szCs w:val="21"/>
                      <w:vertAlign w:val="baseline"/>
                      <w:lang w:val="en-US" w:eastAsia="zh-CN"/>
                    </w:rPr>
                    <w:t>1kg/h</w:t>
                  </w:r>
                </w:p>
              </w:tc>
            </w:tr>
            <w:tr w14:paraId="78749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trPr>
              <w:tc>
                <w:tcPr>
                  <w:tcW w:w="846" w:type="dxa"/>
                  <w:vMerge w:val="continue"/>
                  <w:noWrap w:val="0"/>
                  <w:vAlign w:val="center"/>
                </w:tcPr>
                <w:p w14:paraId="5ADD43A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pPr>
                </w:p>
              </w:tc>
              <w:tc>
                <w:tcPr>
                  <w:tcW w:w="3536" w:type="dxa"/>
                  <w:gridSpan w:val="2"/>
                  <w:vMerge w:val="continue"/>
                  <w:noWrap w:val="0"/>
                  <w:vAlign w:val="center"/>
                </w:tcPr>
                <w:p w14:paraId="77A71F3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pPr>
                </w:p>
              </w:tc>
              <w:tc>
                <w:tcPr>
                  <w:tcW w:w="4003" w:type="dxa"/>
                  <w:gridSpan w:val="2"/>
                  <w:noWrap w:val="0"/>
                  <w:vAlign w:val="center"/>
                </w:tcPr>
                <w:p w14:paraId="0DF64A3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无组织非甲烷总烃监控点处1h平均浓度值</w:t>
                  </w:r>
                  <w:r>
                    <w:rPr>
                      <w:rFonts w:hint="default" w:ascii="Times New Roman" w:hAnsi="Times New Roman" w:eastAsia="宋体" w:cs="Times New Roman"/>
                      <w:color w:val="auto"/>
                      <w:sz w:val="21"/>
                      <w:szCs w:val="21"/>
                      <w:vertAlign w:val="baseline"/>
                      <w:lang w:val="en-US" w:eastAsia="zh-CN"/>
                    </w:rPr>
                    <w:t>≤</w:t>
                  </w:r>
                  <w:r>
                    <w:rPr>
                      <w:rFonts w:hint="eastAsia" w:ascii="Times New Roman" w:hAnsi="Times New Roman" w:eastAsia="宋体" w:cs="Times New Roman"/>
                      <w:kern w:val="2"/>
                      <w:sz w:val="21"/>
                      <w:szCs w:val="21"/>
                      <w:lang w:val="en-US" w:eastAsia="zh-CN" w:bidi="ar-SA"/>
                    </w:rPr>
                    <w:t>6mg/m</w:t>
                  </w:r>
                  <w:r>
                    <w:rPr>
                      <w:rFonts w:hint="eastAsia" w:ascii="Times New Roman" w:hAnsi="Times New Roman" w:eastAsia="宋体" w:cs="Times New Roman"/>
                      <w:kern w:val="2"/>
                      <w:sz w:val="21"/>
                      <w:szCs w:val="21"/>
                      <w:vertAlign w:val="superscript"/>
                      <w:lang w:val="en-US" w:eastAsia="zh-CN" w:bidi="ar-SA"/>
                    </w:rPr>
                    <w:t>3</w:t>
                  </w:r>
                  <w:r>
                    <w:rPr>
                      <w:rFonts w:hint="eastAsia" w:ascii="Times New Roman" w:hAnsi="Times New Roman" w:eastAsia="宋体" w:cs="Times New Roman"/>
                      <w:kern w:val="2"/>
                      <w:sz w:val="21"/>
                      <w:szCs w:val="21"/>
                      <w:lang w:val="en-US" w:eastAsia="zh-CN" w:bidi="ar-SA"/>
                    </w:rPr>
                    <w:t>，监控点处任意一次浓度值20mg/m</w:t>
                  </w:r>
                  <w:r>
                    <w:rPr>
                      <w:rFonts w:hint="eastAsia" w:ascii="Times New Roman" w:hAnsi="Times New Roman" w:eastAsia="宋体" w:cs="Times New Roman"/>
                      <w:kern w:val="2"/>
                      <w:sz w:val="21"/>
                      <w:szCs w:val="21"/>
                      <w:vertAlign w:val="superscript"/>
                      <w:lang w:val="en-US" w:eastAsia="zh-CN" w:bidi="ar-SA"/>
                    </w:rPr>
                    <w:t>3</w:t>
                  </w:r>
                </w:p>
              </w:tc>
            </w:tr>
            <w:tr w14:paraId="16437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846" w:type="dxa"/>
                  <w:vMerge w:val="continue"/>
                  <w:noWrap w:val="0"/>
                  <w:vAlign w:val="center"/>
                </w:tcPr>
                <w:p w14:paraId="03F3B106">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noWrap w:val="0"/>
                  <w:vAlign w:val="center"/>
                </w:tcPr>
                <w:p w14:paraId="7CFAA3A4">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sz w:val="21"/>
                      <w:szCs w:val="21"/>
                      <w:vertAlign w:val="baseline"/>
                      <w:lang w:val="en-US" w:eastAsia="zh-CN"/>
                    </w:rPr>
                  </w:pPr>
                  <w:r>
                    <w:rPr>
                      <w:rFonts w:hint="eastAsia"/>
                      <w:sz w:val="21"/>
                      <w:szCs w:val="21"/>
                      <w:vertAlign w:val="baseline"/>
                      <w:lang w:val="en-US" w:eastAsia="zh-CN"/>
                    </w:rPr>
                    <w:t>《重污染天气重点行业应急减排措施制定技术指南》玻璃行业中玻璃后加工企业引领性指标</w:t>
                  </w:r>
                </w:p>
              </w:tc>
              <w:tc>
                <w:tcPr>
                  <w:tcW w:w="4003" w:type="dxa"/>
                  <w:gridSpan w:val="2"/>
                  <w:noWrap w:val="0"/>
                  <w:vAlign w:val="center"/>
                </w:tcPr>
                <w:p w14:paraId="01687002">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r>
                    <w:rPr>
                      <w:rFonts w:hint="eastAsia" w:ascii="Times New Roman" w:hAnsi="Times New Roman" w:eastAsia="宋体" w:cs="Times New Roman"/>
                      <w:kern w:val="2"/>
                      <w:sz w:val="21"/>
                      <w:szCs w:val="21"/>
                      <w:lang w:val="en-US" w:eastAsia="zh-CN" w:bidi="ar-SA"/>
                    </w:rPr>
                    <w:t>非甲烷总烃</w:t>
                  </w:r>
                  <w:r>
                    <w:rPr>
                      <w:rFonts w:hint="default" w:ascii="Times New Roman" w:hAnsi="Times New Roman" w:cs="Times New Roman"/>
                      <w:b w:val="0"/>
                      <w:bCs w:val="0"/>
                      <w:sz w:val="21"/>
                      <w:szCs w:val="21"/>
                      <w:u w:val="none"/>
                    </w:rPr>
                    <w:t>有组织</w:t>
                  </w:r>
                  <w:r>
                    <w:rPr>
                      <w:rFonts w:hint="default" w:ascii="Times New Roman" w:hAnsi="Times New Roman" w:eastAsia="宋体" w:cs="Times New Roman"/>
                      <w:color w:val="auto"/>
                      <w:sz w:val="21"/>
                      <w:szCs w:val="21"/>
                      <w:vertAlign w:val="baseline"/>
                      <w:lang w:val="en-US" w:eastAsia="zh-CN"/>
                    </w:rPr>
                    <w:t>排放浓度≤</w:t>
                  </w:r>
                  <w:r>
                    <w:rPr>
                      <w:rFonts w:hint="eastAsia" w:ascii="Times New Roman" w:hAnsi="Times New Roman" w:eastAsia="宋体" w:cs="Times New Roman"/>
                      <w:color w:val="auto"/>
                      <w:sz w:val="21"/>
                      <w:szCs w:val="21"/>
                      <w:vertAlign w:val="baseline"/>
                      <w:lang w:val="en-US" w:eastAsia="zh-CN"/>
                    </w:rPr>
                    <w:t>6</w:t>
                  </w:r>
                  <w:r>
                    <w:rPr>
                      <w:rFonts w:hint="default" w:ascii="Times New Roman" w:hAnsi="Times New Roman" w:eastAsia="宋体" w:cs="Times New Roman"/>
                      <w:color w:val="auto"/>
                      <w:sz w:val="21"/>
                      <w:szCs w:val="21"/>
                      <w:vertAlign w:val="baseline"/>
                      <w:lang w:val="en-US" w:eastAsia="zh-CN"/>
                    </w:rPr>
                    <w:t>0mg/m</w:t>
                  </w:r>
                  <w:r>
                    <w:rPr>
                      <w:rFonts w:hint="default" w:ascii="Times New Roman" w:hAnsi="Times New Roman" w:eastAsia="宋体" w:cs="Times New Roman"/>
                      <w:color w:val="auto"/>
                      <w:sz w:val="22"/>
                      <w:szCs w:val="22"/>
                      <w:vertAlign w:val="superscript"/>
                      <w:lang w:val="en-US" w:eastAsia="zh-CN"/>
                    </w:rPr>
                    <w:t>3</w:t>
                  </w:r>
                </w:p>
              </w:tc>
            </w:tr>
            <w:tr w14:paraId="0EBFE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trPr>
              <w:tc>
                <w:tcPr>
                  <w:tcW w:w="846" w:type="dxa"/>
                  <w:vMerge w:val="continue"/>
                  <w:noWrap w:val="0"/>
                  <w:vAlign w:val="center"/>
                </w:tcPr>
                <w:p w14:paraId="541B2C2C">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noWrap w:val="0"/>
                  <w:vAlign w:val="center"/>
                </w:tcPr>
                <w:p w14:paraId="629EE3D8">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sz w:val="21"/>
                      <w:szCs w:val="21"/>
                      <w:vertAlign w:val="baseline"/>
                      <w:lang w:val="en-US" w:eastAsia="zh-CN"/>
                    </w:rPr>
                  </w:pPr>
                  <w:r>
                    <w:rPr>
                      <w:rFonts w:hint="eastAsia"/>
                      <w:sz w:val="21"/>
                      <w:szCs w:val="21"/>
                      <w:vertAlign w:val="baseline"/>
                      <w:lang w:val="en-US" w:eastAsia="zh-CN"/>
                    </w:rPr>
                    <w:t>《重污染天气重点行业应急减排措施制定技术指南》包装印刷行业A级企业指标</w:t>
                  </w:r>
                </w:p>
              </w:tc>
              <w:tc>
                <w:tcPr>
                  <w:tcW w:w="4003" w:type="dxa"/>
                  <w:gridSpan w:val="2"/>
                  <w:noWrap w:val="0"/>
                  <w:vAlign w:val="center"/>
                </w:tcPr>
                <w:p w14:paraId="456A87AA">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非甲烷总烃</w:t>
                  </w:r>
                  <w:r>
                    <w:rPr>
                      <w:rFonts w:hint="default" w:ascii="Times New Roman" w:hAnsi="Times New Roman" w:cs="Times New Roman"/>
                      <w:b w:val="0"/>
                      <w:bCs w:val="0"/>
                      <w:sz w:val="21"/>
                      <w:szCs w:val="21"/>
                      <w:u w:val="none"/>
                    </w:rPr>
                    <w:t>有组织</w:t>
                  </w:r>
                  <w:r>
                    <w:rPr>
                      <w:rFonts w:hint="default" w:ascii="Times New Roman" w:hAnsi="Times New Roman" w:eastAsia="宋体" w:cs="Times New Roman"/>
                      <w:color w:val="auto"/>
                      <w:sz w:val="21"/>
                      <w:szCs w:val="21"/>
                      <w:vertAlign w:val="baseline"/>
                      <w:lang w:val="en-US" w:eastAsia="zh-CN"/>
                    </w:rPr>
                    <w:t>排放浓度≤</w:t>
                  </w:r>
                  <w:r>
                    <w:rPr>
                      <w:rFonts w:hint="eastAsia" w:ascii="Times New Roman" w:hAnsi="Times New Roman" w:eastAsia="宋体" w:cs="Times New Roman"/>
                      <w:color w:val="auto"/>
                      <w:sz w:val="21"/>
                      <w:szCs w:val="21"/>
                      <w:vertAlign w:val="baseline"/>
                      <w:lang w:val="en-US" w:eastAsia="zh-CN"/>
                    </w:rPr>
                    <w:t>3</w:t>
                  </w:r>
                  <w:r>
                    <w:rPr>
                      <w:rFonts w:hint="default" w:ascii="Times New Roman" w:hAnsi="Times New Roman" w:eastAsia="宋体" w:cs="Times New Roman"/>
                      <w:color w:val="auto"/>
                      <w:sz w:val="21"/>
                      <w:szCs w:val="21"/>
                      <w:vertAlign w:val="baseline"/>
                      <w:lang w:val="en-US" w:eastAsia="zh-CN"/>
                    </w:rPr>
                    <w:t>0mg/m</w:t>
                  </w:r>
                  <w:r>
                    <w:rPr>
                      <w:rFonts w:hint="default" w:ascii="Times New Roman" w:hAnsi="Times New Roman" w:eastAsia="宋体" w:cs="Times New Roman"/>
                      <w:color w:val="auto"/>
                      <w:sz w:val="22"/>
                      <w:szCs w:val="22"/>
                      <w:vertAlign w:val="superscript"/>
                      <w:lang w:val="en-US" w:eastAsia="zh-CN"/>
                    </w:rPr>
                    <w:t>3</w:t>
                  </w:r>
                </w:p>
              </w:tc>
            </w:tr>
            <w:tr w14:paraId="3CD87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846" w:type="dxa"/>
                  <w:vMerge w:val="continue"/>
                  <w:noWrap w:val="0"/>
                  <w:vAlign w:val="center"/>
                </w:tcPr>
                <w:p w14:paraId="4C20E5F5">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2518" w:type="dxa"/>
                  <w:vMerge w:val="restart"/>
                  <w:noWrap w:val="0"/>
                  <w:vAlign w:val="center"/>
                </w:tcPr>
                <w:p w14:paraId="0937DDC2">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eastAsia="宋体"/>
                      <w:kern w:val="2"/>
                      <w:sz w:val="21"/>
                      <w:szCs w:val="21"/>
                      <w:vertAlign w:val="baseline"/>
                      <w:lang w:val="en-US" w:eastAsia="zh-CN" w:bidi="ar-SA"/>
                    </w:rPr>
                  </w:pPr>
                  <w:r>
                    <w:rPr>
                      <w:rFonts w:hint="default" w:eastAsia="宋体"/>
                      <w:sz w:val="21"/>
                      <w:szCs w:val="21"/>
                      <w:vertAlign w:val="baseline"/>
                      <w:lang w:val="en-US" w:eastAsia="zh-CN"/>
                    </w:rPr>
                    <w:t>《关于全省开展工业企业挥发性有机物专项治理工作中排放建议值的通知》</w:t>
                  </w:r>
                  <w:r>
                    <w:rPr>
                      <w:rFonts w:hint="eastAsia" w:eastAsia="宋体"/>
                      <w:sz w:val="21"/>
                      <w:szCs w:val="21"/>
                      <w:vertAlign w:val="baseline"/>
                      <w:lang w:val="en-US" w:eastAsia="zh-CN"/>
                    </w:rPr>
                    <w:t>（豫环攻坚</w:t>
                  </w:r>
                  <w:r>
                    <w:rPr>
                      <w:rFonts w:hint="default" w:ascii="Times New Roman" w:hAnsi="Times New Roman" w:eastAsia="宋体" w:cs="Times New Roman"/>
                      <w:sz w:val="21"/>
                      <w:szCs w:val="21"/>
                      <w:vertAlign w:val="baseline"/>
                      <w:lang w:val="en-US" w:eastAsia="zh-CN"/>
                    </w:rPr>
                    <w:t>办﹝2017﹞162</w:t>
                  </w:r>
                  <w:r>
                    <w:rPr>
                      <w:rFonts w:hint="eastAsia" w:eastAsia="宋体"/>
                      <w:sz w:val="21"/>
                      <w:szCs w:val="21"/>
                      <w:vertAlign w:val="baseline"/>
                      <w:lang w:val="en-US" w:eastAsia="zh-CN"/>
                    </w:rPr>
                    <w:t>号）</w:t>
                  </w:r>
                </w:p>
              </w:tc>
              <w:tc>
                <w:tcPr>
                  <w:tcW w:w="1018" w:type="dxa"/>
                  <w:noWrap w:val="0"/>
                  <w:vAlign w:val="center"/>
                </w:tcPr>
                <w:p w14:paraId="3EF1E6BB">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default" w:eastAsia="宋体"/>
                      <w:sz w:val="21"/>
                      <w:szCs w:val="21"/>
                      <w:vertAlign w:val="baseline"/>
                      <w:lang w:val="en-US" w:eastAsia="zh-CN"/>
                    </w:rPr>
                  </w:pPr>
                  <w:r>
                    <w:rPr>
                      <w:rFonts w:hint="eastAsia" w:eastAsia="宋体"/>
                      <w:sz w:val="21"/>
                      <w:szCs w:val="21"/>
                      <w:vertAlign w:val="baseline"/>
                      <w:lang w:val="en-US" w:eastAsia="zh-CN"/>
                    </w:rPr>
                    <w:t>印刷行业</w:t>
                  </w:r>
                </w:p>
              </w:tc>
              <w:tc>
                <w:tcPr>
                  <w:tcW w:w="4003" w:type="dxa"/>
                  <w:gridSpan w:val="2"/>
                  <w:noWrap w:val="0"/>
                  <w:vAlign w:val="center"/>
                </w:tcPr>
                <w:p w14:paraId="7F9F379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b w:val="0"/>
                      <w:bCs w:val="0"/>
                      <w:kern w:val="2"/>
                      <w:sz w:val="21"/>
                      <w:szCs w:val="21"/>
                      <w:u w:val="none"/>
                      <w:lang w:val="en-US" w:eastAsia="zh-CN" w:bidi="ar-SA"/>
                    </w:rPr>
                  </w:pPr>
                  <w:r>
                    <w:rPr>
                      <w:rFonts w:hint="default" w:ascii="Times New Roman" w:hAnsi="Times New Roman" w:cs="Times New Roman"/>
                      <w:b w:val="0"/>
                      <w:bCs w:val="0"/>
                      <w:color w:val="auto"/>
                      <w:sz w:val="21"/>
                      <w:szCs w:val="21"/>
                      <w:u w:val="none"/>
                    </w:rPr>
                    <w:t>有组织非甲烷总烃建议排放浓度</w:t>
                  </w:r>
                  <w:r>
                    <w:rPr>
                      <w:rFonts w:hint="default" w:ascii="Times New Roman" w:hAnsi="Times New Roman" w:cs="Times New Roman"/>
                      <w:b w:val="0"/>
                      <w:bCs w:val="0"/>
                      <w:sz w:val="21"/>
                      <w:szCs w:val="21"/>
                      <w:u w:val="none"/>
                    </w:rPr>
                    <w:t>≤</w:t>
                  </w:r>
                  <w:r>
                    <w:rPr>
                      <w:rFonts w:hint="eastAsia" w:ascii="Times New Roman" w:hAnsi="Times New Roman" w:cs="Times New Roman"/>
                      <w:b w:val="0"/>
                      <w:bCs w:val="0"/>
                      <w:color w:val="auto"/>
                      <w:sz w:val="21"/>
                      <w:szCs w:val="21"/>
                      <w:u w:val="none"/>
                      <w:lang w:val="en-US" w:eastAsia="zh-CN"/>
                    </w:rPr>
                    <w:t>5</w:t>
                  </w:r>
                  <w:r>
                    <w:rPr>
                      <w:rFonts w:hint="default" w:ascii="Times New Roman" w:hAnsi="Times New Roman" w:cs="Times New Roman"/>
                      <w:b w:val="0"/>
                      <w:bCs w:val="0"/>
                      <w:color w:val="auto"/>
                      <w:sz w:val="21"/>
                      <w:szCs w:val="21"/>
                      <w:u w:val="none"/>
                    </w:rPr>
                    <w:t>0mg/m</w:t>
                  </w:r>
                  <w:r>
                    <w:rPr>
                      <w:rFonts w:hint="default" w:ascii="Times New Roman" w:hAnsi="Times New Roman" w:cs="Times New Roman"/>
                      <w:b w:val="0"/>
                      <w:bCs w:val="0"/>
                      <w:color w:val="auto"/>
                      <w:sz w:val="21"/>
                      <w:szCs w:val="21"/>
                      <w:u w:val="none"/>
                      <w:vertAlign w:val="superscript"/>
                    </w:rPr>
                    <w:t>3</w:t>
                  </w:r>
                  <w:r>
                    <w:rPr>
                      <w:rFonts w:hint="default" w:ascii="Times New Roman" w:hAnsi="Times New Roman" w:cs="Times New Roman"/>
                      <w:b w:val="0"/>
                      <w:bCs w:val="0"/>
                      <w:color w:val="auto"/>
                      <w:sz w:val="21"/>
                      <w:szCs w:val="21"/>
                      <w:u w:val="none"/>
                    </w:rPr>
                    <w:t>，建议去除效率≥70%；无组织非甲烷总烃工业企业边界挥发性有机物排放建议值2.0mg/m</w:t>
                  </w:r>
                  <w:r>
                    <w:rPr>
                      <w:rFonts w:hint="default" w:ascii="Times New Roman" w:hAnsi="Times New Roman" w:cs="Times New Roman"/>
                      <w:b w:val="0"/>
                      <w:bCs w:val="0"/>
                      <w:color w:val="auto"/>
                      <w:sz w:val="21"/>
                      <w:szCs w:val="21"/>
                      <w:u w:val="none"/>
                      <w:vertAlign w:val="superscript"/>
                    </w:rPr>
                    <w:t>3</w:t>
                  </w:r>
                </w:p>
              </w:tc>
            </w:tr>
            <w:tr w14:paraId="17601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846" w:type="dxa"/>
                  <w:vMerge w:val="continue"/>
                  <w:noWrap w:val="0"/>
                  <w:vAlign w:val="center"/>
                </w:tcPr>
                <w:p w14:paraId="084285C4">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pPr>
                </w:p>
              </w:tc>
              <w:tc>
                <w:tcPr>
                  <w:tcW w:w="2518" w:type="dxa"/>
                  <w:vMerge w:val="continue"/>
                  <w:noWrap w:val="0"/>
                  <w:vAlign w:val="center"/>
                </w:tcPr>
                <w:p w14:paraId="54889122">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pPr>
                </w:p>
              </w:tc>
              <w:tc>
                <w:tcPr>
                  <w:tcW w:w="1018" w:type="dxa"/>
                  <w:noWrap w:val="0"/>
                  <w:vAlign w:val="center"/>
                </w:tcPr>
                <w:p w14:paraId="7FD5C864">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default" w:eastAsia="宋体"/>
                      <w:sz w:val="21"/>
                      <w:szCs w:val="21"/>
                      <w:vertAlign w:val="baseline"/>
                      <w:lang w:val="en-US" w:eastAsia="zh-CN"/>
                    </w:rPr>
                  </w:pPr>
                  <w:r>
                    <w:rPr>
                      <w:rFonts w:hint="eastAsia"/>
                      <w:sz w:val="21"/>
                      <w:szCs w:val="21"/>
                      <w:vertAlign w:val="baseline"/>
                      <w:lang w:val="en-US" w:eastAsia="zh-CN"/>
                    </w:rPr>
                    <w:t>其他行业</w:t>
                  </w:r>
                </w:p>
              </w:tc>
              <w:tc>
                <w:tcPr>
                  <w:tcW w:w="4003" w:type="dxa"/>
                  <w:gridSpan w:val="2"/>
                  <w:noWrap w:val="0"/>
                  <w:vAlign w:val="center"/>
                </w:tcPr>
                <w:p w14:paraId="3DA0A554">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default" w:eastAsia="宋体"/>
                      <w:sz w:val="21"/>
                      <w:szCs w:val="21"/>
                      <w:vertAlign w:val="baseline"/>
                      <w:lang w:val="en-US" w:eastAsia="zh-CN"/>
                    </w:rPr>
                  </w:pPr>
                  <w:r>
                    <w:rPr>
                      <w:rFonts w:hint="default" w:ascii="Times New Roman" w:hAnsi="Times New Roman" w:cs="Times New Roman"/>
                      <w:b w:val="0"/>
                      <w:bCs w:val="0"/>
                      <w:color w:val="auto"/>
                      <w:sz w:val="21"/>
                      <w:szCs w:val="21"/>
                      <w:u w:val="none"/>
                    </w:rPr>
                    <w:t>有组织非甲烷总烃建议排放浓度</w:t>
                  </w:r>
                  <w:r>
                    <w:rPr>
                      <w:rFonts w:hint="default" w:ascii="Times New Roman" w:hAnsi="Times New Roman" w:cs="Times New Roman"/>
                      <w:b w:val="0"/>
                      <w:bCs w:val="0"/>
                      <w:sz w:val="21"/>
                      <w:szCs w:val="21"/>
                      <w:u w:val="none"/>
                    </w:rPr>
                    <w:t>≤</w:t>
                  </w:r>
                  <w:r>
                    <w:rPr>
                      <w:rFonts w:hint="eastAsia" w:ascii="Times New Roman" w:hAnsi="Times New Roman" w:cs="Times New Roman"/>
                      <w:b w:val="0"/>
                      <w:bCs w:val="0"/>
                      <w:color w:val="auto"/>
                      <w:sz w:val="21"/>
                      <w:szCs w:val="21"/>
                      <w:u w:val="none"/>
                      <w:lang w:val="en-US" w:eastAsia="zh-CN"/>
                    </w:rPr>
                    <w:t>8</w:t>
                  </w:r>
                  <w:r>
                    <w:rPr>
                      <w:rFonts w:hint="default" w:ascii="Times New Roman" w:hAnsi="Times New Roman" w:cs="Times New Roman"/>
                      <w:b w:val="0"/>
                      <w:bCs w:val="0"/>
                      <w:color w:val="auto"/>
                      <w:sz w:val="21"/>
                      <w:szCs w:val="21"/>
                      <w:u w:val="none"/>
                    </w:rPr>
                    <w:t>0mg/m</w:t>
                  </w:r>
                  <w:r>
                    <w:rPr>
                      <w:rFonts w:hint="default" w:ascii="Times New Roman" w:hAnsi="Times New Roman" w:cs="Times New Roman"/>
                      <w:b w:val="0"/>
                      <w:bCs w:val="0"/>
                      <w:color w:val="auto"/>
                      <w:sz w:val="21"/>
                      <w:szCs w:val="21"/>
                      <w:u w:val="none"/>
                      <w:vertAlign w:val="superscript"/>
                    </w:rPr>
                    <w:t>3</w:t>
                  </w:r>
                  <w:r>
                    <w:rPr>
                      <w:rFonts w:hint="default" w:ascii="Times New Roman" w:hAnsi="Times New Roman" w:cs="Times New Roman"/>
                      <w:b w:val="0"/>
                      <w:bCs w:val="0"/>
                      <w:color w:val="auto"/>
                      <w:sz w:val="21"/>
                      <w:szCs w:val="21"/>
                      <w:u w:val="none"/>
                    </w:rPr>
                    <w:t>，建议去除效率≥70%；无组织非甲烷总烃工业企业边界挥发性有机物排放建议值2.0mg/m</w:t>
                  </w:r>
                  <w:r>
                    <w:rPr>
                      <w:rFonts w:hint="default" w:ascii="Times New Roman" w:hAnsi="Times New Roman" w:cs="Times New Roman"/>
                      <w:b w:val="0"/>
                      <w:bCs w:val="0"/>
                      <w:color w:val="auto"/>
                      <w:sz w:val="21"/>
                      <w:szCs w:val="21"/>
                      <w:u w:val="none"/>
                      <w:vertAlign w:val="superscript"/>
                    </w:rPr>
                    <w:t>3</w:t>
                  </w:r>
                </w:p>
              </w:tc>
            </w:tr>
            <w:tr w14:paraId="10827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846" w:type="dxa"/>
                  <w:vMerge w:val="continue"/>
                  <w:noWrap w:val="0"/>
                  <w:vAlign w:val="center"/>
                </w:tcPr>
                <w:p w14:paraId="08EFE294">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noWrap w:val="0"/>
                  <w:vAlign w:val="center"/>
                </w:tcPr>
                <w:p w14:paraId="142A0C3C">
                  <w:pPr>
                    <w:pStyle w:val="16"/>
                    <w:keepNext w:val="0"/>
                    <w:keepLines w:val="0"/>
                    <w:pageBreakBefore w:val="0"/>
                    <w:kinsoku/>
                    <w:wordWrap/>
                    <w:overflowPunct/>
                    <w:topLinePunct w:val="0"/>
                    <w:autoSpaceDE/>
                    <w:autoSpaceDN/>
                    <w:bidi w:val="0"/>
                    <w:adjustRightInd w:val="0"/>
                    <w:snapToGrid w:val="0"/>
                    <w:ind w:left="0" w:leftChars="0" w:firstLine="0" w:firstLineChars="0"/>
                    <w:jc w:val="center"/>
                    <w:textAlignment w:val="auto"/>
                    <w:rPr>
                      <w:rFonts w:hint="default" w:eastAsia="宋体"/>
                      <w:kern w:val="2"/>
                      <w:sz w:val="21"/>
                      <w:szCs w:val="21"/>
                      <w:lang w:val="en-US" w:eastAsia="zh-CN" w:bidi="ar-SA"/>
                    </w:rPr>
                  </w:pPr>
                  <w:r>
                    <w:rPr>
                      <w:rFonts w:hint="eastAsia"/>
                      <w:sz w:val="21"/>
                      <w:szCs w:val="21"/>
                      <w:lang w:eastAsia="zh-CN"/>
                    </w:rPr>
                    <w:t>《挥发性有机物无</w:t>
                  </w:r>
                  <w:r>
                    <w:rPr>
                      <w:rFonts w:hint="eastAsia"/>
                      <w:sz w:val="21"/>
                      <w:szCs w:val="21"/>
                      <w:lang w:val="en-US" w:eastAsia="zh-CN"/>
                    </w:rPr>
                    <w:t>组</w:t>
                  </w:r>
                  <w:r>
                    <w:rPr>
                      <w:rFonts w:hint="eastAsia"/>
                      <w:sz w:val="21"/>
                      <w:szCs w:val="21"/>
                      <w:lang w:eastAsia="zh-CN"/>
                    </w:rPr>
                    <w:t>织</w:t>
                  </w:r>
                  <w:r>
                    <w:rPr>
                      <w:rFonts w:hint="eastAsia"/>
                      <w:sz w:val="21"/>
                      <w:szCs w:val="21"/>
                      <w:lang w:val="en-US" w:eastAsia="zh-CN"/>
                    </w:rPr>
                    <w:t>排放</w:t>
                  </w:r>
                  <w:r>
                    <w:rPr>
                      <w:rFonts w:hint="eastAsia"/>
                      <w:sz w:val="21"/>
                      <w:szCs w:val="21"/>
                      <w:lang w:eastAsia="zh-CN"/>
                    </w:rPr>
                    <w:t>控制标准》（GB37822-2019）表A.1</w:t>
                  </w:r>
                </w:p>
              </w:tc>
              <w:tc>
                <w:tcPr>
                  <w:tcW w:w="1008" w:type="dxa"/>
                  <w:noWrap w:val="0"/>
                  <w:vAlign w:val="center"/>
                </w:tcPr>
                <w:p w14:paraId="45C12E0D">
                  <w:pPr>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 w:val="21"/>
                      <w:szCs w:val="21"/>
                      <w:lang w:val="en-US" w:eastAsia="zh-CN"/>
                    </w:rPr>
                    <w:t>非甲烷总烃</w:t>
                  </w:r>
                </w:p>
              </w:tc>
              <w:tc>
                <w:tcPr>
                  <w:tcW w:w="2995" w:type="dxa"/>
                  <w:noWrap w:val="0"/>
                  <w:vAlign w:val="center"/>
                </w:tcPr>
                <w:p w14:paraId="1A0B04CE">
                  <w:pPr>
                    <w:snapToGrid w:val="0"/>
                    <w:spacing w:line="240" w:lineRule="auto"/>
                    <w:jc w:val="center"/>
                    <w:rPr>
                      <w:rFonts w:hint="default" w:ascii="Times New Roman" w:hAnsi="Times New Roman" w:cs="Times New Roman"/>
                      <w:b w:val="0"/>
                      <w:bCs w:val="0"/>
                      <w:kern w:val="2"/>
                      <w:sz w:val="21"/>
                      <w:szCs w:val="21"/>
                      <w:u w:val="none"/>
                      <w:lang w:val="en-US" w:eastAsia="zh-CN" w:bidi="ar-SA"/>
                    </w:rPr>
                  </w:pPr>
                  <w:r>
                    <w:rPr>
                      <w:rFonts w:hint="eastAsia" w:ascii="Times New Roman" w:hAnsi="Times New Roman" w:cs="Times New Roman"/>
                      <w:b w:val="0"/>
                      <w:bCs w:val="0"/>
                      <w:sz w:val="21"/>
                      <w:szCs w:val="21"/>
                      <w:u w:val="none"/>
                      <w:lang w:val="en-US" w:eastAsia="zh-CN"/>
                    </w:rPr>
                    <w:t>无组织</w:t>
                  </w:r>
                  <w:r>
                    <w:rPr>
                      <w:rFonts w:hint="default" w:ascii="Times New Roman" w:hAnsi="Times New Roman" w:cs="Times New Roman"/>
                      <w:b w:val="0"/>
                      <w:bCs w:val="0"/>
                      <w:sz w:val="21"/>
                      <w:szCs w:val="21"/>
                      <w:u w:val="none"/>
                    </w:rPr>
                    <w:t>1h平均浓度值：6mg/m</w:t>
                  </w:r>
                  <w:r>
                    <w:rPr>
                      <w:rFonts w:hint="default" w:ascii="Times New Roman" w:hAnsi="Times New Roman" w:cs="Times New Roman"/>
                      <w:b w:val="0"/>
                      <w:bCs w:val="0"/>
                      <w:sz w:val="21"/>
                      <w:szCs w:val="21"/>
                      <w:u w:val="none"/>
                      <w:vertAlign w:val="superscript"/>
                    </w:rPr>
                    <w:t>3</w:t>
                  </w:r>
                  <w:r>
                    <w:rPr>
                      <w:rFonts w:hint="eastAsia" w:ascii="Times New Roman" w:hAnsi="Times New Roman" w:cs="Times New Roman"/>
                      <w:b w:val="0"/>
                      <w:bCs w:val="0"/>
                      <w:sz w:val="21"/>
                      <w:szCs w:val="21"/>
                      <w:u w:val="none"/>
                      <w:lang w:eastAsia="zh-CN"/>
                    </w:rPr>
                    <w:t>；</w:t>
                  </w:r>
                  <w:r>
                    <w:rPr>
                      <w:rFonts w:hint="default" w:ascii="Times New Roman" w:hAnsi="Times New Roman" w:cs="Times New Roman"/>
                      <w:b w:val="0"/>
                      <w:bCs w:val="0"/>
                      <w:sz w:val="21"/>
                      <w:szCs w:val="21"/>
                      <w:u w:val="none"/>
                    </w:rPr>
                    <w:t>任意一次浓度值：20mg/m</w:t>
                  </w:r>
                  <w:r>
                    <w:rPr>
                      <w:rFonts w:hint="default" w:ascii="Times New Roman" w:hAnsi="Times New Roman" w:cs="Times New Roman"/>
                      <w:b w:val="0"/>
                      <w:bCs w:val="0"/>
                      <w:sz w:val="21"/>
                      <w:szCs w:val="21"/>
                      <w:u w:val="none"/>
                      <w:vertAlign w:val="superscript"/>
                    </w:rPr>
                    <w:t>3</w:t>
                  </w:r>
                </w:p>
              </w:tc>
            </w:tr>
            <w:tr w14:paraId="00817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restart"/>
                  <w:noWrap w:val="0"/>
                  <w:vAlign w:val="center"/>
                </w:tcPr>
                <w:p w14:paraId="06C0F218">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sz w:val="21"/>
                      <w:szCs w:val="21"/>
                      <w:vertAlign w:val="baseline"/>
                      <w:lang w:val="en-US" w:eastAsia="zh-CN"/>
                    </w:rPr>
                  </w:pPr>
                  <w:r>
                    <w:rPr>
                      <w:rFonts w:hint="eastAsia" w:ascii="Times New Roman" w:hAnsi="Times New Roman" w:cs="Times New Roman"/>
                      <w:b w:val="0"/>
                      <w:bCs w:val="0"/>
                      <w:sz w:val="21"/>
                      <w:szCs w:val="21"/>
                      <w:u w:val="none"/>
                      <w:lang w:val="en-US" w:eastAsia="zh-CN"/>
                    </w:rPr>
                    <w:t>废水</w:t>
                  </w:r>
                </w:p>
              </w:tc>
              <w:tc>
                <w:tcPr>
                  <w:tcW w:w="3536" w:type="dxa"/>
                  <w:gridSpan w:val="2"/>
                  <w:vMerge w:val="restart"/>
                  <w:noWrap w:val="0"/>
                  <w:vAlign w:val="center"/>
                </w:tcPr>
                <w:p w14:paraId="54DD240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sz w:val="21"/>
                      <w:szCs w:val="21"/>
                      <w:vertAlign w:val="baseline"/>
                      <w:lang w:val="en-US" w:eastAsia="zh-CN"/>
                    </w:rPr>
                  </w:pPr>
                  <w:r>
                    <w:rPr>
                      <w:rFonts w:hint="eastAsia" w:ascii="Times New Roman" w:hAnsi="Times New Roman" w:cs="Times New Roman"/>
                      <w:b w:val="0"/>
                      <w:bCs w:val="0"/>
                      <w:sz w:val="21"/>
                      <w:szCs w:val="21"/>
                      <w:u w:val="none"/>
                      <w:lang w:val="en-US" w:eastAsia="zh-CN"/>
                    </w:rPr>
                    <w:t>《污水综合排放标准》（GB8978- 1996）表4三级</w:t>
                  </w:r>
                  <w:r>
                    <w:rPr>
                      <w:rFonts w:hint="eastAsia" w:cs="Times New Roman"/>
                      <w:b w:val="0"/>
                      <w:bCs w:val="0"/>
                      <w:sz w:val="21"/>
                      <w:szCs w:val="21"/>
                      <w:u w:val="none"/>
                      <w:lang w:val="en-US" w:eastAsia="zh-CN"/>
                    </w:rPr>
                    <w:t>排放</w:t>
                  </w:r>
                  <w:r>
                    <w:rPr>
                      <w:rFonts w:hint="eastAsia" w:ascii="Times New Roman" w:hAnsi="Times New Roman" w:cs="Times New Roman"/>
                      <w:b w:val="0"/>
                      <w:bCs w:val="0"/>
                      <w:sz w:val="21"/>
                      <w:szCs w:val="21"/>
                      <w:u w:val="none"/>
                      <w:lang w:val="en-US" w:eastAsia="zh-CN"/>
                    </w:rPr>
                    <w:t>标准</w:t>
                  </w:r>
                </w:p>
              </w:tc>
              <w:tc>
                <w:tcPr>
                  <w:tcW w:w="1008" w:type="dxa"/>
                  <w:noWrap w:val="0"/>
                  <w:vAlign w:val="center"/>
                </w:tcPr>
                <w:p w14:paraId="0A8AAF6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b w:val="0"/>
                      <w:bCs w:val="0"/>
                      <w:kern w:val="2"/>
                      <w:sz w:val="21"/>
                      <w:szCs w:val="21"/>
                      <w:u w:val="none"/>
                      <w:lang w:val="en-US" w:eastAsia="zh-CN" w:bidi="ar-SA"/>
                    </w:rPr>
                  </w:pPr>
                  <w:r>
                    <w:rPr>
                      <w:rFonts w:hint="eastAsia" w:cs="Times New Roman"/>
                      <w:b w:val="0"/>
                      <w:bCs w:val="0"/>
                      <w:sz w:val="21"/>
                      <w:szCs w:val="21"/>
                      <w:u w:val="none"/>
                      <w:lang w:val="en-US" w:eastAsia="zh-CN"/>
                    </w:rPr>
                    <w:t>pH</w:t>
                  </w:r>
                </w:p>
              </w:tc>
              <w:tc>
                <w:tcPr>
                  <w:tcW w:w="2995" w:type="dxa"/>
                  <w:noWrap w:val="0"/>
                  <w:vAlign w:val="center"/>
                </w:tcPr>
                <w:p w14:paraId="604FF9D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b w:val="0"/>
                      <w:bCs w:val="0"/>
                      <w:kern w:val="2"/>
                      <w:sz w:val="21"/>
                      <w:szCs w:val="21"/>
                      <w:u w:val="none"/>
                      <w:lang w:val="en-US" w:eastAsia="zh-CN" w:bidi="ar-SA"/>
                    </w:rPr>
                  </w:pPr>
                  <w:r>
                    <w:rPr>
                      <w:rFonts w:hint="eastAsia" w:cs="Times New Roman"/>
                      <w:b w:val="0"/>
                      <w:bCs w:val="0"/>
                      <w:sz w:val="21"/>
                      <w:szCs w:val="21"/>
                      <w:u w:val="none"/>
                      <w:lang w:val="en-US" w:eastAsia="zh-CN"/>
                    </w:rPr>
                    <w:t>6~9</w:t>
                  </w:r>
                </w:p>
              </w:tc>
            </w:tr>
            <w:tr w14:paraId="7C17A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07DAFA75">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4ECC52F0">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53D4E20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kern w:val="2"/>
                      <w:sz w:val="21"/>
                      <w:szCs w:val="21"/>
                      <w:lang w:val="en-US" w:eastAsia="zh-CN" w:bidi="ar-SA"/>
                    </w:rPr>
                  </w:pPr>
                  <w:r>
                    <w:rPr>
                      <w:rFonts w:hint="eastAsia" w:cs="Times New Roman"/>
                      <w:b w:val="0"/>
                      <w:bCs w:val="0"/>
                      <w:sz w:val="21"/>
                      <w:szCs w:val="21"/>
                      <w:u w:val="none"/>
                      <w:lang w:val="en-US" w:eastAsia="zh-CN"/>
                    </w:rPr>
                    <w:t>COD</w:t>
                  </w:r>
                </w:p>
              </w:tc>
              <w:tc>
                <w:tcPr>
                  <w:tcW w:w="2995" w:type="dxa"/>
                  <w:noWrap w:val="0"/>
                  <w:vAlign w:val="center"/>
                </w:tcPr>
                <w:p w14:paraId="5036365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kern w:val="2"/>
                      <w:sz w:val="21"/>
                      <w:szCs w:val="21"/>
                      <w:lang w:val="en-US" w:eastAsia="zh-CN" w:bidi="ar-SA"/>
                    </w:rPr>
                  </w:pPr>
                  <w:r>
                    <w:rPr>
                      <w:snapToGrid w:val="0"/>
                      <w:color w:val="auto"/>
                      <w:kern w:val="0"/>
                      <w:sz w:val="21"/>
                      <w:szCs w:val="21"/>
                    </w:rPr>
                    <w:t>≤</w:t>
                  </w:r>
                  <w:r>
                    <w:rPr>
                      <w:rFonts w:hint="eastAsia"/>
                      <w:sz w:val="21"/>
                      <w:szCs w:val="21"/>
                      <w:lang w:val="en-US" w:eastAsia="zh-CN"/>
                    </w:rPr>
                    <w:t>500</w:t>
                  </w:r>
                  <w:r>
                    <w:rPr>
                      <w:rFonts w:hint="eastAsia" w:cs="Times New Roman"/>
                      <w:b w:val="0"/>
                      <w:bCs w:val="0"/>
                      <w:sz w:val="21"/>
                      <w:szCs w:val="21"/>
                      <w:u w:val="none"/>
                      <w:lang w:val="en-US" w:eastAsia="zh-CN"/>
                    </w:rPr>
                    <w:t>mg/L</w:t>
                  </w:r>
                </w:p>
              </w:tc>
            </w:tr>
            <w:tr w14:paraId="21A20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3455C6C8">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65B4A006">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25EDC5E7">
                  <w:pPr>
                    <w:pStyle w:val="7"/>
                    <w:keepNext w:val="0"/>
                    <w:keepLines w:val="0"/>
                    <w:pageBreakBefore w:val="0"/>
                    <w:widowControl w:val="0"/>
                    <w:kinsoku/>
                    <w:wordWrap/>
                    <w:overflowPunct/>
                    <w:topLinePunct w:val="0"/>
                    <w:autoSpaceDE/>
                    <w:autoSpaceDN/>
                    <w:bidi w:val="0"/>
                    <w:adjustRightInd w:val="0"/>
                    <w:snapToGrid w:val="0"/>
                    <w:textAlignment w:val="auto"/>
                    <w:rPr>
                      <w:rFonts w:hint="eastAsia" w:eastAsia="宋体"/>
                      <w:snapToGrid w:val="0"/>
                      <w:color w:val="auto"/>
                      <w:kern w:val="0"/>
                      <w:sz w:val="21"/>
                      <w:szCs w:val="21"/>
                      <w:lang w:val="en-US" w:eastAsia="zh-CN" w:bidi="ar-SA"/>
                    </w:rPr>
                  </w:pPr>
                  <w:r>
                    <w:rPr>
                      <w:rFonts w:hint="eastAsia"/>
                      <w:snapToGrid w:val="0"/>
                      <w:color w:val="auto"/>
                      <w:kern w:val="0"/>
                      <w:szCs w:val="21"/>
                      <w:lang w:val="en-US" w:eastAsia="zh-CN"/>
                    </w:rPr>
                    <w:t>BOD</w:t>
                  </w:r>
                  <w:r>
                    <w:rPr>
                      <w:rFonts w:hint="eastAsia"/>
                      <w:snapToGrid w:val="0"/>
                      <w:color w:val="auto"/>
                      <w:kern w:val="0"/>
                      <w:szCs w:val="21"/>
                      <w:vertAlign w:val="subscript"/>
                      <w:lang w:val="en-US" w:eastAsia="zh-CN"/>
                    </w:rPr>
                    <w:t>5</w:t>
                  </w:r>
                </w:p>
              </w:tc>
              <w:tc>
                <w:tcPr>
                  <w:tcW w:w="2995" w:type="dxa"/>
                  <w:noWrap w:val="0"/>
                  <w:vAlign w:val="center"/>
                </w:tcPr>
                <w:p w14:paraId="14C1EF85">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snapToGrid w:val="0"/>
                      <w:color w:val="auto"/>
                      <w:kern w:val="0"/>
                      <w:sz w:val="21"/>
                      <w:szCs w:val="21"/>
                      <w:lang w:val="en-US" w:eastAsia="zh-CN" w:bidi="ar-SA"/>
                    </w:rPr>
                  </w:pPr>
                  <w:r>
                    <w:rPr>
                      <w:snapToGrid w:val="0"/>
                      <w:color w:val="auto"/>
                      <w:kern w:val="0"/>
                      <w:sz w:val="21"/>
                      <w:szCs w:val="21"/>
                    </w:rPr>
                    <w:t>≤</w:t>
                  </w:r>
                  <w:r>
                    <w:rPr>
                      <w:rFonts w:hint="eastAsia"/>
                      <w:snapToGrid w:val="0"/>
                      <w:color w:val="auto"/>
                      <w:kern w:val="0"/>
                      <w:sz w:val="21"/>
                      <w:szCs w:val="21"/>
                      <w:lang w:val="en-US" w:eastAsia="zh-CN"/>
                    </w:rPr>
                    <w:t>300</w:t>
                  </w:r>
                  <w:r>
                    <w:rPr>
                      <w:snapToGrid w:val="0"/>
                      <w:color w:val="auto"/>
                      <w:kern w:val="0"/>
                      <w:sz w:val="21"/>
                      <w:szCs w:val="21"/>
                    </w:rPr>
                    <w:t>mg/L</w:t>
                  </w:r>
                </w:p>
              </w:tc>
            </w:tr>
            <w:tr w14:paraId="38267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5007D381">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5D664A8C">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20D16D1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kern w:val="2"/>
                      <w:sz w:val="21"/>
                      <w:szCs w:val="21"/>
                      <w:lang w:val="en-US" w:eastAsia="zh-CN" w:bidi="ar-SA"/>
                    </w:rPr>
                  </w:pPr>
                  <w:r>
                    <w:rPr>
                      <w:rFonts w:hint="eastAsia"/>
                      <w:sz w:val="21"/>
                      <w:szCs w:val="21"/>
                      <w:lang w:val="en-US" w:eastAsia="zh-CN"/>
                    </w:rPr>
                    <w:t>SS</w:t>
                  </w:r>
                </w:p>
              </w:tc>
              <w:tc>
                <w:tcPr>
                  <w:tcW w:w="2995" w:type="dxa"/>
                  <w:noWrap w:val="0"/>
                  <w:vAlign w:val="center"/>
                </w:tcPr>
                <w:p w14:paraId="106A9F9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kern w:val="2"/>
                      <w:sz w:val="21"/>
                      <w:szCs w:val="21"/>
                      <w:lang w:val="en-US" w:eastAsia="zh-CN" w:bidi="ar-SA"/>
                    </w:rPr>
                  </w:pPr>
                  <w:r>
                    <w:rPr>
                      <w:snapToGrid w:val="0"/>
                      <w:color w:val="auto"/>
                      <w:kern w:val="0"/>
                      <w:sz w:val="21"/>
                      <w:szCs w:val="21"/>
                    </w:rPr>
                    <w:t>≤</w:t>
                  </w:r>
                  <w:r>
                    <w:rPr>
                      <w:rFonts w:hint="eastAsia"/>
                      <w:sz w:val="21"/>
                      <w:szCs w:val="21"/>
                      <w:lang w:val="en-US" w:eastAsia="zh-CN"/>
                    </w:rPr>
                    <w:t>400</w:t>
                  </w:r>
                  <w:r>
                    <w:rPr>
                      <w:rFonts w:hint="eastAsia" w:cs="Times New Roman"/>
                      <w:b w:val="0"/>
                      <w:bCs w:val="0"/>
                      <w:sz w:val="21"/>
                      <w:szCs w:val="21"/>
                      <w:u w:val="none"/>
                      <w:lang w:val="en-US" w:eastAsia="zh-CN"/>
                    </w:rPr>
                    <w:t>mg/L</w:t>
                  </w:r>
                </w:p>
              </w:tc>
            </w:tr>
            <w:tr w14:paraId="05E60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6" w:type="dxa"/>
                  <w:vMerge w:val="continue"/>
                  <w:noWrap w:val="0"/>
                  <w:vAlign w:val="center"/>
                </w:tcPr>
                <w:p w14:paraId="69B700EF">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44984759">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24B6DB74">
                  <w:pPr>
                    <w:pStyle w:val="7"/>
                    <w:keepNext w:val="0"/>
                    <w:keepLines w:val="0"/>
                    <w:pageBreakBefore w:val="0"/>
                    <w:widowControl w:val="0"/>
                    <w:kinsoku/>
                    <w:wordWrap/>
                    <w:overflowPunct/>
                    <w:topLinePunct w:val="0"/>
                    <w:autoSpaceDE/>
                    <w:autoSpaceDN/>
                    <w:bidi w:val="0"/>
                    <w:adjustRightInd w:val="0"/>
                    <w:snapToGrid w:val="0"/>
                    <w:textAlignment w:val="auto"/>
                    <w:rPr>
                      <w:rFonts w:hint="eastAsia" w:eastAsia="宋体"/>
                      <w:bCs/>
                      <w:snapToGrid w:val="0"/>
                      <w:color w:val="auto"/>
                      <w:kern w:val="0"/>
                      <w:sz w:val="21"/>
                      <w:szCs w:val="21"/>
                      <w:lang w:val="en-US" w:eastAsia="zh-CN" w:bidi="ar-SA"/>
                    </w:rPr>
                  </w:pPr>
                  <w:r>
                    <w:rPr>
                      <w:rFonts w:hint="eastAsia"/>
                      <w:bCs/>
                      <w:snapToGrid w:val="0"/>
                      <w:color w:val="auto"/>
                      <w:kern w:val="0"/>
                      <w:szCs w:val="21"/>
                    </w:rPr>
                    <w:t>氨氮</w:t>
                  </w:r>
                </w:p>
              </w:tc>
              <w:tc>
                <w:tcPr>
                  <w:tcW w:w="2995" w:type="dxa"/>
                  <w:noWrap w:val="0"/>
                  <w:vAlign w:val="center"/>
                </w:tcPr>
                <w:p w14:paraId="604D3D4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eastAsia="宋体"/>
                      <w:snapToGrid w:val="0"/>
                      <w:color w:val="auto"/>
                      <w:kern w:val="0"/>
                      <w:sz w:val="21"/>
                      <w:szCs w:val="21"/>
                      <w:lang w:val="en-US" w:eastAsia="zh-CN" w:bidi="ar-SA"/>
                    </w:rPr>
                  </w:pPr>
                  <w:r>
                    <w:rPr>
                      <w:rFonts w:hint="eastAsia"/>
                      <w:snapToGrid w:val="0"/>
                      <w:color w:val="auto"/>
                      <w:kern w:val="0"/>
                      <w:sz w:val="21"/>
                      <w:szCs w:val="21"/>
                      <w:lang w:val="en-US" w:eastAsia="zh-CN"/>
                    </w:rPr>
                    <w:t>--</w:t>
                  </w:r>
                </w:p>
              </w:tc>
            </w:tr>
            <w:tr w14:paraId="0E4A2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6" w:type="dxa"/>
                  <w:vMerge w:val="continue"/>
                  <w:noWrap w:val="0"/>
                  <w:vAlign w:val="center"/>
                </w:tcPr>
                <w:p w14:paraId="4D863ADA">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restart"/>
                  <w:noWrap w:val="0"/>
                  <w:vAlign w:val="center"/>
                </w:tcPr>
                <w:p w14:paraId="3479E03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b w:val="0"/>
                      <w:bCs w:val="0"/>
                      <w:kern w:val="2"/>
                      <w:sz w:val="21"/>
                      <w:szCs w:val="21"/>
                      <w:u w:val="none"/>
                      <w:lang w:val="en-US" w:eastAsia="zh-CN" w:bidi="ar-SA"/>
                    </w:rPr>
                  </w:pPr>
                  <w:r>
                    <w:rPr>
                      <w:rFonts w:hint="default" w:ascii="Times New Roman" w:hAnsi="Times New Roman" w:eastAsia="宋体" w:cs="Times New Roman"/>
                      <w:b w:val="0"/>
                      <w:bCs w:val="0"/>
                      <w:color w:val="auto"/>
                      <w:sz w:val="21"/>
                      <w:szCs w:val="21"/>
                      <w:lang w:bidi="zh-CN"/>
                    </w:rPr>
                    <w:t>淮阳区</w:t>
                  </w:r>
                  <w:r>
                    <w:rPr>
                      <w:rFonts w:hint="default" w:ascii="Times New Roman" w:hAnsi="Times New Roman" w:eastAsia="宋体" w:cs="Times New Roman"/>
                      <w:b w:val="0"/>
                      <w:bCs w:val="0"/>
                      <w:color w:val="auto"/>
                      <w:sz w:val="21"/>
                      <w:szCs w:val="21"/>
                      <w:lang w:val="en-US" w:bidi="zh-CN"/>
                    </w:rPr>
                    <w:t>第</w:t>
                  </w:r>
                  <w:r>
                    <w:rPr>
                      <w:rFonts w:hint="eastAsia" w:cs="Times New Roman"/>
                      <w:b w:val="0"/>
                      <w:bCs w:val="0"/>
                      <w:color w:val="auto"/>
                      <w:sz w:val="21"/>
                      <w:szCs w:val="21"/>
                      <w:lang w:val="en-US" w:bidi="zh-CN"/>
                    </w:rPr>
                    <w:t>二</w:t>
                  </w:r>
                  <w:r>
                    <w:rPr>
                      <w:rFonts w:hint="default" w:ascii="Times New Roman" w:hAnsi="Times New Roman" w:eastAsia="宋体" w:cs="Times New Roman"/>
                      <w:b w:val="0"/>
                      <w:bCs w:val="0"/>
                      <w:color w:val="auto"/>
                      <w:sz w:val="21"/>
                      <w:szCs w:val="21"/>
                      <w:lang w:val="zh-CN" w:bidi="zh-CN"/>
                    </w:rPr>
                    <w:t>污水处理厂进水水质要求</w:t>
                  </w:r>
                </w:p>
              </w:tc>
              <w:tc>
                <w:tcPr>
                  <w:tcW w:w="1008" w:type="dxa"/>
                  <w:noWrap w:val="0"/>
                  <w:vAlign w:val="center"/>
                </w:tcPr>
                <w:p w14:paraId="78BFA6C2">
                  <w:pPr>
                    <w:pStyle w:val="115"/>
                    <w:rPr>
                      <w:rFonts w:hint="eastAsia" w:ascii="Times New Roman" w:hAnsi="Times New Roman" w:cs="Times New Roman"/>
                      <w:b w:val="0"/>
                      <w:bCs w:val="0"/>
                      <w:kern w:val="2"/>
                      <w:sz w:val="21"/>
                      <w:szCs w:val="21"/>
                      <w:highlight w:val="none"/>
                      <w:u w:val="none"/>
                      <w:lang w:val="en-US" w:eastAsia="zh-CN" w:bidi="ar-SA"/>
                    </w:rPr>
                  </w:pPr>
                  <w:r>
                    <w:rPr>
                      <w:rFonts w:hint="default" w:ascii="Times New Roman" w:hAnsi="Times New Roman" w:eastAsia="宋体" w:cs="Times New Roman"/>
                      <w:b w:val="0"/>
                      <w:bCs w:val="0"/>
                      <w:color w:val="auto"/>
                      <w:sz w:val="21"/>
                      <w:szCs w:val="21"/>
                      <w:highlight w:val="none"/>
                    </w:rPr>
                    <w:t>pH</w:t>
                  </w:r>
                </w:p>
              </w:tc>
              <w:tc>
                <w:tcPr>
                  <w:tcW w:w="2995" w:type="dxa"/>
                  <w:noWrap w:val="0"/>
                  <w:vAlign w:val="top"/>
                </w:tcPr>
                <w:p w14:paraId="7E6F60B6">
                  <w:pPr>
                    <w:pStyle w:val="115"/>
                    <w:rPr>
                      <w:rFonts w:hint="eastAsia" w:cs="Times New Roman"/>
                      <w:b w:val="0"/>
                      <w:bCs w:val="0"/>
                      <w:kern w:val="2"/>
                      <w:sz w:val="21"/>
                      <w:szCs w:val="21"/>
                      <w:highlight w:val="none"/>
                      <w:u w:val="none"/>
                      <w:lang w:val="en-US" w:eastAsia="zh-CN" w:bidi="ar-SA"/>
                    </w:rPr>
                  </w:pPr>
                  <w:r>
                    <w:rPr>
                      <w:rFonts w:hint="default" w:ascii="Times New Roman" w:hAnsi="Times New Roman" w:eastAsia="宋体" w:cs="Times New Roman"/>
                      <w:b w:val="0"/>
                      <w:bCs w:val="0"/>
                      <w:color w:val="auto"/>
                      <w:sz w:val="21"/>
                      <w:szCs w:val="21"/>
                      <w:highlight w:val="none"/>
                    </w:rPr>
                    <w:t>6~9</w:t>
                  </w:r>
                </w:p>
              </w:tc>
            </w:tr>
            <w:tr w14:paraId="131BF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7E293EC2">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6140286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b w:val="0"/>
                      <w:bCs w:val="0"/>
                      <w:kern w:val="2"/>
                      <w:sz w:val="21"/>
                      <w:szCs w:val="21"/>
                      <w:u w:val="none"/>
                      <w:lang w:val="en-US" w:eastAsia="zh-CN" w:bidi="ar-SA"/>
                    </w:rPr>
                  </w:pPr>
                </w:p>
              </w:tc>
              <w:tc>
                <w:tcPr>
                  <w:tcW w:w="1008" w:type="dxa"/>
                  <w:noWrap w:val="0"/>
                  <w:vAlign w:val="center"/>
                </w:tcPr>
                <w:p w14:paraId="7E10435A">
                  <w:pPr>
                    <w:pStyle w:val="115"/>
                    <w:rPr>
                      <w:rFonts w:hint="eastAsia" w:eastAsia="宋体"/>
                      <w:bCs/>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COD</w:t>
                  </w:r>
                </w:p>
              </w:tc>
              <w:tc>
                <w:tcPr>
                  <w:tcW w:w="2995" w:type="dxa"/>
                  <w:noWrap w:val="0"/>
                  <w:vAlign w:val="top"/>
                </w:tcPr>
                <w:p w14:paraId="7C640B6F">
                  <w:pPr>
                    <w:pStyle w:val="115"/>
                    <w:rPr>
                      <w:rFonts w:hint="eastAsia"/>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3</w:t>
                  </w:r>
                  <w:r>
                    <w:rPr>
                      <w:rFonts w:hint="eastAsia"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rPr>
                    <w:t>0mg/L</w:t>
                  </w:r>
                </w:p>
              </w:tc>
            </w:tr>
            <w:tr w14:paraId="70753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24590DDB">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024112C9">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508B0322">
                  <w:pPr>
                    <w:pStyle w:val="115"/>
                    <w:rPr>
                      <w:rFonts w:hint="eastAsia" w:eastAsia="宋体"/>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BOD</w:t>
                  </w:r>
                  <w:r>
                    <w:rPr>
                      <w:rFonts w:hint="default" w:ascii="Times New Roman" w:hAnsi="Times New Roman" w:eastAsia="宋体" w:cs="Times New Roman"/>
                      <w:b w:val="0"/>
                      <w:bCs w:val="0"/>
                      <w:color w:val="auto"/>
                      <w:sz w:val="21"/>
                      <w:szCs w:val="21"/>
                      <w:highlight w:val="none"/>
                      <w:vertAlign w:val="subscript"/>
                    </w:rPr>
                    <w:t>5</w:t>
                  </w:r>
                </w:p>
              </w:tc>
              <w:tc>
                <w:tcPr>
                  <w:tcW w:w="2995" w:type="dxa"/>
                  <w:noWrap w:val="0"/>
                  <w:vAlign w:val="top"/>
                </w:tcPr>
                <w:p w14:paraId="70DB88D7">
                  <w:pPr>
                    <w:pStyle w:val="115"/>
                    <w:rPr>
                      <w:rFonts w:hint="eastAsia"/>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1</w:t>
                  </w:r>
                  <w:r>
                    <w:rPr>
                      <w:rFonts w:hint="eastAsia" w:cs="Times New Roman"/>
                      <w:b w:val="0"/>
                      <w:bCs w:val="0"/>
                      <w:color w:val="auto"/>
                      <w:sz w:val="21"/>
                      <w:szCs w:val="21"/>
                      <w:highlight w:val="none"/>
                      <w:lang w:val="en-US" w:eastAsia="zh-CN"/>
                    </w:rPr>
                    <w:t>8</w:t>
                  </w:r>
                  <w:r>
                    <w:rPr>
                      <w:rFonts w:hint="default" w:ascii="Times New Roman" w:hAnsi="Times New Roman" w:eastAsia="宋体" w:cs="Times New Roman"/>
                      <w:b w:val="0"/>
                      <w:bCs w:val="0"/>
                      <w:color w:val="auto"/>
                      <w:sz w:val="21"/>
                      <w:szCs w:val="21"/>
                      <w:highlight w:val="none"/>
                    </w:rPr>
                    <w:t>0mg/L</w:t>
                  </w:r>
                </w:p>
              </w:tc>
            </w:tr>
            <w:tr w14:paraId="726B2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25D75AE6">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3EFCE565">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31D83D13">
                  <w:pPr>
                    <w:pStyle w:val="115"/>
                    <w:rPr>
                      <w:rFonts w:hint="eastAsia" w:eastAsia="宋体"/>
                      <w:bCs/>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NH</w:t>
                  </w:r>
                  <w:r>
                    <w:rPr>
                      <w:rFonts w:hint="default" w:ascii="Times New Roman" w:hAnsi="Times New Roman" w:eastAsia="宋体" w:cs="Times New Roman"/>
                      <w:b w:val="0"/>
                      <w:bCs w:val="0"/>
                      <w:color w:val="auto"/>
                      <w:sz w:val="21"/>
                      <w:szCs w:val="21"/>
                      <w:highlight w:val="none"/>
                      <w:vertAlign w:val="subscript"/>
                    </w:rPr>
                    <w:t>3</w:t>
                  </w:r>
                  <w:r>
                    <w:rPr>
                      <w:rFonts w:hint="default" w:ascii="Times New Roman" w:hAnsi="Times New Roman" w:eastAsia="宋体" w:cs="Times New Roman"/>
                      <w:b w:val="0"/>
                      <w:bCs w:val="0"/>
                      <w:color w:val="auto"/>
                      <w:sz w:val="21"/>
                      <w:szCs w:val="21"/>
                      <w:highlight w:val="none"/>
                    </w:rPr>
                    <w:t>-N</w:t>
                  </w:r>
                </w:p>
              </w:tc>
              <w:tc>
                <w:tcPr>
                  <w:tcW w:w="2995" w:type="dxa"/>
                  <w:noWrap w:val="0"/>
                  <w:vAlign w:val="top"/>
                </w:tcPr>
                <w:p w14:paraId="1499AFFA">
                  <w:pPr>
                    <w:pStyle w:val="115"/>
                    <w:rPr>
                      <w:rFonts w:hint="eastAsia"/>
                      <w:snapToGrid w:val="0"/>
                      <w:color w:val="auto"/>
                      <w:kern w:val="0"/>
                      <w:sz w:val="21"/>
                      <w:szCs w:val="21"/>
                      <w:highlight w:val="none"/>
                      <w:lang w:val="en-US" w:eastAsia="zh-CN" w:bidi="ar-SA"/>
                    </w:rPr>
                  </w:pPr>
                  <w:r>
                    <w:rPr>
                      <w:rFonts w:hint="eastAsia" w:cs="Times New Roman"/>
                      <w:b w:val="0"/>
                      <w:bCs w:val="0"/>
                      <w:color w:val="auto"/>
                      <w:sz w:val="21"/>
                      <w:szCs w:val="21"/>
                      <w:highlight w:val="none"/>
                      <w:lang w:val="en-US" w:eastAsia="zh-CN"/>
                    </w:rPr>
                    <w:t>40</w:t>
                  </w:r>
                  <w:r>
                    <w:rPr>
                      <w:rFonts w:hint="default" w:ascii="Times New Roman" w:hAnsi="Times New Roman" w:eastAsia="宋体" w:cs="Times New Roman"/>
                      <w:b w:val="0"/>
                      <w:bCs w:val="0"/>
                      <w:color w:val="auto"/>
                      <w:sz w:val="21"/>
                      <w:szCs w:val="21"/>
                      <w:highlight w:val="none"/>
                    </w:rPr>
                    <w:t>mg/L</w:t>
                  </w:r>
                </w:p>
              </w:tc>
            </w:tr>
            <w:tr w14:paraId="36270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608BA06E">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3536" w:type="dxa"/>
                  <w:gridSpan w:val="2"/>
                  <w:vMerge w:val="continue"/>
                  <w:noWrap w:val="0"/>
                  <w:vAlign w:val="center"/>
                </w:tcPr>
                <w:p w14:paraId="38B4B639">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1008" w:type="dxa"/>
                  <w:noWrap w:val="0"/>
                  <w:vAlign w:val="center"/>
                </w:tcPr>
                <w:p w14:paraId="72F19F60">
                  <w:pPr>
                    <w:pStyle w:val="115"/>
                    <w:rPr>
                      <w:rFonts w:hint="eastAsia" w:eastAsia="宋体"/>
                      <w:bCs/>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SS</w:t>
                  </w:r>
                </w:p>
              </w:tc>
              <w:tc>
                <w:tcPr>
                  <w:tcW w:w="2995" w:type="dxa"/>
                  <w:noWrap w:val="0"/>
                  <w:vAlign w:val="top"/>
                </w:tcPr>
                <w:p w14:paraId="525091DC">
                  <w:pPr>
                    <w:pStyle w:val="115"/>
                    <w:rPr>
                      <w:rFonts w:hint="eastAsia"/>
                      <w:snapToGrid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2</w:t>
                  </w:r>
                  <w:r>
                    <w:rPr>
                      <w:rFonts w:hint="eastAsia"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rPr>
                    <w:t>0mg/L</w:t>
                  </w:r>
                </w:p>
              </w:tc>
            </w:tr>
            <w:tr w14:paraId="45D66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trPr>
              <w:tc>
                <w:tcPr>
                  <w:tcW w:w="846" w:type="dxa"/>
                  <w:vMerge w:val="restart"/>
                  <w:noWrap w:val="0"/>
                  <w:vAlign w:val="center"/>
                </w:tcPr>
                <w:p w14:paraId="2CB038C7">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sz w:val="21"/>
                      <w:szCs w:val="21"/>
                      <w:vertAlign w:val="baseline"/>
                      <w:lang w:val="en-US" w:eastAsia="zh-CN"/>
                    </w:rPr>
                  </w:pPr>
                  <w:r>
                    <w:rPr>
                      <w:sz w:val="21"/>
                    </w:rPr>
                    <w:t>噪声</w:t>
                  </w:r>
                </w:p>
              </w:tc>
              <w:tc>
                <w:tcPr>
                  <w:tcW w:w="3536" w:type="dxa"/>
                  <w:gridSpan w:val="2"/>
                  <w:noWrap w:val="0"/>
                  <w:vAlign w:val="center"/>
                </w:tcPr>
                <w:p w14:paraId="6B9BD77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kern w:val="2"/>
                      <w:sz w:val="21"/>
                      <w:lang w:val="en-US" w:eastAsia="zh-CN" w:bidi="ar-SA"/>
                    </w:rPr>
                  </w:pPr>
                  <w:r>
                    <w:rPr>
                      <w:sz w:val="21"/>
                      <w:szCs w:val="21"/>
                    </w:rPr>
                    <w:t>《工业企业厂界环境噪声排放标准》</w:t>
                  </w:r>
                  <w:r>
                    <w:rPr>
                      <w:rFonts w:hint="eastAsia"/>
                      <w:sz w:val="21"/>
                      <w:szCs w:val="21"/>
                      <w:lang w:eastAsia="zh-CN"/>
                    </w:rPr>
                    <w:t>（</w:t>
                  </w:r>
                  <w:r>
                    <w:rPr>
                      <w:sz w:val="21"/>
                      <w:szCs w:val="21"/>
                    </w:rPr>
                    <w:t>GB12348-2008</w:t>
                  </w:r>
                  <w:r>
                    <w:rPr>
                      <w:rFonts w:hint="eastAsia"/>
                      <w:sz w:val="21"/>
                      <w:szCs w:val="21"/>
                      <w:lang w:eastAsia="zh-CN"/>
                    </w:rPr>
                    <w:t>）</w:t>
                  </w:r>
                  <w:r>
                    <w:rPr>
                      <w:rFonts w:hint="eastAsia"/>
                      <w:sz w:val="21"/>
                      <w:lang w:val="en-US" w:eastAsia="zh-CN"/>
                    </w:rPr>
                    <w:t>表1中3</w:t>
                  </w:r>
                  <w:r>
                    <w:rPr>
                      <w:sz w:val="21"/>
                    </w:rPr>
                    <w:t>类</w:t>
                  </w:r>
                </w:p>
              </w:tc>
              <w:tc>
                <w:tcPr>
                  <w:tcW w:w="4003" w:type="dxa"/>
                  <w:gridSpan w:val="2"/>
                  <w:noWrap w:val="0"/>
                  <w:vAlign w:val="center"/>
                </w:tcPr>
                <w:p w14:paraId="769DD57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kern w:val="2"/>
                      <w:sz w:val="21"/>
                      <w:szCs w:val="21"/>
                      <w:lang w:val="en-US" w:eastAsia="zh-CN" w:bidi="ar-SA"/>
                    </w:rPr>
                  </w:pPr>
                  <w:r>
                    <w:rPr>
                      <w:sz w:val="21"/>
                    </w:rPr>
                    <w:t>昼间6</w:t>
                  </w:r>
                  <w:r>
                    <w:rPr>
                      <w:rFonts w:hint="eastAsia"/>
                      <w:sz w:val="21"/>
                      <w:lang w:val="en-US" w:eastAsia="zh-CN"/>
                    </w:rPr>
                    <w:t>5</w:t>
                  </w:r>
                  <w:r>
                    <w:rPr>
                      <w:sz w:val="21"/>
                    </w:rPr>
                    <w:t>dB</w:t>
                  </w:r>
                  <w:r>
                    <w:rPr>
                      <w:rFonts w:hint="eastAsia"/>
                      <w:sz w:val="21"/>
                      <w:lang w:eastAsia="zh-CN"/>
                    </w:rPr>
                    <w:t>（</w:t>
                  </w:r>
                  <w:r>
                    <w:rPr>
                      <w:sz w:val="21"/>
                    </w:rPr>
                    <w:t>A</w:t>
                  </w:r>
                  <w:r>
                    <w:rPr>
                      <w:rFonts w:hint="eastAsia"/>
                      <w:sz w:val="21"/>
                      <w:lang w:eastAsia="zh-CN"/>
                    </w:rPr>
                    <w:t>）、</w:t>
                  </w:r>
                  <w:r>
                    <w:rPr>
                      <w:rFonts w:hint="eastAsia"/>
                      <w:sz w:val="21"/>
                      <w:lang w:val="en-US" w:eastAsia="zh-CN"/>
                    </w:rPr>
                    <w:t>夜间55</w:t>
                  </w:r>
                  <w:r>
                    <w:rPr>
                      <w:sz w:val="21"/>
                    </w:rPr>
                    <w:t>dB</w:t>
                  </w:r>
                  <w:r>
                    <w:rPr>
                      <w:rFonts w:hint="eastAsia"/>
                      <w:sz w:val="21"/>
                      <w:lang w:eastAsia="zh-CN"/>
                    </w:rPr>
                    <w:t>（</w:t>
                  </w:r>
                  <w:r>
                    <w:rPr>
                      <w:sz w:val="21"/>
                    </w:rPr>
                    <w:t>A</w:t>
                  </w:r>
                  <w:r>
                    <w:rPr>
                      <w:rFonts w:hint="eastAsia"/>
                      <w:sz w:val="21"/>
                      <w:lang w:eastAsia="zh-CN"/>
                    </w:rPr>
                    <w:t>）</w:t>
                  </w:r>
                </w:p>
              </w:tc>
            </w:tr>
            <w:tr w14:paraId="67A5C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0171982E">
                  <w:pPr>
                    <w:pStyle w:val="16"/>
                    <w:keepNext w:val="0"/>
                    <w:keepLines w:val="0"/>
                    <w:pageBreakBefore w:val="0"/>
                    <w:widowControl w:val="0"/>
                    <w:kinsoku/>
                    <w:wordWrap/>
                    <w:overflowPunct/>
                    <w:topLinePunct w:val="0"/>
                    <w:autoSpaceDE/>
                    <w:autoSpaceDN/>
                    <w:bidi w:val="0"/>
                    <w:adjustRightInd w:val="0"/>
                    <w:snapToGrid w:val="0"/>
                    <w:jc w:val="center"/>
                    <w:textAlignment w:val="auto"/>
                    <w:rPr>
                      <w:sz w:val="21"/>
                    </w:rPr>
                  </w:pPr>
                </w:p>
              </w:tc>
              <w:tc>
                <w:tcPr>
                  <w:tcW w:w="3536" w:type="dxa"/>
                  <w:gridSpan w:val="2"/>
                  <w:noWrap w:val="0"/>
                  <w:vAlign w:val="center"/>
                </w:tcPr>
                <w:p w14:paraId="45BB680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21"/>
                      <w:szCs w:val="21"/>
                    </w:rPr>
                  </w:pPr>
                  <w:r>
                    <w:rPr>
                      <w:rFonts w:hint="eastAsia" w:ascii="Times New Roman" w:hAnsi="Times New Roman" w:eastAsia="宋体" w:cs="Times New Roman"/>
                      <w:snapToGrid w:val="0"/>
                      <w:kern w:val="0"/>
                      <w:sz w:val="21"/>
                      <w:szCs w:val="21"/>
                      <w:highlight w:val="none"/>
                      <w:lang w:val="en-US" w:eastAsia="zh-CN"/>
                    </w:rPr>
                    <w:t>《建筑施工噪声排放标准》GB12523-2025</w:t>
                  </w:r>
                </w:p>
              </w:tc>
              <w:tc>
                <w:tcPr>
                  <w:tcW w:w="4003" w:type="dxa"/>
                  <w:gridSpan w:val="2"/>
                  <w:noWrap w:val="0"/>
                  <w:vAlign w:val="center"/>
                </w:tcPr>
                <w:p w14:paraId="63E8939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21"/>
                    </w:rPr>
                  </w:pPr>
                  <w:r>
                    <w:rPr>
                      <w:rFonts w:hint="default" w:ascii="Times New Roman" w:hAnsi="Times New Roman" w:eastAsia="宋体" w:cs="Times New Roman"/>
                      <w:snapToGrid w:val="0"/>
                      <w:kern w:val="0"/>
                      <w:sz w:val="21"/>
                      <w:szCs w:val="21"/>
                      <w:highlight w:val="none"/>
                    </w:rPr>
                    <w:t>昼间</w:t>
                  </w:r>
                  <w:r>
                    <w:rPr>
                      <w:rFonts w:hint="eastAsia" w:ascii="Times New Roman" w:hAnsi="Times New Roman" w:eastAsia="宋体" w:cs="Times New Roman"/>
                      <w:snapToGrid w:val="0"/>
                      <w:kern w:val="0"/>
                      <w:sz w:val="21"/>
                      <w:szCs w:val="21"/>
                      <w:highlight w:val="none"/>
                      <w:lang w:val="en-US" w:eastAsia="zh-CN"/>
                    </w:rPr>
                    <w:t>70</w:t>
                  </w:r>
                  <w:r>
                    <w:rPr>
                      <w:rFonts w:hint="default" w:ascii="Times New Roman" w:hAnsi="Times New Roman" w:eastAsia="宋体" w:cs="Times New Roman"/>
                      <w:snapToGrid w:val="0"/>
                      <w:kern w:val="0"/>
                      <w:sz w:val="21"/>
                      <w:szCs w:val="21"/>
                      <w:highlight w:val="none"/>
                    </w:rPr>
                    <w:t>dB(A)</w:t>
                  </w:r>
                  <w:r>
                    <w:rPr>
                      <w:rFonts w:hint="default" w:ascii="Times New Roman" w:hAnsi="Times New Roman" w:eastAsia="宋体" w:cs="Times New Roman"/>
                      <w:snapToGrid w:val="0"/>
                      <w:kern w:val="0"/>
                      <w:sz w:val="21"/>
                      <w:szCs w:val="21"/>
                      <w:highlight w:val="none"/>
                      <w:lang w:eastAsia="zh-CN"/>
                    </w:rPr>
                    <w:t>、</w:t>
                  </w:r>
                  <w:r>
                    <w:rPr>
                      <w:rFonts w:hint="default" w:ascii="Times New Roman" w:hAnsi="Times New Roman" w:eastAsia="宋体" w:cs="Times New Roman"/>
                      <w:snapToGrid w:val="0"/>
                      <w:kern w:val="0"/>
                      <w:sz w:val="21"/>
                      <w:szCs w:val="21"/>
                      <w:highlight w:val="none"/>
                    </w:rPr>
                    <w:t>夜间5</w:t>
                  </w:r>
                  <w:r>
                    <w:rPr>
                      <w:rFonts w:hint="default" w:ascii="Times New Roman" w:hAnsi="Times New Roman" w:eastAsia="宋体" w:cs="Times New Roman"/>
                      <w:snapToGrid w:val="0"/>
                      <w:kern w:val="0"/>
                      <w:sz w:val="21"/>
                      <w:szCs w:val="21"/>
                      <w:highlight w:val="none"/>
                      <w:lang w:val="en-US" w:eastAsia="zh-CN"/>
                    </w:rPr>
                    <w:t>5</w:t>
                  </w:r>
                  <w:r>
                    <w:rPr>
                      <w:rFonts w:hint="default" w:ascii="Times New Roman" w:hAnsi="Times New Roman" w:eastAsia="宋体" w:cs="Times New Roman"/>
                      <w:snapToGrid w:val="0"/>
                      <w:kern w:val="0"/>
                      <w:sz w:val="21"/>
                      <w:szCs w:val="21"/>
                      <w:highlight w:val="none"/>
                    </w:rPr>
                    <w:t>dB(A)</w:t>
                  </w:r>
                </w:p>
              </w:tc>
            </w:tr>
            <w:tr w14:paraId="54CEB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46" w:type="dxa"/>
                  <w:vMerge w:val="restart"/>
                  <w:noWrap w:val="0"/>
                  <w:vAlign w:val="center"/>
                </w:tcPr>
                <w:p w14:paraId="71ED3EBA">
                  <w:pPr>
                    <w:pStyle w:val="16"/>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eastAsia"/>
                      <w:sz w:val="21"/>
                      <w:szCs w:val="21"/>
                      <w:vertAlign w:val="baseline"/>
                      <w:lang w:val="en-US" w:eastAsia="zh-CN"/>
                    </w:rPr>
                  </w:pPr>
                  <w:r>
                    <w:rPr>
                      <w:rFonts w:hint="eastAsia"/>
                      <w:sz w:val="21"/>
                      <w:szCs w:val="21"/>
                      <w:vertAlign w:val="baseline"/>
                      <w:lang w:val="en-US" w:eastAsia="zh-CN"/>
                    </w:rPr>
                    <w:t>固废</w:t>
                  </w:r>
                </w:p>
              </w:tc>
              <w:tc>
                <w:tcPr>
                  <w:tcW w:w="7539" w:type="dxa"/>
                  <w:gridSpan w:val="4"/>
                  <w:noWrap w:val="0"/>
                  <w:vAlign w:val="center"/>
                </w:tcPr>
                <w:p w14:paraId="48504941">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r>
                    <w:rPr>
                      <w:rFonts w:hint="eastAsia"/>
                      <w:sz w:val="21"/>
                      <w:szCs w:val="21"/>
                      <w:vertAlign w:val="baseline"/>
                      <w:lang w:val="en-US" w:eastAsia="zh-CN"/>
                    </w:rPr>
                    <w:t>一般固废参照执行《一般工业固体废物贮存和填埋污染控制标准》（GB18599-2020）</w:t>
                  </w:r>
                </w:p>
              </w:tc>
            </w:tr>
            <w:tr w14:paraId="32F4D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noWrap w:val="0"/>
                  <w:vAlign w:val="center"/>
                </w:tcPr>
                <w:p w14:paraId="3E177FBA">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p>
              </w:tc>
              <w:tc>
                <w:tcPr>
                  <w:tcW w:w="7539" w:type="dxa"/>
                  <w:gridSpan w:val="4"/>
                  <w:noWrap w:val="0"/>
                  <w:vAlign w:val="center"/>
                </w:tcPr>
                <w:p w14:paraId="104F9FBD">
                  <w:pPr>
                    <w:pStyle w:val="16"/>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1"/>
                      <w:szCs w:val="21"/>
                      <w:vertAlign w:val="baseline"/>
                      <w:lang w:val="en-US" w:eastAsia="zh-CN"/>
                    </w:rPr>
                  </w:pPr>
                  <w:r>
                    <w:rPr>
                      <w:rFonts w:hint="eastAsia"/>
                      <w:color w:val="auto"/>
                      <w:sz w:val="21"/>
                      <w:szCs w:val="21"/>
                      <w:vertAlign w:val="baseline"/>
                      <w:lang w:val="en-US" w:eastAsia="zh-CN"/>
                    </w:rPr>
                    <w:t>危险废物执行</w:t>
                  </w:r>
                  <w:r>
                    <w:rPr>
                      <w:rFonts w:hint="eastAsia"/>
                      <w:sz w:val="21"/>
                      <w:szCs w:val="21"/>
                      <w:vertAlign w:val="baseline"/>
                      <w:lang w:val="en-US" w:eastAsia="zh-CN"/>
                    </w:rPr>
                    <w:t>《危险废物贮存污染控制标准》（GB 18597-2023）中相关要求</w:t>
                  </w:r>
                </w:p>
              </w:tc>
            </w:tr>
          </w:tbl>
          <w:p w14:paraId="731ADA18">
            <w:pPr>
              <w:spacing w:line="360" w:lineRule="auto"/>
              <w:ind w:firstLine="420" w:firstLineChars="200"/>
              <w:rPr>
                <w:b w:val="0"/>
                <w:bCs w:val="0"/>
                <w:color w:val="FF0000"/>
                <w:kern w:val="0"/>
                <w:szCs w:val="21"/>
              </w:rPr>
            </w:pPr>
          </w:p>
        </w:tc>
      </w:tr>
      <w:tr w14:paraId="13336C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7" w:type="dxa"/>
            <w:noWrap w:val="0"/>
            <w:vAlign w:val="center"/>
          </w:tcPr>
          <w:p w14:paraId="37B62E2C">
            <w:pPr>
              <w:adjustRightInd w:val="0"/>
              <w:snapToGrid w:val="0"/>
              <w:jc w:val="center"/>
              <w:rPr>
                <w:b w:val="0"/>
                <w:bCs w:val="0"/>
                <w:color w:val="auto"/>
                <w:kern w:val="0"/>
                <w:szCs w:val="21"/>
              </w:rPr>
            </w:pPr>
            <w:r>
              <w:rPr>
                <w:b w:val="0"/>
                <w:bCs w:val="0"/>
                <w:color w:val="auto"/>
                <w:kern w:val="0"/>
                <w:szCs w:val="21"/>
              </w:rPr>
              <w:t>总量</w:t>
            </w:r>
          </w:p>
          <w:p w14:paraId="392E8731">
            <w:pPr>
              <w:adjustRightInd w:val="0"/>
              <w:snapToGrid w:val="0"/>
              <w:jc w:val="center"/>
              <w:rPr>
                <w:b w:val="0"/>
                <w:bCs w:val="0"/>
                <w:color w:val="auto"/>
                <w:kern w:val="0"/>
                <w:szCs w:val="21"/>
              </w:rPr>
            </w:pPr>
            <w:r>
              <w:rPr>
                <w:b w:val="0"/>
                <w:bCs w:val="0"/>
                <w:color w:val="auto"/>
                <w:kern w:val="0"/>
                <w:szCs w:val="21"/>
              </w:rPr>
              <w:t>控制</w:t>
            </w:r>
          </w:p>
          <w:p w14:paraId="58F32F7E">
            <w:pPr>
              <w:adjustRightInd w:val="0"/>
              <w:snapToGrid w:val="0"/>
              <w:jc w:val="center"/>
              <w:rPr>
                <w:b w:val="0"/>
                <w:bCs w:val="0"/>
                <w:color w:val="FF0000"/>
                <w:kern w:val="0"/>
                <w:szCs w:val="21"/>
              </w:rPr>
            </w:pPr>
            <w:r>
              <w:rPr>
                <w:b w:val="0"/>
                <w:bCs w:val="0"/>
                <w:color w:val="auto"/>
                <w:kern w:val="0"/>
                <w:szCs w:val="21"/>
              </w:rPr>
              <w:t>指标</w:t>
            </w:r>
          </w:p>
        </w:tc>
        <w:tc>
          <w:tcPr>
            <w:tcW w:w="8394" w:type="dxa"/>
            <w:noWrap w:val="0"/>
            <w:vAlign w:val="center"/>
          </w:tcPr>
          <w:p w14:paraId="4978D1E0">
            <w:pPr>
              <w:spacing w:line="360" w:lineRule="auto"/>
              <w:ind w:firstLine="480" w:firstLineChars="200"/>
              <w:rPr>
                <w:b w:val="0"/>
                <w:bCs w:val="0"/>
                <w:color w:val="FF0000"/>
                <w:kern w:val="0"/>
                <w:sz w:val="24"/>
              </w:rPr>
            </w:pPr>
          </w:p>
          <w:p w14:paraId="2EF85DA5">
            <w:pPr>
              <w:pStyle w:val="96"/>
              <w:ind w:firstLine="480"/>
              <w:rPr>
                <w:b w:val="0"/>
                <w:bCs w:val="0"/>
                <w:color w:val="auto"/>
              </w:rPr>
            </w:pPr>
          </w:p>
          <w:p w14:paraId="4B980E04">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82" w:firstLineChars="200"/>
              <w:textAlignment w:val="auto"/>
              <w:rPr>
                <w:rFonts w:hint="default" w:eastAsia="宋体"/>
                <w:b/>
                <w:bCs/>
                <w:snapToGrid w:val="0"/>
                <w:color w:val="auto"/>
                <w:kern w:val="0"/>
                <w:sz w:val="24"/>
                <w:szCs w:val="24"/>
                <w:highlight w:val="none"/>
                <w:u w:val="single" w:color="auto"/>
                <w:lang w:val="en-US" w:eastAsia="zh-CN"/>
              </w:rPr>
            </w:pPr>
            <w:r>
              <w:rPr>
                <w:rFonts w:hint="eastAsia"/>
                <w:b/>
                <w:bCs/>
                <w:snapToGrid w:val="0"/>
                <w:color w:val="auto"/>
                <w:kern w:val="0"/>
                <w:sz w:val="24"/>
                <w:szCs w:val="24"/>
                <w:highlight w:val="none"/>
                <w:u w:val="single" w:color="auto"/>
              </w:rPr>
              <w:t>（</w:t>
            </w:r>
            <w:r>
              <w:rPr>
                <w:b/>
                <w:bCs/>
                <w:snapToGrid w:val="0"/>
                <w:color w:val="auto"/>
                <w:kern w:val="0"/>
                <w:sz w:val="24"/>
                <w:szCs w:val="24"/>
                <w:highlight w:val="none"/>
                <w:u w:val="single" w:color="auto"/>
              </w:rPr>
              <w:t>1</w:t>
            </w:r>
            <w:r>
              <w:rPr>
                <w:rFonts w:hint="eastAsia"/>
                <w:b/>
                <w:bCs/>
                <w:snapToGrid w:val="0"/>
                <w:color w:val="auto"/>
                <w:kern w:val="0"/>
                <w:sz w:val="24"/>
                <w:szCs w:val="24"/>
                <w:highlight w:val="none"/>
                <w:u w:val="single" w:color="auto"/>
              </w:rPr>
              <w:t>）</w:t>
            </w:r>
            <w:r>
              <w:rPr>
                <w:rFonts w:hint="eastAsia"/>
                <w:b/>
                <w:bCs/>
                <w:snapToGrid w:val="0"/>
                <w:color w:val="auto"/>
                <w:kern w:val="0"/>
                <w:sz w:val="24"/>
                <w:szCs w:val="24"/>
                <w:highlight w:val="none"/>
                <w:u w:val="single" w:color="auto"/>
                <w:lang w:val="en-US" w:eastAsia="zh-CN"/>
              </w:rPr>
              <w:t>总量控制指标</w:t>
            </w:r>
          </w:p>
          <w:p w14:paraId="3D0116EB">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82" w:firstLineChars="200"/>
              <w:textAlignment w:val="auto"/>
              <w:rPr>
                <w:b/>
                <w:bCs/>
                <w:snapToGrid w:val="0"/>
                <w:color w:val="auto"/>
                <w:kern w:val="0"/>
                <w:sz w:val="24"/>
                <w:szCs w:val="24"/>
                <w:highlight w:val="none"/>
                <w:u w:val="single" w:color="auto"/>
              </w:rPr>
            </w:pPr>
            <w:r>
              <w:rPr>
                <w:rFonts w:hint="eastAsia"/>
                <w:b/>
                <w:bCs/>
                <w:snapToGrid w:val="0"/>
                <w:color w:val="auto"/>
                <w:kern w:val="0"/>
                <w:sz w:val="24"/>
                <w:szCs w:val="24"/>
                <w:highlight w:val="none"/>
                <w:u w:val="single" w:color="auto"/>
                <w:lang w:eastAsia="zh-CN"/>
              </w:rPr>
              <w:t>①</w:t>
            </w:r>
            <w:r>
              <w:rPr>
                <w:rFonts w:hint="eastAsia"/>
                <w:b/>
                <w:bCs/>
                <w:snapToGrid w:val="0"/>
                <w:color w:val="auto"/>
                <w:kern w:val="0"/>
                <w:sz w:val="24"/>
                <w:szCs w:val="24"/>
                <w:highlight w:val="none"/>
                <w:u w:val="single" w:color="auto"/>
              </w:rPr>
              <w:t>废水</w:t>
            </w:r>
            <w:r>
              <w:rPr>
                <w:rFonts w:hint="eastAsia"/>
                <w:b/>
                <w:bCs/>
                <w:snapToGrid w:val="0"/>
                <w:color w:val="auto"/>
                <w:kern w:val="0"/>
                <w:sz w:val="24"/>
                <w:szCs w:val="24"/>
                <w:highlight w:val="none"/>
                <w:u w:val="single" w:color="auto"/>
                <w:lang w:val="en-US" w:eastAsia="zh-CN"/>
              </w:rPr>
              <w:t>总量控制指标</w:t>
            </w:r>
          </w:p>
          <w:p w14:paraId="134CB078">
            <w:pPr>
              <w:pStyle w:val="96"/>
              <w:ind w:firstLine="480"/>
              <w:rPr>
                <w:rFonts w:hint="default" w:ascii="Times New Roman" w:hAnsi="Times New Roman" w:eastAsia="宋体" w:cs="Times New Roman"/>
                <w:b/>
                <w:bCs/>
                <w:color w:val="auto"/>
                <w:sz w:val="24"/>
                <w:szCs w:val="24"/>
                <w:highlight w:val="none"/>
                <w:u w:val="single" w:color="auto"/>
              </w:rPr>
            </w:pPr>
            <w:r>
              <w:rPr>
                <w:rFonts w:hint="default" w:ascii="Times New Roman" w:hAnsi="Times New Roman" w:eastAsia="宋体" w:cs="Times New Roman"/>
                <w:b/>
                <w:bCs/>
                <w:color w:val="auto"/>
                <w:sz w:val="24"/>
                <w:szCs w:val="24"/>
                <w:highlight w:val="none"/>
                <w:u w:val="single" w:color="auto"/>
              </w:rPr>
              <w:t>本项目营运期废水主要为职工生活污水</w:t>
            </w:r>
            <w:r>
              <w:rPr>
                <w:rFonts w:hint="default" w:ascii="Times New Roman" w:hAnsi="Times New Roman" w:eastAsia="宋体" w:cs="Times New Roman"/>
                <w:b/>
                <w:bCs/>
                <w:color w:val="auto"/>
                <w:sz w:val="24"/>
                <w:szCs w:val="24"/>
                <w:highlight w:val="none"/>
                <w:u w:val="single" w:color="auto"/>
                <w:lang w:val="en-US" w:eastAsia="zh-CN"/>
              </w:rPr>
              <w:t>、生产废水和纯水制备系统浓水</w:t>
            </w:r>
            <w:r>
              <w:rPr>
                <w:rFonts w:hint="default" w:ascii="Times New Roman" w:hAnsi="Times New Roman" w:eastAsia="宋体" w:cs="Times New Roman"/>
                <w:b/>
                <w:bCs/>
                <w:color w:val="auto"/>
                <w:sz w:val="24"/>
                <w:szCs w:val="24"/>
                <w:highlight w:val="none"/>
                <w:u w:val="single" w:color="auto"/>
              </w:rPr>
              <w:t>。</w:t>
            </w:r>
          </w:p>
          <w:p w14:paraId="1046C657">
            <w:pPr>
              <w:tabs>
                <w:tab w:val="left" w:pos="4002"/>
              </w:tabs>
              <w:adjustRightInd w:val="0"/>
              <w:snapToGrid w:val="0"/>
              <w:spacing w:line="360" w:lineRule="auto"/>
              <w:ind w:firstLine="456"/>
              <w:rPr>
                <w:b/>
                <w:bCs/>
                <w:snapToGrid w:val="0"/>
                <w:color w:val="auto"/>
                <w:kern w:val="0"/>
                <w:sz w:val="24"/>
                <w:szCs w:val="24"/>
                <w:highlight w:val="none"/>
                <w:u w:val="single" w:color="auto"/>
              </w:rPr>
            </w:pPr>
            <w:r>
              <w:rPr>
                <w:b/>
                <w:bCs/>
                <w:snapToGrid w:val="0"/>
                <w:color w:val="auto"/>
                <w:kern w:val="0"/>
                <w:sz w:val="24"/>
                <w:szCs w:val="24"/>
                <w:highlight w:val="none"/>
                <w:u w:val="single" w:color="auto"/>
              </w:rPr>
              <w:t>本项目废水</w:t>
            </w:r>
            <w:r>
              <w:rPr>
                <w:rFonts w:hint="eastAsia"/>
                <w:b/>
                <w:bCs/>
                <w:snapToGrid w:val="0"/>
                <w:color w:val="auto"/>
                <w:kern w:val="0"/>
                <w:sz w:val="24"/>
                <w:szCs w:val="24"/>
                <w:highlight w:val="none"/>
                <w:u w:val="single" w:color="auto"/>
              </w:rPr>
              <w:t>“</w:t>
            </w:r>
            <w:r>
              <w:rPr>
                <w:b/>
                <w:bCs/>
                <w:snapToGrid w:val="0"/>
                <w:color w:val="auto"/>
                <w:kern w:val="0"/>
                <w:sz w:val="24"/>
                <w:szCs w:val="24"/>
                <w:highlight w:val="none"/>
                <w:u w:val="single" w:color="auto"/>
              </w:rPr>
              <w:t>出厂排放量</w:t>
            </w:r>
            <w:r>
              <w:rPr>
                <w:rFonts w:hint="eastAsia"/>
                <w:b/>
                <w:bCs/>
                <w:snapToGrid w:val="0"/>
                <w:color w:val="auto"/>
                <w:kern w:val="0"/>
                <w:sz w:val="24"/>
                <w:szCs w:val="24"/>
                <w:highlight w:val="none"/>
                <w:u w:val="single" w:color="auto"/>
              </w:rPr>
              <w:t>”</w:t>
            </w:r>
            <w:r>
              <w:rPr>
                <w:b/>
                <w:bCs/>
                <w:snapToGrid w:val="0"/>
                <w:color w:val="auto"/>
                <w:kern w:val="0"/>
                <w:sz w:val="24"/>
                <w:szCs w:val="24"/>
                <w:highlight w:val="none"/>
                <w:u w:val="single" w:color="auto"/>
              </w:rPr>
              <w:t>：废水</w:t>
            </w:r>
            <w:r>
              <w:rPr>
                <w:rFonts w:hint="eastAsia"/>
                <w:b/>
                <w:bCs/>
                <w:snapToGrid w:val="0"/>
                <w:color w:val="auto"/>
                <w:kern w:val="0"/>
                <w:sz w:val="24"/>
                <w:szCs w:val="24"/>
                <w:highlight w:val="none"/>
                <w:u w:val="single" w:color="auto"/>
                <w:lang w:val="en-US" w:eastAsia="zh-CN"/>
              </w:rPr>
              <w:t>960</w:t>
            </w:r>
            <w:r>
              <w:rPr>
                <w:b/>
                <w:bCs/>
                <w:snapToGrid w:val="0"/>
                <w:color w:val="auto"/>
                <w:kern w:val="0"/>
                <w:sz w:val="24"/>
                <w:szCs w:val="24"/>
                <w:highlight w:val="none"/>
                <w:u w:val="single" w:color="auto"/>
              </w:rPr>
              <w:t>m</w:t>
            </w:r>
            <w:r>
              <w:rPr>
                <w:b/>
                <w:bCs/>
                <w:snapToGrid w:val="0"/>
                <w:color w:val="auto"/>
                <w:kern w:val="0"/>
                <w:sz w:val="24"/>
                <w:szCs w:val="24"/>
                <w:highlight w:val="none"/>
                <w:u w:val="single" w:color="auto"/>
                <w:vertAlign w:val="superscript"/>
              </w:rPr>
              <w:t>3</w:t>
            </w:r>
            <w:r>
              <w:rPr>
                <w:b/>
                <w:bCs/>
                <w:snapToGrid w:val="0"/>
                <w:color w:val="auto"/>
                <w:kern w:val="0"/>
                <w:sz w:val="24"/>
                <w:szCs w:val="24"/>
                <w:highlight w:val="none"/>
                <w:u w:val="single" w:color="auto"/>
              </w:rPr>
              <w:t>/a、COD</w:t>
            </w:r>
            <w:r>
              <w:rPr>
                <w:rFonts w:hint="eastAsia"/>
                <w:b/>
                <w:bCs/>
                <w:snapToGrid w:val="0"/>
                <w:color w:val="auto"/>
                <w:kern w:val="0"/>
                <w:sz w:val="24"/>
                <w:szCs w:val="24"/>
                <w:highlight w:val="none"/>
                <w:u w:val="single" w:color="auto"/>
                <w:lang w:val="en-US" w:eastAsia="zh-CN"/>
              </w:rPr>
              <w:t>0.288</w:t>
            </w:r>
            <w:r>
              <w:rPr>
                <w:b/>
                <w:bCs/>
                <w:snapToGrid w:val="0"/>
                <w:color w:val="auto"/>
                <w:kern w:val="0"/>
                <w:sz w:val="24"/>
                <w:szCs w:val="24"/>
                <w:highlight w:val="none"/>
                <w:u w:val="single" w:color="auto"/>
              </w:rPr>
              <w:t>t/a、NH</w:t>
            </w:r>
            <w:r>
              <w:rPr>
                <w:b/>
                <w:bCs/>
                <w:snapToGrid w:val="0"/>
                <w:color w:val="auto"/>
                <w:kern w:val="0"/>
                <w:sz w:val="24"/>
                <w:szCs w:val="24"/>
                <w:highlight w:val="none"/>
                <w:u w:val="single" w:color="auto"/>
                <w:vertAlign w:val="subscript"/>
              </w:rPr>
              <w:t>3</w:t>
            </w:r>
            <w:r>
              <w:rPr>
                <w:b/>
                <w:bCs/>
                <w:snapToGrid w:val="0"/>
                <w:color w:val="auto"/>
                <w:kern w:val="0"/>
                <w:sz w:val="24"/>
                <w:szCs w:val="24"/>
                <w:highlight w:val="none"/>
                <w:u w:val="single" w:color="auto"/>
              </w:rPr>
              <w:t>-N</w:t>
            </w:r>
            <w:r>
              <w:rPr>
                <w:rFonts w:hint="eastAsia"/>
                <w:b/>
                <w:bCs/>
                <w:snapToGrid w:val="0"/>
                <w:color w:val="auto"/>
                <w:kern w:val="0"/>
                <w:sz w:val="24"/>
                <w:szCs w:val="24"/>
                <w:highlight w:val="none"/>
                <w:u w:val="single" w:color="auto"/>
                <w:lang w:val="en-US" w:eastAsia="zh-CN"/>
              </w:rPr>
              <w:t>0.024</w:t>
            </w:r>
            <w:r>
              <w:rPr>
                <w:b/>
                <w:bCs/>
                <w:snapToGrid w:val="0"/>
                <w:color w:val="auto"/>
                <w:kern w:val="0"/>
                <w:sz w:val="24"/>
                <w:szCs w:val="24"/>
                <w:highlight w:val="none"/>
                <w:u w:val="single" w:color="auto"/>
              </w:rPr>
              <w:t>t/a；</w:t>
            </w:r>
            <w:r>
              <w:rPr>
                <w:rFonts w:hint="eastAsia"/>
                <w:b/>
                <w:bCs/>
                <w:snapToGrid w:val="0"/>
                <w:color w:val="auto"/>
                <w:kern w:val="0"/>
                <w:sz w:val="24"/>
                <w:szCs w:val="24"/>
                <w:highlight w:val="none"/>
                <w:u w:val="single" w:color="auto"/>
              </w:rPr>
              <w:t>“</w:t>
            </w:r>
            <w:r>
              <w:rPr>
                <w:b/>
                <w:bCs/>
                <w:snapToGrid w:val="0"/>
                <w:color w:val="auto"/>
                <w:kern w:val="0"/>
                <w:sz w:val="24"/>
                <w:szCs w:val="24"/>
                <w:highlight w:val="none"/>
                <w:u w:val="single" w:color="auto"/>
              </w:rPr>
              <w:t>入环境排放量</w:t>
            </w:r>
            <w:r>
              <w:rPr>
                <w:rFonts w:hint="eastAsia"/>
                <w:b/>
                <w:bCs/>
                <w:snapToGrid w:val="0"/>
                <w:color w:val="auto"/>
                <w:kern w:val="0"/>
                <w:sz w:val="24"/>
                <w:szCs w:val="24"/>
                <w:highlight w:val="none"/>
                <w:u w:val="single" w:color="auto"/>
              </w:rPr>
              <w:t>”</w:t>
            </w:r>
            <w:r>
              <w:rPr>
                <w:b/>
                <w:bCs/>
                <w:snapToGrid w:val="0"/>
                <w:color w:val="auto"/>
                <w:kern w:val="0"/>
                <w:sz w:val="24"/>
                <w:szCs w:val="24"/>
                <w:highlight w:val="none"/>
                <w:u w:val="single" w:color="auto"/>
              </w:rPr>
              <w:t>：废水量</w:t>
            </w:r>
            <w:r>
              <w:rPr>
                <w:rFonts w:hint="eastAsia"/>
                <w:b/>
                <w:bCs/>
                <w:snapToGrid w:val="0"/>
                <w:color w:val="auto"/>
                <w:kern w:val="0"/>
                <w:sz w:val="24"/>
                <w:szCs w:val="24"/>
                <w:highlight w:val="none"/>
                <w:u w:val="single" w:color="auto"/>
                <w:lang w:val="en-US" w:eastAsia="zh-CN"/>
              </w:rPr>
              <w:t>960</w:t>
            </w:r>
            <w:r>
              <w:rPr>
                <w:b/>
                <w:bCs/>
                <w:snapToGrid w:val="0"/>
                <w:color w:val="auto"/>
                <w:kern w:val="0"/>
                <w:sz w:val="24"/>
                <w:szCs w:val="24"/>
                <w:highlight w:val="none"/>
                <w:u w:val="single" w:color="auto"/>
              </w:rPr>
              <w:t>m</w:t>
            </w:r>
            <w:r>
              <w:rPr>
                <w:b/>
                <w:bCs/>
                <w:snapToGrid w:val="0"/>
                <w:color w:val="auto"/>
                <w:kern w:val="0"/>
                <w:sz w:val="24"/>
                <w:szCs w:val="24"/>
                <w:highlight w:val="none"/>
                <w:u w:val="single" w:color="auto"/>
                <w:vertAlign w:val="superscript"/>
              </w:rPr>
              <w:t>3</w:t>
            </w:r>
            <w:r>
              <w:rPr>
                <w:b/>
                <w:bCs/>
                <w:snapToGrid w:val="0"/>
                <w:color w:val="auto"/>
                <w:kern w:val="0"/>
                <w:sz w:val="24"/>
                <w:szCs w:val="24"/>
                <w:highlight w:val="none"/>
                <w:u w:val="single" w:color="auto"/>
              </w:rPr>
              <w:t>/a、COD</w:t>
            </w:r>
            <w:r>
              <w:rPr>
                <w:rFonts w:hint="eastAsia"/>
                <w:b/>
                <w:bCs/>
                <w:snapToGrid w:val="0"/>
                <w:color w:val="auto"/>
                <w:kern w:val="0"/>
                <w:sz w:val="24"/>
                <w:szCs w:val="24"/>
                <w:highlight w:val="none"/>
                <w:u w:val="single" w:color="auto"/>
                <w:lang w:val="en-US" w:eastAsia="zh-CN"/>
              </w:rPr>
              <w:t>0.048</w:t>
            </w:r>
            <w:r>
              <w:rPr>
                <w:b/>
                <w:bCs/>
                <w:snapToGrid w:val="0"/>
                <w:color w:val="auto"/>
                <w:kern w:val="0"/>
                <w:sz w:val="24"/>
                <w:szCs w:val="24"/>
                <w:highlight w:val="none"/>
                <w:u w:val="single" w:color="auto"/>
              </w:rPr>
              <w:t>t/a、NH</w:t>
            </w:r>
            <w:r>
              <w:rPr>
                <w:b/>
                <w:bCs/>
                <w:snapToGrid w:val="0"/>
                <w:color w:val="auto"/>
                <w:kern w:val="0"/>
                <w:sz w:val="24"/>
                <w:szCs w:val="24"/>
                <w:highlight w:val="none"/>
                <w:u w:val="single" w:color="auto"/>
                <w:vertAlign w:val="subscript"/>
              </w:rPr>
              <w:t>3</w:t>
            </w:r>
            <w:r>
              <w:rPr>
                <w:b/>
                <w:bCs/>
                <w:snapToGrid w:val="0"/>
                <w:color w:val="auto"/>
                <w:kern w:val="0"/>
                <w:sz w:val="24"/>
                <w:szCs w:val="24"/>
                <w:highlight w:val="none"/>
                <w:u w:val="single" w:color="auto"/>
              </w:rPr>
              <w:t>-N</w:t>
            </w:r>
            <w:r>
              <w:rPr>
                <w:rFonts w:hint="eastAsia"/>
                <w:b/>
                <w:bCs/>
                <w:snapToGrid w:val="0"/>
                <w:color w:val="auto"/>
                <w:kern w:val="0"/>
                <w:sz w:val="24"/>
                <w:szCs w:val="24"/>
                <w:highlight w:val="none"/>
                <w:u w:val="single" w:color="auto"/>
                <w:lang w:val="en-US" w:eastAsia="zh-CN"/>
              </w:rPr>
              <w:t>0.0048</w:t>
            </w:r>
            <w:r>
              <w:rPr>
                <w:b/>
                <w:bCs/>
                <w:snapToGrid w:val="0"/>
                <w:color w:val="auto"/>
                <w:kern w:val="0"/>
                <w:sz w:val="24"/>
                <w:szCs w:val="24"/>
                <w:highlight w:val="none"/>
                <w:u w:val="single" w:color="auto"/>
              </w:rPr>
              <w:t>t/a。建议总量控制指标为COD</w:t>
            </w:r>
            <w:r>
              <w:rPr>
                <w:rFonts w:hint="eastAsia"/>
                <w:b/>
                <w:bCs/>
                <w:snapToGrid w:val="0"/>
                <w:color w:val="auto"/>
                <w:kern w:val="0"/>
                <w:sz w:val="24"/>
                <w:szCs w:val="24"/>
                <w:highlight w:val="none"/>
                <w:u w:val="single" w:color="auto"/>
                <w:lang w:val="en-US" w:eastAsia="zh-CN"/>
              </w:rPr>
              <w:t>0.048</w:t>
            </w:r>
            <w:r>
              <w:rPr>
                <w:b/>
                <w:bCs/>
                <w:snapToGrid w:val="0"/>
                <w:color w:val="auto"/>
                <w:kern w:val="0"/>
                <w:sz w:val="24"/>
                <w:szCs w:val="24"/>
                <w:highlight w:val="none"/>
                <w:u w:val="single" w:color="auto"/>
              </w:rPr>
              <w:t>t/a、NH</w:t>
            </w:r>
            <w:r>
              <w:rPr>
                <w:b/>
                <w:bCs/>
                <w:snapToGrid w:val="0"/>
                <w:color w:val="auto"/>
                <w:kern w:val="0"/>
                <w:sz w:val="24"/>
                <w:szCs w:val="24"/>
                <w:highlight w:val="none"/>
                <w:u w:val="single" w:color="auto"/>
                <w:vertAlign w:val="subscript"/>
              </w:rPr>
              <w:t>3</w:t>
            </w:r>
            <w:r>
              <w:rPr>
                <w:b/>
                <w:bCs/>
                <w:snapToGrid w:val="0"/>
                <w:color w:val="auto"/>
                <w:kern w:val="0"/>
                <w:sz w:val="24"/>
                <w:szCs w:val="24"/>
                <w:highlight w:val="none"/>
                <w:u w:val="single" w:color="auto"/>
              </w:rPr>
              <w:t>-N</w:t>
            </w:r>
            <w:r>
              <w:rPr>
                <w:rFonts w:hint="eastAsia"/>
                <w:b/>
                <w:bCs/>
                <w:snapToGrid w:val="0"/>
                <w:color w:val="auto"/>
                <w:kern w:val="0"/>
                <w:sz w:val="24"/>
                <w:szCs w:val="24"/>
                <w:highlight w:val="none"/>
                <w:u w:val="single" w:color="auto"/>
                <w:lang w:val="en-US" w:eastAsia="zh-CN"/>
              </w:rPr>
              <w:t>0.0048</w:t>
            </w:r>
            <w:r>
              <w:rPr>
                <w:b/>
                <w:bCs/>
                <w:snapToGrid w:val="0"/>
                <w:color w:val="auto"/>
                <w:kern w:val="0"/>
                <w:sz w:val="24"/>
                <w:szCs w:val="24"/>
                <w:highlight w:val="none"/>
                <w:u w:val="single" w:color="auto"/>
              </w:rPr>
              <w:t>t/a。</w:t>
            </w:r>
          </w:p>
          <w:p w14:paraId="67C80D2F">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65"/>
              <w:textAlignment w:val="auto"/>
              <w:rPr>
                <w:b/>
                <w:bCs/>
                <w:snapToGrid w:val="0"/>
                <w:color w:val="auto"/>
                <w:kern w:val="0"/>
                <w:sz w:val="24"/>
                <w:highlight w:val="none"/>
                <w:u w:val="single" w:color="auto"/>
              </w:rPr>
            </w:pPr>
            <w:r>
              <w:rPr>
                <w:rFonts w:hint="eastAsia"/>
                <w:b/>
                <w:bCs/>
                <w:snapToGrid w:val="0"/>
                <w:color w:val="auto"/>
                <w:kern w:val="0"/>
                <w:sz w:val="24"/>
                <w:highlight w:val="none"/>
                <w:u w:val="single" w:color="auto"/>
                <w:lang w:eastAsia="zh-CN"/>
              </w:rPr>
              <w:t>②</w:t>
            </w:r>
            <w:r>
              <w:rPr>
                <w:rFonts w:hint="eastAsia"/>
                <w:b/>
                <w:bCs/>
                <w:snapToGrid w:val="0"/>
                <w:color w:val="auto"/>
                <w:kern w:val="0"/>
                <w:sz w:val="24"/>
                <w:highlight w:val="none"/>
                <w:u w:val="single" w:color="auto"/>
              </w:rPr>
              <w:t>废气</w:t>
            </w:r>
            <w:r>
              <w:rPr>
                <w:rFonts w:hint="eastAsia"/>
                <w:b/>
                <w:bCs/>
                <w:snapToGrid w:val="0"/>
                <w:color w:val="auto"/>
                <w:kern w:val="0"/>
                <w:sz w:val="24"/>
                <w:szCs w:val="24"/>
                <w:highlight w:val="none"/>
                <w:u w:val="single" w:color="auto"/>
                <w:lang w:val="en-US" w:eastAsia="zh-CN"/>
              </w:rPr>
              <w:t>总量控制指标</w:t>
            </w:r>
          </w:p>
          <w:p w14:paraId="2CFBC370">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65"/>
              <w:textAlignment w:val="auto"/>
              <w:rPr>
                <w:rFonts w:hint="default" w:eastAsia="宋体"/>
                <w:b/>
                <w:bCs/>
                <w:snapToGrid w:val="0"/>
                <w:color w:val="auto"/>
                <w:kern w:val="0"/>
                <w:sz w:val="24"/>
                <w:szCs w:val="24"/>
                <w:highlight w:val="none"/>
                <w:u w:val="single" w:color="auto"/>
                <w:lang w:val="en-US" w:eastAsia="zh-CN"/>
              </w:rPr>
            </w:pPr>
            <w:r>
              <w:rPr>
                <w:b/>
                <w:bCs/>
                <w:snapToGrid w:val="0"/>
                <w:color w:val="auto"/>
                <w:kern w:val="0"/>
                <w:sz w:val="24"/>
                <w:szCs w:val="24"/>
                <w:highlight w:val="none"/>
                <w:u w:val="single" w:color="auto"/>
              </w:rPr>
              <w:t>本项目</w:t>
            </w:r>
            <w:r>
              <w:rPr>
                <w:rFonts w:hint="eastAsia"/>
                <w:b/>
                <w:bCs/>
                <w:snapToGrid w:val="0"/>
                <w:color w:val="auto"/>
                <w:kern w:val="0"/>
                <w:sz w:val="24"/>
                <w:highlight w:val="none"/>
                <w:u w:val="single" w:color="auto"/>
              </w:rPr>
              <w:t>废气主要污染物</w:t>
            </w:r>
            <w:r>
              <w:rPr>
                <w:rFonts w:hint="eastAsia"/>
                <w:b/>
                <w:bCs/>
                <w:snapToGrid w:val="0"/>
                <w:color w:val="auto"/>
                <w:kern w:val="0"/>
                <w:sz w:val="24"/>
                <w:highlight w:val="none"/>
                <w:u w:val="single" w:color="auto"/>
                <w:lang w:val="en-US" w:eastAsia="zh-CN"/>
              </w:rPr>
              <w:t>为非甲烷总烃，其排放量为0.295</w:t>
            </w:r>
            <w:r>
              <w:rPr>
                <w:b/>
                <w:bCs/>
                <w:snapToGrid w:val="0"/>
                <w:color w:val="auto"/>
                <w:kern w:val="0"/>
                <w:sz w:val="24"/>
                <w:highlight w:val="none"/>
                <w:u w:val="single" w:color="auto"/>
              </w:rPr>
              <w:t>t/a</w:t>
            </w:r>
            <w:r>
              <w:rPr>
                <w:rFonts w:hint="eastAsia"/>
                <w:b/>
                <w:bCs/>
                <w:snapToGrid w:val="0"/>
                <w:color w:val="auto"/>
                <w:kern w:val="0"/>
                <w:sz w:val="24"/>
                <w:highlight w:val="none"/>
                <w:u w:val="single" w:color="auto"/>
                <w:lang w:eastAsia="zh-CN"/>
              </w:rPr>
              <w:t>。</w:t>
            </w:r>
          </w:p>
          <w:p w14:paraId="512C4334">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82" w:firstLineChars="200"/>
              <w:textAlignment w:val="auto"/>
              <w:rPr>
                <w:rFonts w:hint="default" w:eastAsia="宋体"/>
                <w:b/>
                <w:bCs/>
                <w:snapToGrid w:val="0"/>
                <w:color w:val="auto"/>
                <w:kern w:val="0"/>
                <w:sz w:val="24"/>
                <w:szCs w:val="24"/>
                <w:highlight w:val="none"/>
                <w:u w:val="single" w:color="auto"/>
                <w:lang w:val="en-US" w:eastAsia="zh-CN"/>
              </w:rPr>
            </w:pPr>
            <w:r>
              <w:rPr>
                <w:rFonts w:hint="eastAsia"/>
                <w:b/>
                <w:bCs/>
                <w:snapToGrid w:val="0"/>
                <w:color w:val="auto"/>
                <w:kern w:val="0"/>
                <w:sz w:val="24"/>
                <w:szCs w:val="24"/>
                <w:highlight w:val="none"/>
                <w:u w:val="single" w:color="auto"/>
              </w:rPr>
              <w:t>（</w:t>
            </w:r>
            <w:r>
              <w:rPr>
                <w:rFonts w:hint="eastAsia"/>
                <w:b/>
                <w:bCs/>
                <w:snapToGrid w:val="0"/>
                <w:color w:val="auto"/>
                <w:kern w:val="0"/>
                <w:sz w:val="24"/>
                <w:szCs w:val="24"/>
                <w:highlight w:val="none"/>
                <w:u w:val="single" w:color="auto"/>
                <w:lang w:val="en-US" w:eastAsia="zh-CN"/>
              </w:rPr>
              <w:t>2</w:t>
            </w:r>
            <w:r>
              <w:rPr>
                <w:rFonts w:hint="eastAsia"/>
                <w:b/>
                <w:bCs/>
                <w:snapToGrid w:val="0"/>
                <w:color w:val="auto"/>
                <w:kern w:val="0"/>
                <w:sz w:val="24"/>
                <w:szCs w:val="24"/>
                <w:highlight w:val="none"/>
                <w:u w:val="single" w:color="auto"/>
              </w:rPr>
              <w:t>）</w:t>
            </w:r>
            <w:r>
              <w:rPr>
                <w:rFonts w:hint="eastAsia"/>
                <w:b/>
                <w:bCs/>
                <w:snapToGrid w:val="0"/>
                <w:color w:val="auto"/>
                <w:kern w:val="0"/>
                <w:sz w:val="24"/>
                <w:szCs w:val="24"/>
                <w:highlight w:val="none"/>
                <w:u w:val="single" w:color="auto"/>
                <w:lang w:val="en-US" w:eastAsia="zh-CN"/>
              </w:rPr>
              <w:t>总量替代情况</w:t>
            </w:r>
          </w:p>
          <w:p w14:paraId="4AF13E74">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82" w:firstLineChars="200"/>
              <w:textAlignment w:val="auto"/>
              <w:rPr>
                <w:rFonts w:hint="eastAsia" w:ascii="Times New Roman" w:hAnsi="Times New Roman" w:eastAsia="宋体" w:cs="Times New Roman"/>
                <w:b/>
                <w:bCs/>
                <w:snapToGrid w:val="0"/>
                <w:color w:val="auto"/>
                <w:kern w:val="0"/>
                <w:sz w:val="24"/>
                <w:szCs w:val="24"/>
                <w:highlight w:val="none"/>
                <w:u w:val="single" w:color="auto"/>
                <w:lang w:val="en-US" w:eastAsia="zh-CN"/>
              </w:rPr>
            </w:pPr>
            <w:r>
              <w:rPr>
                <w:rFonts w:hint="eastAsia" w:ascii="Times New Roman" w:hAnsi="Times New Roman" w:eastAsia="宋体" w:cs="Times New Roman"/>
                <w:b/>
                <w:bCs/>
                <w:snapToGrid w:val="0"/>
                <w:color w:val="auto"/>
                <w:kern w:val="0"/>
                <w:sz w:val="24"/>
                <w:szCs w:val="24"/>
                <w:highlight w:val="none"/>
                <w:u w:val="single" w:color="auto"/>
                <w:lang w:val="en-US" w:eastAsia="zh-CN"/>
              </w:rPr>
              <w:t>本项目非甲烷总烃新增总量控制指标</w:t>
            </w:r>
            <w:r>
              <w:rPr>
                <w:rFonts w:hint="eastAsia" w:cs="Times New Roman"/>
                <w:b/>
                <w:bCs/>
                <w:snapToGrid w:val="0"/>
                <w:color w:val="auto"/>
                <w:kern w:val="0"/>
                <w:sz w:val="24"/>
                <w:szCs w:val="24"/>
                <w:highlight w:val="none"/>
                <w:u w:val="single" w:color="auto"/>
                <w:lang w:val="en-US" w:eastAsia="zh-CN"/>
              </w:rPr>
              <w:t>0.295</w:t>
            </w:r>
            <w:r>
              <w:rPr>
                <w:rFonts w:hint="eastAsia" w:ascii="Times New Roman" w:hAnsi="Times New Roman" w:eastAsia="宋体" w:cs="Times New Roman"/>
                <w:b/>
                <w:bCs/>
                <w:snapToGrid w:val="0"/>
                <w:color w:val="auto"/>
                <w:kern w:val="0"/>
                <w:sz w:val="24"/>
                <w:szCs w:val="24"/>
                <w:highlight w:val="none"/>
                <w:u w:val="single" w:color="auto"/>
                <w:lang w:val="en-US" w:eastAsia="zh-CN"/>
              </w:rPr>
              <w:t>t/a，周口市环境空气质量属不达标区，根据《建设项目主要污染物排放总量指 标审核及管理暂行办法》</w:t>
            </w:r>
            <w:r>
              <w:rPr>
                <w:rFonts w:hint="eastAsia" w:cs="Times New Roman"/>
                <w:b/>
                <w:bCs/>
                <w:snapToGrid w:val="0"/>
                <w:color w:val="auto"/>
                <w:kern w:val="0"/>
                <w:sz w:val="24"/>
                <w:szCs w:val="24"/>
                <w:highlight w:val="none"/>
                <w:u w:val="single" w:color="auto"/>
                <w:lang w:val="en-US" w:eastAsia="zh-CN"/>
              </w:rPr>
              <w:t>（</w:t>
            </w:r>
            <w:r>
              <w:rPr>
                <w:rFonts w:hint="eastAsia" w:ascii="Times New Roman" w:hAnsi="Times New Roman" w:eastAsia="宋体" w:cs="Times New Roman"/>
                <w:b/>
                <w:bCs/>
                <w:snapToGrid w:val="0"/>
                <w:color w:val="auto"/>
                <w:kern w:val="0"/>
                <w:sz w:val="24"/>
                <w:szCs w:val="24"/>
                <w:highlight w:val="none"/>
                <w:u w:val="single" w:color="auto"/>
                <w:lang w:val="en-US" w:eastAsia="zh-CN"/>
              </w:rPr>
              <w:t>环发(2014)197 号</w:t>
            </w:r>
            <w:r>
              <w:rPr>
                <w:rFonts w:hint="eastAsia" w:cs="Times New Roman"/>
                <w:b/>
                <w:bCs/>
                <w:snapToGrid w:val="0"/>
                <w:color w:val="auto"/>
                <w:kern w:val="0"/>
                <w:sz w:val="24"/>
                <w:szCs w:val="24"/>
                <w:highlight w:val="none"/>
                <w:u w:val="single" w:color="auto"/>
                <w:lang w:val="en-US" w:eastAsia="zh-CN"/>
              </w:rPr>
              <w:t>）</w:t>
            </w:r>
            <w:r>
              <w:rPr>
                <w:rFonts w:hint="eastAsia" w:ascii="Times New Roman" w:hAnsi="Times New Roman" w:eastAsia="宋体" w:cs="Times New Roman"/>
                <w:b/>
                <w:bCs/>
                <w:snapToGrid w:val="0"/>
                <w:color w:val="auto"/>
                <w:kern w:val="0"/>
                <w:sz w:val="24"/>
                <w:szCs w:val="24"/>
                <w:highlight w:val="none"/>
                <w:u w:val="single" w:color="auto"/>
                <w:lang w:val="en-US" w:eastAsia="zh-CN"/>
              </w:rPr>
              <w:t>的要求，排放总量需倍量替代。本项目需替代总量指标为</w:t>
            </w:r>
            <w:r>
              <w:rPr>
                <w:rFonts w:hint="eastAsia" w:cs="Times New Roman"/>
                <w:b/>
                <w:bCs/>
                <w:snapToGrid w:val="0"/>
                <w:color w:val="auto"/>
                <w:kern w:val="0"/>
                <w:sz w:val="24"/>
                <w:szCs w:val="24"/>
                <w:highlight w:val="none"/>
                <w:u w:val="single" w:color="auto"/>
                <w:lang w:val="en-US" w:eastAsia="zh-CN"/>
              </w:rPr>
              <w:t>：</w:t>
            </w:r>
            <w:r>
              <w:rPr>
                <w:rFonts w:hint="eastAsia" w:ascii="Times New Roman" w:hAnsi="Times New Roman" w:eastAsia="宋体" w:cs="Times New Roman"/>
                <w:b/>
                <w:bCs/>
                <w:snapToGrid w:val="0"/>
                <w:color w:val="auto"/>
                <w:kern w:val="0"/>
                <w:sz w:val="24"/>
                <w:szCs w:val="24"/>
                <w:highlight w:val="none"/>
                <w:u w:val="single" w:color="auto"/>
                <w:lang w:val="en-US" w:eastAsia="zh-CN"/>
              </w:rPr>
              <w:t>非甲烷总烃</w:t>
            </w:r>
            <w:r>
              <w:rPr>
                <w:rFonts w:hint="eastAsia" w:cs="Times New Roman"/>
                <w:b/>
                <w:bCs/>
                <w:snapToGrid w:val="0"/>
                <w:color w:val="auto"/>
                <w:kern w:val="0"/>
                <w:sz w:val="24"/>
                <w:szCs w:val="24"/>
                <w:highlight w:val="none"/>
                <w:u w:val="single" w:color="auto"/>
                <w:lang w:val="en-US" w:eastAsia="zh-CN"/>
              </w:rPr>
              <w:t>0.590</w:t>
            </w:r>
            <w:r>
              <w:rPr>
                <w:rFonts w:hint="eastAsia" w:ascii="Times New Roman" w:hAnsi="Times New Roman" w:eastAsia="宋体" w:cs="Times New Roman"/>
                <w:b/>
                <w:bCs/>
                <w:snapToGrid w:val="0"/>
                <w:color w:val="auto"/>
                <w:kern w:val="0"/>
                <w:sz w:val="24"/>
                <w:szCs w:val="24"/>
                <w:highlight w:val="none"/>
                <w:u w:val="single" w:color="auto"/>
                <w:lang w:val="en-US" w:eastAsia="zh-CN"/>
              </w:rPr>
              <w:t>t/a。</w:t>
            </w:r>
          </w:p>
          <w:p w14:paraId="75E9071E">
            <w:pPr>
              <w:keepNext w:val="0"/>
              <w:keepLines w:val="0"/>
              <w:pageBreakBefore w:val="0"/>
              <w:widowControl w:val="0"/>
              <w:tabs>
                <w:tab w:val="left" w:pos="4002"/>
              </w:tabs>
              <w:kinsoku/>
              <w:wordWrap/>
              <w:overflowPunct/>
              <w:topLinePunct w:val="0"/>
              <w:autoSpaceDE/>
              <w:autoSpaceDN/>
              <w:bidi w:val="0"/>
              <w:adjustRightInd w:val="0"/>
              <w:snapToGrid w:val="0"/>
              <w:spacing w:line="360" w:lineRule="auto"/>
              <w:ind w:firstLine="482" w:firstLineChars="200"/>
              <w:textAlignment w:val="auto"/>
              <w:rPr>
                <w:rFonts w:hint="eastAsia" w:ascii="Times New Roman" w:hAnsi="Times New Roman" w:eastAsia="宋体" w:cs="Times New Roman"/>
                <w:b w:val="0"/>
                <w:bCs w:val="0"/>
                <w:snapToGrid w:val="0"/>
                <w:color w:val="auto"/>
                <w:kern w:val="0"/>
                <w:sz w:val="24"/>
                <w:szCs w:val="24"/>
                <w:highlight w:val="none"/>
                <w:u w:val="none" w:color="auto"/>
                <w:lang w:val="en-US" w:eastAsia="zh-CN"/>
              </w:rPr>
            </w:pPr>
            <w:r>
              <w:rPr>
                <w:rFonts w:hint="eastAsia" w:ascii="Times New Roman" w:hAnsi="Times New Roman" w:eastAsia="宋体" w:cs="Times New Roman"/>
                <w:b/>
                <w:bCs/>
                <w:snapToGrid w:val="0"/>
                <w:color w:val="auto"/>
                <w:kern w:val="0"/>
                <w:sz w:val="24"/>
                <w:szCs w:val="24"/>
                <w:highlight w:val="none"/>
                <w:u w:val="single" w:color="auto"/>
                <w:lang w:val="en-US" w:eastAsia="zh-CN"/>
              </w:rPr>
              <w:t>本项目废水排入淮阳区第</w:t>
            </w:r>
            <w:r>
              <w:rPr>
                <w:rFonts w:hint="eastAsia" w:cs="Times New Roman"/>
                <w:b/>
                <w:bCs/>
                <w:snapToGrid w:val="0"/>
                <w:color w:val="auto"/>
                <w:kern w:val="0"/>
                <w:sz w:val="24"/>
                <w:szCs w:val="24"/>
                <w:highlight w:val="none"/>
                <w:u w:val="single" w:color="auto"/>
                <w:lang w:val="en-US" w:eastAsia="zh-CN"/>
              </w:rPr>
              <w:t>二</w:t>
            </w:r>
            <w:r>
              <w:rPr>
                <w:rFonts w:hint="eastAsia" w:ascii="Times New Roman" w:hAnsi="Times New Roman" w:eastAsia="宋体" w:cs="Times New Roman"/>
                <w:b/>
                <w:bCs/>
                <w:snapToGrid w:val="0"/>
                <w:color w:val="auto"/>
                <w:kern w:val="0"/>
                <w:sz w:val="24"/>
                <w:szCs w:val="24"/>
                <w:highlight w:val="none"/>
                <w:u w:val="single" w:color="auto"/>
                <w:lang w:val="en-US" w:eastAsia="zh-CN"/>
              </w:rPr>
              <w:t>污水处理厂，</w:t>
            </w:r>
            <w:r>
              <w:rPr>
                <w:rFonts w:hint="eastAsia" w:cs="Times New Roman"/>
                <w:b/>
                <w:bCs/>
                <w:snapToGrid w:val="0"/>
                <w:color w:val="auto"/>
                <w:kern w:val="0"/>
                <w:sz w:val="24"/>
                <w:szCs w:val="24"/>
                <w:highlight w:val="none"/>
                <w:u w:val="single" w:color="auto"/>
                <w:lang w:val="en-US" w:eastAsia="zh-CN"/>
              </w:rPr>
              <w:t>需申请总量为</w:t>
            </w:r>
            <w:r>
              <w:rPr>
                <w:b/>
                <w:bCs/>
                <w:snapToGrid w:val="0"/>
                <w:color w:val="auto"/>
                <w:kern w:val="0"/>
                <w:sz w:val="24"/>
                <w:szCs w:val="24"/>
                <w:highlight w:val="none"/>
                <w:u w:val="single" w:color="auto"/>
              </w:rPr>
              <w:t>COD</w:t>
            </w:r>
            <w:r>
              <w:rPr>
                <w:rFonts w:hint="eastAsia"/>
                <w:b/>
                <w:bCs/>
                <w:snapToGrid w:val="0"/>
                <w:color w:val="auto"/>
                <w:kern w:val="0"/>
                <w:sz w:val="24"/>
                <w:szCs w:val="24"/>
                <w:highlight w:val="none"/>
                <w:u w:val="single" w:color="auto"/>
                <w:lang w:val="en-US" w:eastAsia="zh-CN"/>
              </w:rPr>
              <w:t>0.048</w:t>
            </w:r>
            <w:r>
              <w:rPr>
                <w:b/>
                <w:bCs/>
                <w:snapToGrid w:val="0"/>
                <w:color w:val="auto"/>
                <w:kern w:val="0"/>
                <w:sz w:val="24"/>
                <w:szCs w:val="24"/>
                <w:highlight w:val="none"/>
                <w:u w:val="single" w:color="auto"/>
              </w:rPr>
              <w:t>t/a、NH</w:t>
            </w:r>
            <w:r>
              <w:rPr>
                <w:b/>
                <w:bCs/>
                <w:snapToGrid w:val="0"/>
                <w:color w:val="auto"/>
                <w:kern w:val="0"/>
                <w:sz w:val="24"/>
                <w:szCs w:val="24"/>
                <w:highlight w:val="none"/>
                <w:u w:val="single" w:color="auto"/>
                <w:vertAlign w:val="subscript"/>
              </w:rPr>
              <w:t>3</w:t>
            </w:r>
            <w:r>
              <w:rPr>
                <w:b/>
                <w:bCs/>
                <w:snapToGrid w:val="0"/>
                <w:color w:val="auto"/>
                <w:kern w:val="0"/>
                <w:sz w:val="24"/>
                <w:szCs w:val="24"/>
                <w:highlight w:val="none"/>
                <w:u w:val="single" w:color="auto"/>
              </w:rPr>
              <w:t>-N</w:t>
            </w:r>
            <w:r>
              <w:rPr>
                <w:rFonts w:hint="eastAsia"/>
                <w:b/>
                <w:bCs/>
                <w:snapToGrid w:val="0"/>
                <w:color w:val="auto"/>
                <w:kern w:val="0"/>
                <w:sz w:val="24"/>
                <w:szCs w:val="24"/>
                <w:highlight w:val="none"/>
                <w:u w:val="single" w:color="auto"/>
                <w:lang w:val="en-US" w:eastAsia="zh-CN"/>
              </w:rPr>
              <w:t>0.0048</w:t>
            </w:r>
            <w:r>
              <w:rPr>
                <w:b/>
                <w:bCs/>
                <w:snapToGrid w:val="0"/>
                <w:color w:val="auto"/>
                <w:kern w:val="0"/>
                <w:sz w:val="24"/>
                <w:szCs w:val="24"/>
                <w:highlight w:val="none"/>
                <w:u w:val="single" w:color="auto"/>
              </w:rPr>
              <w:t>t/a</w:t>
            </w:r>
            <w:r>
              <w:rPr>
                <w:rFonts w:hint="eastAsia" w:ascii="Times New Roman" w:hAnsi="Times New Roman" w:eastAsia="宋体" w:cs="Times New Roman"/>
                <w:b/>
                <w:bCs/>
                <w:snapToGrid w:val="0"/>
                <w:color w:val="auto"/>
                <w:kern w:val="0"/>
                <w:sz w:val="24"/>
                <w:szCs w:val="24"/>
                <w:highlight w:val="none"/>
                <w:u w:val="single" w:color="auto"/>
                <w:lang w:val="en-US" w:eastAsia="zh-CN"/>
              </w:rPr>
              <w:t>。</w:t>
            </w:r>
          </w:p>
          <w:p w14:paraId="0CA7D906">
            <w:pPr>
              <w:pStyle w:val="96"/>
              <w:ind w:firstLine="480"/>
              <w:rPr>
                <w:b w:val="0"/>
                <w:bCs w:val="0"/>
                <w:color w:val="FF0000"/>
              </w:rPr>
            </w:pPr>
          </w:p>
          <w:p w14:paraId="5C4A1726">
            <w:pPr>
              <w:pStyle w:val="96"/>
              <w:ind w:firstLine="480"/>
              <w:rPr>
                <w:b w:val="0"/>
                <w:bCs w:val="0"/>
                <w:color w:val="FF0000"/>
              </w:rPr>
            </w:pPr>
          </w:p>
          <w:p w14:paraId="0A57D1B7">
            <w:pPr>
              <w:pStyle w:val="96"/>
              <w:ind w:firstLine="480"/>
              <w:rPr>
                <w:b w:val="0"/>
                <w:bCs w:val="0"/>
                <w:color w:val="FF0000"/>
              </w:rPr>
            </w:pPr>
          </w:p>
          <w:p w14:paraId="6234CF2E">
            <w:pPr>
              <w:pStyle w:val="96"/>
              <w:ind w:firstLine="480"/>
              <w:rPr>
                <w:b w:val="0"/>
                <w:bCs w:val="0"/>
                <w:color w:val="FF0000"/>
              </w:rPr>
            </w:pPr>
          </w:p>
          <w:p w14:paraId="4BCD5065">
            <w:pPr>
              <w:pStyle w:val="96"/>
              <w:ind w:firstLine="480"/>
              <w:rPr>
                <w:b w:val="0"/>
                <w:bCs w:val="0"/>
                <w:color w:val="FF0000"/>
              </w:rPr>
            </w:pPr>
          </w:p>
          <w:p w14:paraId="430A0DAB">
            <w:pPr>
              <w:pStyle w:val="96"/>
              <w:ind w:firstLine="480"/>
              <w:rPr>
                <w:b w:val="0"/>
                <w:bCs w:val="0"/>
                <w:color w:val="FF0000"/>
              </w:rPr>
            </w:pPr>
          </w:p>
          <w:p w14:paraId="56312EA1">
            <w:pPr>
              <w:pStyle w:val="96"/>
              <w:ind w:firstLine="480"/>
              <w:rPr>
                <w:b w:val="0"/>
                <w:bCs w:val="0"/>
                <w:color w:val="FF0000"/>
              </w:rPr>
            </w:pPr>
          </w:p>
          <w:p w14:paraId="39669EF7">
            <w:pPr>
              <w:pStyle w:val="96"/>
              <w:ind w:firstLine="480"/>
              <w:rPr>
                <w:b w:val="0"/>
                <w:bCs w:val="0"/>
                <w:color w:val="FF0000"/>
              </w:rPr>
            </w:pPr>
          </w:p>
          <w:p w14:paraId="34130695">
            <w:pPr>
              <w:pStyle w:val="96"/>
              <w:ind w:firstLine="480"/>
              <w:rPr>
                <w:b w:val="0"/>
                <w:bCs w:val="0"/>
                <w:color w:val="FF0000"/>
              </w:rPr>
            </w:pPr>
          </w:p>
          <w:p w14:paraId="4B1DAC84">
            <w:pPr>
              <w:pStyle w:val="96"/>
              <w:ind w:firstLine="480"/>
              <w:rPr>
                <w:b w:val="0"/>
                <w:bCs w:val="0"/>
                <w:color w:val="FF0000"/>
              </w:rPr>
            </w:pPr>
          </w:p>
          <w:p w14:paraId="54DF261A">
            <w:pPr>
              <w:adjustRightInd w:val="0"/>
              <w:snapToGrid w:val="0"/>
              <w:rPr>
                <w:b w:val="0"/>
                <w:bCs w:val="0"/>
                <w:color w:val="FF0000"/>
                <w:kern w:val="0"/>
                <w:szCs w:val="21"/>
              </w:rPr>
            </w:pPr>
          </w:p>
        </w:tc>
      </w:tr>
    </w:tbl>
    <w:p w14:paraId="7107111C">
      <w:pPr>
        <w:pStyle w:val="34"/>
        <w:jc w:val="center"/>
        <w:outlineLvl w:val="0"/>
        <w:rPr>
          <w:rFonts w:ascii="Times New Roman" w:hAnsi="Times New Roman" w:eastAsia="黑体"/>
          <w:b w:val="0"/>
          <w:bCs w:val="0"/>
          <w:snapToGrid w:val="0"/>
          <w:color w:val="FF0000"/>
          <w:sz w:val="30"/>
          <w:szCs w:val="30"/>
        </w:rPr>
      </w:pPr>
      <w:r>
        <w:rPr>
          <w:rFonts w:ascii="Times New Roman" w:hAnsi="Times New Roman" w:eastAsia="黑体"/>
          <w:b w:val="0"/>
          <w:bCs w:val="0"/>
          <w:snapToGrid w:val="0"/>
          <w:color w:val="FF0000"/>
          <w:sz w:val="36"/>
          <w:szCs w:val="36"/>
        </w:rPr>
        <w:br w:type="page"/>
      </w:r>
      <w:bookmarkStart w:id="91" w:name="_Toc26838"/>
      <w:r>
        <w:rPr>
          <w:rFonts w:ascii="Times New Roman" w:hAnsi="Times New Roman" w:eastAsia="黑体"/>
          <w:b w:val="0"/>
          <w:bCs w:val="0"/>
          <w:snapToGrid w:val="0"/>
          <w:color w:val="auto"/>
          <w:sz w:val="30"/>
          <w:szCs w:val="30"/>
        </w:rPr>
        <w:t>四、主要环境影响和保护措施</w:t>
      </w:r>
      <w:bookmarkEnd w:id="91"/>
    </w:p>
    <w:tbl>
      <w:tblPr>
        <w:tblStyle w:val="39"/>
        <w:tblW w:w="908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409"/>
        <w:gridCol w:w="8678"/>
      </w:tblGrid>
      <w:tr w14:paraId="25FE4A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 w:hRule="atLeast"/>
          <w:jc w:val="center"/>
        </w:trPr>
        <w:tc>
          <w:tcPr>
            <w:tcW w:w="409" w:type="dxa"/>
            <w:noWrap w:val="0"/>
            <w:tcMar>
              <w:left w:w="28" w:type="dxa"/>
              <w:right w:w="28" w:type="dxa"/>
            </w:tcMar>
            <w:vAlign w:val="center"/>
          </w:tcPr>
          <w:p w14:paraId="6971CAD8">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施</w:t>
            </w:r>
          </w:p>
          <w:p w14:paraId="7C978683">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工</w:t>
            </w:r>
          </w:p>
          <w:p w14:paraId="21B1D8FD">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期</w:t>
            </w:r>
          </w:p>
          <w:p w14:paraId="65324128">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环</w:t>
            </w:r>
          </w:p>
          <w:p w14:paraId="2129E7B5">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境</w:t>
            </w:r>
          </w:p>
          <w:p w14:paraId="26519ECE">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保</w:t>
            </w:r>
          </w:p>
          <w:p w14:paraId="4689946B">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护</w:t>
            </w:r>
          </w:p>
          <w:p w14:paraId="39BDA964">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措</w:t>
            </w:r>
          </w:p>
          <w:p w14:paraId="6F0AB9A0">
            <w:pPr>
              <w:pStyle w:val="34"/>
              <w:adjustRightInd w:val="0"/>
              <w:snapToGrid w:val="0"/>
              <w:spacing w:before="0" w:beforeAutospacing="0" w:after="0" w:afterAutospacing="0"/>
              <w:jc w:val="center"/>
              <w:rPr>
                <w:rFonts w:ascii="Times New Roman" w:hAnsi="Times New Roman"/>
                <w:b w:val="0"/>
                <w:bCs w:val="0"/>
                <w:color w:val="auto"/>
                <w:kern w:val="2"/>
                <w:sz w:val="21"/>
                <w:szCs w:val="21"/>
              </w:rPr>
            </w:pPr>
            <w:r>
              <w:rPr>
                <w:rFonts w:ascii="Times New Roman" w:hAnsi="Times New Roman"/>
                <w:b w:val="0"/>
                <w:bCs w:val="0"/>
                <w:color w:val="auto"/>
                <w:kern w:val="2"/>
                <w:sz w:val="21"/>
                <w:szCs w:val="21"/>
              </w:rPr>
              <w:t>施</w:t>
            </w:r>
          </w:p>
        </w:tc>
        <w:tc>
          <w:tcPr>
            <w:tcW w:w="8678" w:type="dxa"/>
            <w:noWrap w:val="0"/>
            <w:vAlign w:val="center"/>
          </w:tcPr>
          <w:p w14:paraId="5A7BBC86">
            <w:pPr>
              <w:pStyle w:val="16"/>
              <w:keepNext/>
              <w:numPr>
                <w:ilvl w:val="0"/>
                <w:numId w:val="0"/>
              </w:numPr>
              <w:spacing w:line="360" w:lineRule="auto"/>
              <w:ind w:firstLine="480" w:firstLineChars="200"/>
              <w:rPr>
                <w:rFonts w:hint="eastAsia"/>
                <w:snapToGrid w:val="0"/>
                <w:kern w:val="0"/>
                <w:sz w:val="24"/>
                <w:highlight w:val="none"/>
                <w:lang w:val="en-US" w:eastAsia="zh-CN"/>
              </w:rPr>
            </w:pPr>
            <w:r>
              <w:rPr>
                <w:rFonts w:hint="eastAsia"/>
                <w:snapToGrid w:val="0"/>
                <w:kern w:val="0"/>
                <w:sz w:val="24"/>
                <w:highlight w:val="none"/>
              </w:rPr>
              <w:t>项目为</w:t>
            </w:r>
            <w:r>
              <w:rPr>
                <w:rFonts w:hint="eastAsia"/>
                <w:snapToGrid w:val="0"/>
                <w:kern w:val="0"/>
                <w:sz w:val="24"/>
                <w:highlight w:val="none"/>
                <w:lang w:val="en-US" w:eastAsia="zh-CN"/>
              </w:rPr>
              <w:t>扩建</w:t>
            </w:r>
            <w:r>
              <w:rPr>
                <w:rFonts w:hint="eastAsia"/>
                <w:snapToGrid w:val="0"/>
                <w:kern w:val="0"/>
                <w:sz w:val="24"/>
                <w:highlight w:val="none"/>
              </w:rPr>
              <w:t>项目</w:t>
            </w:r>
            <w:r>
              <w:rPr>
                <w:rFonts w:hint="eastAsia"/>
                <w:snapToGrid w:val="0"/>
                <w:kern w:val="0"/>
                <w:sz w:val="24"/>
                <w:highlight w:val="none"/>
                <w:lang w:eastAsia="zh-CN"/>
              </w:rPr>
              <w:t>，</w:t>
            </w:r>
            <w:r>
              <w:rPr>
                <w:rFonts w:hint="eastAsia"/>
                <w:snapToGrid w:val="0"/>
                <w:kern w:val="0"/>
                <w:sz w:val="24"/>
                <w:highlight w:val="none"/>
                <w:lang w:val="en-US" w:eastAsia="zh-CN"/>
              </w:rPr>
              <w:t>建设期间对环境影响主要来自扬尘、噪声、废水及固体废物的影响。</w:t>
            </w:r>
          </w:p>
          <w:p w14:paraId="40B2EC08">
            <w:pPr>
              <w:pStyle w:val="16"/>
              <w:keepNext/>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b/>
                <w:sz w:val="24"/>
              </w:rPr>
            </w:pPr>
            <w:r>
              <w:rPr>
                <w:b/>
                <w:sz w:val="24"/>
              </w:rPr>
              <w:t>1、</w:t>
            </w:r>
            <w:r>
              <w:rPr>
                <w:rFonts w:hint="eastAsia"/>
                <w:b/>
                <w:sz w:val="24"/>
              </w:rPr>
              <w:t>施工期</w:t>
            </w:r>
            <w:r>
              <w:rPr>
                <w:b/>
                <w:sz w:val="24"/>
              </w:rPr>
              <w:t>废水</w:t>
            </w:r>
          </w:p>
          <w:p w14:paraId="5A7A7C83">
            <w:pPr>
              <w:keepNext w:val="0"/>
              <w:keepLines w:val="0"/>
              <w:pageBreakBefore w:val="0"/>
              <w:widowControl w:val="0"/>
              <w:kinsoku/>
              <w:wordWrap/>
              <w:overflowPunct/>
              <w:topLinePunct w:val="0"/>
              <w:autoSpaceDE/>
              <w:autoSpaceDN/>
              <w:bidi w:val="0"/>
              <w:adjustRightInd w:val="0"/>
              <w:snapToGrid w:val="0"/>
              <w:spacing w:line="360" w:lineRule="auto"/>
              <w:ind w:left="0" w:firstLine="452" w:firstLineChars="200"/>
              <w:textAlignment w:val="auto"/>
              <w:rPr>
                <w:spacing w:val="-7"/>
                <w:sz w:val="24"/>
                <w:szCs w:val="24"/>
              </w:rPr>
            </w:pPr>
            <w:r>
              <w:rPr>
                <w:spacing w:val="-7"/>
                <w:sz w:val="24"/>
                <w:szCs w:val="24"/>
              </w:rPr>
              <w:t>本项目施工期产生的废水主要为施工人员产生的生活污水和施工废水。</w:t>
            </w:r>
          </w:p>
          <w:p w14:paraId="6D300556">
            <w:pPr>
              <w:keepNext w:val="0"/>
              <w:keepLines w:val="0"/>
              <w:pageBreakBefore w:val="0"/>
              <w:widowControl w:val="0"/>
              <w:kinsoku/>
              <w:wordWrap/>
              <w:overflowPunct/>
              <w:topLinePunct w:val="0"/>
              <w:autoSpaceDE/>
              <w:autoSpaceDN/>
              <w:bidi w:val="0"/>
              <w:adjustRightInd w:val="0"/>
              <w:snapToGrid w:val="0"/>
              <w:spacing w:line="360" w:lineRule="auto"/>
              <w:ind w:left="0" w:firstLine="452" w:firstLineChars="200"/>
              <w:textAlignment w:val="auto"/>
              <w:rPr>
                <w:spacing w:val="-7"/>
                <w:sz w:val="24"/>
                <w:szCs w:val="24"/>
              </w:rPr>
            </w:pPr>
            <w:r>
              <w:rPr>
                <w:spacing w:val="-7"/>
                <w:sz w:val="24"/>
                <w:szCs w:val="24"/>
              </w:rPr>
              <w:t>施工期生活污水</w:t>
            </w:r>
            <w:r>
              <w:rPr>
                <w:rFonts w:hint="eastAsia"/>
                <w:spacing w:val="-7"/>
                <w:sz w:val="24"/>
                <w:szCs w:val="24"/>
              </w:rPr>
              <w:t>经化粪池处理后资源化利用</w:t>
            </w:r>
            <w:r>
              <w:rPr>
                <w:rFonts w:hint="eastAsia"/>
                <w:spacing w:val="-7"/>
                <w:sz w:val="24"/>
                <w:szCs w:val="24"/>
                <w:lang w:eastAsia="zh-CN"/>
              </w:rPr>
              <w:t>，</w:t>
            </w:r>
            <w:r>
              <w:rPr>
                <w:rFonts w:hint="eastAsia"/>
                <w:spacing w:val="-7"/>
                <w:sz w:val="24"/>
                <w:szCs w:val="24"/>
              </w:rPr>
              <w:t>不外排</w:t>
            </w:r>
            <w:r>
              <w:rPr>
                <w:spacing w:val="-7"/>
                <w:sz w:val="24"/>
                <w:szCs w:val="24"/>
              </w:rPr>
              <w:t>。</w:t>
            </w:r>
          </w:p>
          <w:p w14:paraId="3E13395A">
            <w:pPr>
              <w:keepNext w:val="0"/>
              <w:keepLines w:val="0"/>
              <w:pageBreakBefore w:val="0"/>
              <w:widowControl w:val="0"/>
              <w:kinsoku/>
              <w:wordWrap/>
              <w:overflowPunct/>
              <w:topLinePunct w:val="0"/>
              <w:autoSpaceDE/>
              <w:autoSpaceDN/>
              <w:bidi w:val="0"/>
              <w:adjustRightInd w:val="0"/>
              <w:snapToGrid w:val="0"/>
              <w:spacing w:line="360" w:lineRule="auto"/>
              <w:ind w:left="0" w:firstLine="452" w:firstLineChars="200"/>
              <w:textAlignment w:val="auto"/>
              <w:rPr>
                <w:spacing w:val="-7"/>
                <w:sz w:val="24"/>
                <w:szCs w:val="24"/>
              </w:rPr>
            </w:pPr>
            <w:r>
              <w:rPr>
                <w:spacing w:val="-7"/>
                <w:sz w:val="24"/>
                <w:szCs w:val="24"/>
              </w:rPr>
              <w:t>施工期产生的建筑废水主要包括施工机械冲洗废水，其中施工机械冲洗废水产生量很小，主要污染成分为水泥碎粒、沙土等。评价建议设置处理建筑废水的沉淀池，建筑废水经沉淀池处理后可以用于施工场地及道路洒水及抑尘。</w:t>
            </w:r>
          </w:p>
          <w:p w14:paraId="17EBEF5E">
            <w:pPr>
              <w:pStyle w:val="16"/>
              <w:keepNext/>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b/>
                <w:sz w:val="24"/>
              </w:rPr>
            </w:pPr>
            <w:r>
              <w:rPr>
                <w:b/>
                <w:sz w:val="24"/>
              </w:rPr>
              <w:t>2、施工期废气</w:t>
            </w:r>
          </w:p>
          <w:p w14:paraId="4B7FC7F9">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rPr>
            </w:pPr>
            <w:r>
              <w:rPr>
                <w:sz w:val="24"/>
              </w:rPr>
              <w:t>本项目施工期废气主要为施工期扬尘。</w:t>
            </w:r>
          </w:p>
          <w:p w14:paraId="433F29AD">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rPr>
            </w:pPr>
            <w:r>
              <w:rPr>
                <w:sz w:val="24"/>
              </w:rPr>
              <w:t>扬尘是建设阶段的大气污染源主要来源，该项目建设期扬尘主要来自于土地平整、露天堆场和裸露场地的风力扬尘，土石方和建筑材料运输所产生的动力道路扬尘。</w:t>
            </w:r>
          </w:p>
          <w:p w14:paraId="7F5F0844">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rPr>
            </w:pPr>
            <w:r>
              <w:rPr>
                <w:sz w:val="24"/>
              </w:rPr>
              <w:t>对整个施工期而言，施工产生的扬尘主要集中在土建施工阶段，起尘的原因主要为风力起尘，即露天堆放的建材</w:t>
            </w:r>
            <w:r>
              <w:rPr>
                <w:rFonts w:hint="eastAsia"/>
                <w:sz w:val="24"/>
                <w:lang w:eastAsia="zh-CN"/>
              </w:rPr>
              <w:t>（</w:t>
            </w:r>
            <w:r>
              <w:rPr>
                <w:sz w:val="24"/>
              </w:rPr>
              <w:t>如黄沙、水泥等</w:t>
            </w:r>
            <w:r>
              <w:rPr>
                <w:rFonts w:hint="eastAsia"/>
                <w:sz w:val="24"/>
                <w:lang w:eastAsia="zh-CN"/>
              </w:rPr>
              <w:t>）</w:t>
            </w:r>
            <w:r>
              <w:rPr>
                <w:sz w:val="24"/>
              </w:rPr>
              <w:t>及裸露的施工区表层浮尘由于天气干燥及大风，产生风力扬尘。</w:t>
            </w:r>
          </w:p>
          <w:p w14:paraId="0ABDDC48">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rPr>
            </w:pPr>
            <w:r>
              <w:rPr>
                <w:rFonts w:hint="eastAsia"/>
                <w:sz w:val="24"/>
              </w:rPr>
              <w:t>根据</w:t>
            </w:r>
            <w:r>
              <w:rPr>
                <w:rFonts w:hint="eastAsia"/>
                <w:sz w:val="24"/>
                <w:lang w:val="en-US" w:eastAsia="zh-CN"/>
              </w:rPr>
              <w:t>《河南省2026年蓝天保卫战实施方案》（豫环委办[2026]1号）、</w:t>
            </w:r>
            <w:r>
              <w:rPr>
                <w:sz w:val="24"/>
              </w:rPr>
              <w:t>《</w:t>
            </w:r>
            <w:r>
              <w:rPr>
                <w:rFonts w:hint="eastAsia"/>
                <w:sz w:val="24"/>
                <w:lang w:val="en-US" w:eastAsia="zh-CN"/>
              </w:rPr>
              <w:t>周口市</w:t>
            </w:r>
            <w:r>
              <w:rPr>
                <w:sz w:val="24"/>
              </w:rPr>
              <w:t>202</w:t>
            </w:r>
            <w:r>
              <w:rPr>
                <w:rFonts w:hint="eastAsia"/>
                <w:sz w:val="24"/>
                <w:lang w:val="en-US" w:eastAsia="zh-CN"/>
              </w:rPr>
              <w:t>5</w:t>
            </w:r>
            <w:r>
              <w:rPr>
                <w:sz w:val="24"/>
              </w:rPr>
              <w:t>年</w:t>
            </w:r>
            <w:r>
              <w:rPr>
                <w:rFonts w:hint="eastAsia"/>
                <w:sz w:val="24"/>
                <w:lang w:val="en-US" w:eastAsia="zh-CN"/>
              </w:rPr>
              <w:t>蓝天保卫战</w:t>
            </w:r>
            <w:r>
              <w:rPr>
                <w:sz w:val="24"/>
              </w:rPr>
              <w:t>实施方案》</w:t>
            </w:r>
            <w:r>
              <w:rPr>
                <w:rFonts w:hint="default"/>
                <w:sz w:val="24"/>
              </w:rPr>
              <w:t>（周环委办</w:t>
            </w:r>
            <w:r>
              <w:rPr>
                <w:rFonts w:hint="eastAsia"/>
                <w:sz w:val="24"/>
                <w:lang w:val="en-US" w:eastAsia="zh-CN"/>
              </w:rPr>
              <w:t>[</w:t>
            </w:r>
            <w:r>
              <w:rPr>
                <w:rFonts w:hint="default"/>
                <w:sz w:val="24"/>
              </w:rPr>
              <w:t>202</w:t>
            </w:r>
            <w:r>
              <w:rPr>
                <w:rFonts w:hint="eastAsia"/>
                <w:sz w:val="24"/>
                <w:lang w:val="en-US" w:eastAsia="zh-CN"/>
              </w:rPr>
              <w:t>5]</w:t>
            </w:r>
            <w:r>
              <w:rPr>
                <w:rFonts w:hint="default"/>
                <w:sz w:val="24"/>
              </w:rPr>
              <w:t>1</w:t>
            </w:r>
            <w:r>
              <w:rPr>
                <w:rFonts w:hint="eastAsia"/>
                <w:sz w:val="24"/>
                <w:lang w:val="en-US" w:eastAsia="zh-CN"/>
              </w:rPr>
              <w:t>4</w:t>
            </w:r>
            <w:r>
              <w:rPr>
                <w:rFonts w:hint="default"/>
                <w:sz w:val="24"/>
              </w:rPr>
              <w:t xml:space="preserve"> 号）</w:t>
            </w:r>
            <w:r>
              <w:rPr>
                <w:rFonts w:hint="eastAsia"/>
                <w:sz w:val="24"/>
                <w:lang w:val="en-US" w:eastAsia="zh-CN"/>
              </w:rPr>
              <w:t>等</w:t>
            </w:r>
            <w:r>
              <w:rPr>
                <w:sz w:val="24"/>
              </w:rPr>
              <w:t>方案</w:t>
            </w:r>
            <w:r>
              <w:rPr>
                <w:rFonts w:hint="eastAsia"/>
                <w:sz w:val="24"/>
              </w:rPr>
              <w:t>的要求</w:t>
            </w:r>
            <w:r>
              <w:rPr>
                <w:sz w:val="24"/>
              </w:rPr>
              <w:t>，针对施工期扬尘的问题，建议施工期采取如下防治措施：</w:t>
            </w:r>
          </w:p>
          <w:p w14:paraId="717AA5EE">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sz w:val="24"/>
              </w:rPr>
            </w:pPr>
            <w:r>
              <w:rPr>
                <w:sz w:val="24"/>
              </w:rPr>
              <w:t>（1）地面清理施工要事先洒水，确保施工过程不起尘；渣土运输车辆密封运输</w:t>
            </w:r>
            <w:r>
              <w:rPr>
                <w:rFonts w:hint="eastAsia"/>
                <w:sz w:val="24"/>
              </w:rPr>
              <w:t>。</w:t>
            </w:r>
          </w:p>
          <w:p w14:paraId="40FA1835">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szCs w:val="24"/>
              </w:rPr>
            </w:pPr>
            <w:r>
              <w:rPr>
                <w:sz w:val="24"/>
                <w:szCs w:val="24"/>
              </w:rPr>
              <w:t>（2）施工现场应保持整洁，</w:t>
            </w:r>
            <w:r>
              <w:rPr>
                <w:rFonts w:hint="eastAsia"/>
                <w:sz w:val="24"/>
                <w:szCs w:val="24"/>
                <w:lang w:val="en-US" w:eastAsia="zh-CN"/>
              </w:rPr>
              <w:t>厂</w:t>
            </w:r>
            <w:r>
              <w:rPr>
                <w:sz w:val="24"/>
                <w:szCs w:val="24"/>
              </w:rPr>
              <w:t>区大门口及主要道路、加工区必须做成混凝土地面，并满足车辆行驶要求，车行道路上不能有明显尘土。其它部位可采用不同的硬化措施，但现场地面应平整坚实，不得产生泥土和扬尘。</w:t>
            </w:r>
          </w:p>
          <w:p w14:paraId="3F875856">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szCs w:val="24"/>
              </w:rPr>
            </w:pPr>
            <w:r>
              <w:rPr>
                <w:sz w:val="24"/>
                <w:szCs w:val="24"/>
              </w:rPr>
              <w:t>（3）施工现场围挡（墙）外地面，也应采取相应的硬化或绿化措施，确保干净、整洁、卫生，无扬尘和垃圾污染。施工现场必须设置控制扬尘污染责任标志牌，标明扬尘污染防治措施、主管部门、责任人及环保监督电话等内容。</w:t>
            </w:r>
          </w:p>
          <w:p w14:paraId="1F3B040D">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sz w:val="24"/>
                <w:szCs w:val="24"/>
              </w:rPr>
            </w:pPr>
            <w:r>
              <w:rPr>
                <w:sz w:val="24"/>
                <w:szCs w:val="24"/>
              </w:rPr>
              <w:t>（4）主体外侧必须使用合格阻燃的密目式安全网封闭，安全网应保持整齐、牢固、无破损，严禁从空中抛撒废弃物</w:t>
            </w:r>
            <w:r>
              <w:rPr>
                <w:rFonts w:hint="eastAsia"/>
                <w:sz w:val="24"/>
                <w:szCs w:val="24"/>
              </w:rPr>
              <w:t>。</w:t>
            </w:r>
          </w:p>
          <w:p w14:paraId="60A6ED66">
            <w:pPr>
              <w:pStyle w:val="16"/>
              <w:keepNext/>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sz w:val="24"/>
              </w:rPr>
            </w:pPr>
            <w:r>
              <w:rPr>
                <w:rFonts w:hint="eastAsia"/>
                <w:sz w:val="24"/>
                <w:szCs w:val="24"/>
              </w:rPr>
              <w:t>（5）严格落实《城市房屋建筑和市政基础设施工程及道路扬尘污染差异化评价标准》《河南省房屋建筑和市政基础设施工程扬尘治理监控平台数据接入标准》要求，对扬尘重点污染源实行清单化动态管理，强化开复工验收、</w:t>
            </w:r>
            <w:r>
              <w:rPr>
                <w:rFonts w:hint="eastAsia"/>
                <w:sz w:val="24"/>
                <w:szCs w:val="24"/>
                <w:lang w:eastAsia="zh-CN"/>
              </w:rPr>
              <w:t>“</w:t>
            </w:r>
            <w:r>
              <w:rPr>
                <w:rFonts w:hint="eastAsia"/>
                <w:sz w:val="24"/>
                <w:szCs w:val="24"/>
              </w:rPr>
              <w:t>三员</w:t>
            </w:r>
            <w:r>
              <w:rPr>
                <w:rFonts w:hint="eastAsia"/>
                <w:sz w:val="24"/>
                <w:szCs w:val="24"/>
                <w:lang w:eastAsia="zh-CN"/>
              </w:rPr>
              <w:t>”</w:t>
            </w:r>
            <w:r>
              <w:rPr>
                <w:rFonts w:hint="eastAsia"/>
                <w:sz w:val="24"/>
                <w:szCs w:val="24"/>
              </w:rPr>
              <w:t>管理、</w:t>
            </w:r>
            <w:r>
              <w:rPr>
                <w:rFonts w:hint="eastAsia"/>
                <w:sz w:val="24"/>
                <w:szCs w:val="24"/>
                <w:lang w:eastAsia="zh-CN"/>
              </w:rPr>
              <w:t>“</w:t>
            </w:r>
            <w:r>
              <w:rPr>
                <w:rFonts w:hint="eastAsia"/>
                <w:sz w:val="24"/>
                <w:szCs w:val="24"/>
              </w:rPr>
              <w:t>两个禁止</w:t>
            </w:r>
            <w:r>
              <w:rPr>
                <w:rFonts w:hint="eastAsia"/>
                <w:sz w:val="24"/>
                <w:szCs w:val="24"/>
                <w:lang w:eastAsia="zh-CN"/>
              </w:rPr>
              <w:t>”</w:t>
            </w:r>
            <w:r>
              <w:rPr>
                <w:rFonts w:hint="eastAsia"/>
                <w:sz w:val="24"/>
                <w:szCs w:val="24"/>
              </w:rPr>
              <w:t>等扬尘治理制度机制</w:t>
            </w:r>
            <w:r>
              <w:rPr>
                <w:sz w:val="24"/>
              </w:rPr>
              <w:t>。</w:t>
            </w:r>
            <w:r>
              <w:rPr>
                <w:rFonts w:hint="eastAsia"/>
                <w:sz w:val="24"/>
              </w:rPr>
              <w:t>严格落实扬尘治理“两个标准”要求</w:t>
            </w:r>
            <w:r>
              <w:rPr>
                <w:rFonts w:hint="eastAsia"/>
                <w:sz w:val="24"/>
                <w:lang w:eastAsia="zh-CN"/>
              </w:rPr>
              <w:t>，</w:t>
            </w:r>
            <w:r>
              <w:rPr>
                <w:rFonts w:hint="eastAsia"/>
                <w:sz w:val="24"/>
              </w:rPr>
              <w:t>将扬尘污染防治费用纳入工程造价。强化备案公示、施工围挡、物料覆盖、湿法作业、车辆冲洗、地面硬化、密闭运输、在线监控、立面封闭、渣土处置等“十个百分之百”精细化管理措施。</w:t>
            </w:r>
          </w:p>
          <w:p w14:paraId="6500342F">
            <w:pPr>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b/>
                <w:spacing w:val="3"/>
                <w:sz w:val="24"/>
                <w:szCs w:val="24"/>
              </w:rPr>
            </w:pPr>
            <w:r>
              <w:rPr>
                <w:b/>
                <w:sz w:val="24"/>
              </w:rPr>
              <w:t>3、施工期噪声</w:t>
            </w:r>
          </w:p>
          <w:p w14:paraId="7805483D">
            <w:pPr>
              <w:keepLines w:val="0"/>
              <w:pageBreakBefore w:val="0"/>
              <w:kinsoku/>
              <w:wordWrap/>
              <w:overflowPunct/>
              <w:topLinePunct w:val="0"/>
              <w:autoSpaceDE/>
              <w:autoSpaceDN/>
              <w:bidi w:val="0"/>
              <w:adjustRightInd w:val="0"/>
              <w:snapToGrid w:val="0"/>
              <w:spacing w:line="360" w:lineRule="auto"/>
              <w:ind w:firstLine="480" w:firstLineChars="200"/>
              <w:jc w:val="left"/>
              <w:rPr>
                <w:color w:val="auto"/>
                <w:sz w:val="24"/>
              </w:rPr>
            </w:pPr>
            <w:r>
              <w:rPr>
                <w:color w:val="auto"/>
                <w:sz w:val="24"/>
              </w:rPr>
              <w:t>施工期噪声主要分为施工机械噪声、施工作业噪声和施工车辆噪声。</w:t>
            </w:r>
          </w:p>
          <w:p w14:paraId="3C565036">
            <w:pPr>
              <w:keepLines w:val="0"/>
              <w:pageBreakBefore w:val="0"/>
              <w:kinsoku/>
              <w:wordWrap/>
              <w:overflowPunct/>
              <w:topLinePunct w:val="0"/>
              <w:autoSpaceDE/>
              <w:autoSpaceDN/>
              <w:bidi w:val="0"/>
              <w:adjustRightInd w:val="0"/>
              <w:snapToGrid w:val="0"/>
              <w:spacing w:line="360" w:lineRule="auto"/>
              <w:ind w:firstLine="480" w:firstLineChars="200"/>
              <w:jc w:val="left"/>
              <w:rPr>
                <w:color w:val="auto"/>
                <w:sz w:val="24"/>
              </w:rPr>
            </w:pPr>
            <w:r>
              <w:rPr>
                <w:color w:val="auto"/>
                <w:sz w:val="24"/>
              </w:rPr>
              <w:t>施工机械噪声主要为打桩机（选用液压打桩机）、挖掘机、推土机、塔吊、混凝土振捣器；施工作业噪声主要指一些零星敲打声、装卸车辆的撞击声等，多为瞬时噪声；施工车辆噪声属于交通噪声，对施工车辆进行规范管理之后，施工车辆噪声可降</w:t>
            </w:r>
            <w:r>
              <w:rPr>
                <w:rFonts w:hint="default" w:ascii="Times New Roman" w:hAnsi="Times New Roman" w:cs="Times New Roman"/>
                <w:color w:val="auto"/>
                <w:sz w:val="24"/>
              </w:rPr>
              <w:t>至50 dB（A）~60dB（A）。这些施工噪声中，对环境影响最大的是机械噪声，经调查，机械运行时在距声源1m处的噪声值在85dB（A）～100dB（A）左右</w:t>
            </w:r>
            <w:r>
              <w:rPr>
                <w:color w:val="auto"/>
                <w:sz w:val="24"/>
              </w:rPr>
              <w:t>。</w:t>
            </w:r>
          </w:p>
          <w:p w14:paraId="4E125BCC">
            <w:pPr>
              <w:keepLines w:val="0"/>
              <w:pageBreakBefore w:val="0"/>
              <w:kinsoku/>
              <w:wordWrap/>
              <w:overflowPunct/>
              <w:topLinePunct w:val="0"/>
              <w:autoSpaceDE/>
              <w:autoSpaceDN/>
              <w:bidi w:val="0"/>
              <w:adjustRightInd w:val="0"/>
              <w:snapToGrid w:val="0"/>
              <w:spacing w:line="360" w:lineRule="auto"/>
              <w:ind w:firstLine="480" w:firstLineChars="200"/>
              <w:jc w:val="left"/>
              <w:rPr>
                <w:color w:val="auto"/>
                <w:sz w:val="24"/>
              </w:rPr>
            </w:pPr>
            <w:r>
              <w:rPr>
                <w:color w:val="auto"/>
                <w:sz w:val="24"/>
              </w:rPr>
              <w:t>为最大限度的减少施工期噪声对周围敏感点的影响，评价建议应采取以下环保措施。</w:t>
            </w:r>
          </w:p>
          <w:p w14:paraId="46386436">
            <w:pPr>
              <w:keepLines w:val="0"/>
              <w:pageBreakBefore w:val="0"/>
              <w:kinsoku/>
              <w:wordWrap/>
              <w:overflowPunct/>
              <w:topLinePunct w:val="0"/>
              <w:autoSpaceDE/>
              <w:autoSpaceDN/>
              <w:bidi w:val="0"/>
              <w:adjustRightInd w:val="0"/>
              <w:snapToGrid w:val="0"/>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1）</w:t>
            </w:r>
            <w:r>
              <w:rPr>
                <w:color w:val="auto"/>
                <w:sz w:val="24"/>
              </w:rPr>
              <w:t>选用低噪声设备和工艺，</w:t>
            </w:r>
            <w:r>
              <w:rPr>
                <w:rFonts w:hint="eastAsia"/>
                <w:color w:val="auto"/>
                <w:sz w:val="24"/>
                <w:lang w:val="en-US" w:eastAsia="zh-CN"/>
              </w:rPr>
              <w:t>减少噪声辐射面积，改变辐射方向，在可能的条件下，减少功率，降低速度，改善设备的动平衡，避免结构共振，限制或减少撞击，</w:t>
            </w:r>
            <w:r>
              <w:rPr>
                <w:color w:val="auto"/>
                <w:sz w:val="24"/>
              </w:rPr>
              <w:t>加强检查、维护和保养机械设备，保持润滑，紧固各部件，减少运行震动噪声。整体设备应安放稳固，并</w:t>
            </w:r>
            <w:r>
              <w:rPr>
                <w:rFonts w:hint="eastAsia"/>
                <w:color w:val="auto"/>
                <w:sz w:val="24"/>
                <w:lang w:val="en-US" w:eastAsia="zh-CN"/>
              </w:rPr>
              <w:t>与</w:t>
            </w:r>
            <w:r>
              <w:rPr>
                <w:color w:val="auto"/>
                <w:sz w:val="24"/>
              </w:rPr>
              <w:t>地面保持良好接触，使用减震机座，降低噪声</w:t>
            </w:r>
            <w:r>
              <w:rPr>
                <w:rFonts w:hint="eastAsia"/>
                <w:color w:val="auto"/>
                <w:sz w:val="24"/>
                <w:lang w:eastAsia="zh-CN"/>
              </w:rPr>
              <w:t>，</w:t>
            </w:r>
            <w:r>
              <w:rPr>
                <w:rFonts w:hint="eastAsia"/>
                <w:color w:val="auto"/>
                <w:sz w:val="24"/>
                <w:lang w:val="en-US" w:eastAsia="zh-CN"/>
              </w:rPr>
              <w:t>在距离敏感点一侧设置隔声棉或者隔声墙将施工区与敏感点隔开</w:t>
            </w:r>
            <w:r>
              <w:rPr>
                <w:color w:val="auto"/>
                <w:sz w:val="24"/>
              </w:rPr>
              <w:t>。</w:t>
            </w:r>
          </w:p>
          <w:p w14:paraId="1C980B2D">
            <w:pPr>
              <w:pStyle w:val="18"/>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lang w:val="en-US"/>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合理布局施工现场，设备运行点应尽量远离</w:t>
            </w:r>
            <w:r>
              <w:rPr>
                <w:rFonts w:hint="default" w:ascii="Times New Roman" w:hAnsi="Times New Roman" w:cs="Times New Roman"/>
                <w:color w:val="auto"/>
                <w:sz w:val="24"/>
                <w:lang w:val="en-US" w:eastAsia="zh-CN"/>
              </w:rPr>
              <w:t>周围敏感点</w:t>
            </w:r>
            <w:r>
              <w:rPr>
                <w:rFonts w:hint="eastAsia" w:cs="Times New Roman"/>
                <w:color w:val="auto"/>
                <w:sz w:val="24"/>
                <w:lang w:val="en-US" w:eastAsia="zh-CN"/>
              </w:rPr>
              <w:t>（焦岗村）</w:t>
            </w:r>
            <w:r>
              <w:rPr>
                <w:rFonts w:hint="default" w:ascii="Times New Roman" w:hAnsi="Times New Roman" w:cs="Times New Roman"/>
                <w:color w:val="auto"/>
                <w:sz w:val="24"/>
              </w:rPr>
              <w:t>，避免在同一地点安排多台动力机械设备，以避免局部声级过高。</w:t>
            </w:r>
            <w:r>
              <w:rPr>
                <w:rFonts w:hint="default" w:ascii="Times New Roman" w:hAnsi="Times New Roman" w:cs="Times New Roman"/>
                <w:sz w:val="24"/>
                <w:szCs w:val="24"/>
                <w:lang w:val="en-US" w:eastAsia="zh-CN"/>
              </w:rPr>
              <w:t>距学校近的地方施工时，选用低噪声设备和工艺，尽量选用环保型机械设备；从声源处安装消声器消声。对于噪声较大的设备，如振动棒、塔吊等应采取吸声、隔音处理方法降低噪声，必要时设立专用工作时间，降低噪声。</w:t>
            </w:r>
          </w:p>
          <w:p w14:paraId="68C502A7">
            <w:pPr>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3）</w:t>
            </w:r>
            <w:r>
              <w:rPr>
                <w:rFonts w:hint="default" w:ascii="Times New Roman" w:hAnsi="Times New Roman" w:cs="Times New Roman"/>
                <w:color w:val="auto"/>
                <w:sz w:val="24"/>
              </w:rPr>
              <w:t>合理安排施工时间，严禁夜间施工。施工单位要严格按照《中华人民共和国环境噪声污染防治办法》中规定的施工时间进行施工，在夜间（22：00～6：00）、午间（12：00～14：00）禁止从事高噪声（如挖掘、打桩、搅拌）的作业。</w:t>
            </w:r>
          </w:p>
          <w:p w14:paraId="32E5E71D">
            <w:pPr>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4）</w:t>
            </w:r>
            <w:r>
              <w:rPr>
                <w:rFonts w:hint="default" w:ascii="Times New Roman" w:hAnsi="Times New Roman" w:eastAsia="宋体" w:cs="Times New Roman"/>
                <w:color w:val="auto"/>
                <w:sz w:val="24"/>
                <w:lang w:eastAsia="zh-CN"/>
              </w:rPr>
              <w:t>加强对施工工地的噪声管理，施工企业也应对施工噪声进行自律，文明施工，避免因施工噪声产生纠纷。</w:t>
            </w:r>
            <w:r>
              <w:rPr>
                <w:rFonts w:hint="default" w:ascii="Times New Roman" w:hAnsi="Times New Roman" w:cs="Times New Roman"/>
                <w:bCs/>
                <w:color w:val="auto"/>
                <w:spacing w:val="3"/>
                <w:sz w:val="24"/>
                <w:szCs w:val="24"/>
              </w:rPr>
              <w:t>对人为的施工噪声应有管理制度和降噪措施，并进行严格控制。承担材料运输的车辆，进入施工现场禁止鸣笛，并要减速慢行，装卸材料做到轻拿轻放，最大限度减少对周围环境的影响</w:t>
            </w:r>
            <w:r>
              <w:rPr>
                <w:rFonts w:hint="default" w:ascii="Times New Roman" w:hAnsi="Times New Roman" w:cs="Times New Roman"/>
                <w:bCs/>
                <w:color w:val="auto"/>
                <w:spacing w:val="3"/>
                <w:sz w:val="24"/>
                <w:szCs w:val="24"/>
                <w:lang w:eastAsia="zh-CN"/>
              </w:rPr>
              <w:t>。</w:t>
            </w:r>
          </w:p>
          <w:p w14:paraId="4B16587C">
            <w:pPr>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5）</w:t>
            </w:r>
            <w:r>
              <w:rPr>
                <w:rFonts w:hint="default" w:ascii="Times New Roman" w:hAnsi="Times New Roman" w:cs="Times New Roman"/>
                <w:color w:val="auto"/>
                <w:sz w:val="24"/>
              </w:rPr>
              <w:t>合理划定运输路线，适当限制大型载重车的车速，尤其进入居民区等敏感区域时应限速禁鸣；定期对运输车辆维修、养护。</w:t>
            </w:r>
          </w:p>
          <w:p w14:paraId="2169C529">
            <w:pPr>
              <w:keepLines w:val="0"/>
              <w:pageBreakBefore w:val="0"/>
              <w:kinsoku/>
              <w:wordWrap/>
              <w:overflowPunct/>
              <w:topLinePunct w:val="0"/>
              <w:autoSpaceDE/>
              <w:autoSpaceDN/>
              <w:bidi w:val="0"/>
              <w:adjustRightInd w:val="0"/>
              <w:snapToGrid w:val="0"/>
              <w:spacing w:line="360" w:lineRule="auto"/>
              <w:ind w:firstLine="480" w:firstLineChars="200"/>
              <w:jc w:val="left"/>
              <w:rPr>
                <w:rFonts w:hint="eastAsia"/>
                <w:color w:val="auto"/>
                <w:sz w:val="24"/>
              </w:rPr>
            </w:pPr>
            <w:r>
              <w:rPr>
                <w:color w:val="auto"/>
                <w:sz w:val="24"/>
              </w:rPr>
              <w:t>经采取上述措施后，本项目施工期产生噪声</w:t>
            </w:r>
            <w:r>
              <w:rPr>
                <w:rFonts w:hint="eastAsia"/>
                <w:color w:val="auto"/>
                <w:sz w:val="24"/>
                <w:lang w:val="en-US" w:eastAsia="zh-CN"/>
              </w:rPr>
              <w:t>对周围声环境质量影响较小</w:t>
            </w:r>
            <w:r>
              <w:rPr>
                <w:rFonts w:hint="eastAsia"/>
                <w:color w:val="auto"/>
                <w:sz w:val="24"/>
              </w:rPr>
              <w:t>。</w:t>
            </w:r>
          </w:p>
          <w:p w14:paraId="3E8F83CF">
            <w:pPr>
              <w:keepLines w:val="0"/>
              <w:pageBreakBefore w:val="0"/>
              <w:widowControl w:val="0"/>
              <w:kinsoku/>
              <w:wordWrap/>
              <w:overflowPunct/>
              <w:topLinePunct w:val="0"/>
              <w:autoSpaceDE/>
              <w:autoSpaceDN/>
              <w:bidi w:val="0"/>
              <w:adjustRightInd w:val="0"/>
              <w:snapToGrid w:val="0"/>
              <w:spacing w:line="360" w:lineRule="auto"/>
              <w:ind w:firstLine="494" w:firstLineChars="200"/>
              <w:textAlignment w:val="auto"/>
              <w:rPr>
                <w:b/>
                <w:bCs/>
                <w:spacing w:val="3"/>
                <w:sz w:val="24"/>
                <w:szCs w:val="24"/>
              </w:rPr>
            </w:pPr>
            <w:r>
              <w:rPr>
                <w:b/>
                <w:bCs/>
                <w:spacing w:val="3"/>
                <w:sz w:val="24"/>
                <w:szCs w:val="24"/>
              </w:rPr>
              <w:t>4、施工期固废</w:t>
            </w:r>
          </w:p>
          <w:p w14:paraId="39E36B48">
            <w:pPr>
              <w:keepNext w:val="0"/>
              <w:keepLines w:val="0"/>
              <w:pageBreakBefore w:val="0"/>
              <w:widowControl w:val="0"/>
              <w:kinsoku/>
              <w:wordWrap/>
              <w:overflowPunct/>
              <w:topLinePunct w:val="0"/>
              <w:autoSpaceDE/>
              <w:autoSpaceDN/>
              <w:bidi w:val="0"/>
              <w:adjustRightInd w:val="0"/>
              <w:snapToGrid w:val="0"/>
              <w:spacing w:line="360" w:lineRule="auto"/>
              <w:ind w:firstLine="492" w:firstLineChars="200"/>
              <w:textAlignment w:val="auto"/>
              <w:rPr>
                <w:spacing w:val="3"/>
                <w:sz w:val="24"/>
                <w:szCs w:val="24"/>
              </w:rPr>
            </w:pPr>
            <w:r>
              <w:rPr>
                <w:spacing w:val="3"/>
                <w:sz w:val="24"/>
                <w:szCs w:val="24"/>
              </w:rPr>
              <w:t>项目施工期产生的固体废物主要为施工过程中产生建筑垃圾以及施工人员产生的生活垃圾。</w:t>
            </w:r>
          </w:p>
          <w:p w14:paraId="595C15B4">
            <w:pPr>
              <w:keepNext w:val="0"/>
              <w:keepLines w:val="0"/>
              <w:pageBreakBefore w:val="0"/>
              <w:widowControl w:val="0"/>
              <w:kinsoku/>
              <w:wordWrap/>
              <w:overflowPunct/>
              <w:topLinePunct w:val="0"/>
              <w:autoSpaceDE/>
              <w:autoSpaceDN/>
              <w:bidi w:val="0"/>
              <w:adjustRightInd w:val="0"/>
              <w:snapToGrid w:val="0"/>
              <w:spacing w:line="360" w:lineRule="auto"/>
              <w:ind w:firstLine="492" w:firstLineChars="200"/>
              <w:textAlignment w:val="auto"/>
              <w:rPr>
                <w:spacing w:val="3"/>
                <w:sz w:val="24"/>
                <w:szCs w:val="24"/>
              </w:rPr>
            </w:pPr>
            <w:r>
              <w:rPr>
                <w:spacing w:val="3"/>
                <w:sz w:val="24"/>
                <w:szCs w:val="24"/>
              </w:rPr>
              <w:t>（1）施工建筑垃圾</w:t>
            </w:r>
          </w:p>
          <w:p w14:paraId="1232773F">
            <w:pPr>
              <w:keepNext w:val="0"/>
              <w:keepLines w:val="0"/>
              <w:pageBreakBefore w:val="0"/>
              <w:widowControl w:val="0"/>
              <w:kinsoku/>
              <w:wordWrap/>
              <w:overflowPunct/>
              <w:topLinePunct w:val="0"/>
              <w:autoSpaceDE/>
              <w:autoSpaceDN/>
              <w:bidi w:val="0"/>
              <w:adjustRightInd w:val="0"/>
              <w:snapToGrid w:val="0"/>
              <w:spacing w:line="360" w:lineRule="auto"/>
              <w:ind w:firstLine="492" w:firstLineChars="200"/>
              <w:textAlignment w:val="auto"/>
              <w:rPr>
                <w:spacing w:val="3"/>
                <w:sz w:val="24"/>
                <w:szCs w:val="24"/>
              </w:rPr>
            </w:pPr>
            <w:r>
              <w:rPr>
                <w:spacing w:val="3"/>
                <w:sz w:val="24"/>
                <w:szCs w:val="24"/>
              </w:rPr>
              <w:t>本项目施工期产生的建筑垃圾主要来自于厂房</w:t>
            </w:r>
            <w:r>
              <w:rPr>
                <w:rFonts w:hint="eastAsia"/>
                <w:spacing w:val="3"/>
                <w:sz w:val="24"/>
                <w:szCs w:val="24"/>
              </w:rPr>
              <w:t>等构筑物</w:t>
            </w:r>
            <w:r>
              <w:rPr>
                <w:spacing w:val="3"/>
                <w:sz w:val="24"/>
                <w:szCs w:val="24"/>
              </w:rPr>
              <w:t>的建设、设备的安装等，包括废混凝土块、施工过程中散落的砂浆和混凝土、碎砖渣、金属废料、各种包装材料和其他废弃物等。评价建议将建筑垃圾按有关部门要求运至指定地点综合利用或者填埋，不得随意堆放、抛弃，避免对周围环境造成不利影响；在运输过程中还应做好卫生防护工作，避免产生扬尘或洒落废料。建设施工单位应当加强施工管理，规范运输，不得随路洒落，不得随意堆放弃土和建筑垃圾；施工结束后，应及时回收、清理多余或废弃的建筑材料或建筑垃圾。</w:t>
            </w:r>
          </w:p>
          <w:p w14:paraId="32A5C5EA">
            <w:pPr>
              <w:keepLines w:val="0"/>
              <w:pageBreakBefore w:val="0"/>
              <w:widowControl w:val="0"/>
              <w:kinsoku/>
              <w:wordWrap/>
              <w:overflowPunct/>
              <w:topLinePunct w:val="0"/>
              <w:autoSpaceDE/>
              <w:autoSpaceDN/>
              <w:bidi w:val="0"/>
              <w:adjustRightInd w:val="0"/>
              <w:snapToGrid w:val="0"/>
              <w:spacing w:line="360" w:lineRule="auto"/>
              <w:ind w:firstLine="492" w:firstLineChars="200"/>
              <w:textAlignment w:val="auto"/>
              <w:rPr>
                <w:spacing w:val="3"/>
                <w:sz w:val="24"/>
                <w:szCs w:val="24"/>
                <w:highlight w:val="none"/>
              </w:rPr>
            </w:pPr>
            <w:r>
              <w:rPr>
                <w:spacing w:val="3"/>
                <w:sz w:val="24"/>
                <w:szCs w:val="24"/>
                <w:highlight w:val="none"/>
              </w:rPr>
              <w:t>（2）生活垃圾</w:t>
            </w:r>
          </w:p>
          <w:p w14:paraId="1F5ABA7B">
            <w:pPr>
              <w:pStyle w:val="96"/>
              <w:ind w:firstLine="480"/>
              <w:rPr>
                <w:b w:val="0"/>
                <w:bCs w:val="0"/>
                <w:color w:val="auto"/>
                <w:spacing w:val="-10"/>
                <w:szCs w:val="21"/>
              </w:rPr>
            </w:pPr>
            <w:r>
              <w:rPr>
                <w:spacing w:val="3"/>
                <w:sz w:val="24"/>
                <w:szCs w:val="24"/>
              </w:rPr>
              <w:t>施工人员为</w:t>
            </w:r>
            <w:r>
              <w:rPr>
                <w:rFonts w:hint="eastAsia"/>
                <w:spacing w:val="3"/>
                <w:sz w:val="24"/>
                <w:szCs w:val="24"/>
                <w:lang w:val="en-US" w:eastAsia="zh-CN"/>
              </w:rPr>
              <w:t>80</w:t>
            </w:r>
            <w:r>
              <w:rPr>
                <w:spacing w:val="3"/>
                <w:sz w:val="24"/>
                <w:szCs w:val="24"/>
              </w:rPr>
              <w:t>人，生活垃圾按0.5kg/人</w:t>
            </w:r>
            <w:r>
              <w:rPr>
                <w:rFonts w:hint="eastAsia" w:ascii="宋体" w:hAnsi="宋体" w:eastAsia="宋体" w:cs="宋体"/>
                <w:spacing w:val="3"/>
                <w:sz w:val="24"/>
                <w:szCs w:val="24"/>
              </w:rPr>
              <w:t>•</w:t>
            </w:r>
            <w:r>
              <w:rPr>
                <w:spacing w:val="3"/>
                <w:sz w:val="24"/>
                <w:szCs w:val="24"/>
              </w:rPr>
              <w:t>d计，产生量为</w:t>
            </w:r>
            <w:r>
              <w:rPr>
                <w:rFonts w:hint="eastAsia"/>
                <w:spacing w:val="3"/>
                <w:sz w:val="24"/>
                <w:szCs w:val="24"/>
                <w:lang w:val="en-US" w:eastAsia="zh-CN"/>
              </w:rPr>
              <w:t>40</w:t>
            </w:r>
            <w:r>
              <w:rPr>
                <w:spacing w:val="3"/>
                <w:sz w:val="24"/>
                <w:szCs w:val="24"/>
              </w:rPr>
              <w:t>kg/d，</w:t>
            </w:r>
            <w:r>
              <w:rPr>
                <w:rFonts w:hint="eastAsia"/>
                <w:spacing w:val="3"/>
                <w:sz w:val="24"/>
                <w:szCs w:val="24"/>
              </w:rPr>
              <w:t>施工期为</w:t>
            </w:r>
            <w:r>
              <w:rPr>
                <w:rFonts w:hint="eastAsia"/>
                <w:spacing w:val="3"/>
                <w:sz w:val="24"/>
                <w:szCs w:val="24"/>
                <w:lang w:val="en-US" w:eastAsia="zh-CN"/>
              </w:rPr>
              <w:t>6</w:t>
            </w:r>
            <w:r>
              <w:rPr>
                <w:rFonts w:hint="eastAsia"/>
                <w:spacing w:val="3"/>
                <w:sz w:val="24"/>
                <w:szCs w:val="24"/>
              </w:rPr>
              <w:t>个月，</w:t>
            </w:r>
            <w:r>
              <w:rPr>
                <w:spacing w:val="3"/>
                <w:sz w:val="24"/>
                <w:szCs w:val="24"/>
              </w:rPr>
              <w:t>整个施工期生活垃圾产生量为</w:t>
            </w:r>
            <w:r>
              <w:rPr>
                <w:rFonts w:hint="eastAsia"/>
                <w:spacing w:val="3"/>
                <w:sz w:val="24"/>
                <w:szCs w:val="24"/>
                <w:lang w:val="en-US" w:eastAsia="zh-CN"/>
              </w:rPr>
              <w:t>7.2</w:t>
            </w:r>
            <w:r>
              <w:rPr>
                <w:spacing w:val="3"/>
                <w:sz w:val="24"/>
                <w:szCs w:val="24"/>
              </w:rPr>
              <w:t>t，由市政环卫部门统一集中清运</w:t>
            </w:r>
            <w:r>
              <w:rPr>
                <w:rFonts w:hint="default" w:ascii="Times New Roman" w:hAnsi="Times New Roman" w:eastAsia="宋体" w:cs="Times New Roman"/>
                <w:bCs/>
                <w:color w:val="auto"/>
                <w:spacing w:val="-10"/>
                <w:sz w:val="24"/>
                <w:szCs w:val="24"/>
                <w:lang w:val="en-US"/>
              </w:rPr>
              <w:t>。</w:t>
            </w:r>
          </w:p>
        </w:tc>
      </w:tr>
      <w:tr w14:paraId="13D935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721" w:hRule="atLeast"/>
          <w:jc w:val="center"/>
        </w:trPr>
        <w:tc>
          <w:tcPr>
            <w:tcW w:w="409" w:type="dxa"/>
            <w:noWrap w:val="0"/>
            <w:tcMar>
              <w:left w:w="28" w:type="dxa"/>
              <w:right w:w="28" w:type="dxa"/>
            </w:tcMar>
            <w:vAlign w:val="center"/>
          </w:tcPr>
          <w:p w14:paraId="31075A94">
            <w:pPr>
              <w:adjustRightInd w:val="0"/>
              <w:snapToGrid w:val="0"/>
              <w:jc w:val="center"/>
              <w:rPr>
                <w:b w:val="0"/>
                <w:bCs w:val="0"/>
                <w:color w:val="auto"/>
                <w:szCs w:val="21"/>
              </w:rPr>
            </w:pPr>
            <w:r>
              <w:rPr>
                <w:b w:val="0"/>
                <w:bCs w:val="0"/>
                <w:color w:val="auto"/>
                <w:szCs w:val="21"/>
              </w:rPr>
              <w:t>运</w:t>
            </w:r>
          </w:p>
          <w:p w14:paraId="67CDDC87">
            <w:pPr>
              <w:adjustRightInd w:val="0"/>
              <w:snapToGrid w:val="0"/>
              <w:jc w:val="center"/>
              <w:rPr>
                <w:b w:val="0"/>
                <w:bCs w:val="0"/>
                <w:color w:val="auto"/>
                <w:szCs w:val="21"/>
              </w:rPr>
            </w:pPr>
            <w:r>
              <w:rPr>
                <w:b w:val="0"/>
                <w:bCs w:val="0"/>
                <w:color w:val="auto"/>
                <w:szCs w:val="21"/>
              </w:rPr>
              <w:t>营</w:t>
            </w:r>
          </w:p>
          <w:p w14:paraId="26715B43">
            <w:pPr>
              <w:adjustRightInd w:val="0"/>
              <w:snapToGrid w:val="0"/>
              <w:jc w:val="center"/>
              <w:rPr>
                <w:b w:val="0"/>
                <w:bCs w:val="0"/>
                <w:color w:val="auto"/>
                <w:szCs w:val="21"/>
              </w:rPr>
            </w:pPr>
            <w:r>
              <w:rPr>
                <w:b w:val="0"/>
                <w:bCs w:val="0"/>
                <w:color w:val="auto"/>
                <w:szCs w:val="21"/>
              </w:rPr>
              <w:t>期</w:t>
            </w:r>
          </w:p>
          <w:p w14:paraId="3DB596EC">
            <w:pPr>
              <w:adjustRightInd w:val="0"/>
              <w:snapToGrid w:val="0"/>
              <w:jc w:val="center"/>
              <w:rPr>
                <w:b w:val="0"/>
                <w:bCs w:val="0"/>
                <w:color w:val="auto"/>
                <w:szCs w:val="21"/>
              </w:rPr>
            </w:pPr>
            <w:r>
              <w:rPr>
                <w:b w:val="0"/>
                <w:bCs w:val="0"/>
                <w:color w:val="auto"/>
                <w:szCs w:val="21"/>
              </w:rPr>
              <w:t>环</w:t>
            </w:r>
          </w:p>
          <w:p w14:paraId="1D9ED3F0">
            <w:pPr>
              <w:adjustRightInd w:val="0"/>
              <w:snapToGrid w:val="0"/>
              <w:jc w:val="center"/>
              <w:rPr>
                <w:b w:val="0"/>
                <w:bCs w:val="0"/>
                <w:color w:val="auto"/>
                <w:szCs w:val="21"/>
              </w:rPr>
            </w:pPr>
            <w:r>
              <w:rPr>
                <w:b w:val="0"/>
                <w:bCs w:val="0"/>
                <w:color w:val="auto"/>
                <w:szCs w:val="21"/>
              </w:rPr>
              <w:t>境</w:t>
            </w:r>
          </w:p>
          <w:p w14:paraId="33B0DEC9">
            <w:pPr>
              <w:adjustRightInd w:val="0"/>
              <w:snapToGrid w:val="0"/>
              <w:jc w:val="center"/>
              <w:rPr>
                <w:b w:val="0"/>
                <w:bCs w:val="0"/>
                <w:color w:val="auto"/>
                <w:szCs w:val="21"/>
              </w:rPr>
            </w:pPr>
            <w:r>
              <w:rPr>
                <w:b w:val="0"/>
                <w:bCs w:val="0"/>
                <w:color w:val="auto"/>
                <w:szCs w:val="21"/>
              </w:rPr>
              <w:t>影</w:t>
            </w:r>
          </w:p>
          <w:p w14:paraId="11C01B52">
            <w:pPr>
              <w:adjustRightInd w:val="0"/>
              <w:snapToGrid w:val="0"/>
              <w:jc w:val="center"/>
              <w:rPr>
                <w:b w:val="0"/>
                <w:bCs w:val="0"/>
                <w:color w:val="auto"/>
                <w:szCs w:val="21"/>
              </w:rPr>
            </w:pPr>
            <w:r>
              <w:rPr>
                <w:b w:val="0"/>
                <w:bCs w:val="0"/>
                <w:color w:val="auto"/>
                <w:szCs w:val="21"/>
              </w:rPr>
              <w:t>响</w:t>
            </w:r>
          </w:p>
          <w:p w14:paraId="14B1225B">
            <w:pPr>
              <w:adjustRightInd w:val="0"/>
              <w:snapToGrid w:val="0"/>
              <w:jc w:val="center"/>
              <w:rPr>
                <w:b w:val="0"/>
                <w:bCs w:val="0"/>
                <w:color w:val="auto"/>
                <w:szCs w:val="21"/>
              </w:rPr>
            </w:pPr>
            <w:r>
              <w:rPr>
                <w:b w:val="0"/>
                <w:bCs w:val="0"/>
                <w:color w:val="auto"/>
                <w:szCs w:val="21"/>
              </w:rPr>
              <w:t>和</w:t>
            </w:r>
          </w:p>
          <w:p w14:paraId="7BF3ADB8">
            <w:pPr>
              <w:adjustRightInd w:val="0"/>
              <w:snapToGrid w:val="0"/>
              <w:jc w:val="center"/>
              <w:rPr>
                <w:b w:val="0"/>
                <w:bCs w:val="0"/>
                <w:color w:val="auto"/>
                <w:szCs w:val="21"/>
              </w:rPr>
            </w:pPr>
            <w:r>
              <w:rPr>
                <w:b w:val="0"/>
                <w:bCs w:val="0"/>
                <w:color w:val="auto"/>
                <w:szCs w:val="21"/>
              </w:rPr>
              <w:t>保</w:t>
            </w:r>
          </w:p>
          <w:p w14:paraId="1C77E3D4">
            <w:pPr>
              <w:adjustRightInd w:val="0"/>
              <w:snapToGrid w:val="0"/>
              <w:jc w:val="center"/>
              <w:rPr>
                <w:b w:val="0"/>
                <w:bCs w:val="0"/>
                <w:color w:val="auto"/>
                <w:szCs w:val="21"/>
              </w:rPr>
            </w:pPr>
            <w:r>
              <w:rPr>
                <w:b w:val="0"/>
                <w:bCs w:val="0"/>
                <w:color w:val="auto"/>
                <w:szCs w:val="21"/>
              </w:rPr>
              <w:t>护</w:t>
            </w:r>
          </w:p>
          <w:p w14:paraId="29B675DB">
            <w:pPr>
              <w:adjustRightInd w:val="0"/>
              <w:snapToGrid w:val="0"/>
              <w:jc w:val="center"/>
              <w:rPr>
                <w:b w:val="0"/>
                <w:bCs w:val="0"/>
                <w:color w:val="auto"/>
                <w:szCs w:val="21"/>
              </w:rPr>
            </w:pPr>
            <w:r>
              <w:rPr>
                <w:b w:val="0"/>
                <w:bCs w:val="0"/>
                <w:color w:val="auto"/>
                <w:szCs w:val="21"/>
              </w:rPr>
              <w:t>措</w:t>
            </w:r>
          </w:p>
          <w:p w14:paraId="562F873E">
            <w:pPr>
              <w:adjustRightInd w:val="0"/>
              <w:snapToGrid w:val="0"/>
              <w:jc w:val="center"/>
              <w:rPr>
                <w:b w:val="0"/>
                <w:bCs w:val="0"/>
                <w:color w:val="FF0000"/>
                <w:szCs w:val="21"/>
              </w:rPr>
            </w:pPr>
            <w:r>
              <w:rPr>
                <w:b w:val="0"/>
                <w:bCs w:val="0"/>
                <w:color w:val="auto"/>
                <w:szCs w:val="21"/>
              </w:rPr>
              <w:t>施</w:t>
            </w:r>
          </w:p>
        </w:tc>
        <w:tc>
          <w:tcPr>
            <w:tcW w:w="8678" w:type="dxa"/>
            <w:noWrap w:val="0"/>
            <w:vAlign w:val="center"/>
          </w:tcPr>
          <w:p w14:paraId="6851E8DB">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textAlignment w:val="auto"/>
              <w:rPr>
                <w:rFonts w:hint="default" w:ascii="Times New Roman" w:hAnsi="Times New Roman" w:eastAsia="宋体" w:cs="Times New Roman"/>
                <w:b/>
                <w:bCs/>
                <w:color w:val="auto"/>
                <w:sz w:val="28"/>
                <w:szCs w:val="28"/>
                <w:lang w:val="en-US" w:eastAsia="zh-CN"/>
              </w:rPr>
            </w:pPr>
            <w:bookmarkStart w:id="92" w:name="_Toc6797"/>
            <w:bookmarkStart w:id="93" w:name="_Toc18494"/>
            <w:r>
              <w:rPr>
                <w:rFonts w:hint="default" w:ascii="Times New Roman" w:hAnsi="Times New Roman" w:eastAsia="宋体" w:cs="Times New Roman"/>
                <w:b/>
                <w:bCs/>
                <w:color w:val="auto"/>
                <w:sz w:val="28"/>
                <w:szCs w:val="28"/>
                <w:lang w:val="en-US" w:eastAsia="zh-CN"/>
              </w:rPr>
              <w:t>废气</w:t>
            </w:r>
            <w:bookmarkEnd w:id="92"/>
            <w:bookmarkEnd w:id="93"/>
          </w:p>
          <w:p w14:paraId="4C14F563">
            <w:pPr>
              <w:bidi w:val="0"/>
              <w:spacing w:line="360" w:lineRule="auto"/>
              <w:ind w:firstLine="480" w:firstLineChars="200"/>
              <w:rPr>
                <w:rFonts w:hint="eastAsia"/>
                <w:sz w:val="24"/>
                <w:szCs w:val="24"/>
                <w:lang w:val="en-US" w:eastAsia="zh-CN"/>
              </w:rPr>
            </w:pPr>
            <w:r>
              <w:rPr>
                <w:rFonts w:hint="eastAsia"/>
                <w:sz w:val="24"/>
                <w:szCs w:val="24"/>
                <w:lang w:val="en-US" w:eastAsia="zh-CN"/>
              </w:rPr>
              <w:t>本项目在生产过程中的磨边工艺在水环境中进行，无粉尘产生。本项目使用的</w:t>
            </w:r>
            <w:r>
              <w:rPr>
                <w:rFonts w:hint="default"/>
                <w:sz w:val="24"/>
                <w:szCs w:val="24"/>
                <w:lang w:val="en-US" w:eastAsia="zh-CN"/>
              </w:rPr>
              <w:t xml:space="preserve">PVB </w:t>
            </w:r>
            <w:r>
              <w:rPr>
                <w:rFonts w:hint="eastAsia"/>
                <w:sz w:val="24"/>
                <w:szCs w:val="24"/>
                <w:lang w:val="en-US" w:eastAsia="zh-CN"/>
              </w:rPr>
              <w:t>中间膜是半透明的薄膜，由聚乙烯醇缩丁醛树脂经增塑剂塑化挤压成型的一种高分子材料，性能稳定，软化温度为</w:t>
            </w:r>
            <w:r>
              <w:rPr>
                <w:rFonts w:hint="default"/>
                <w:sz w:val="24"/>
                <w:szCs w:val="24"/>
                <w:lang w:val="en-US" w:eastAsia="zh-CN"/>
              </w:rPr>
              <w:t>60~65℃</w:t>
            </w:r>
            <w:r>
              <w:rPr>
                <w:rFonts w:hint="eastAsia"/>
                <w:sz w:val="24"/>
                <w:szCs w:val="24"/>
                <w:lang w:val="en-US" w:eastAsia="zh-CN"/>
              </w:rPr>
              <w:t>，分解温度为</w:t>
            </w:r>
            <w:r>
              <w:rPr>
                <w:rFonts w:hint="default"/>
                <w:sz w:val="24"/>
                <w:szCs w:val="24"/>
                <w:lang w:val="en-US" w:eastAsia="zh-CN"/>
              </w:rPr>
              <w:t>400~600℃</w:t>
            </w:r>
            <w:r>
              <w:rPr>
                <w:rFonts w:hint="eastAsia"/>
                <w:sz w:val="24"/>
                <w:szCs w:val="24"/>
                <w:lang w:val="en-US" w:eastAsia="zh-CN"/>
              </w:rPr>
              <w:t xml:space="preserve">，本项目高压釜温度控制在 </w:t>
            </w:r>
            <w:r>
              <w:rPr>
                <w:rFonts w:hint="default"/>
                <w:sz w:val="24"/>
                <w:szCs w:val="24"/>
                <w:lang w:val="en-US" w:eastAsia="zh-CN"/>
              </w:rPr>
              <w:t>125~ 150℃</w:t>
            </w:r>
            <w:r>
              <w:rPr>
                <w:rFonts w:hint="eastAsia"/>
                <w:sz w:val="24"/>
                <w:szCs w:val="24"/>
                <w:lang w:val="en-US" w:eastAsia="zh-CN"/>
              </w:rPr>
              <w:t>约</w:t>
            </w:r>
            <w:r>
              <w:rPr>
                <w:rFonts w:hint="default"/>
                <w:sz w:val="24"/>
                <w:szCs w:val="24"/>
                <w:lang w:val="en-US" w:eastAsia="zh-CN"/>
              </w:rPr>
              <w:t>2h</w:t>
            </w:r>
            <w:r>
              <w:rPr>
                <w:rFonts w:hint="eastAsia"/>
                <w:sz w:val="24"/>
                <w:szCs w:val="24"/>
                <w:lang w:val="en-US" w:eastAsia="zh-CN"/>
              </w:rPr>
              <w:t>，</w:t>
            </w:r>
            <w:r>
              <w:rPr>
                <w:rFonts w:hint="default"/>
                <w:sz w:val="24"/>
                <w:szCs w:val="24"/>
                <w:lang w:val="en-US" w:eastAsia="zh-CN"/>
              </w:rPr>
              <w:t xml:space="preserve">PVB </w:t>
            </w:r>
            <w:r>
              <w:rPr>
                <w:rFonts w:hint="eastAsia"/>
                <w:sz w:val="24"/>
                <w:szCs w:val="24"/>
                <w:lang w:val="en-US" w:eastAsia="zh-CN"/>
              </w:rPr>
              <w:t xml:space="preserve">膜不会分解，因此夹胶玻璃在高压釜中高压加热过程中不会产生 </w:t>
            </w:r>
            <w:r>
              <w:rPr>
                <w:rFonts w:hint="default"/>
                <w:sz w:val="24"/>
                <w:szCs w:val="24"/>
                <w:lang w:val="en-US" w:eastAsia="zh-CN"/>
              </w:rPr>
              <w:t xml:space="preserve">PVB </w:t>
            </w:r>
            <w:r>
              <w:rPr>
                <w:rFonts w:hint="eastAsia"/>
                <w:sz w:val="24"/>
                <w:szCs w:val="24"/>
                <w:lang w:val="en-US" w:eastAsia="zh-CN"/>
              </w:rPr>
              <w:t>分解废气，但会有微量有机废气产生，本次不再对其进行定量分析。</w:t>
            </w:r>
          </w:p>
          <w:p w14:paraId="15792414">
            <w:pPr>
              <w:bidi w:val="0"/>
              <w:spacing w:line="360" w:lineRule="auto"/>
              <w:ind w:firstLine="482" w:firstLineChars="200"/>
              <w:rPr>
                <w:rFonts w:hint="eastAsia"/>
                <w:b/>
                <w:bCs/>
                <w:sz w:val="24"/>
                <w:szCs w:val="24"/>
                <w:u w:val="single"/>
                <w:lang w:val="en-US" w:eastAsia="zh-CN"/>
              </w:rPr>
            </w:pPr>
            <w:r>
              <w:rPr>
                <w:rFonts w:hint="eastAsia"/>
                <w:b/>
                <w:bCs/>
                <w:sz w:val="24"/>
                <w:szCs w:val="24"/>
                <w:u w:val="single"/>
                <w:lang w:val="en-US" w:eastAsia="zh-CN"/>
              </w:rPr>
              <w:t>本项目镀膜玻璃采用离线镀膜工艺，镀膜过程无颗粒物和有机物产生。</w:t>
            </w:r>
          </w:p>
          <w:p w14:paraId="76DCCBCB">
            <w:pPr>
              <w:bidi w:val="0"/>
              <w:spacing w:line="360" w:lineRule="auto"/>
              <w:ind w:firstLine="482" w:firstLineChars="200"/>
              <w:rPr>
                <w:rFonts w:hint="default"/>
                <w:b/>
                <w:bCs/>
                <w:sz w:val="24"/>
                <w:szCs w:val="24"/>
                <w:u w:val="single"/>
                <w:lang w:val="en-US" w:eastAsia="zh-CN"/>
              </w:rPr>
            </w:pPr>
            <w:r>
              <w:rPr>
                <w:rFonts w:hint="eastAsia"/>
                <w:b/>
                <w:bCs/>
                <w:sz w:val="24"/>
                <w:szCs w:val="24"/>
                <w:u w:val="single"/>
                <w:lang w:val="en-US" w:eastAsia="zh-CN"/>
              </w:rPr>
              <w:t>中空玻璃生产过程涉及到涂胶工序，该工序所用胶为丁基胶与双组分硅酮密封胶，直接外购成品胶进行使用，厂内不进行调胶等，在涂胶过程中会有微量颗粒物产生，主要来自施胶过程胶体固化等产生的微量的胶粒粉尘，本次不再对其进行定量分析，但将颗粒物纳入自行监测管控要求。</w:t>
            </w:r>
          </w:p>
          <w:p w14:paraId="4B2099A7">
            <w:pPr>
              <w:bidi w:val="0"/>
              <w:spacing w:line="360" w:lineRule="auto"/>
              <w:ind w:firstLine="480" w:firstLineChars="200"/>
              <w:rPr>
                <w:rFonts w:hint="eastAsia"/>
                <w:sz w:val="24"/>
                <w:szCs w:val="24"/>
                <w:lang w:val="en-US" w:eastAsia="zh-CN"/>
              </w:rPr>
            </w:pPr>
            <w:r>
              <w:rPr>
                <w:rFonts w:hint="eastAsia"/>
                <w:sz w:val="24"/>
                <w:szCs w:val="24"/>
                <w:lang w:val="en-US" w:eastAsia="zh-CN"/>
              </w:rPr>
              <w:t xml:space="preserve">本项目运营期废气主要为彩色成像玻璃生产过程烘干固化工序产生的有机废气以及中空玻璃生产过程涂胶固化工序产生的有机废气。 </w:t>
            </w:r>
          </w:p>
          <w:p w14:paraId="7100A8AF">
            <w:pPr>
              <w:keepNext w:val="0"/>
              <w:keepLines w:val="0"/>
              <w:widowControl/>
              <w:suppressLineNumbers w:val="0"/>
              <w:spacing w:line="360" w:lineRule="auto"/>
              <w:ind w:firstLine="482" w:firstLineChars="200"/>
              <w:jc w:val="left"/>
              <w:rPr>
                <w:b/>
                <w:bCs/>
                <w:u w:val="single"/>
              </w:rPr>
            </w:pPr>
            <w:r>
              <w:rPr>
                <w:rFonts w:hint="eastAsia" w:cs="Times New Roman"/>
                <w:b/>
                <w:bCs/>
                <w:color w:val="000000"/>
                <w:kern w:val="0"/>
                <w:sz w:val="24"/>
                <w:szCs w:val="24"/>
                <w:u w:val="single"/>
                <w:lang w:val="en-US" w:eastAsia="zh-CN" w:bidi="ar"/>
              </w:rPr>
              <w:t>（1）</w:t>
            </w:r>
            <w:r>
              <w:rPr>
                <w:rFonts w:hint="eastAsia"/>
                <w:b/>
                <w:bCs/>
                <w:sz w:val="24"/>
                <w:szCs w:val="24"/>
                <w:u w:val="single"/>
                <w:lang w:val="en-US" w:eastAsia="zh-CN"/>
              </w:rPr>
              <w:t>彩色成像玻璃生产过程烘干固化工序产生的有机废气</w:t>
            </w:r>
          </w:p>
          <w:p w14:paraId="33EBFC0E">
            <w:pPr>
              <w:keepNext w:val="0"/>
              <w:keepLines w:val="0"/>
              <w:widowControl/>
              <w:suppressLineNumbers w:val="0"/>
              <w:spacing w:line="360" w:lineRule="auto"/>
              <w:ind w:firstLine="482" w:firstLineChars="200"/>
              <w:jc w:val="left"/>
              <w:rPr>
                <w:rFonts w:hint="eastAsia" w:cs="Times New Roman"/>
                <w:b/>
                <w:bCs/>
                <w:color w:val="000000"/>
                <w:kern w:val="0"/>
                <w:sz w:val="24"/>
                <w:szCs w:val="24"/>
                <w:u w:val="single"/>
                <w:lang w:val="en-US" w:eastAsia="zh-CN" w:bidi="ar"/>
              </w:rPr>
            </w:pPr>
            <w:r>
              <w:rPr>
                <w:rFonts w:hint="eastAsia" w:ascii="宋体" w:hAnsi="宋体" w:eastAsia="宋体" w:cs="宋体"/>
                <w:b/>
                <w:bCs/>
                <w:color w:val="000000"/>
                <w:kern w:val="0"/>
                <w:sz w:val="24"/>
                <w:szCs w:val="24"/>
                <w:u w:val="single"/>
                <w:lang w:val="en-US" w:eastAsia="zh-CN" w:bidi="ar"/>
              </w:rPr>
              <w:t>本项目彩色成像玻璃生产过程烘干固化工序产生的有机废气主要为二丙二醇甲醚醋酸酯及丙二醇甲醚醋酸酯</w:t>
            </w:r>
            <w:r>
              <w:rPr>
                <w:rFonts w:hint="eastAsia" w:ascii="宋体" w:hAnsi="宋体" w:cs="宋体"/>
                <w:b/>
                <w:bCs/>
                <w:color w:val="000000"/>
                <w:kern w:val="0"/>
                <w:sz w:val="24"/>
                <w:szCs w:val="24"/>
                <w:u w:val="single"/>
                <w:lang w:val="en-US" w:eastAsia="zh-CN" w:bidi="ar"/>
              </w:rPr>
              <w:t>等溶剂</w:t>
            </w:r>
            <w:r>
              <w:rPr>
                <w:rFonts w:hint="eastAsia" w:ascii="宋体" w:hAnsi="宋体" w:eastAsia="宋体" w:cs="宋体"/>
                <w:b/>
                <w:bCs/>
                <w:color w:val="000000"/>
                <w:kern w:val="0"/>
                <w:sz w:val="24"/>
                <w:szCs w:val="24"/>
                <w:u w:val="single"/>
                <w:lang w:val="en-US" w:eastAsia="zh-CN" w:bidi="ar"/>
              </w:rPr>
              <w:t>的挥发</w:t>
            </w:r>
            <w:r>
              <w:rPr>
                <w:rFonts w:hint="eastAsia" w:ascii="宋体" w:hAnsi="宋体" w:cs="宋体"/>
                <w:b/>
                <w:bCs/>
                <w:color w:val="000000"/>
                <w:kern w:val="0"/>
                <w:sz w:val="24"/>
                <w:szCs w:val="24"/>
                <w:u w:val="single"/>
                <w:lang w:val="en-US" w:eastAsia="zh-CN" w:bidi="ar"/>
              </w:rPr>
              <w:t>，按非甲烷总烃计</w:t>
            </w:r>
            <w:r>
              <w:rPr>
                <w:rFonts w:hint="eastAsia" w:ascii="宋体" w:hAnsi="宋体" w:eastAsia="宋体" w:cs="宋体"/>
                <w:b/>
                <w:bCs/>
                <w:color w:val="000000"/>
                <w:kern w:val="0"/>
                <w:sz w:val="24"/>
                <w:szCs w:val="24"/>
                <w:u w:val="single"/>
                <w:lang w:val="en-US" w:eastAsia="zh-CN" w:bidi="ar"/>
              </w:rPr>
              <w:t>。</w:t>
            </w:r>
            <w:r>
              <w:rPr>
                <w:rFonts w:hint="default" w:ascii="Times New Roman" w:hAnsi="Times New Roman" w:cs="Times New Roman"/>
                <w:b/>
                <w:bCs/>
                <w:color w:val="000000"/>
                <w:kern w:val="0"/>
                <w:sz w:val="24"/>
                <w:szCs w:val="24"/>
                <w:u w:val="single"/>
                <w:lang w:val="en-US" w:eastAsia="zh-CN" w:bidi="ar"/>
              </w:rPr>
              <w:t>根据该油墨VOC</w:t>
            </w:r>
            <w:r>
              <w:rPr>
                <w:rFonts w:hint="default" w:ascii="Times New Roman" w:hAnsi="Times New Roman" w:cs="Times New Roman"/>
                <w:b/>
                <w:bCs/>
                <w:color w:val="000000"/>
                <w:kern w:val="0"/>
                <w:sz w:val="24"/>
                <w:szCs w:val="24"/>
                <w:u w:val="single"/>
                <w:vertAlign w:val="subscript"/>
                <w:lang w:val="en-US" w:eastAsia="zh-CN" w:bidi="ar"/>
              </w:rPr>
              <w:t>S</w:t>
            </w:r>
            <w:r>
              <w:rPr>
                <w:rFonts w:hint="default" w:ascii="Times New Roman" w:hAnsi="Times New Roman" w:cs="Times New Roman"/>
                <w:b/>
                <w:bCs/>
                <w:color w:val="000000"/>
                <w:kern w:val="0"/>
                <w:sz w:val="24"/>
                <w:szCs w:val="24"/>
                <w:u w:val="single"/>
                <w:lang w:val="en-US" w:eastAsia="zh-CN" w:bidi="ar"/>
              </w:rPr>
              <w:t>检测报告可</w:t>
            </w:r>
            <w:r>
              <w:rPr>
                <w:rFonts w:hint="eastAsia" w:ascii="Times New Roman" w:hAnsi="Times New Roman" w:cs="Times New Roman"/>
                <w:b/>
                <w:bCs/>
                <w:color w:val="000000"/>
                <w:kern w:val="0"/>
                <w:sz w:val="24"/>
                <w:szCs w:val="24"/>
                <w:u w:val="single"/>
                <w:lang w:val="en-US" w:eastAsia="zh-CN" w:bidi="ar"/>
              </w:rPr>
              <w:t>知，</w:t>
            </w:r>
            <w:r>
              <w:rPr>
                <w:rFonts w:hint="default" w:ascii="Times New Roman" w:hAnsi="Times New Roman" w:cs="Times New Roman"/>
                <w:b/>
                <w:bCs/>
                <w:color w:val="000000"/>
                <w:kern w:val="0"/>
                <w:sz w:val="24"/>
                <w:szCs w:val="24"/>
                <w:u w:val="single"/>
                <w:lang w:val="en-US" w:eastAsia="zh-CN" w:bidi="ar"/>
              </w:rPr>
              <w:t>VOC</w:t>
            </w:r>
            <w:r>
              <w:rPr>
                <w:rFonts w:hint="default" w:ascii="Times New Roman" w:hAnsi="Times New Roman" w:cs="Times New Roman"/>
                <w:b/>
                <w:bCs/>
                <w:color w:val="000000"/>
                <w:kern w:val="0"/>
                <w:sz w:val="24"/>
                <w:szCs w:val="24"/>
                <w:u w:val="single"/>
                <w:vertAlign w:val="subscript"/>
                <w:lang w:val="en-US" w:eastAsia="zh-CN" w:bidi="ar"/>
              </w:rPr>
              <w:t>S</w:t>
            </w:r>
            <w:r>
              <w:rPr>
                <w:rFonts w:hint="eastAsia" w:ascii="Times New Roman" w:hAnsi="Times New Roman" w:cs="Times New Roman"/>
                <w:b/>
                <w:bCs/>
                <w:color w:val="000000"/>
                <w:kern w:val="0"/>
                <w:sz w:val="24"/>
                <w:szCs w:val="24"/>
                <w:u w:val="single"/>
                <w:lang w:val="en-US" w:eastAsia="zh-CN" w:bidi="ar"/>
              </w:rPr>
              <w:t>含量为7.2%。同时，</w:t>
            </w:r>
            <w:r>
              <w:rPr>
                <w:rFonts w:hint="eastAsia" w:ascii="宋体" w:hAnsi="宋体" w:eastAsia="宋体" w:cs="宋体"/>
                <w:b/>
                <w:bCs/>
                <w:color w:val="000000"/>
                <w:kern w:val="0"/>
                <w:sz w:val="24"/>
                <w:szCs w:val="24"/>
                <w:u w:val="single"/>
                <w:lang w:val="en-US" w:eastAsia="zh-CN" w:bidi="ar"/>
              </w:rPr>
              <w:t>根据</w:t>
            </w:r>
            <w:r>
              <w:rPr>
                <w:rFonts w:hint="eastAsia" w:ascii="宋体" w:hAnsi="宋体" w:cs="宋体"/>
                <w:b/>
                <w:bCs/>
                <w:color w:val="000000"/>
                <w:kern w:val="0"/>
                <w:sz w:val="24"/>
                <w:szCs w:val="24"/>
                <w:u w:val="single"/>
                <w:lang w:val="en-US" w:eastAsia="zh-CN" w:bidi="ar"/>
              </w:rPr>
              <w:t>该油墨的化学品安全技术说明书可知，</w:t>
            </w:r>
            <w:r>
              <w:rPr>
                <w:rFonts w:hint="default" w:ascii="Times New Roman" w:hAnsi="Times New Roman" w:cs="Times New Roman"/>
                <w:b/>
                <w:bCs/>
                <w:color w:val="000000"/>
                <w:kern w:val="0"/>
                <w:sz w:val="24"/>
                <w:szCs w:val="24"/>
                <w:u w:val="single"/>
                <w:lang w:val="en-US" w:eastAsia="zh-CN" w:bidi="ar"/>
              </w:rPr>
              <w:t>二丙二醇甲醚醋酸酯</w:t>
            </w:r>
            <w:r>
              <w:rPr>
                <w:rFonts w:hint="eastAsia" w:ascii="Times New Roman" w:hAnsi="Times New Roman" w:cs="Times New Roman"/>
                <w:b/>
                <w:bCs/>
                <w:color w:val="000000"/>
                <w:kern w:val="0"/>
                <w:sz w:val="24"/>
                <w:szCs w:val="24"/>
                <w:u w:val="single"/>
                <w:lang w:val="en-US" w:eastAsia="zh-CN" w:bidi="ar"/>
              </w:rPr>
              <w:t>含量</w:t>
            </w:r>
            <w:r>
              <w:rPr>
                <w:rFonts w:hint="default" w:ascii="Times New Roman" w:hAnsi="Times New Roman" w:cs="Times New Roman"/>
                <w:b/>
                <w:bCs/>
                <w:color w:val="000000"/>
                <w:kern w:val="0"/>
                <w:sz w:val="24"/>
                <w:szCs w:val="24"/>
                <w:u w:val="single"/>
                <w:lang w:val="en-US" w:eastAsia="zh-CN" w:bidi="ar"/>
              </w:rPr>
              <w:t>为1.0~8.0%、丙二醇甲醚醋酸酯含量为1.0~2.0%，</w:t>
            </w:r>
            <w:r>
              <w:rPr>
                <w:rFonts w:hint="eastAsia" w:cs="Times New Roman"/>
                <w:b/>
                <w:bCs/>
                <w:color w:val="000000"/>
                <w:kern w:val="0"/>
                <w:sz w:val="24"/>
                <w:szCs w:val="24"/>
                <w:u w:val="single"/>
                <w:lang w:val="en-US" w:eastAsia="zh-CN" w:bidi="ar"/>
              </w:rPr>
              <w:t>按最大量合计，则挥</w:t>
            </w:r>
            <w:r>
              <w:rPr>
                <w:rFonts w:hint="default" w:ascii="Times New Roman" w:hAnsi="Times New Roman" w:cs="Times New Roman"/>
                <w:b/>
                <w:bCs/>
                <w:color w:val="000000"/>
                <w:kern w:val="0"/>
                <w:sz w:val="24"/>
                <w:szCs w:val="24"/>
                <w:u w:val="single"/>
                <w:lang w:val="en-US" w:eastAsia="zh-CN" w:bidi="ar"/>
              </w:rPr>
              <w:t>发性有机物含量</w:t>
            </w:r>
            <w:r>
              <w:rPr>
                <w:rFonts w:hint="eastAsia" w:cs="Times New Roman"/>
                <w:b/>
                <w:bCs/>
                <w:color w:val="000000"/>
                <w:kern w:val="0"/>
                <w:sz w:val="24"/>
                <w:szCs w:val="24"/>
                <w:u w:val="single"/>
                <w:lang w:val="en-US" w:eastAsia="zh-CN" w:bidi="ar"/>
              </w:rPr>
              <w:t>为</w:t>
            </w:r>
            <w:r>
              <w:rPr>
                <w:rFonts w:hint="default" w:ascii="Times New Roman" w:hAnsi="Times New Roman" w:cs="Times New Roman"/>
                <w:b/>
                <w:bCs/>
                <w:color w:val="000000"/>
                <w:kern w:val="0"/>
                <w:sz w:val="24"/>
                <w:szCs w:val="24"/>
                <w:u w:val="single"/>
                <w:lang w:val="en-US" w:eastAsia="zh-CN" w:bidi="ar"/>
              </w:rPr>
              <w:t>10%</w:t>
            </w:r>
            <w:r>
              <w:rPr>
                <w:rFonts w:hint="eastAsia" w:cs="Times New Roman"/>
                <w:b/>
                <w:bCs/>
                <w:color w:val="000000"/>
                <w:kern w:val="0"/>
                <w:sz w:val="24"/>
                <w:szCs w:val="24"/>
                <w:u w:val="single"/>
                <w:lang w:val="en-US" w:eastAsia="zh-CN" w:bidi="ar"/>
              </w:rPr>
              <w:t>。本次评价按10%进行计算，</w:t>
            </w:r>
            <w:r>
              <w:rPr>
                <w:rFonts w:hint="default" w:ascii="Times New Roman" w:hAnsi="Times New Roman" w:eastAsia="宋体" w:cs="Times New Roman"/>
                <w:b/>
                <w:bCs/>
                <w:color w:val="000000"/>
                <w:kern w:val="0"/>
                <w:sz w:val="24"/>
                <w:szCs w:val="24"/>
                <w:u w:val="single"/>
                <w:lang w:val="en-US" w:eastAsia="zh-CN" w:bidi="ar"/>
              </w:rPr>
              <w:t>本</w:t>
            </w:r>
            <w:r>
              <w:rPr>
                <w:rFonts w:hint="eastAsia" w:ascii="宋体" w:hAnsi="宋体" w:eastAsia="宋体" w:cs="宋体"/>
                <w:b/>
                <w:bCs/>
                <w:color w:val="000000"/>
                <w:kern w:val="0"/>
                <w:sz w:val="24"/>
                <w:szCs w:val="24"/>
                <w:u w:val="single"/>
                <w:lang w:val="en-US" w:eastAsia="zh-CN" w:bidi="ar"/>
              </w:rPr>
              <w:t>项目</w:t>
            </w:r>
            <w:r>
              <w:rPr>
                <w:rFonts w:hint="eastAsia" w:ascii="宋体" w:hAnsi="宋体" w:cs="宋体"/>
                <w:b/>
                <w:bCs/>
                <w:color w:val="000000"/>
                <w:kern w:val="0"/>
                <w:sz w:val="24"/>
                <w:szCs w:val="24"/>
                <w:u w:val="single"/>
                <w:lang w:val="en-US" w:eastAsia="zh-CN" w:bidi="ar"/>
              </w:rPr>
              <w:t>环保墨水</w:t>
            </w:r>
            <w:r>
              <w:rPr>
                <w:rFonts w:hint="eastAsia" w:ascii="宋体" w:hAnsi="宋体" w:eastAsia="宋体" w:cs="宋体"/>
                <w:b/>
                <w:bCs/>
                <w:color w:val="000000"/>
                <w:kern w:val="0"/>
                <w:sz w:val="24"/>
                <w:szCs w:val="24"/>
                <w:u w:val="single"/>
                <w:lang w:val="en-US" w:eastAsia="zh-CN" w:bidi="ar"/>
              </w:rPr>
              <w:t>年用量为</w:t>
            </w:r>
            <w:r>
              <w:rPr>
                <w:rFonts w:hint="eastAsia" w:cs="Times New Roman"/>
                <w:b/>
                <w:bCs/>
                <w:color w:val="000000"/>
                <w:kern w:val="0"/>
                <w:sz w:val="24"/>
                <w:szCs w:val="24"/>
                <w:u w:val="single"/>
                <w:lang w:val="en-US" w:eastAsia="zh-CN" w:bidi="ar"/>
              </w:rPr>
              <w:t>2.5</w:t>
            </w:r>
            <w:r>
              <w:rPr>
                <w:rFonts w:hint="default" w:ascii="Times New Roman" w:hAnsi="Times New Roman" w:eastAsia="宋体" w:cs="Times New Roman"/>
                <w:b/>
                <w:bCs/>
                <w:color w:val="000000"/>
                <w:kern w:val="0"/>
                <w:sz w:val="24"/>
                <w:szCs w:val="24"/>
                <w:u w:val="single"/>
                <w:lang w:val="en-US" w:eastAsia="zh-CN" w:bidi="ar"/>
              </w:rPr>
              <w:t>t/a</w:t>
            </w:r>
            <w:r>
              <w:rPr>
                <w:rFonts w:hint="eastAsia" w:ascii="宋体" w:hAnsi="宋体" w:cs="宋体"/>
                <w:b/>
                <w:bCs/>
                <w:color w:val="000000"/>
                <w:kern w:val="0"/>
                <w:sz w:val="24"/>
                <w:szCs w:val="24"/>
                <w:u w:val="single"/>
                <w:lang w:val="en-US" w:eastAsia="zh-CN" w:bidi="ar"/>
              </w:rPr>
              <w:t>，</w:t>
            </w:r>
            <w:r>
              <w:rPr>
                <w:rFonts w:hint="eastAsia" w:ascii="宋体" w:hAnsi="宋体" w:eastAsia="宋体" w:cs="宋体"/>
                <w:b/>
                <w:bCs/>
                <w:color w:val="000000"/>
                <w:kern w:val="0"/>
                <w:sz w:val="24"/>
                <w:szCs w:val="24"/>
                <w:u w:val="single"/>
                <w:lang w:val="en-US" w:eastAsia="zh-CN" w:bidi="ar"/>
              </w:rPr>
              <w:t>则非甲烷总烃产生量为</w:t>
            </w:r>
            <w:r>
              <w:rPr>
                <w:rFonts w:hint="eastAsia" w:cs="Times New Roman"/>
                <w:b/>
                <w:bCs/>
                <w:color w:val="000000"/>
                <w:kern w:val="0"/>
                <w:sz w:val="24"/>
                <w:szCs w:val="24"/>
                <w:u w:val="single"/>
                <w:lang w:val="en-US" w:eastAsia="zh-CN" w:bidi="ar"/>
              </w:rPr>
              <w:t>0.25</w:t>
            </w:r>
            <w:r>
              <w:rPr>
                <w:rFonts w:hint="default" w:ascii="Times New Roman" w:hAnsi="Times New Roman" w:eastAsia="宋体" w:cs="Times New Roman"/>
                <w:b/>
                <w:bCs/>
                <w:color w:val="000000"/>
                <w:kern w:val="0"/>
                <w:sz w:val="24"/>
                <w:szCs w:val="24"/>
                <w:u w:val="single"/>
                <w:lang w:val="en-US" w:eastAsia="zh-CN" w:bidi="ar"/>
              </w:rPr>
              <w:t>t/a</w:t>
            </w:r>
            <w:r>
              <w:rPr>
                <w:rFonts w:hint="eastAsia" w:cs="Times New Roman"/>
                <w:b/>
                <w:bCs/>
                <w:color w:val="000000"/>
                <w:kern w:val="0"/>
                <w:sz w:val="24"/>
                <w:szCs w:val="24"/>
                <w:u w:val="single"/>
                <w:lang w:val="en-US" w:eastAsia="zh-CN" w:bidi="ar"/>
              </w:rPr>
              <w:t>。</w:t>
            </w:r>
          </w:p>
          <w:p w14:paraId="76E3C93D">
            <w:pPr>
              <w:keepNext w:val="0"/>
              <w:keepLines w:val="0"/>
              <w:widowControl/>
              <w:suppressLineNumbers w:val="0"/>
              <w:spacing w:line="360" w:lineRule="auto"/>
              <w:ind w:firstLine="480" w:firstLineChars="200"/>
              <w:jc w:val="left"/>
              <w:rPr>
                <w:rFonts w:hint="eastAsia" w:ascii="宋体" w:hAnsi="宋体" w:eastAsia="宋体" w:cs="宋体"/>
                <w:b w:val="0"/>
                <w:bCs w:val="0"/>
                <w:color w:val="000000"/>
                <w:kern w:val="0"/>
                <w:sz w:val="24"/>
                <w:szCs w:val="24"/>
                <w:lang w:val="en-US" w:eastAsia="zh-CN" w:bidi="ar"/>
              </w:rPr>
            </w:pPr>
            <w:r>
              <w:rPr>
                <w:rFonts w:hint="eastAsia" w:ascii="宋体" w:hAnsi="宋体" w:cs="宋体"/>
                <w:b w:val="0"/>
                <w:bCs w:val="0"/>
                <w:color w:val="000000"/>
                <w:kern w:val="0"/>
                <w:sz w:val="24"/>
                <w:szCs w:val="24"/>
                <w:lang w:val="en-US" w:eastAsia="zh-CN" w:bidi="ar"/>
              </w:rPr>
              <w:t>本项目彩打线配套的数字喷墨设备和烘干固化工序均位于密闭的房间内，该过程产生的有机废气进行整体密闭负压收集</w:t>
            </w:r>
            <w:r>
              <w:rPr>
                <w:rFonts w:hint="default" w:ascii="Times New Roman" w:hAnsi="Times New Roman" w:eastAsia="宋体" w:cs="Times New Roman"/>
                <w:b w:val="0"/>
                <w:bCs w:val="0"/>
                <w:color w:val="000000"/>
                <w:kern w:val="0"/>
                <w:sz w:val="24"/>
                <w:szCs w:val="24"/>
                <w:lang w:val="en-US" w:eastAsia="zh-CN" w:bidi="ar"/>
              </w:rPr>
              <w:t>，</w:t>
            </w:r>
            <w:r>
              <w:rPr>
                <w:rFonts w:hint="default" w:ascii="Times New Roman" w:hAnsi="Times New Roman" w:cs="Times New Roman"/>
                <w:b w:val="0"/>
                <w:bCs w:val="0"/>
                <w:color w:val="000000"/>
                <w:kern w:val="0"/>
                <w:sz w:val="24"/>
                <w:szCs w:val="24"/>
                <w:lang w:val="en-US" w:eastAsia="zh-CN" w:bidi="ar"/>
              </w:rPr>
              <w:t>按100%收</w:t>
            </w:r>
            <w:r>
              <w:rPr>
                <w:rFonts w:hint="eastAsia" w:ascii="宋体" w:hAnsi="宋体" w:cs="宋体"/>
                <w:b w:val="0"/>
                <w:bCs w:val="0"/>
                <w:color w:val="000000"/>
                <w:kern w:val="0"/>
                <w:sz w:val="24"/>
                <w:szCs w:val="24"/>
                <w:lang w:val="en-US" w:eastAsia="zh-CN" w:bidi="ar"/>
              </w:rPr>
              <w:t>集考虑。经过收集的</w:t>
            </w:r>
            <w:r>
              <w:rPr>
                <w:rFonts w:hint="eastAsia" w:ascii="宋体" w:hAnsi="宋体" w:eastAsia="宋体" w:cs="宋体"/>
                <w:b w:val="0"/>
                <w:bCs w:val="0"/>
                <w:color w:val="000000"/>
                <w:kern w:val="0"/>
                <w:sz w:val="24"/>
                <w:szCs w:val="24"/>
                <w:lang w:val="en-US" w:eastAsia="zh-CN" w:bidi="ar"/>
              </w:rPr>
              <w:t>非甲烷总烃</w:t>
            </w:r>
            <w:r>
              <w:rPr>
                <w:rFonts w:hint="eastAsia" w:ascii="宋体" w:hAnsi="宋体" w:cs="宋体"/>
                <w:b w:val="0"/>
                <w:bCs w:val="0"/>
                <w:color w:val="000000"/>
                <w:kern w:val="0"/>
                <w:sz w:val="24"/>
                <w:szCs w:val="24"/>
                <w:lang w:val="en-US" w:eastAsia="zh-CN" w:bidi="ar"/>
              </w:rPr>
              <w:t>经配套的两级活性炭吸附装置进行处理后</w:t>
            </w:r>
            <w:r>
              <w:rPr>
                <w:rFonts w:hint="eastAsia" w:ascii="宋体" w:hAnsi="宋体" w:eastAsia="宋体" w:cs="宋体"/>
                <w:b w:val="0"/>
                <w:bCs w:val="0"/>
                <w:color w:val="000000"/>
                <w:kern w:val="0"/>
                <w:sz w:val="24"/>
                <w:szCs w:val="24"/>
                <w:lang w:val="en-US" w:eastAsia="zh-CN" w:bidi="ar"/>
              </w:rPr>
              <w:t>通过</w:t>
            </w:r>
            <w:r>
              <w:rPr>
                <w:rFonts w:hint="default" w:ascii="Times New Roman" w:hAnsi="Times New Roman" w:eastAsia="宋体" w:cs="Times New Roman"/>
                <w:b w:val="0"/>
                <w:bCs w:val="0"/>
                <w:color w:val="000000"/>
                <w:kern w:val="0"/>
                <w:sz w:val="24"/>
                <w:szCs w:val="24"/>
                <w:lang w:val="en-US" w:eastAsia="zh-CN" w:bidi="ar"/>
              </w:rPr>
              <w:t xml:space="preserve">15m </w:t>
            </w:r>
            <w:r>
              <w:rPr>
                <w:rFonts w:hint="eastAsia" w:ascii="宋体" w:hAnsi="宋体" w:eastAsia="宋体" w:cs="宋体"/>
                <w:b w:val="0"/>
                <w:bCs w:val="0"/>
                <w:color w:val="000000"/>
                <w:kern w:val="0"/>
                <w:sz w:val="24"/>
                <w:szCs w:val="24"/>
                <w:lang w:val="en-US" w:eastAsia="zh-CN" w:bidi="ar"/>
              </w:rPr>
              <w:t>高排气筒</w:t>
            </w:r>
            <w:r>
              <w:rPr>
                <w:rFonts w:hint="eastAsia" w:ascii="宋体" w:hAnsi="宋体" w:cs="宋体"/>
                <w:b w:val="0"/>
                <w:bCs w:val="0"/>
                <w:color w:val="000000"/>
                <w:kern w:val="0"/>
                <w:sz w:val="24"/>
                <w:szCs w:val="24"/>
                <w:lang w:val="en-US" w:eastAsia="zh-CN" w:bidi="ar"/>
              </w:rPr>
              <w:t>（</w:t>
            </w:r>
            <w:r>
              <w:rPr>
                <w:rFonts w:hint="default" w:ascii="Times New Roman" w:hAnsi="Times New Roman" w:cs="Times New Roman"/>
                <w:b w:val="0"/>
                <w:bCs w:val="0"/>
                <w:color w:val="000000"/>
                <w:kern w:val="0"/>
                <w:sz w:val="24"/>
                <w:szCs w:val="24"/>
                <w:lang w:val="en-US" w:eastAsia="zh-CN" w:bidi="ar"/>
              </w:rPr>
              <w:t>DA001</w:t>
            </w:r>
            <w:r>
              <w:rPr>
                <w:rFonts w:hint="eastAsia" w:ascii="宋体" w:hAnsi="宋体" w:cs="宋体"/>
                <w:b w:val="0"/>
                <w:bCs w:val="0"/>
                <w:color w:val="000000"/>
                <w:kern w:val="0"/>
                <w:sz w:val="24"/>
                <w:szCs w:val="24"/>
                <w:lang w:val="en-US" w:eastAsia="zh-CN" w:bidi="ar"/>
              </w:rPr>
              <w:t>）达标</w:t>
            </w:r>
            <w:r>
              <w:rPr>
                <w:rFonts w:hint="eastAsia" w:ascii="宋体" w:hAnsi="宋体" w:eastAsia="宋体" w:cs="宋体"/>
                <w:b w:val="0"/>
                <w:bCs w:val="0"/>
                <w:color w:val="000000"/>
                <w:kern w:val="0"/>
                <w:sz w:val="24"/>
                <w:szCs w:val="24"/>
                <w:lang w:val="en-US" w:eastAsia="zh-CN" w:bidi="ar"/>
              </w:rPr>
              <w:t>排放。</w:t>
            </w:r>
          </w:p>
          <w:p w14:paraId="46A275FE">
            <w:pPr>
              <w:keepNext w:val="0"/>
              <w:keepLines w:val="0"/>
              <w:widowControl/>
              <w:suppressLineNumbers w:val="0"/>
              <w:spacing w:line="360" w:lineRule="auto"/>
              <w:ind w:firstLine="480" w:firstLineChars="200"/>
              <w:jc w:val="left"/>
            </w:pPr>
            <w:r>
              <w:rPr>
                <w:rFonts w:hint="default" w:ascii="Times New Roman" w:hAnsi="Times New Roman" w:cs="Times New Roman"/>
                <w:b w:val="0"/>
                <w:bCs w:val="0"/>
                <w:color w:val="000000"/>
                <w:kern w:val="0"/>
                <w:sz w:val="24"/>
                <w:szCs w:val="24"/>
                <w:lang w:val="en-US" w:eastAsia="zh-CN" w:bidi="ar"/>
              </w:rPr>
              <w:t>该密闭间面积为</w:t>
            </w:r>
            <w:r>
              <w:rPr>
                <w:rFonts w:hint="eastAsia" w:cs="Times New Roman"/>
                <w:b w:val="0"/>
                <w:bCs w:val="0"/>
                <w:color w:val="000000"/>
                <w:kern w:val="0"/>
                <w:sz w:val="24"/>
                <w:szCs w:val="24"/>
                <w:lang w:val="en-US" w:eastAsia="zh-CN" w:bidi="ar"/>
              </w:rPr>
              <w:t>18</w:t>
            </w:r>
            <w:r>
              <w:rPr>
                <w:rFonts w:hint="default" w:ascii="Times New Roman" w:hAnsi="Times New Roman" w:cs="Times New Roman"/>
                <w:b w:val="0"/>
                <w:bCs w:val="0"/>
                <w:color w:val="000000"/>
                <w:kern w:val="0"/>
                <w:sz w:val="24"/>
                <w:szCs w:val="24"/>
                <w:lang w:val="en-US" w:eastAsia="zh-CN" w:bidi="ar"/>
              </w:rPr>
              <w:t>0m</w:t>
            </w:r>
            <w:r>
              <w:rPr>
                <w:rFonts w:hint="default" w:ascii="Times New Roman" w:hAnsi="Times New Roman" w:cs="Times New Roman"/>
                <w:b w:val="0"/>
                <w:bCs w:val="0"/>
                <w:color w:val="000000"/>
                <w:kern w:val="0"/>
                <w:sz w:val="24"/>
                <w:szCs w:val="24"/>
                <w:vertAlign w:val="superscript"/>
                <w:lang w:val="en-US" w:eastAsia="zh-CN" w:bidi="ar"/>
              </w:rPr>
              <w:t>2</w:t>
            </w:r>
            <w:r>
              <w:rPr>
                <w:rFonts w:hint="default" w:ascii="Times New Roman" w:hAnsi="Times New Roman" w:eastAsia="宋体" w:cs="Times New Roman"/>
                <w:b w:val="0"/>
                <w:bCs w:val="0"/>
                <w:color w:val="000000"/>
                <w:kern w:val="0"/>
                <w:sz w:val="24"/>
                <w:szCs w:val="24"/>
                <w:lang w:val="en-US" w:eastAsia="zh-CN" w:bidi="ar"/>
              </w:rPr>
              <w:t xml:space="preserve"> </w:t>
            </w:r>
            <w:r>
              <w:rPr>
                <w:rFonts w:hint="default" w:ascii="Times New Roman" w:hAnsi="Times New Roman" w:cs="Times New Roman"/>
                <w:b w:val="0"/>
                <w:bCs w:val="0"/>
                <w:color w:val="000000"/>
                <w:kern w:val="0"/>
                <w:sz w:val="24"/>
                <w:szCs w:val="24"/>
                <w:lang w:val="en-US" w:eastAsia="zh-CN" w:bidi="ar"/>
              </w:rPr>
              <w:t>，高度4m，每小时换气次数1</w:t>
            </w:r>
            <w:r>
              <w:rPr>
                <w:rFonts w:hint="eastAsia" w:cs="Times New Roman"/>
                <w:b w:val="0"/>
                <w:bCs w:val="0"/>
                <w:color w:val="000000"/>
                <w:kern w:val="0"/>
                <w:sz w:val="24"/>
                <w:szCs w:val="24"/>
                <w:lang w:val="en-US" w:eastAsia="zh-CN" w:bidi="ar"/>
              </w:rPr>
              <w:t>2</w:t>
            </w:r>
            <w:r>
              <w:rPr>
                <w:rFonts w:hint="default" w:ascii="Times New Roman" w:hAnsi="Times New Roman" w:cs="Times New Roman"/>
                <w:b w:val="0"/>
                <w:bCs w:val="0"/>
                <w:color w:val="000000"/>
                <w:kern w:val="0"/>
                <w:sz w:val="24"/>
                <w:szCs w:val="24"/>
                <w:lang w:val="en-US" w:eastAsia="zh-CN" w:bidi="ar"/>
              </w:rPr>
              <w:t>次，风量确定为</w:t>
            </w:r>
            <w:r>
              <w:rPr>
                <w:rFonts w:hint="eastAsia" w:cs="Times New Roman"/>
                <w:b w:val="0"/>
                <w:bCs w:val="0"/>
                <w:color w:val="000000"/>
                <w:kern w:val="0"/>
                <w:sz w:val="24"/>
                <w:szCs w:val="24"/>
                <w:lang w:val="en-US" w:eastAsia="zh-CN" w:bidi="ar"/>
              </w:rPr>
              <w:t>8640</w:t>
            </w:r>
            <w:r>
              <w:rPr>
                <w:rFonts w:hint="default" w:ascii="Times New Roman" w:hAnsi="Times New Roman" w:cs="Times New Roman"/>
                <w:b w:val="0"/>
                <w:bCs w:val="0"/>
                <w:color w:val="000000"/>
                <w:kern w:val="0"/>
                <w:sz w:val="24"/>
                <w:szCs w:val="24"/>
                <w:lang w:val="en-US" w:eastAsia="zh-CN" w:bidi="ar"/>
              </w:rPr>
              <w:t>m</w:t>
            </w:r>
            <w:r>
              <w:rPr>
                <w:rFonts w:hint="default" w:ascii="Times New Roman" w:hAnsi="Times New Roman" w:cs="Times New Roman"/>
                <w:b w:val="0"/>
                <w:bCs w:val="0"/>
                <w:color w:val="000000"/>
                <w:kern w:val="0"/>
                <w:sz w:val="24"/>
                <w:szCs w:val="24"/>
                <w:vertAlign w:val="superscript"/>
                <w:lang w:val="en-US" w:eastAsia="zh-CN" w:bidi="ar"/>
              </w:rPr>
              <w:t>3</w:t>
            </w:r>
            <w:r>
              <w:rPr>
                <w:rFonts w:hint="default" w:ascii="Times New Roman" w:hAnsi="Times New Roman" w:cs="Times New Roman"/>
                <w:b w:val="0"/>
                <w:bCs w:val="0"/>
                <w:color w:val="000000"/>
                <w:kern w:val="0"/>
                <w:sz w:val="24"/>
                <w:szCs w:val="24"/>
                <w:lang w:val="en-US" w:eastAsia="zh-CN" w:bidi="ar"/>
              </w:rPr>
              <w:t>/h，本次集气风量按</w:t>
            </w:r>
            <w:r>
              <w:rPr>
                <w:rFonts w:hint="eastAsia" w:cs="Times New Roman"/>
                <w:b w:val="0"/>
                <w:bCs w:val="0"/>
                <w:color w:val="000000"/>
                <w:kern w:val="0"/>
                <w:sz w:val="24"/>
                <w:szCs w:val="24"/>
                <w:lang w:val="en-US" w:eastAsia="zh-CN" w:bidi="ar"/>
              </w:rPr>
              <w:t>9</w:t>
            </w:r>
            <w:r>
              <w:rPr>
                <w:rFonts w:hint="default" w:ascii="Times New Roman" w:hAnsi="Times New Roman" w:cs="Times New Roman"/>
                <w:b w:val="0"/>
                <w:bCs w:val="0"/>
                <w:color w:val="000000"/>
                <w:kern w:val="0"/>
                <w:sz w:val="24"/>
                <w:szCs w:val="24"/>
                <w:lang w:val="en-US" w:eastAsia="zh-CN" w:bidi="ar"/>
              </w:rPr>
              <w:t>000m</w:t>
            </w:r>
            <w:r>
              <w:rPr>
                <w:rFonts w:hint="default" w:ascii="Times New Roman" w:hAnsi="Times New Roman" w:cs="Times New Roman"/>
                <w:b w:val="0"/>
                <w:bCs w:val="0"/>
                <w:color w:val="000000"/>
                <w:kern w:val="0"/>
                <w:sz w:val="24"/>
                <w:szCs w:val="24"/>
                <w:vertAlign w:val="superscript"/>
                <w:lang w:val="en-US" w:eastAsia="zh-CN" w:bidi="ar"/>
              </w:rPr>
              <w:t>3</w:t>
            </w:r>
            <w:r>
              <w:rPr>
                <w:rFonts w:hint="default" w:ascii="Times New Roman" w:hAnsi="Times New Roman" w:cs="Times New Roman"/>
                <w:b w:val="0"/>
                <w:bCs w:val="0"/>
                <w:color w:val="000000"/>
                <w:kern w:val="0"/>
                <w:sz w:val="24"/>
                <w:szCs w:val="24"/>
                <w:lang w:val="en-US" w:eastAsia="zh-CN" w:bidi="ar"/>
              </w:rPr>
              <w:t>/h计算</w:t>
            </w:r>
            <w:r>
              <w:rPr>
                <w:rFonts w:hint="eastAsia" w:ascii="宋体" w:hAnsi="宋体" w:eastAsia="宋体" w:cs="宋体"/>
                <w:color w:val="000000"/>
                <w:kern w:val="0"/>
                <w:sz w:val="24"/>
                <w:szCs w:val="24"/>
                <w:lang w:val="en-US" w:eastAsia="zh-CN" w:bidi="ar"/>
              </w:rPr>
              <w:t>，</w:t>
            </w:r>
            <w:r>
              <w:rPr>
                <w:rFonts w:hint="eastAsia" w:ascii="宋体" w:hAnsi="宋体" w:cs="宋体"/>
                <w:color w:val="000000"/>
                <w:kern w:val="0"/>
                <w:sz w:val="24"/>
                <w:szCs w:val="24"/>
                <w:lang w:val="en-US" w:eastAsia="zh-CN" w:bidi="ar"/>
              </w:rPr>
              <w:t>该</w:t>
            </w:r>
            <w:r>
              <w:rPr>
                <w:rFonts w:hint="eastAsia" w:ascii="宋体" w:hAnsi="宋体" w:eastAsia="宋体" w:cs="宋体"/>
                <w:color w:val="000000"/>
                <w:kern w:val="0"/>
                <w:sz w:val="24"/>
                <w:szCs w:val="24"/>
                <w:lang w:val="en-US" w:eastAsia="zh-CN" w:bidi="ar"/>
              </w:rPr>
              <w:t>工序年工作</w:t>
            </w:r>
            <w:r>
              <w:rPr>
                <w:rFonts w:hint="eastAsia" w:cs="Times New Roman"/>
                <w:color w:val="000000"/>
                <w:kern w:val="0"/>
                <w:sz w:val="24"/>
                <w:szCs w:val="24"/>
                <w:lang w:val="en-US" w:eastAsia="zh-CN" w:bidi="ar"/>
              </w:rPr>
              <w:t>12</w:t>
            </w:r>
            <w:r>
              <w:rPr>
                <w:rFonts w:hint="default" w:ascii="Times New Roman" w:hAnsi="Times New Roman" w:eastAsia="宋体" w:cs="Times New Roman"/>
                <w:color w:val="000000"/>
                <w:kern w:val="0"/>
                <w:sz w:val="24"/>
                <w:szCs w:val="24"/>
                <w:lang w:val="en-US" w:eastAsia="zh-CN" w:bidi="ar"/>
              </w:rPr>
              <w:t>00h</w:t>
            </w:r>
            <w:r>
              <w:rPr>
                <w:rFonts w:hint="eastAsia" w:ascii="宋体" w:hAnsi="宋体" w:eastAsia="宋体" w:cs="宋体"/>
                <w:color w:val="000000"/>
                <w:kern w:val="0"/>
                <w:sz w:val="24"/>
                <w:szCs w:val="24"/>
                <w:lang w:val="en-US" w:eastAsia="zh-CN" w:bidi="ar"/>
              </w:rPr>
              <w:t>。则本项目</w:t>
            </w:r>
            <w:r>
              <w:rPr>
                <w:rFonts w:hint="eastAsia"/>
                <w:sz w:val="24"/>
                <w:szCs w:val="24"/>
                <w:lang w:val="en-US" w:eastAsia="zh-CN"/>
              </w:rPr>
              <w:t>彩色成像玻璃生产过程烘干固化工序</w:t>
            </w:r>
            <w:r>
              <w:rPr>
                <w:rFonts w:hint="eastAsia" w:ascii="宋体" w:hAnsi="宋体" w:eastAsia="宋体" w:cs="宋体"/>
                <w:color w:val="000000"/>
                <w:kern w:val="0"/>
                <w:sz w:val="24"/>
                <w:szCs w:val="24"/>
                <w:lang w:val="en-US" w:eastAsia="zh-CN" w:bidi="ar"/>
              </w:rPr>
              <w:t>有组织非甲烷总烃产生为</w:t>
            </w:r>
            <w:r>
              <w:rPr>
                <w:rFonts w:hint="eastAsia" w:cs="Times New Roman"/>
                <w:color w:val="000000"/>
                <w:kern w:val="0"/>
                <w:sz w:val="24"/>
                <w:szCs w:val="24"/>
                <w:lang w:val="en-US" w:eastAsia="zh-CN" w:bidi="ar"/>
              </w:rPr>
              <w:t>0.25</w:t>
            </w:r>
            <w:r>
              <w:rPr>
                <w:rFonts w:hint="default" w:ascii="Times New Roman" w:hAnsi="Times New Roman" w:eastAsia="宋体" w:cs="Times New Roman"/>
                <w:color w:val="000000"/>
                <w:kern w:val="0"/>
                <w:sz w:val="24"/>
                <w:szCs w:val="24"/>
                <w:lang w:val="en-US" w:eastAsia="zh-CN" w:bidi="ar"/>
              </w:rPr>
              <w:t>t/a</w:t>
            </w:r>
            <w:r>
              <w:rPr>
                <w:rFonts w:hint="eastAsia" w:ascii="宋体" w:hAnsi="宋体" w:eastAsia="宋体" w:cs="宋体"/>
                <w:color w:val="000000"/>
                <w:kern w:val="0"/>
                <w:sz w:val="24"/>
                <w:szCs w:val="24"/>
                <w:lang w:val="en-US" w:eastAsia="zh-CN" w:bidi="ar"/>
              </w:rPr>
              <w:t>、</w:t>
            </w:r>
            <w:r>
              <w:rPr>
                <w:rFonts w:hint="eastAsia" w:cs="Times New Roman"/>
                <w:color w:val="000000"/>
                <w:kern w:val="0"/>
                <w:sz w:val="24"/>
                <w:szCs w:val="24"/>
                <w:lang w:val="en-US" w:eastAsia="zh-CN" w:bidi="ar"/>
              </w:rPr>
              <w:t>0.208</w:t>
            </w:r>
            <w:r>
              <w:rPr>
                <w:rFonts w:hint="default" w:ascii="Times New Roman" w:hAnsi="Times New Roman" w:eastAsia="宋体" w:cs="Times New Roman"/>
                <w:color w:val="000000"/>
                <w:kern w:val="0"/>
                <w:sz w:val="24"/>
                <w:szCs w:val="24"/>
                <w:lang w:val="en-US" w:eastAsia="zh-CN" w:bidi="ar"/>
              </w:rPr>
              <w:t>kg/h</w:t>
            </w:r>
            <w:r>
              <w:rPr>
                <w:rFonts w:hint="eastAsia" w:ascii="宋体" w:hAnsi="宋体" w:eastAsia="宋体" w:cs="宋体"/>
                <w:color w:val="000000"/>
                <w:kern w:val="0"/>
                <w:sz w:val="24"/>
                <w:szCs w:val="24"/>
                <w:lang w:val="en-US" w:eastAsia="zh-CN" w:bidi="ar"/>
              </w:rPr>
              <w:t>，产生浓度为</w:t>
            </w:r>
            <w:r>
              <w:rPr>
                <w:rFonts w:hint="eastAsia" w:cs="Times New Roman"/>
                <w:color w:val="000000"/>
                <w:kern w:val="0"/>
                <w:sz w:val="24"/>
                <w:szCs w:val="24"/>
                <w:lang w:val="en-US" w:eastAsia="zh-CN" w:bidi="ar"/>
              </w:rPr>
              <w:t>23.1</w:t>
            </w:r>
            <w:r>
              <w:rPr>
                <w:rFonts w:hint="default" w:ascii="Times New Roman" w:hAnsi="Times New Roman" w:eastAsia="宋体" w:cs="Times New Roman"/>
                <w:color w:val="000000"/>
                <w:kern w:val="0"/>
                <w:sz w:val="24"/>
                <w:szCs w:val="24"/>
                <w:lang w:val="en-US" w:eastAsia="zh-CN" w:bidi="ar"/>
              </w:rPr>
              <w:t>mg/m</w:t>
            </w:r>
            <w:r>
              <w:rPr>
                <w:rFonts w:hint="eastAsia" w:cs="Times New Roman"/>
                <w:color w:val="000000"/>
                <w:kern w:val="0"/>
                <w:sz w:val="24"/>
                <w:szCs w:val="24"/>
                <w:vertAlign w:val="superscript"/>
                <w:lang w:val="en-US" w:eastAsia="zh-CN" w:bidi="ar"/>
              </w:rPr>
              <w:t>3</w:t>
            </w:r>
            <w:r>
              <w:rPr>
                <w:rFonts w:hint="eastAsia" w:ascii="宋体" w:hAnsi="宋体" w:eastAsia="宋体" w:cs="宋体"/>
                <w:color w:val="000000"/>
                <w:kern w:val="0"/>
                <w:sz w:val="24"/>
                <w:szCs w:val="24"/>
                <w:lang w:val="en-US" w:eastAsia="zh-CN" w:bidi="ar"/>
              </w:rPr>
              <w:t>，</w:t>
            </w:r>
            <w:r>
              <w:rPr>
                <w:rFonts w:hint="default" w:ascii="Times New Roman" w:hAnsi="Times New Roman" w:cs="Times New Roman"/>
                <w:b w:val="0"/>
                <w:bCs w:val="0"/>
                <w:color w:val="000000"/>
                <w:kern w:val="0"/>
                <w:sz w:val="24"/>
                <w:szCs w:val="24"/>
                <w:lang w:val="en-US" w:eastAsia="zh-CN" w:bidi="ar"/>
              </w:rPr>
              <w:t>两级活性炭吸附装置处理效率按</w:t>
            </w:r>
            <w:r>
              <w:rPr>
                <w:rFonts w:hint="eastAsia" w:ascii="Times New Roman" w:hAnsi="Times New Roman" w:cs="Times New Roman"/>
                <w:b w:val="0"/>
                <w:bCs w:val="0"/>
                <w:color w:val="000000"/>
                <w:kern w:val="0"/>
                <w:sz w:val="24"/>
                <w:szCs w:val="24"/>
                <w:lang w:val="en-US" w:eastAsia="zh-CN" w:bidi="ar"/>
              </w:rPr>
              <w:t>90</w:t>
            </w:r>
            <w:r>
              <w:rPr>
                <w:rFonts w:hint="default" w:ascii="Times New Roman" w:hAnsi="Times New Roman" w:cs="Times New Roman"/>
                <w:b w:val="0"/>
                <w:bCs w:val="0"/>
                <w:color w:val="000000"/>
                <w:kern w:val="0"/>
                <w:sz w:val="24"/>
                <w:szCs w:val="24"/>
                <w:lang w:val="en-US" w:eastAsia="zh-CN" w:bidi="ar"/>
              </w:rPr>
              <w:t>%计，</w:t>
            </w:r>
            <w:r>
              <w:rPr>
                <w:rFonts w:hint="eastAsia" w:ascii="Times New Roman" w:hAnsi="Times New Roman" w:cs="Times New Roman"/>
                <w:b w:val="0"/>
                <w:bCs w:val="0"/>
                <w:color w:val="000000"/>
                <w:kern w:val="0"/>
                <w:sz w:val="24"/>
                <w:szCs w:val="24"/>
                <w:lang w:val="en-US" w:eastAsia="zh-CN" w:bidi="ar"/>
              </w:rPr>
              <w:t>经过处理后，</w:t>
            </w:r>
            <w:r>
              <w:rPr>
                <w:rFonts w:hint="eastAsia" w:ascii="宋体" w:hAnsi="宋体" w:eastAsia="宋体" w:cs="宋体"/>
                <w:color w:val="000000"/>
                <w:kern w:val="0"/>
                <w:sz w:val="24"/>
                <w:szCs w:val="24"/>
                <w:lang w:val="en-US" w:eastAsia="zh-CN" w:bidi="ar"/>
              </w:rPr>
              <w:t>有组织非甲烷总烃排放量为</w:t>
            </w:r>
            <w:r>
              <w:rPr>
                <w:rFonts w:hint="eastAsia" w:cs="Times New Roman"/>
                <w:color w:val="000000"/>
                <w:kern w:val="0"/>
                <w:sz w:val="24"/>
                <w:szCs w:val="24"/>
                <w:lang w:val="en-US" w:eastAsia="zh-CN" w:bidi="ar"/>
              </w:rPr>
              <w:t>0.025</w:t>
            </w:r>
            <w:r>
              <w:rPr>
                <w:rFonts w:hint="default" w:ascii="Times New Roman" w:hAnsi="Times New Roman" w:eastAsia="宋体" w:cs="Times New Roman"/>
                <w:color w:val="000000"/>
                <w:kern w:val="0"/>
                <w:sz w:val="24"/>
                <w:szCs w:val="24"/>
                <w:lang w:val="en-US" w:eastAsia="zh-CN" w:bidi="ar"/>
              </w:rPr>
              <w:t>t/a</w:t>
            </w:r>
            <w:r>
              <w:rPr>
                <w:rFonts w:hint="eastAsia" w:ascii="宋体" w:hAnsi="宋体" w:eastAsia="宋体" w:cs="宋体"/>
                <w:color w:val="000000"/>
                <w:kern w:val="0"/>
                <w:sz w:val="24"/>
                <w:szCs w:val="24"/>
                <w:lang w:val="en-US" w:eastAsia="zh-CN" w:bidi="ar"/>
              </w:rPr>
              <w:t>、</w:t>
            </w:r>
            <w:r>
              <w:rPr>
                <w:rFonts w:hint="default" w:ascii="Times New Roman" w:hAnsi="Times New Roman" w:eastAsia="宋体" w:cs="Times New Roman"/>
                <w:color w:val="000000"/>
                <w:kern w:val="0"/>
                <w:sz w:val="24"/>
                <w:szCs w:val="24"/>
                <w:lang w:val="en-US" w:eastAsia="zh-CN" w:bidi="ar"/>
              </w:rPr>
              <w:t>0.</w:t>
            </w:r>
            <w:r>
              <w:rPr>
                <w:rFonts w:hint="eastAsia" w:cs="Times New Roman"/>
                <w:color w:val="000000"/>
                <w:kern w:val="0"/>
                <w:sz w:val="24"/>
                <w:szCs w:val="24"/>
                <w:lang w:val="en-US" w:eastAsia="zh-CN" w:bidi="ar"/>
              </w:rPr>
              <w:t>021</w:t>
            </w:r>
            <w:r>
              <w:rPr>
                <w:rFonts w:hint="default" w:ascii="Times New Roman" w:hAnsi="Times New Roman" w:eastAsia="宋体" w:cs="Times New Roman"/>
                <w:color w:val="000000"/>
                <w:kern w:val="0"/>
                <w:sz w:val="24"/>
                <w:szCs w:val="24"/>
                <w:lang w:val="en-US" w:eastAsia="zh-CN" w:bidi="ar"/>
              </w:rPr>
              <w:t>kg/h</w:t>
            </w:r>
            <w:r>
              <w:rPr>
                <w:rFonts w:hint="eastAsia" w:ascii="宋体" w:hAnsi="宋体" w:eastAsia="宋体" w:cs="宋体"/>
                <w:color w:val="000000"/>
                <w:kern w:val="0"/>
                <w:sz w:val="24"/>
                <w:szCs w:val="24"/>
                <w:lang w:val="en-US" w:eastAsia="zh-CN" w:bidi="ar"/>
              </w:rPr>
              <w:t>，排放浓度为</w:t>
            </w:r>
            <w:r>
              <w:rPr>
                <w:rFonts w:hint="eastAsia" w:cs="Times New Roman"/>
                <w:color w:val="000000"/>
                <w:kern w:val="0"/>
                <w:sz w:val="24"/>
                <w:szCs w:val="24"/>
                <w:lang w:val="en-US" w:eastAsia="zh-CN" w:bidi="ar"/>
              </w:rPr>
              <w:t>2.31</w:t>
            </w:r>
            <w:r>
              <w:rPr>
                <w:rFonts w:hint="default" w:ascii="Times New Roman" w:hAnsi="Times New Roman" w:eastAsia="宋体" w:cs="Times New Roman"/>
                <w:color w:val="000000"/>
                <w:kern w:val="0"/>
                <w:sz w:val="24"/>
                <w:szCs w:val="24"/>
                <w:lang w:val="en-US" w:eastAsia="zh-CN" w:bidi="ar"/>
              </w:rPr>
              <w:t>mg/m</w:t>
            </w:r>
            <w:r>
              <w:rPr>
                <w:rFonts w:hint="eastAsia" w:cs="Times New Roman"/>
                <w:color w:val="000000"/>
                <w:kern w:val="0"/>
                <w:sz w:val="24"/>
                <w:szCs w:val="24"/>
                <w:vertAlign w:val="superscript"/>
                <w:lang w:val="en-US" w:eastAsia="zh-CN" w:bidi="ar"/>
              </w:rPr>
              <w:t>3</w:t>
            </w:r>
            <w:r>
              <w:rPr>
                <w:rFonts w:hint="eastAsia" w:cs="Times New Roman"/>
                <w:color w:val="000000"/>
                <w:kern w:val="0"/>
                <w:sz w:val="24"/>
                <w:szCs w:val="24"/>
                <w:vertAlign w:val="baseline"/>
                <w:lang w:val="en-US" w:eastAsia="zh-CN" w:bidi="ar"/>
              </w:rPr>
              <w:t>，</w:t>
            </w:r>
            <w:r>
              <w:rPr>
                <w:rFonts w:hint="default" w:ascii="Times New Roman" w:hAnsi="Times New Roman" w:cs="Times New Roman"/>
                <w:sz w:val="24"/>
                <w:szCs w:val="24"/>
                <w:lang w:val="en-US" w:eastAsia="zh-CN"/>
              </w:rPr>
              <w:t>排放浓度及排放速率均满足《印刷工业挥发性有机物排放标准》</w:t>
            </w:r>
            <w:r>
              <w:rPr>
                <w:rFonts w:hint="eastAsia" w:ascii="Times New Roman" w:hAnsi="Times New Roman" w:cs="Times New Roman"/>
                <w:sz w:val="24"/>
                <w:szCs w:val="24"/>
                <w:lang w:val="en-US" w:eastAsia="zh-CN"/>
              </w:rPr>
              <w:t>（</w:t>
            </w:r>
            <w:r>
              <w:rPr>
                <w:rFonts w:hint="default" w:ascii="Times New Roman" w:hAnsi="Times New Roman" w:cs="Times New Roman"/>
                <w:sz w:val="24"/>
                <w:szCs w:val="24"/>
                <w:lang w:val="en-US" w:eastAsia="zh-CN"/>
              </w:rPr>
              <w:t>DB41/1956-2020</w:t>
            </w:r>
            <w:r>
              <w:rPr>
                <w:rFonts w:hint="eastAsia" w:ascii="Times New Roman" w:hAnsi="Times New Roman" w:cs="Times New Roman"/>
                <w:sz w:val="24"/>
                <w:szCs w:val="24"/>
                <w:lang w:val="en-US" w:eastAsia="zh-CN"/>
              </w:rPr>
              <w:t>）</w:t>
            </w:r>
            <w:r>
              <w:rPr>
                <w:rFonts w:hint="default" w:ascii="Times New Roman" w:hAnsi="Times New Roman" w:cs="Times New Roman"/>
                <w:sz w:val="24"/>
                <w:szCs w:val="24"/>
                <w:lang w:val="en-US" w:eastAsia="zh-CN"/>
              </w:rPr>
              <w:t>表1 限值</w:t>
            </w:r>
            <w:r>
              <w:rPr>
                <w:rFonts w:hint="eastAsia" w:ascii="Times New Roman" w:hAnsi="Times New Roman" w:cs="Times New Roman"/>
                <w:sz w:val="24"/>
                <w:szCs w:val="24"/>
                <w:lang w:val="en-US" w:eastAsia="zh-CN"/>
              </w:rPr>
              <w:t>（有组织非甲烷总烃排放浓度≤40mg/m</w:t>
            </w:r>
            <w:r>
              <w:rPr>
                <w:rFonts w:hint="eastAsia" w:ascii="Times New Roman" w:hAnsi="Times New Roman" w:cs="Times New Roman"/>
                <w:sz w:val="24"/>
                <w:szCs w:val="24"/>
                <w:vertAlign w:val="superscript"/>
                <w:lang w:val="en-US" w:eastAsia="zh-CN"/>
              </w:rPr>
              <w:t>3</w:t>
            </w:r>
            <w:r>
              <w:rPr>
                <w:rFonts w:hint="eastAsia" w:ascii="Times New Roman" w:hAnsi="Times New Roman" w:cs="Times New Roman"/>
                <w:sz w:val="24"/>
                <w:szCs w:val="24"/>
                <w:lang w:val="en-US" w:eastAsia="zh-CN"/>
              </w:rPr>
              <w:t>，排放速率≤1kg/h）</w:t>
            </w:r>
            <w:r>
              <w:rPr>
                <w:rFonts w:hint="default" w:ascii="Times New Roman" w:hAnsi="Times New Roman" w:cs="Times New Roman"/>
                <w:sz w:val="24"/>
                <w:szCs w:val="24"/>
                <w:lang w:val="en-US" w:eastAsia="zh-CN"/>
              </w:rPr>
              <w:t>要求</w:t>
            </w:r>
            <w:r>
              <w:rPr>
                <w:rFonts w:hint="eastAsia" w:ascii="Times New Roman" w:hAnsi="Times New Roman" w:cs="Times New Roman"/>
                <w:sz w:val="24"/>
                <w:szCs w:val="24"/>
                <w:lang w:val="en-US" w:eastAsia="zh-CN"/>
              </w:rPr>
              <w:t>，排放浓度同时满足</w:t>
            </w:r>
            <w:r>
              <w:rPr>
                <w:rFonts w:hint="default" w:ascii="Times New Roman" w:hAnsi="Times New Roman" w:cs="Times New Roman"/>
                <w:sz w:val="24"/>
                <w:szCs w:val="24"/>
                <w:highlight w:val="none"/>
                <w:lang w:val="en-US" w:eastAsia="zh-CN"/>
              </w:rPr>
              <w:t>《关于全省开展工业企业挥发性有机物专项治理工作中排放建议值的通知》（豫环攻坚办[2017]162 号）（印刷行业有组织非甲烷总烃排放浓度≤</w:t>
            </w:r>
            <w:r>
              <w:rPr>
                <w:rFonts w:hint="eastAsia" w:ascii="Times New Roman" w:hAnsi="Times New Roman" w:cs="Times New Roman"/>
                <w:sz w:val="24"/>
                <w:szCs w:val="24"/>
                <w:highlight w:val="none"/>
                <w:lang w:val="en-US" w:eastAsia="zh-CN"/>
              </w:rPr>
              <w:t>5</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default" w:ascii="Times New Roman" w:hAnsi="Times New Roman" w:cs="Times New Roman"/>
                <w:sz w:val="24"/>
                <w:szCs w:val="24"/>
                <w:highlight w:val="none"/>
                <w:lang w:val="en-US" w:eastAsia="zh-CN"/>
              </w:rPr>
              <w:t>）</w:t>
            </w:r>
            <w:r>
              <w:rPr>
                <w:rFonts w:hint="eastAsia" w:ascii="Times New Roman" w:hAnsi="Times New Roman" w:cs="Times New Roman"/>
                <w:sz w:val="24"/>
                <w:szCs w:val="24"/>
                <w:highlight w:val="none"/>
                <w:lang w:val="en-US" w:eastAsia="zh-CN"/>
              </w:rPr>
              <w:t>以及</w:t>
            </w:r>
            <w:r>
              <w:rPr>
                <w:rFonts w:hint="default" w:ascii="Times New Roman" w:hAnsi="Times New Roman" w:cs="Times New Roman"/>
                <w:sz w:val="24"/>
                <w:szCs w:val="24"/>
                <w:highlight w:val="none"/>
                <w:lang w:val="en-US" w:eastAsia="zh-CN"/>
              </w:rPr>
              <w:t>《重污染天气重点行业应急减排措施制定技术指南》玻璃行业中玻璃后加工企业引领性指标</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非甲烷总烃排放浓度≤</w:t>
            </w:r>
            <w:r>
              <w:rPr>
                <w:rFonts w:hint="eastAsia" w:ascii="Times New Roman" w:hAnsi="Times New Roman" w:cs="Times New Roman"/>
                <w:sz w:val="24"/>
                <w:szCs w:val="24"/>
                <w:highlight w:val="none"/>
                <w:lang w:val="en-US" w:eastAsia="zh-CN"/>
              </w:rPr>
              <w:t>6</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sz w:val="24"/>
                <w:szCs w:val="24"/>
                <w:highlight w:val="none"/>
                <w:lang w:val="en-US" w:eastAsia="zh-CN"/>
              </w:rPr>
              <w:t>）和包装印刷行业A级企业指标要求（</w:t>
            </w:r>
            <w:r>
              <w:rPr>
                <w:rFonts w:hint="default" w:ascii="Times New Roman" w:hAnsi="Times New Roman" w:cs="Times New Roman"/>
                <w:sz w:val="24"/>
                <w:szCs w:val="24"/>
                <w:highlight w:val="none"/>
                <w:lang w:val="en-US" w:eastAsia="zh-CN"/>
              </w:rPr>
              <w:t>非甲烷总烃排放浓度≤</w:t>
            </w:r>
            <w:r>
              <w:rPr>
                <w:rFonts w:hint="eastAsia" w:ascii="Times New Roman" w:hAnsi="Times New Roman" w:cs="Times New Roman"/>
                <w:sz w:val="24"/>
                <w:szCs w:val="24"/>
                <w:highlight w:val="none"/>
                <w:lang w:val="en-US" w:eastAsia="zh-CN"/>
              </w:rPr>
              <w:t>3</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sz w:val="24"/>
                <w:szCs w:val="24"/>
                <w:highlight w:val="none"/>
                <w:lang w:val="en-US" w:eastAsia="zh-CN"/>
              </w:rPr>
              <w:t>）</w:t>
            </w:r>
            <w:r>
              <w:rPr>
                <w:rFonts w:hint="eastAsia" w:ascii="宋体" w:hAnsi="宋体" w:eastAsia="宋体" w:cs="宋体"/>
                <w:color w:val="000000"/>
                <w:kern w:val="0"/>
                <w:sz w:val="24"/>
                <w:szCs w:val="24"/>
                <w:lang w:val="en-US" w:eastAsia="zh-CN" w:bidi="ar"/>
              </w:rPr>
              <w:t>。</w:t>
            </w:r>
          </w:p>
          <w:p w14:paraId="22450FBE">
            <w:pPr>
              <w:keepNext w:val="0"/>
              <w:keepLines w:val="0"/>
              <w:widowControl/>
              <w:suppressLineNumbers w:val="0"/>
              <w:spacing w:line="360" w:lineRule="auto"/>
              <w:ind w:firstLine="482" w:firstLineChars="200"/>
              <w:jc w:val="left"/>
              <w:rPr>
                <w:rFonts w:hint="default" w:ascii="宋体" w:hAnsi="宋体" w:eastAsia="宋体" w:cs="宋体"/>
                <w:b/>
                <w:bCs/>
                <w:color w:val="000000"/>
                <w:kern w:val="0"/>
                <w:sz w:val="24"/>
                <w:szCs w:val="24"/>
                <w:u w:val="single"/>
                <w:lang w:val="en-US" w:eastAsia="zh-CN" w:bidi="ar"/>
              </w:rPr>
            </w:pPr>
            <w:r>
              <w:rPr>
                <w:rFonts w:hint="eastAsia" w:ascii="宋体" w:hAnsi="宋体" w:cs="宋体"/>
                <w:b/>
                <w:bCs/>
                <w:color w:val="000000"/>
                <w:kern w:val="0"/>
                <w:sz w:val="24"/>
                <w:szCs w:val="24"/>
                <w:u w:val="single"/>
                <w:lang w:val="en-US" w:eastAsia="zh-CN" w:bidi="ar"/>
              </w:rPr>
              <w:t>（2）</w:t>
            </w:r>
            <w:r>
              <w:rPr>
                <w:rFonts w:hint="eastAsia"/>
                <w:b/>
                <w:bCs/>
                <w:sz w:val="24"/>
                <w:szCs w:val="24"/>
                <w:u w:val="single"/>
                <w:lang w:val="en-US" w:eastAsia="zh-CN"/>
              </w:rPr>
              <w:t>中空玻璃生产过程涂胶固化工序产生的有机废气</w:t>
            </w:r>
          </w:p>
          <w:p w14:paraId="60A9D25E">
            <w:pPr>
              <w:keepNext w:val="0"/>
              <w:keepLines w:val="0"/>
              <w:widowControl/>
              <w:suppressLineNumbers w:val="0"/>
              <w:spacing w:line="360" w:lineRule="auto"/>
              <w:ind w:firstLine="482" w:firstLineChars="200"/>
              <w:jc w:val="left"/>
              <w:rPr>
                <w:rFonts w:hint="eastAsia" w:ascii="宋体" w:hAnsi="宋体" w:eastAsia="宋体" w:cs="宋体"/>
                <w:b/>
                <w:bCs/>
                <w:color w:val="000000"/>
                <w:kern w:val="0"/>
                <w:sz w:val="24"/>
                <w:szCs w:val="24"/>
                <w:u w:val="single"/>
                <w:lang w:val="en-US" w:eastAsia="zh-CN" w:bidi="ar"/>
              </w:rPr>
            </w:pPr>
            <w:r>
              <w:rPr>
                <w:rFonts w:hint="default" w:ascii="Times New Roman" w:hAnsi="Times New Roman" w:eastAsia="宋体" w:cs="Times New Roman"/>
                <w:b/>
                <w:bCs/>
                <w:color w:val="000000"/>
                <w:kern w:val="0"/>
                <w:sz w:val="24"/>
                <w:szCs w:val="24"/>
                <w:u w:val="single"/>
                <w:lang w:val="en-US" w:eastAsia="zh-CN" w:bidi="ar"/>
              </w:rPr>
              <w:t>本项目</w:t>
            </w:r>
            <w:r>
              <w:rPr>
                <w:rFonts w:hint="default" w:ascii="Times New Roman" w:hAnsi="Times New Roman" w:cs="Times New Roman"/>
                <w:b/>
                <w:bCs/>
                <w:color w:val="000000"/>
                <w:kern w:val="0"/>
                <w:sz w:val="24"/>
                <w:szCs w:val="24"/>
                <w:u w:val="single"/>
                <w:lang w:val="en-US" w:eastAsia="zh-CN" w:bidi="ar"/>
              </w:rPr>
              <w:t>中空玻璃</w:t>
            </w:r>
            <w:r>
              <w:rPr>
                <w:rFonts w:hint="default" w:ascii="Times New Roman" w:hAnsi="Times New Roman" w:eastAsia="宋体" w:cs="Times New Roman"/>
                <w:b/>
                <w:bCs/>
                <w:color w:val="000000"/>
                <w:kern w:val="0"/>
                <w:sz w:val="24"/>
                <w:szCs w:val="24"/>
                <w:u w:val="single"/>
                <w:lang w:val="en-US" w:eastAsia="zh-CN" w:bidi="ar"/>
              </w:rPr>
              <w:t>生产过程中使用丁基胶与硅酮</w:t>
            </w:r>
            <w:r>
              <w:rPr>
                <w:rFonts w:hint="default" w:ascii="Times New Roman" w:hAnsi="Times New Roman" w:cs="Times New Roman"/>
                <w:b/>
                <w:bCs/>
                <w:color w:val="000000"/>
                <w:kern w:val="0"/>
                <w:sz w:val="24"/>
                <w:szCs w:val="24"/>
                <w:u w:val="single"/>
                <w:lang w:val="en-US" w:eastAsia="zh-CN" w:bidi="ar"/>
              </w:rPr>
              <w:t>密封</w:t>
            </w:r>
            <w:r>
              <w:rPr>
                <w:rFonts w:hint="default" w:ascii="Times New Roman" w:hAnsi="Times New Roman" w:eastAsia="宋体" w:cs="Times New Roman"/>
                <w:b/>
                <w:bCs/>
                <w:color w:val="000000"/>
                <w:kern w:val="0"/>
                <w:sz w:val="24"/>
                <w:szCs w:val="24"/>
                <w:u w:val="single"/>
                <w:lang w:val="en-US" w:eastAsia="zh-CN" w:bidi="ar"/>
              </w:rPr>
              <w:t>胶，</w:t>
            </w:r>
            <w:r>
              <w:rPr>
                <w:rFonts w:hint="default" w:ascii="Times New Roman" w:hAnsi="Times New Roman" w:cs="Times New Roman"/>
                <w:b/>
                <w:bCs/>
                <w:color w:val="000000"/>
                <w:kern w:val="0"/>
                <w:sz w:val="24"/>
                <w:szCs w:val="24"/>
                <w:u w:val="single"/>
                <w:lang w:val="en-US" w:eastAsia="zh-CN" w:bidi="ar"/>
              </w:rPr>
              <w:t>根据</w:t>
            </w:r>
            <w:r>
              <w:rPr>
                <w:rFonts w:hint="default" w:ascii="Times New Roman" w:hAnsi="Times New Roman" w:eastAsia="宋体" w:cs="Times New Roman"/>
                <w:b/>
                <w:bCs/>
                <w:color w:val="000000"/>
                <w:kern w:val="0"/>
                <w:sz w:val="24"/>
                <w:szCs w:val="24"/>
                <w:u w:val="single"/>
                <w:lang w:val="en-US" w:eastAsia="zh-CN" w:bidi="ar"/>
              </w:rPr>
              <w:t>丁基胶与</w:t>
            </w:r>
            <w:r>
              <w:rPr>
                <w:rFonts w:hint="default" w:ascii="Times New Roman" w:hAnsi="Times New Roman" w:cs="Times New Roman"/>
                <w:b/>
                <w:bCs/>
                <w:color w:val="000000"/>
                <w:kern w:val="0"/>
                <w:sz w:val="24"/>
                <w:szCs w:val="24"/>
                <w:u w:val="single"/>
                <w:lang w:val="en-US" w:eastAsia="zh-CN" w:bidi="ar"/>
              </w:rPr>
              <w:t>双组分</w:t>
            </w:r>
            <w:r>
              <w:rPr>
                <w:rFonts w:hint="default" w:ascii="Times New Roman" w:hAnsi="Times New Roman" w:eastAsia="宋体" w:cs="Times New Roman"/>
                <w:b/>
                <w:bCs/>
                <w:color w:val="000000"/>
                <w:kern w:val="0"/>
                <w:sz w:val="24"/>
                <w:szCs w:val="24"/>
                <w:u w:val="single"/>
                <w:lang w:val="en-US" w:eastAsia="zh-CN" w:bidi="ar"/>
              </w:rPr>
              <w:t>硅酮</w:t>
            </w:r>
            <w:r>
              <w:rPr>
                <w:rFonts w:hint="default" w:ascii="Times New Roman" w:hAnsi="Times New Roman" w:cs="Times New Roman"/>
                <w:b/>
                <w:bCs/>
                <w:color w:val="000000"/>
                <w:kern w:val="0"/>
                <w:sz w:val="24"/>
                <w:szCs w:val="24"/>
                <w:u w:val="single"/>
                <w:lang w:val="en-US" w:eastAsia="zh-CN" w:bidi="ar"/>
              </w:rPr>
              <w:t>密封</w:t>
            </w:r>
            <w:r>
              <w:rPr>
                <w:rFonts w:hint="default" w:ascii="Times New Roman" w:hAnsi="Times New Roman" w:eastAsia="宋体" w:cs="Times New Roman"/>
                <w:b/>
                <w:bCs/>
                <w:color w:val="000000"/>
                <w:kern w:val="0"/>
                <w:sz w:val="24"/>
                <w:szCs w:val="24"/>
                <w:u w:val="single"/>
                <w:lang w:val="en-US" w:eastAsia="zh-CN" w:bidi="ar"/>
              </w:rPr>
              <w:t>胶</w:t>
            </w:r>
            <w:r>
              <w:rPr>
                <w:rFonts w:hint="default" w:ascii="Times New Roman" w:hAnsi="Times New Roman" w:cs="Times New Roman"/>
                <w:b/>
                <w:bCs/>
                <w:color w:val="000000"/>
                <w:kern w:val="0"/>
                <w:sz w:val="24"/>
                <w:szCs w:val="24"/>
                <w:u w:val="single"/>
                <w:lang w:val="en-US" w:eastAsia="zh-CN" w:bidi="ar"/>
              </w:rPr>
              <w:t>的VOC</w:t>
            </w:r>
            <w:r>
              <w:rPr>
                <w:rFonts w:hint="default" w:ascii="Times New Roman" w:hAnsi="Times New Roman" w:cs="Times New Roman"/>
                <w:b/>
                <w:bCs/>
                <w:color w:val="000000"/>
                <w:kern w:val="0"/>
                <w:sz w:val="24"/>
                <w:szCs w:val="24"/>
                <w:u w:val="single"/>
                <w:vertAlign w:val="subscript"/>
                <w:lang w:val="en-US" w:eastAsia="zh-CN" w:bidi="ar"/>
              </w:rPr>
              <w:t>S</w:t>
            </w:r>
            <w:r>
              <w:rPr>
                <w:rFonts w:hint="default" w:ascii="Times New Roman" w:hAnsi="Times New Roman" w:cs="Times New Roman"/>
                <w:b/>
                <w:bCs/>
                <w:color w:val="000000"/>
                <w:kern w:val="0"/>
                <w:sz w:val="24"/>
                <w:szCs w:val="24"/>
                <w:u w:val="single"/>
                <w:lang w:val="en-US" w:eastAsia="zh-CN" w:bidi="ar"/>
              </w:rPr>
              <w:t>检测报告可知，</w:t>
            </w:r>
            <w:r>
              <w:rPr>
                <w:rFonts w:hint="default" w:ascii="Times New Roman" w:hAnsi="Times New Roman" w:eastAsia="宋体" w:cs="Times New Roman"/>
                <w:b/>
                <w:bCs/>
                <w:color w:val="000000"/>
                <w:kern w:val="0"/>
                <w:sz w:val="24"/>
                <w:szCs w:val="24"/>
                <w:u w:val="single"/>
                <w:lang w:val="en-US" w:eastAsia="zh-CN" w:bidi="ar"/>
              </w:rPr>
              <w:t>丁基胶</w:t>
            </w:r>
            <w:r>
              <w:rPr>
                <w:rFonts w:hint="default" w:ascii="Times New Roman" w:hAnsi="Times New Roman" w:cs="Times New Roman"/>
                <w:b/>
                <w:bCs/>
                <w:color w:val="000000"/>
                <w:kern w:val="0"/>
                <w:sz w:val="24"/>
                <w:szCs w:val="24"/>
                <w:u w:val="single"/>
                <w:lang w:val="en-US" w:eastAsia="zh-CN" w:bidi="ar"/>
              </w:rPr>
              <w:t>中VOC</w:t>
            </w:r>
            <w:r>
              <w:rPr>
                <w:rFonts w:hint="default" w:ascii="Times New Roman" w:hAnsi="Times New Roman" w:cs="Times New Roman"/>
                <w:b/>
                <w:bCs/>
                <w:color w:val="000000"/>
                <w:kern w:val="0"/>
                <w:sz w:val="24"/>
                <w:szCs w:val="24"/>
                <w:u w:val="single"/>
                <w:vertAlign w:val="subscript"/>
                <w:lang w:val="en-US" w:eastAsia="zh-CN" w:bidi="ar"/>
              </w:rPr>
              <w:t>S</w:t>
            </w:r>
            <w:r>
              <w:rPr>
                <w:rFonts w:hint="default" w:ascii="Times New Roman" w:hAnsi="Times New Roman" w:cs="Times New Roman"/>
                <w:b/>
                <w:bCs/>
                <w:color w:val="000000"/>
                <w:kern w:val="0"/>
                <w:sz w:val="24"/>
                <w:szCs w:val="24"/>
                <w:u w:val="single"/>
                <w:lang w:val="en-US" w:eastAsia="zh-CN" w:bidi="ar"/>
              </w:rPr>
              <w:t>含量为1g/kg，双组分</w:t>
            </w:r>
            <w:r>
              <w:rPr>
                <w:rFonts w:hint="default" w:ascii="Times New Roman" w:hAnsi="Times New Roman" w:eastAsia="宋体" w:cs="Times New Roman"/>
                <w:b/>
                <w:bCs/>
                <w:color w:val="000000"/>
                <w:kern w:val="0"/>
                <w:sz w:val="24"/>
                <w:szCs w:val="24"/>
                <w:u w:val="single"/>
                <w:lang w:val="en-US" w:eastAsia="zh-CN" w:bidi="ar"/>
              </w:rPr>
              <w:t>硅酮</w:t>
            </w:r>
            <w:r>
              <w:rPr>
                <w:rFonts w:hint="default" w:ascii="Times New Roman" w:hAnsi="Times New Roman" w:cs="Times New Roman"/>
                <w:b/>
                <w:bCs/>
                <w:color w:val="000000"/>
                <w:kern w:val="0"/>
                <w:sz w:val="24"/>
                <w:szCs w:val="24"/>
                <w:u w:val="single"/>
                <w:lang w:val="en-US" w:eastAsia="zh-CN" w:bidi="ar"/>
              </w:rPr>
              <w:t>密封</w:t>
            </w:r>
            <w:r>
              <w:rPr>
                <w:rFonts w:hint="default" w:ascii="Times New Roman" w:hAnsi="Times New Roman" w:eastAsia="宋体" w:cs="Times New Roman"/>
                <w:b/>
                <w:bCs/>
                <w:color w:val="000000"/>
                <w:kern w:val="0"/>
                <w:sz w:val="24"/>
                <w:szCs w:val="24"/>
                <w:u w:val="single"/>
                <w:lang w:val="en-US" w:eastAsia="zh-CN" w:bidi="ar"/>
              </w:rPr>
              <w:t>胶</w:t>
            </w:r>
            <w:r>
              <w:rPr>
                <w:rFonts w:hint="default" w:ascii="Times New Roman" w:hAnsi="Times New Roman" w:cs="Times New Roman"/>
                <w:b/>
                <w:bCs/>
                <w:color w:val="000000"/>
                <w:kern w:val="0"/>
                <w:sz w:val="24"/>
                <w:szCs w:val="24"/>
                <w:u w:val="single"/>
                <w:lang w:val="en-US" w:eastAsia="zh-CN" w:bidi="ar"/>
              </w:rPr>
              <w:t>中的VOC</w:t>
            </w:r>
            <w:r>
              <w:rPr>
                <w:rFonts w:hint="default" w:ascii="Times New Roman" w:hAnsi="Times New Roman" w:cs="Times New Roman"/>
                <w:b/>
                <w:bCs/>
                <w:color w:val="000000"/>
                <w:kern w:val="0"/>
                <w:sz w:val="24"/>
                <w:szCs w:val="24"/>
                <w:u w:val="single"/>
                <w:vertAlign w:val="subscript"/>
                <w:lang w:val="en-US" w:eastAsia="zh-CN" w:bidi="ar"/>
              </w:rPr>
              <w:t>S</w:t>
            </w:r>
            <w:r>
              <w:rPr>
                <w:rFonts w:hint="default" w:ascii="Times New Roman" w:hAnsi="Times New Roman" w:cs="Times New Roman"/>
                <w:b/>
                <w:bCs/>
                <w:color w:val="000000"/>
                <w:kern w:val="0"/>
                <w:sz w:val="24"/>
                <w:szCs w:val="24"/>
                <w:u w:val="single"/>
                <w:vertAlign w:val="baseline"/>
                <w:lang w:val="en-US" w:eastAsia="zh-CN" w:bidi="ar"/>
              </w:rPr>
              <w:t>含量为40g/L</w:t>
            </w:r>
            <w:r>
              <w:rPr>
                <w:rFonts w:hint="eastAsia" w:ascii="宋体" w:hAnsi="宋体" w:eastAsia="宋体" w:cs="宋体"/>
                <w:b/>
                <w:bCs/>
                <w:color w:val="000000"/>
                <w:kern w:val="0"/>
                <w:sz w:val="24"/>
                <w:szCs w:val="24"/>
                <w:u w:val="single"/>
                <w:lang w:val="en-US" w:eastAsia="zh-CN" w:bidi="ar"/>
              </w:rPr>
              <w:t>。</w:t>
            </w:r>
          </w:p>
          <w:p w14:paraId="7B3AE4BF">
            <w:pPr>
              <w:keepNext w:val="0"/>
              <w:keepLines w:val="0"/>
              <w:widowControl/>
              <w:suppressLineNumbers w:val="0"/>
              <w:spacing w:line="360" w:lineRule="auto"/>
              <w:jc w:val="left"/>
              <w:rPr>
                <w:rFonts w:hint="eastAsia" w:ascii="宋体" w:hAnsi="宋体" w:eastAsia="宋体" w:cs="宋体"/>
                <w:b/>
                <w:bCs/>
                <w:color w:val="000000"/>
                <w:kern w:val="0"/>
                <w:sz w:val="24"/>
                <w:szCs w:val="24"/>
                <w:u w:val="single"/>
                <w:lang w:val="en-US" w:eastAsia="zh-CN" w:bidi="ar"/>
              </w:rPr>
            </w:pPr>
            <w:r>
              <w:rPr>
                <w:rFonts w:hint="eastAsia" w:ascii="宋体" w:hAnsi="宋体" w:eastAsia="宋体" w:cs="宋体"/>
                <w:b/>
                <w:bCs/>
                <w:color w:val="000000"/>
                <w:kern w:val="0"/>
                <w:sz w:val="24"/>
                <w:szCs w:val="24"/>
                <w:u w:val="single"/>
                <w:lang w:val="en-US" w:eastAsia="zh-CN" w:bidi="ar"/>
              </w:rPr>
              <w:t xml:space="preserve"> </w:t>
            </w:r>
            <w:r>
              <w:rPr>
                <w:rFonts w:hint="eastAsia" w:ascii="宋体" w:hAnsi="宋体" w:cs="宋体"/>
                <w:b/>
                <w:bCs/>
                <w:color w:val="000000"/>
                <w:kern w:val="0"/>
                <w:sz w:val="24"/>
                <w:szCs w:val="24"/>
                <w:u w:val="single"/>
                <w:lang w:val="en-US" w:eastAsia="zh-CN" w:bidi="ar"/>
              </w:rPr>
              <w:t xml:space="preserve">  </w:t>
            </w:r>
            <w:r>
              <w:rPr>
                <w:rFonts w:hint="eastAsia" w:ascii="宋体" w:hAnsi="宋体" w:eastAsia="宋体" w:cs="宋体"/>
                <w:b/>
                <w:bCs/>
                <w:color w:val="000000"/>
                <w:kern w:val="0"/>
                <w:sz w:val="24"/>
                <w:szCs w:val="24"/>
                <w:u w:val="single"/>
                <w:lang w:val="en-US" w:eastAsia="zh-CN" w:bidi="ar"/>
              </w:rPr>
              <w:t>根据建设单位提供资料，</w:t>
            </w:r>
            <w:r>
              <w:rPr>
                <w:rFonts w:hint="eastAsia" w:ascii="宋体" w:hAnsi="宋体" w:cs="宋体"/>
                <w:b/>
                <w:bCs/>
                <w:color w:val="000000"/>
                <w:kern w:val="0"/>
                <w:sz w:val="24"/>
                <w:szCs w:val="24"/>
                <w:u w:val="single"/>
                <w:lang w:val="en-US" w:eastAsia="zh-CN" w:bidi="ar"/>
              </w:rPr>
              <w:t>本项目</w:t>
            </w:r>
            <w:r>
              <w:rPr>
                <w:rFonts w:hint="eastAsia" w:ascii="宋体" w:hAnsi="宋体" w:eastAsia="宋体" w:cs="宋体"/>
                <w:b/>
                <w:bCs/>
                <w:color w:val="000000"/>
                <w:kern w:val="0"/>
                <w:sz w:val="24"/>
                <w:szCs w:val="24"/>
                <w:u w:val="single"/>
                <w:lang w:val="en-US" w:eastAsia="zh-CN" w:bidi="ar"/>
              </w:rPr>
              <w:t>丁基胶</w:t>
            </w:r>
            <w:r>
              <w:rPr>
                <w:rFonts w:hint="eastAsia" w:ascii="宋体" w:hAnsi="宋体" w:cs="宋体"/>
                <w:b/>
                <w:bCs/>
                <w:color w:val="000000"/>
                <w:kern w:val="0"/>
                <w:sz w:val="24"/>
                <w:szCs w:val="24"/>
                <w:u w:val="single"/>
                <w:lang w:val="en-US" w:eastAsia="zh-CN" w:bidi="ar"/>
              </w:rPr>
              <w:t>使用量为</w:t>
            </w:r>
            <w:r>
              <w:rPr>
                <w:rFonts w:hint="default" w:ascii="Times New Roman" w:hAnsi="Times New Roman" w:eastAsia="宋体" w:cs="Times New Roman"/>
                <w:b/>
                <w:bCs/>
                <w:color w:val="000000"/>
                <w:kern w:val="0"/>
                <w:sz w:val="24"/>
                <w:szCs w:val="24"/>
                <w:u w:val="single"/>
                <w:lang w:val="en-US" w:eastAsia="zh-CN" w:bidi="ar"/>
              </w:rPr>
              <w:t>12.5t/a</w:t>
            </w:r>
            <w:r>
              <w:rPr>
                <w:rFonts w:hint="eastAsia" w:ascii="宋体" w:hAnsi="宋体" w:eastAsia="宋体" w:cs="宋体"/>
                <w:b/>
                <w:bCs/>
                <w:color w:val="000000"/>
                <w:kern w:val="0"/>
                <w:sz w:val="24"/>
                <w:szCs w:val="24"/>
                <w:u w:val="single"/>
                <w:lang w:val="en-US" w:eastAsia="zh-CN" w:bidi="ar"/>
              </w:rPr>
              <w:t>，</w:t>
            </w:r>
            <w:r>
              <w:rPr>
                <w:rFonts w:hint="eastAsia" w:cs="Times New Roman"/>
                <w:b/>
                <w:bCs/>
                <w:color w:val="000000"/>
                <w:kern w:val="0"/>
                <w:sz w:val="24"/>
                <w:szCs w:val="24"/>
                <w:u w:val="single"/>
                <w:lang w:val="en-US" w:eastAsia="zh-CN" w:bidi="ar"/>
              </w:rPr>
              <w:t>VOC</w:t>
            </w:r>
            <w:r>
              <w:rPr>
                <w:rFonts w:hint="eastAsia" w:cs="Times New Roman"/>
                <w:b/>
                <w:bCs/>
                <w:color w:val="000000"/>
                <w:kern w:val="0"/>
                <w:sz w:val="24"/>
                <w:szCs w:val="24"/>
                <w:u w:val="single"/>
                <w:vertAlign w:val="subscript"/>
                <w:lang w:val="en-US" w:eastAsia="zh-CN" w:bidi="ar"/>
              </w:rPr>
              <w:t>S</w:t>
            </w:r>
            <w:r>
              <w:rPr>
                <w:rFonts w:hint="eastAsia" w:cs="Times New Roman"/>
                <w:b/>
                <w:bCs/>
                <w:color w:val="000000"/>
                <w:kern w:val="0"/>
                <w:sz w:val="24"/>
                <w:szCs w:val="24"/>
                <w:u w:val="single"/>
                <w:lang w:val="en-US" w:eastAsia="zh-CN" w:bidi="ar"/>
              </w:rPr>
              <w:t>产生量为0.0125t/a；</w:t>
            </w:r>
            <w:r>
              <w:rPr>
                <w:rFonts w:hint="eastAsia" w:ascii="宋体" w:hAnsi="宋体" w:eastAsia="宋体" w:cs="宋体"/>
                <w:b/>
                <w:bCs/>
                <w:color w:val="000000"/>
                <w:kern w:val="0"/>
                <w:sz w:val="24"/>
                <w:szCs w:val="24"/>
                <w:u w:val="single"/>
                <w:lang w:val="en-US" w:eastAsia="zh-CN" w:bidi="ar"/>
              </w:rPr>
              <w:t>硅酮密封胶</w:t>
            </w:r>
            <w:r>
              <w:rPr>
                <w:rFonts w:hint="eastAsia" w:ascii="宋体" w:hAnsi="宋体" w:cs="宋体"/>
                <w:b/>
                <w:bCs/>
                <w:color w:val="000000"/>
                <w:kern w:val="0"/>
                <w:sz w:val="24"/>
                <w:szCs w:val="24"/>
                <w:u w:val="single"/>
                <w:lang w:val="en-US" w:eastAsia="zh-CN" w:bidi="ar"/>
              </w:rPr>
              <w:t>使用量为</w:t>
            </w:r>
            <w:r>
              <w:rPr>
                <w:rFonts w:hint="eastAsia" w:cs="Times New Roman"/>
                <w:b/>
                <w:bCs/>
                <w:color w:val="000000"/>
                <w:kern w:val="0"/>
                <w:sz w:val="24"/>
                <w:szCs w:val="24"/>
                <w:u w:val="single"/>
                <w:lang w:val="en-US" w:eastAsia="zh-CN" w:bidi="ar"/>
              </w:rPr>
              <w:t>6</w:t>
            </w:r>
            <w:r>
              <w:rPr>
                <w:rFonts w:hint="default" w:ascii="Times New Roman" w:hAnsi="Times New Roman" w:eastAsia="宋体" w:cs="Times New Roman"/>
                <w:b/>
                <w:bCs/>
                <w:color w:val="000000"/>
                <w:kern w:val="0"/>
                <w:sz w:val="24"/>
                <w:szCs w:val="24"/>
                <w:u w:val="single"/>
                <w:lang w:val="en-US" w:eastAsia="zh-CN" w:bidi="ar"/>
              </w:rPr>
              <w:t>0t/a</w:t>
            </w:r>
            <w:r>
              <w:rPr>
                <w:rFonts w:hint="eastAsia" w:cs="Times New Roman"/>
                <w:b/>
                <w:bCs/>
                <w:color w:val="000000"/>
                <w:kern w:val="0"/>
                <w:sz w:val="24"/>
                <w:szCs w:val="24"/>
                <w:u w:val="single"/>
                <w:lang w:val="en-US" w:eastAsia="zh-CN" w:bidi="ar"/>
              </w:rPr>
              <w:t>，硅酮密封胶密度1.3kg/L，VOC</w:t>
            </w:r>
            <w:r>
              <w:rPr>
                <w:rFonts w:hint="eastAsia" w:cs="Times New Roman"/>
                <w:b/>
                <w:bCs/>
                <w:color w:val="000000"/>
                <w:kern w:val="0"/>
                <w:sz w:val="24"/>
                <w:szCs w:val="24"/>
                <w:u w:val="single"/>
                <w:vertAlign w:val="subscript"/>
                <w:lang w:val="en-US" w:eastAsia="zh-CN" w:bidi="ar"/>
              </w:rPr>
              <w:t>S</w:t>
            </w:r>
            <w:r>
              <w:rPr>
                <w:rFonts w:hint="eastAsia" w:cs="Times New Roman"/>
                <w:b/>
                <w:bCs/>
                <w:color w:val="000000"/>
                <w:kern w:val="0"/>
                <w:sz w:val="24"/>
                <w:szCs w:val="24"/>
                <w:u w:val="single"/>
                <w:lang w:val="en-US" w:eastAsia="zh-CN" w:bidi="ar"/>
              </w:rPr>
              <w:t>产生量为1.848t/a，总VOC</w:t>
            </w:r>
            <w:r>
              <w:rPr>
                <w:rFonts w:hint="eastAsia" w:cs="Times New Roman"/>
                <w:b/>
                <w:bCs/>
                <w:color w:val="000000"/>
                <w:kern w:val="0"/>
                <w:sz w:val="24"/>
                <w:szCs w:val="24"/>
                <w:u w:val="single"/>
                <w:vertAlign w:val="subscript"/>
                <w:lang w:val="en-US" w:eastAsia="zh-CN" w:bidi="ar"/>
              </w:rPr>
              <w:t>S</w:t>
            </w:r>
            <w:r>
              <w:rPr>
                <w:rFonts w:hint="eastAsia" w:cs="Times New Roman"/>
                <w:b/>
                <w:bCs/>
                <w:color w:val="000000"/>
                <w:kern w:val="0"/>
                <w:sz w:val="24"/>
                <w:szCs w:val="24"/>
                <w:u w:val="single"/>
                <w:lang w:val="en-US" w:eastAsia="zh-CN" w:bidi="ar"/>
              </w:rPr>
              <w:t>产生量为1.8605t/a</w:t>
            </w:r>
            <w:r>
              <w:rPr>
                <w:rFonts w:hint="eastAsia" w:ascii="宋体" w:hAnsi="宋体" w:cs="宋体"/>
                <w:b/>
                <w:bCs/>
                <w:color w:val="000000"/>
                <w:kern w:val="0"/>
                <w:sz w:val="24"/>
                <w:szCs w:val="24"/>
                <w:u w:val="single"/>
                <w:lang w:val="en-US" w:eastAsia="zh-CN" w:bidi="ar"/>
              </w:rPr>
              <w:t>。</w:t>
            </w:r>
            <w:r>
              <w:rPr>
                <w:rFonts w:hint="default" w:ascii="Times New Roman" w:hAnsi="Times New Roman" w:cs="Times New Roman"/>
                <w:b/>
                <w:bCs/>
                <w:color w:val="000000"/>
                <w:kern w:val="0"/>
                <w:sz w:val="24"/>
                <w:szCs w:val="24"/>
                <w:u w:val="single"/>
                <w:lang w:val="en-US" w:eastAsia="zh-CN" w:bidi="ar"/>
              </w:rPr>
              <w:t>本项目设置4条中空线，</w:t>
            </w:r>
            <w:r>
              <w:rPr>
                <w:rFonts w:hint="eastAsia" w:ascii="Times New Roman" w:hAnsi="Times New Roman" w:cs="Times New Roman"/>
                <w:b/>
                <w:bCs/>
                <w:color w:val="000000"/>
                <w:kern w:val="0"/>
                <w:sz w:val="24"/>
                <w:szCs w:val="24"/>
                <w:u w:val="single"/>
                <w:lang w:val="en-US" w:eastAsia="zh-CN" w:bidi="ar"/>
              </w:rPr>
              <w:t>每条中空线生产产能一样，因此单条中空线非甲烷总烃产生量为</w:t>
            </w:r>
            <w:r>
              <w:rPr>
                <w:rFonts w:hint="eastAsia" w:cs="Times New Roman"/>
                <w:b/>
                <w:bCs/>
                <w:color w:val="000000"/>
                <w:kern w:val="0"/>
                <w:sz w:val="24"/>
                <w:szCs w:val="24"/>
                <w:u w:val="single"/>
                <w:lang w:val="en-US" w:eastAsia="zh-CN" w:bidi="ar"/>
              </w:rPr>
              <w:t>0.4651</w:t>
            </w:r>
            <w:r>
              <w:rPr>
                <w:rFonts w:hint="eastAsia" w:ascii="Times New Roman" w:hAnsi="Times New Roman" w:cs="Times New Roman"/>
                <w:b/>
                <w:bCs/>
                <w:color w:val="000000"/>
                <w:kern w:val="0"/>
                <w:sz w:val="24"/>
                <w:szCs w:val="24"/>
                <w:u w:val="single"/>
                <w:lang w:val="en-US" w:eastAsia="zh-CN" w:bidi="ar"/>
              </w:rPr>
              <w:t>t/a，该工序年工作时间为1200h，则</w:t>
            </w:r>
            <w:r>
              <w:rPr>
                <w:rFonts w:hint="eastAsia" w:ascii="宋体" w:hAnsi="宋体" w:eastAsia="宋体" w:cs="宋体"/>
                <w:b/>
                <w:bCs/>
                <w:color w:val="000000"/>
                <w:kern w:val="0"/>
                <w:sz w:val="24"/>
                <w:szCs w:val="24"/>
                <w:u w:val="single"/>
                <w:lang w:val="en-US" w:eastAsia="zh-CN" w:bidi="ar"/>
              </w:rPr>
              <w:t>产生速率为</w:t>
            </w:r>
            <w:r>
              <w:rPr>
                <w:rFonts w:hint="eastAsia" w:cs="Times New Roman"/>
                <w:b/>
                <w:bCs/>
                <w:color w:val="000000"/>
                <w:kern w:val="0"/>
                <w:sz w:val="24"/>
                <w:szCs w:val="24"/>
                <w:u w:val="single"/>
                <w:lang w:val="en-US" w:eastAsia="zh-CN" w:bidi="ar"/>
              </w:rPr>
              <w:t>0.38</w:t>
            </w:r>
            <w:r>
              <w:rPr>
                <w:rFonts w:hint="default" w:ascii="Times New Roman" w:hAnsi="Times New Roman" w:eastAsia="宋体" w:cs="Times New Roman"/>
                <w:b/>
                <w:bCs/>
                <w:color w:val="000000"/>
                <w:kern w:val="0"/>
                <w:sz w:val="24"/>
                <w:szCs w:val="24"/>
                <w:u w:val="single"/>
                <w:lang w:val="en-US" w:eastAsia="zh-CN" w:bidi="ar"/>
              </w:rPr>
              <w:t>kg/h</w:t>
            </w:r>
            <w:r>
              <w:rPr>
                <w:rFonts w:hint="eastAsia" w:ascii="宋体" w:hAnsi="宋体" w:eastAsia="宋体" w:cs="宋体"/>
                <w:b/>
                <w:bCs/>
                <w:color w:val="000000"/>
                <w:kern w:val="0"/>
                <w:sz w:val="24"/>
                <w:szCs w:val="24"/>
                <w:u w:val="single"/>
                <w:lang w:val="en-US" w:eastAsia="zh-CN" w:bidi="ar"/>
              </w:rPr>
              <w:t>。</w:t>
            </w:r>
          </w:p>
          <w:p w14:paraId="3B44FCC2">
            <w:pPr>
              <w:keepNext w:val="0"/>
              <w:keepLines w:val="0"/>
              <w:widowControl/>
              <w:suppressLineNumbers w:val="0"/>
              <w:spacing w:line="360" w:lineRule="auto"/>
              <w:ind w:firstLine="482" w:firstLineChars="200"/>
              <w:jc w:val="left"/>
              <w:rPr>
                <w:rFonts w:hint="default" w:ascii="Times New Roman" w:hAnsi="Times New Roman" w:eastAsia="宋体" w:cs="Times New Roman"/>
                <w:b/>
                <w:bCs/>
                <w:color w:val="000000"/>
                <w:kern w:val="0"/>
                <w:sz w:val="24"/>
                <w:szCs w:val="24"/>
                <w:u w:val="single"/>
                <w:lang w:val="en-US" w:eastAsia="zh-CN" w:bidi="ar"/>
              </w:rPr>
            </w:pPr>
            <w:r>
              <w:rPr>
                <w:rFonts w:hint="default" w:ascii="Times New Roman" w:hAnsi="Times New Roman" w:eastAsia="宋体" w:cs="Times New Roman"/>
                <w:b/>
                <w:bCs/>
                <w:color w:val="000000"/>
                <w:kern w:val="0"/>
                <w:sz w:val="24"/>
                <w:szCs w:val="24"/>
                <w:u w:val="single"/>
                <w:lang w:val="en-US" w:eastAsia="zh-CN" w:bidi="ar"/>
              </w:rPr>
              <w:t>拟在涂胶和固化工序分别设置集气罩，产生的有机废气经每条中空线配套的两级活性炭吸附装置（共4套）处理后通过 15m高 排气筒（DA002、DA003、DA004、DA005）排放。</w:t>
            </w:r>
          </w:p>
          <w:p w14:paraId="11C5A834">
            <w:pPr>
              <w:keepNext w:val="0"/>
              <w:keepLines w:val="0"/>
              <w:pageBreakBefore w:val="0"/>
              <w:widowControl w:val="0"/>
              <w:kinsoku/>
              <w:wordWrap/>
              <w:overflowPunct/>
              <w:topLinePunct w:val="0"/>
              <w:autoSpaceDE/>
              <w:autoSpaceDN/>
              <w:bidi w:val="0"/>
              <w:adjustRightInd/>
              <w:snapToGrid/>
              <w:spacing w:line="360" w:lineRule="auto"/>
              <w:ind w:firstLine="480" w:firstLineChars="200"/>
              <w:contextualSpacing/>
              <w:textAlignment w:val="baseline"/>
              <w:rPr>
                <w:rFonts w:hint="default" w:ascii="Times New Roman" w:hAnsi="Times New Roman" w:cs="Times New Roman"/>
                <w:b w:val="0"/>
                <w:bCs w:val="0"/>
                <w:color w:val="auto"/>
                <w:sz w:val="24"/>
                <w:szCs w:val="24"/>
                <w:highlight w:val="none"/>
                <w:u w:val="none"/>
                <w:lang w:val="en-US" w:eastAsia="zh-CN"/>
              </w:rPr>
            </w:pPr>
            <w:r>
              <w:rPr>
                <w:rFonts w:hint="default" w:ascii="Times New Roman" w:hAnsi="Times New Roman" w:cs="Times New Roman"/>
                <w:b w:val="0"/>
                <w:bCs w:val="0"/>
                <w:color w:val="auto"/>
                <w:sz w:val="24"/>
                <w:szCs w:val="24"/>
                <w:highlight w:val="none"/>
                <w:u w:val="none"/>
              </w:rPr>
              <w:t>参照《</w:t>
            </w:r>
            <w:r>
              <w:rPr>
                <w:rFonts w:hint="eastAsia" w:ascii="Times New Roman" w:hAnsi="Times New Roman" w:cs="Times New Roman"/>
                <w:b w:val="0"/>
                <w:bCs w:val="0"/>
                <w:color w:val="auto"/>
                <w:sz w:val="24"/>
                <w:szCs w:val="24"/>
                <w:highlight w:val="none"/>
                <w:u w:val="none"/>
                <w:lang w:val="en-US" w:eastAsia="zh-CN"/>
              </w:rPr>
              <w:t>大气污染控制工程</w:t>
            </w:r>
            <w:r>
              <w:rPr>
                <w:rFonts w:hint="default" w:ascii="Times New Roman" w:hAnsi="Times New Roman" w:cs="Times New Roman"/>
                <w:b w:val="0"/>
                <w:bCs w:val="0"/>
                <w:color w:val="auto"/>
                <w:sz w:val="24"/>
                <w:szCs w:val="24"/>
                <w:highlight w:val="none"/>
                <w:u w:val="none"/>
              </w:rPr>
              <w:t>》</w:t>
            </w:r>
            <w:r>
              <w:rPr>
                <w:rFonts w:hint="eastAsia" w:ascii="Times New Roman" w:hAnsi="Times New Roman" w:cs="Times New Roman"/>
                <w:b w:val="0"/>
                <w:bCs w:val="0"/>
                <w:color w:val="auto"/>
                <w:sz w:val="24"/>
                <w:szCs w:val="24"/>
                <w:highlight w:val="none"/>
                <w:u w:val="none"/>
                <w:lang w:val="en-US" w:eastAsia="zh-CN"/>
              </w:rPr>
              <w:t>集气罩的设计</w:t>
            </w:r>
            <w:r>
              <w:rPr>
                <w:rFonts w:hint="default" w:ascii="Times New Roman" w:hAnsi="Times New Roman" w:cs="Times New Roman"/>
                <w:b w:val="0"/>
                <w:bCs w:val="0"/>
                <w:color w:val="auto"/>
                <w:sz w:val="24"/>
                <w:szCs w:val="24"/>
                <w:highlight w:val="none"/>
                <w:u w:val="none"/>
              </w:rPr>
              <w:t>，</w:t>
            </w:r>
            <w:r>
              <w:rPr>
                <w:rFonts w:hint="eastAsia" w:ascii="Times New Roman" w:hAnsi="Times New Roman" w:cs="Times New Roman"/>
                <w:b w:val="0"/>
                <w:bCs w:val="0"/>
                <w:color w:val="auto"/>
                <w:sz w:val="24"/>
                <w:szCs w:val="24"/>
                <w:highlight w:val="none"/>
                <w:u w:val="none"/>
                <w:lang w:eastAsia="zh-CN"/>
              </w:rPr>
              <w:t>单个</w:t>
            </w:r>
            <w:r>
              <w:rPr>
                <w:rFonts w:hint="default" w:ascii="Times New Roman" w:hAnsi="Times New Roman" w:cs="Times New Roman"/>
                <w:b w:val="0"/>
                <w:bCs w:val="0"/>
                <w:color w:val="auto"/>
                <w:sz w:val="24"/>
                <w:szCs w:val="24"/>
                <w:highlight w:val="none"/>
                <w:u w:val="none"/>
              </w:rPr>
              <w:t>集气罩风量设计按以下公式计算。</w:t>
            </w:r>
          </w:p>
          <w:p w14:paraId="03F052F9">
            <w:pPr>
              <w:keepNext w:val="0"/>
              <w:keepLines w:val="0"/>
              <w:pageBreakBefore w:val="0"/>
              <w:widowControl w:val="0"/>
              <w:kinsoku/>
              <w:wordWrap/>
              <w:overflowPunct/>
              <w:topLinePunct w:val="0"/>
              <w:autoSpaceDE/>
              <w:autoSpaceDN/>
              <w:bidi w:val="0"/>
              <w:adjustRightInd/>
              <w:snapToGrid/>
              <w:spacing w:line="360" w:lineRule="auto"/>
              <w:contextualSpacing/>
              <w:jc w:val="center"/>
              <w:textAlignment w:val="baseline"/>
              <w:rPr>
                <w:rFonts w:hint="default" w:ascii="Times New Roman" w:hAnsi="Times New Roman" w:cs="Times New Roman"/>
                <w:b w:val="0"/>
                <w:bCs w:val="0"/>
                <w:color w:val="auto"/>
                <w:sz w:val="24"/>
                <w:szCs w:val="24"/>
                <w:highlight w:val="none"/>
                <w:u w:val="none"/>
                <w:lang w:val="en-US"/>
              </w:rPr>
            </w:pPr>
            <w:r>
              <w:rPr>
                <w:rFonts w:hint="default" w:ascii="Times New Roman" w:hAnsi="Times New Roman" w:cs="Times New Roman"/>
                <w:b w:val="0"/>
                <w:bCs w:val="0"/>
                <w:color w:val="auto"/>
                <w:sz w:val="24"/>
                <w:szCs w:val="24"/>
                <w:highlight w:val="none"/>
                <w:u w:val="none"/>
                <w:lang w:val="en-US" w:eastAsia="zh-CN"/>
              </w:rPr>
              <w:t>Q</w:t>
            </w:r>
            <w:r>
              <w:rPr>
                <w:rFonts w:hint="default" w:ascii="Times New Roman" w:hAnsi="Times New Roman" w:cs="Times New Roman"/>
                <w:b w:val="0"/>
                <w:bCs w:val="0"/>
                <w:color w:val="auto"/>
                <w:sz w:val="24"/>
                <w:szCs w:val="24"/>
                <w:highlight w:val="none"/>
                <w:u w:val="none"/>
              </w:rPr>
              <w:t>=</w:t>
            </w:r>
            <w:r>
              <w:rPr>
                <w:rFonts w:hint="default" w:ascii="Times New Roman" w:hAnsi="Times New Roman" w:cs="Times New Roman"/>
                <w:b w:val="0"/>
                <w:bCs w:val="0"/>
                <w:color w:val="auto"/>
                <w:sz w:val="24"/>
                <w:szCs w:val="24"/>
                <w:highlight w:val="none"/>
                <w:u w:val="none"/>
                <w:lang w:val="en-US" w:eastAsia="zh-CN"/>
              </w:rPr>
              <w:t>KCHν</w:t>
            </w:r>
          </w:p>
          <w:p w14:paraId="143755D9">
            <w:pPr>
              <w:keepNext w:val="0"/>
              <w:keepLines w:val="0"/>
              <w:pageBreakBefore w:val="0"/>
              <w:widowControl w:val="0"/>
              <w:kinsoku/>
              <w:wordWrap/>
              <w:overflowPunct/>
              <w:topLinePunct w:val="0"/>
              <w:autoSpaceDE/>
              <w:autoSpaceDN/>
              <w:bidi w:val="0"/>
              <w:adjustRightInd/>
              <w:snapToGrid/>
              <w:spacing w:line="360" w:lineRule="auto"/>
              <w:ind w:firstLine="480" w:firstLineChars="200"/>
              <w:contextualSpacing/>
              <w:jc w:val="both"/>
              <w:textAlignment w:val="baseline"/>
              <w:rPr>
                <w:rFonts w:hint="default" w:ascii="Times New Roman" w:hAnsi="Times New Roman" w:eastAsia="宋体" w:cs="Times New Roman"/>
                <w:b w:val="0"/>
                <w:bCs w:val="0"/>
                <w:color w:val="auto"/>
                <w:sz w:val="24"/>
                <w:szCs w:val="24"/>
                <w:highlight w:val="none"/>
                <w:u w:val="none"/>
              </w:rPr>
            </w:pPr>
            <w:r>
              <w:rPr>
                <w:rFonts w:hint="default" w:ascii="Times New Roman" w:hAnsi="Times New Roman" w:cs="Times New Roman"/>
                <w:b w:val="0"/>
                <w:bCs w:val="0"/>
                <w:color w:val="auto"/>
                <w:sz w:val="24"/>
                <w:szCs w:val="24"/>
                <w:highlight w:val="none"/>
                <w:u w:val="none"/>
              </w:rPr>
              <w:t>式中：</w:t>
            </w:r>
            <w:r>
              <w:rPr>
                <w:rFonts w:hint="eastAsia" w:ascii="Times New Roman" w:hAnsi="Times New Roman" w:cs="Times New Roman"/>
                <w:b w:val="0"/>
                <w:bCs w:val="0"/>
                <w:color w:val="auto"/>
                <w:sz w:val="24"/>
                <w:szCs w:val="24"/>
                <w:highlight w:val="none"/>
                <w:u w:val="none"/>
                <w:lang w:val="en-US" w:eastAsia="zh-CN"/>
              </w:rPr>
              <w:t>Q</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排风量</w:t>
            </w:r>
            <w:r>
              <w:rPr>
                <w:rFonts w:hint="default" w:ascii="Times New Roman" w:hAnsi="Times New Roman" w:eastAsia="宋体" w:cs="Times New Roman"/>
                <w:b w:val="0"/>
                <w:bCs w:val="0"/>
                <w:color w:val="auto"/>
                <w:sz w:val="24"/>
                <w:szCs w:val="24"/>
                <w:highlight w:val="none"/>
                <w:u w:val="none"/>
              </w:rPr>
              <w:t>，m</w:t>
            </w:r>
            <w:r>
              <w:rPr>
                <w:rFonts w:hint="default" w:ascii="Times New Roman" w:hAnsi="Times New Roman" w:eastAsia="宋体" w:cs="Times New Roman"/>
                <w:b w:val="0"/>
                <w:bCs w:val="0"/>
                <w:color w:val="auto"/>
                <w:sz w:val="24"/>
                <w:szCs w:val="24"/>
                <w:highlight w:val="none"/>
                <w:u w:val="none"/>
                <w:vertAlign w:val="superscript"/>
              </w:rPr>
              <w:t>3</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s</w:t>
            </w:r>
            <w:r>
              <w:rPr>
                <w:rFonts w:hint="default" w:ascii="Times New Roman" w:hAnsi="Times New Roman" w:eastAsia="宋体" w:cs="Times New Roman"/>
                <w:b w:val="0"/>
                <w:bCs w:val="0"/>
                <w:color w:val="auto"/>
                <w:sz w:val="24"/>
                <w:szCs w:val="24"/>
                <w:highlight w:val="none"/>
                <w:u w:val="none"/>
              </w:rPr>
              <w:t>；</w:t>
            </w:r>
          </w:p>
          <w:p w14:paraId="230D1C20">
            <w:pPr>
              <w:keepNext w:val="0"/>
              <w:keepLines w:val="0"/>
              <w:pageBreakBefore w:val="0"/>
              <w:widowControl w:val="0"/>
              <w:kinsoku/>
              <w:wordWrap/>
              <w:overflowPunct/>
              <w:topLinePunct w:val="0"/>
              <w:autoSpaceDE/>
              <w:autoSpaceDN/>
              <w:bidi w:val="0"/>
              <w:adjustRightInd/>
              <w:snapToGrid/>
              <w:spacing w:line="360" w:lineRule="auto"/>
              <w:ind w:firstLine="1200" w:firstLineChars="500"/>
              <w:contextualSpacing/>
              <w:textAlignment w:val="baseline"/>
              <w:rPr>
                <w:rFonts w:hint="eastAsia" w:ascii="Times New Roman" w:hAnsi="Times New Roman" w:eastAsia="宋体" w:cs="Times New Roman"/>
                <w:b w:val="0"/>
                <w:bCs w:val="0"/>
                <w:color w:val="auto"/>
                <w:sz w:val="24"/>
                <w:szCs w:val="24"/>
                <w:highlight w:val="none"/>
                <w:u w:val="none"/>
                <w:lang w:val="en-US" w:eastAsia="zh-CN"/>
              </w:rPr>
            </w:pPr>
            <w:r>
              <w:rPr>
                <w:rFonts w:hint="eastAsia" w:ascii="Times New Roman" w:hAnsi="Times New Roman" w:cs="Times New Roman"/>
                <w:b w:val="0"/>
                <w:bCs w:val="0"/>
                <w:color w:val="auto"/>
                <w:sz w:val="24"/>
                <w:szCs w:val="24"/>
                <w:highlight w:val="none"/>
                <w:u w:val="none"/>
                <w:lang w:val="en-US" w:eastAsia="zh-CN"/>
              </w:rPr>
              <w:t>K</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考虑沿高度速度分布不均匀的安全系数，本次取K=1.4；</w:t>
            </w:r>
          </w:p>
          <w:p w14:paraId="256A67D2">
            <w:pPr>
              <w:keepNext w:val="0"/>
              <w:keepLines w:val="0"/>
              <w:pageBreakBefore w:val="0"/>
              <w:widowControl w:val="0"/>
              <w:kinsoku/>
              <w:wordWrap/>
              <w:overflowPunct/>
              <w:topLinePunct w:val="0"/>
              <w:autoSpaceDE/>
              <w:autoSpaceDN/>
              <w:bidi w:val="0"/>
              <w:adjustRightInd/>
              <w:snapToGrid/>
              <w:spacing w:line="360" w:lineRule="auto"/>
              <w:ind w:left="714" w:leftChars="340" w:firstLine="240" w:firstLineChars="100"/>
              <w:contextualSpacing/>
              <w:textAlignment w:val="baseline"/>
              <w:rPr>
                <w:rFonts w:hint="default" w:ascii="Times New Roman" w:hAnsi="Times New Roman" w:eastAsia="宋体" w:cs="Times New Roman"/>
                <w:b w:val="0"/>
                <w:bCs w:val="0"/>
                <w:color w:val="auto"/>
                <w:sz w:val="24"/>
                <w:szCs w:val="24"/>
                <w:highlight w:val="none"/>
                <w:u w:val="none"/>
                <w:lang w:val="en-US" w:eastAsia="zh-CN"/>
              </w:rPr>
            </w:pPr>
            <w:r>
              <w:rPr>
                <w:rFonts w:hint="eastAsia" w:ascii="Times New Roman" w:hAnsi="Times New Roman" w:eastAsia="宋体" w:cs="Times New Roman"/>
                <w:b w:val="0"/>
                <w:bCs w:val="0"/>
                <w:color w:val="auto"/>
                <w:sz w:val="24"/>
                <w:szCs w:val="24"/>
                <w:highlight w:val="none"/>
                <w:u w:val="none"/>
                <w:lang w:val="en-US" w:eastAsia="zh-CN"/>
              </w:rPr>
              <w:t>C</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污染源的周长，m。当罩口设有挡板时，C为未设挡板部分的污染源周长，本次C取3.0m；</w:t>
            </w:r>
          </w:p>
          <w:p w14:paraId="5D4A08F0">
            <w:pPr>
              <w:keepNext w:val="0"/>
              <w:keepLines w:val="0"/>
              <w:pageBreakBefore w:val="0"/>
              <w:widowControl w:val="0"/>
              <w:kinsoku/>
              <w:wordWrap/>
              <w:overflowPunct/>
              <w:topLinePunct w:val="0"/>
              <w:autoSpaceDE/>
              <w:autoSpaceDN/>
              <w:bidi w:val="0"/>
              <w:adjustRightInd/>
              <w:snapToGrid/>
              <w:spacing w:line="360" w:lineRule="auto"/>
              <w:ind w:firstLine="1200" w:firstLineChars="500"/>
              <w:contextualSpacing/>
              <w:textAlignment w:val="baseline"/>
              <w:rPr>
                <w:rFonts w:hint="default" w:ascii="Times New Roman" w:hAnsi="Times New Roman" w:eastAsia="宋体" w:cs="Times New Roman"/>
                <w:b w:val="0"/>
                <w:bCs w:val="0"/>
                <w:color w:val="auto"/>
                <w:sz w:val="24"/>
                <w:szCs w:val="24"/>
                <w:highlight w:val="none"/>
                <w:u w:val="none"/>
                <w:lang w:val="en-US" w:eastAsia="zh-CN"/>
              </w:rPr>
            </w:pPr>
            <w:r>
              <w:rPr>
                <w:rFonts w:hint="eastAsia" w:ascii="Times New Roman" w:hAnsi="Times New Roman" w:eastAsia="宋体" w:cs="Times New Roman"/>
                <w:b w:val="0"/>
                <w:bCs w:val="0"/>
                <w:color w:val="auto"/>
                <w:sz w:val="24"/>
                <w:szCs w:val="24"/>
                <w:highlight w:val="none"/>
                <w:u w:val="none"/>
                <w:lang w:val="en-US" w:eastAsia="zh-CN"/>
              </w:rPr>
              <w:t>H</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罩口至污染源的距离，m，本次评价取0.</w:t>
            </w:r>
            <w:r>
              <w:rPr>
                <w:rFonts w:hint="eastAsia" w:cs="Times New Roman"/>
                <w:b w:val="0"/>
                <w:bCs w:val="0"/>
                <w:color w:val="auto"/>
                <w:sz w:val="24"/>
                <w:szCs w:val="24"/>
                <w:highlight w:val="none"/>
                <w:u w:val="none"/>
                <w:lang w:val="en-US" w:eastAsia="zh-CN"/>
              </w:rPr>
              <w:t>4</w:t>
            </w:r>
            <w:r>
              <w:rPr>
                <w:rFonts w:hint="eastAsia" w:ascii="Times New Roman" w:hAnsi="Times New Roman" w:eastAsia="宋体" w:cs="Times New Roman"/>
                <w:b w:val="0"/>
                <w:bCs w:val="0"/>
                <w:color w:val="auto"/>
                <w:sz w:val="24"/>
                <w:szCs w:val="24"/>
                <w:highlight w:val="none"/>
                <w:u w:val="none"/>
                <w:lang w:val="en-US" w:eastAsia="zh-CN"/>
              </w:rPr>
              <w:t>m。</w:t>
            </w:r>
          </w:p>
          <w:p w14:paraId="3A7EB4FF">
            <w:pPr>
              <w:pStyle w:val="23"/>
              <w:keepNext w:val="0"/>
              <w:keepLines w:val="0"/>
              <w:pageBreakBefore w:val="0"/>
              <w:widowControl w:val="0"/>
              <w:kinsoku/>
              <w:wordWrap/>
              <w:overflowPunct/>
              <w:topLinePunct w:val="0"/>
              <w:autoSpaceDE/>
              <w:autoSpaceDN/>
              <w:bidi w:val="0"/>
              <w:adjustRightInd/>
              <w:snapToGrid/>
              <w:ind w:left="357" w:leftChars="170" w:firstLine="720" w:firstLineChars="300"/>
              <w:jc w:val="both"/>
              <w:textAlignment w:val="auto"/>
              <w:rPr>
                <w:rFonts w:hint="eastAsia" w:ascii="Times New Roman" w:hAnsi="Times New Roman" w:eastAsia="宋体" w:cs="Times New Roman"/>
                <w:b w:val="0"/>
                <w:bCs w:val="0"/>
                <w:color w:val="auto"/>
                <w:sz w:val="24"/>
                <w:szCs w:val="24"/>
                <w:highlight w:val="none"/>
                <w:u w:val="none"/>
                <w:lang w:eastAsia="zh-CN"/>
              </w:rPr>
            </w:pPr>
            <w:r>
              <w:rPr>
                <w:rFonts w:hint="default" w:ascii="Times New Roman" w:hAnsi="Times New Roman" w:cs="Times New Roman"/>
                <w:b w:val="0"/>
                <w:bCs w:val="0"/>
                <w:color w:val="auto"/>
                <w:sz w:val="24"/>
                <w:szCs w:val="24"/>
                <w:highlight w:val="none"/>
                <w:u w:val="none"/>
                <w:lang w:val="en-US" w:eastAsia="zh-CN"/>
              </w:rPr>
              <w:t>ν</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敞开断面处流速，</w:t>
            </w:r>
            <w:r>
              <w:rPr>
                <w:rFonts w:hint="default" w:ascii="Times New Roman" w:hAnsi="Times New Roman" w:eastAsia="宋体" w:cs="Times New Roman"/>
                <w:b w:val="0"/>
                <w:bCs w:val="0"/>
                <w:color w:val="auto"/>
                <w:sz w:val="24"/>
                <w:szCs w:val="24"/>
                <w:highlight w:val="none"/>
                <w:u w:val="none"/>
              </w:rPr>
              <w:t>m/s</w:t>
            </w:r>
            <w:r>
              <w:rPr>
                <w:rFonts w:hint="eastAsia" w:ascii="Times New Roman" w:hAnsi="Times New Roman" w:eastAsia="宋体" w:cs="Times New Roman"/>
                <w:b w:val="0"/>
                <w:bCs w:val="0"/>
                <w:color w:val="auto"/>
                <w:sz w:val="24"/>
                <w:szCs w:val="24"/>
                <w:highlight w:val="none"/>
                <w:u w:val="none"/>
                <w:lang w:val="en-US" w:eastAsia="zh-CN"/>
              </w:rPr>
              <w:t>。</w:t>
            </w:r>
            <w:r>
              <w:rPr>
                <w:rFonts w:hint="default" w:ascii="Times New Roman" w:hAnsi="Times New Roman" w:eastAsia="宋体" w:cs="Times New Roman"/>
                <w:b w:val="0"/>
                <w:bCs w:val="0"/>
                <w:color w:val="auto"/>
                <w:sz w:val="24"/>
                <w:szCs w:val="24"/>
                <w:highlight w:val="none"/>
                <w:u w:val="none"/>
              </w:rPr>
              <w:t>一般取0.</w:t>
            </w:r>
            <w:r>
              <w:rPr>
                <w:rFonts w:hint="eastAsia" w:ascii="Times New Roman" w:hAnsi="Times New Roman" w:eastAsia="宋体" w:cs="Times New Roman"/>
                <w:b w:val="0"/>
                <w:bCs w:val="0"/>
                <w:color w:val="auto"/>
                <w:sz w:val="24"/>
                <w:szCs w:val="24"/>
                <w:highlight w:val="none"/>
                <w:u w:val="none"/>
                <w:lang w:val="en-US" w:eastAsia="zh-CN"/>
              </w:rPr>
              <w:t>5</w:t>
            </w:r>
            <w:r>
              <w:rPr>
                <w:rFonts w:hint="default" w:ascii="Times New Roman" w:hAnsi="Times New Roman" w:eastAsia="宋体" w:cs="Times New Roman"/>
                <w:b w:val="0"/>
                <w:bCs w:val="0"/>
                <w:color w:val="auto"/>
                <w:sz w:val="24"/>
                <w:szCs w:val="24"/>
                <w:highlight w:val="none"/>
                <w:u w:val="none"/>
              </w:rPr>
              <w:t>~</w:t>
            </w:r>
            <w:r>
              <w:rPr>
                <w:rFonts w:hint="eastAsia" w:ascii="Times New Roman" w:hAnsi="Times New Roman" w:eastAsia="宋体" w:cs="Times New Roman"/>
                <w:b w:val="0"/>
                <w:bCs w:val="0"/>
                <w:color w:val="auto"/>
                <w:sz w:val="24"/>
                <w:szCs w:val="24"/>
                <w:highlight w:val="none"/>
                <w:u w:val="none"/>
                <w:lang w:val="en-US" w:eastAsia="zh-CN"/>
              </w:rPr>
              <w:t>1.25，</w:t>
            </w:r>
            <w:r>
              <w:rPr>
                <w:rFonts w:hint="eastAsia" w:ascii="Times New Roman" w:hAnsi="Times New Roman" w:cs="Times New Roman"/>
                <w:b w:val="0"/>
                <w:bCs w:val="0"/>
                <w:color w:val="auto"/>
                <w:sz w:val="24"/>
                <w:szCs w:val="24"/>
                <w:highlight w:val="none"/>
                <w:u w:val="none"/>
                <w:lang w:eastAsia="zh-CN"/>
              </w:rPr>
              <w:t>本</w:t>
            </w:r>
            <w:r>
              <w:rPr>
                <w:rFonts w:hint="eastAsia" w:ascii="Times New Roman" w:hAnsi="Times New Roman" w:cs="Times New Roman"/>
                <w:b w:val="0"/>
                <w:bCs w:val="0"/>
                <w:color w:val="auto"/>
                <w:sz w:val="24"/>
                <w:szCs w:val="24"/>
                <w:highlight w:val="none"/>
                <w:u w:val="none"/>
                <w:lang w:val="en-US" w:eastAsia="zh-CN"/>
              </w:rPr>
              <w:t>次</w:t>
            </w:r>
            <w:r>
              <w:rPr>
                <w:rFonts w:hint="eastAsia" w:ascii="Times New Roman" w:hAnsi="Times New Roman" w:eastAsia="宋体" w:cs="Times New Roman"/>
                <w:b w:val="0"/>
                <w:bCs w:val="0"/>
                <w:color w:val="auto"/>
                <w:sz w:val="24"/>
                <w:szCs w:val="24"/>
                <w:highlight w:val="none"/>
                <w:u w:val="none"/>
                <w:lang w:eastAsia="zh-CN"/>
              </w:rPr>
              <w:t>取</w:t>
            </w:r>
            <w:r>
              <w:rPr>
                <w:rFonts w:hint="eastAsia" w:ascii="Times New Roman" w:hAnsi="Times New Roman" w:eastAsia="宋体" w:cs="Times New Roman"/>
                <w:b w:val="0"/>
                <w:bCs w:val="0"/>
                <w:color w:val="auto"/>
                <w:sz w:val="24"/>
                <w:szCs w:val="24"/>
                <w:highlight w:val="none"/>
                <w:u w:val="none"/>
                <w:lang w:val="en-US" w:eastAsia="zh-CN"/>
              </w:rPr>
              <w:t>1.0</w:t>
            </w:r>
            <w:r>
              <w:rPr>
                <w:rFonts w:hint="eastAsia" w:ascii="Times New Roman" w:hAnsi="Times New Roman" w:eastAsia="宋体" w:cs="Times New Roman"/>
                <w:b w:val="0"/>
                <w:bCs w:val="0"/>
                <w:color w:val="auto"/>
                <w:sz w:val="24"/>
                <w:szCs w:val="24"/>
                <w:highlight w:val="none"/>
                <w:u w:val="none"/>
                <w:lang w:eastAsia="zh-CN"/>
              </w:rPr>
              <w:t>。</w:t>
            </w:r>
          </w:p>
          <w:p w14:paraId="380E8FFE">
            <w:pPr>
              <w:keepNext w:val="0"/>
              <w:keepLines w:val="0"/>
              <w:widowControl/>
              <w:suppressLineNumbers w:val="0"/>
              <w:spacing w:line="360" w:lineRule="auto"/>
              <w:ind w:firstLine="480" w:firstLineChars="200"/>
              <w:jc w:val="left"/>
              <w:rPr>
                <w:rFonts w:hint="eastAsia" w:ascii="宋体" w:hAnsi="宋体" w:eastAsia="宋体" w:cs="宋体"/>
                <w:b w:val="0"/>
                <w:bCs w:val="0"/>
                <w:color w:val="000000"/>
                <w:kern w:val="0"/>
                <w:sz w:val="24"/>
                <w:szCs w:val="24"/>
                <w:lang w:val="en-US" w:eastAsia="zh-CN" w:bidi="ar"/>
              </w:rPr>
            </w:pPr>
            <w:r>
              <w:rPr>
                <w:rFonts w:hint="eastAsia" w:ascii="Times New Roman" w:hAnsi="Times New Roman" w:eastAsia="宋体" w:cs="Times New Roman"/>
                <w:b w:val="0"/>
                <w:bCs w:val="0"/>
                <w:sz w:val="24"/>
                <w:highlight w:val="none"/>
                <w:u w:val="none"/>
                <w:lang w:val="en-US" w:eastAsia="zh-CN"/>
              </w:rPr>
              <w:t>本项目中空线共设置8个集气罩，每个集气罩风量为</w:t>
            </w:r>
            <w:r>
              <w:rPr>
                <w:rFonts w:hint="eastAsia" w:cs="Times New Roman"/>
                <w:b w:val="0"/>
                <w:bCs w:val="0"/>
                <w:sz w:val="24"/>
                <w:highlight w:val="none"/>
                <w:u w:val="none"/>
                <w:lang w:val="en-US" w:eastAsia="zh-CN"/>
              </w:rPr>
              <w:t>6048</w:t>
            </w:r>
            <w:r>
              <w:rPr>
                <w:rFonts w:hint="eastAsia" w:ascii="Times New Roman" w:hAnsi="Times New Roman" w:eastAsia="宋体" w:cs="Times New Roman"/>
                <w:b w:val="0"/>
                <w:bCs w:val="0"/>
                <w:sz w:val="24"/>
                <w:highlight w:val="none"/>
                <w:u w:val="none"/>
                <w:lang w:val="en-US" w:eastAsia="zh-CN"/>
              </w:rPr>
              <w:t>m</w:t>
            </w:r>
            <w:r>
              <w:rPr>
                <w:rFonts w:hint="eastAsia" w:ascii="Times New Roman" w:hAnsi="Times New Roman" w:eastAsia="宋体" w:cs="Times New Roman"/>
                <w:b w:val="0"/>
                <w:bCs w:val="0"/>
                <w:sz w:val="24"/>
                <w:highlight w:val="none"/>
                <w:u w:val="none"/>
                <w:vertAlign w:val="superscript"/>
                <w:lang w:val="en-US" w:eastAsia="zh-CN"/>
              </w:rPr>
              <w:t>3</w:t>
            </w:r>
            <w:r>
              <w:rPr>
                <w:rFonts w:hint="eastAsia" w:ascii="Times New Roman" w:hAnsi="Times New Roman" w:eastAsia="宋体" w:cs="Times New Roman"/>
                <w:b w:val="0"/>
                <w:bCs w:val="0"/>
                <w:sz w:val="24"/>
                <w:highlight w:val="none"/>
                <w:u w:val="none"/>
                <w:lang w:val="en-US" w:eastAsia="zh-CN"/>
              </w:rPr>
              <w:t>/h，按</w:t>
            </w:r>
            <w:r>
              <w:rPr>
                <w:rFonts w:hint="eastAsia" w:cs="Times New Roman"/>
                <w:b w:val="0"/>
                <w:bCs w:val="0"/>
                <w:sz w:val="24"/>
                <w:highlight w:val="none"/>
                <w:u w:val="none"/>
                <w:lang w:val="en-US" w:eastAsia="zh-CN"/>
              </w:rPr>
              <w:t>61</w:t>
            </w:r>
            <w:r>
              <w:rPr>
                <w:rFonts w:hint="eastAsia" w:ascii="Times New Roman" w:hAnsi="Times New Roman" w:eastAsia="宋体" w:cs="Times New Roman"/>
                <w:b w:val="0"/>
                <w:bCs w:val="0"/>
                <w:sz w:val="24"/>
                <w:highlight w:val="none"/>
                <w:u w:val="none"/>
                <w:lang w:val="en-US" w:eastAsia="zh-CN"/>
              </w:rPr>
              <w:t>00m</w:t>
            </w:r>
            <w:r>
              <w:rPr>
                <w:rFonts w:hint="eastAsia" w:ascii="Times New Roman" w:hAnsi="Times New Roman" w:eastAsia="宋体" w:cs="Times New Roman"/>
                <w:b w:val="0"/>
                <w:bCs w:val="0"/>
                <w:sz w:val="24"/>
                <w:highlight w:val="none"/>
                <w:u w:val="none"/>
                <w:vertAlign w:val="superscript"/>
                <w:lang w:val="en-US" w:eastAsia="zh-CN"/>
              </w:rPr>
              <w:t>3</w:t>
            </w:r>
            <w:r>
              <w:rPr>
                <w:rFonts w:hint="eastAsia" w:ascii="Times New Roman" w:hAnsi="Times New Roman" w:eastAsia="宋体" w:cs="Times New Roman"/>
                <w:b w:val="0"/>
                <w:bCs w:val="0"/>
                <w:sz w:val="24"/>
                <w:highlight w:val="none"/>
                <w:u w:val="none"/>
                <w:lang w:val="en-US" w:eastAsia="zh-CN"/>
              </w:rPr>
              <w:t>/h计。</w:t>
            </w:r>
            <w:r>
              <w:rPr>
                <w:rFonts w:hint="eastAsia" w:ascii="宋体" w:hAnsi="宋体" w:eastAsia="宋体" w:cs="宋体"/>
                <w:b w:val="0"/>
                <w:bCs w:val="0"/>
                <w:color w:val="000000"/>
                <w:kern w:val="0"/>
                <w:sz w:val="24"/>
                <w:szCs w:val="24"/>
                <w:lang w:val="en-US" w:eastAsia="zh-CN" w:bidi="ar"/>
              </w:rPr>
              <w:t xml:space="preserve">根据建设单位提供资料，集气罩收集效率不低于 </w:t>
            </w:r>
            <w:r>
              <w:rPr>
                <w:rFonts w:hint="default" w:ascii="Times New Roman" w:hAnsi="Times New Roman" w:eastAsia="宋体" w:cs="Times New Roman"/>
                <w:b w:val="0"/>
                <w:bCs w:val="0"/>
                <w:color w:val="000000"/>
                <w:kern w:val="0"/>
                <w:sz w:val="24"/>
                <w:szCs w:val="24"/>
                <w:lang w:val="en-US" w:eastAsia="zh-CN" w:bidi="ar"/>
              </w:rPr>
              <w:t>95%</w:t>
            </w:r>
            <w:r>
              <w:rPr>
                <w:rFonts w:hint="eastAsia" w:ascii="宋体" w:hAnsi="宋体" w:eastAsia="宋体" w:cs="宋体"/>
                <w:b w:val="0"/>
                <w:bCs w:val="0"/>
                <w:color w:val="000000"/>
                <w:kern w:val="0"/>
                <w:sz w:val="24"/>
                <w:szCs w:val="24"/>
                <w:lang w:val="en-US" w:eastAsia="zh-CN" w:bidi="ar"/>
              </w:rPr>
              <w:t>，</w:t>
            </w:r>
            <w:r>
              <w:rPr>
                <w:rFonts w:hint="eastAsia" w:ascii="宋体" w:hAnsi="宋体" w:cs="宋体"/>
                <w:b w:val="0"/>
                <w:bCs w:val="0"/>
                <w:color w:val="000000"/>
                <w:kern w:val="0"/>
                <w:sz w:val="24"/>
                <w:szCs w:val="24"/>
                <w:lang w:val="en-US" w:eastAsia="zh-CN" w:bidi="ar"/>
              </w:rPr>
              <w:t>每条中空线</w:t>
            </w:r>
            <w:r>
              <w:rPr>
                <w:rFonts w:hint="eastAsia" w:ascii="宋体" w:hAnsi="宋体" w:eastAsia="宋体" w:cs="宋体"/>
                <w:b w:val="0"/>
                <w:bCs w:val="0"/>
                <w:color w:val="000000"/>
                <w:kern w:val="0"/>
                <w:sz w:val="24"/>
                <w:szCs w:val="24"/>
                <w:lang w:val="en-US" w:eastAsia="zh-CN" w:bidi="ar"/>
              </w:rPr>
              <w:t>配套风机风量为</w:t>
            </w:r>
            <w:r>
              <w:rPr>
                <w:rFonts w:hint="default" w:ascii="Times New Roman" w:hAnsi="Times New Roman" w:eastAsia="宋体" w:cs="Times New Roman"/>
                <w:b w:val="0"/>
                <w:bCs w:val="0"/>
                <w:color w:val="000000"/>
                <w:kern w:val="0"/>
                <w:sz w:val="24"/>
                <w:szCs w:val="24"/>
                <w:lang w:val="en-US" w:eastAsia="zh-CN" w:bidi="ar"/>
              </w:rPr>
              <w:t>1</w:t>
            </w:r>
            <w:r>
              <w:rPr>
                <w:rFonts w:hint="eastAsia" w:cs="Times New Roman"/>
                <w:b w:val="0"/>
                <w:bCs w:val="0"/>
                <w:color w:val="000000"/>
                <w:kern w:val="0"/>
                <w:sz w:val="24"/>
                <w:szCs w:val="24"/>
                <w:lang w:val="en-US" w:eastAsia="zh-CN" w:bidi="ar"/>
              </w:rPr>
              <w:t>22</w:t>
            </w:r>
            <w:r>
              <w:rPr>
                <w:rFonts w:hint="default" w:ascii="Times New Roman" w:hAnsi="Times New Roman" w:eastAsia="宋体" w:cs="Times New Roman"/>
                <w:b w:val="0"/>
                <w:bCs w:val="0"/>
                <w:color w:val="000000"/>
                <w:kern w:val="0"/>
                <w:sz w:val="24"/>
                <w:szCs w:val="24"/>
                <w:lang w:val="en-US" w:eastAsia="zh-CN" w:bidi="ar"/>
              </w:rPr>
              <w:t>00m</w:t>
            </w:r>
            <w:r>
              <w:rPr>
                <w:rFonts w:hint="default" w:ascii="Times New Roman" w:hAnsi="Times New Roman" w:eastAsia="宋体" w:cs="Times New Roman"/>
                <w:b w:val="0"/>
                <w:bCs w:val="0"/>
                <w:color w:val="000000"/>
                <w:kern w:val="0"/>
                <w:sz w:val="24"/>
                <w:szCs w:val="24"/>
                <w:vertAlign w:val="superscript"/>
                <w:lang w:val="en-US" w:eastAsia="zh-CN" w:bidi="ar"/>
              </w:rPr>
              <w:t>3</w:t>
            </w:r>
            <w:r>
              <w:rPr>
                <w:rFonts w:hint="default" w:ascii="Times New Roman" w:hAnsi="Times New Roman" w:eastAsia="宋体" w:cs="Times New Roman"/>
                <w:b w:val="0"/>
                <w:bCs w:val="0"/>
                <w:color w:val="000000"/>
                <w:kern w:val="0"/>
                <w:sz w:val="24"/>
                <w:szCs w:val="24"/>
                <w:lang w:val="en-US" w:eastAsia="zh-CN" w:bidi="ar"/>
              </w:rPr>
              <w:t xml:space="preserve"> /h</w:t>
            </w:r>
            <w:r>
              <w:rPr>
                <w:rFonts w:hint="eastAsia" w:ascii="宋体" w:hAnsi="宋体" w:eastAsia="宋体" w:cs="宋体"/>
                <w:b w:val="0"/>
                <w:bCs w:val="0"/>
                <w:color w:val="000000"/>
                <w:kern w:val="0"/>
                <w:sz w:val="24"/>
                <w:szCs w:val="24"/>
                <w:lang w:val="en-US" w:eastAsia="zh-CN" w:bidi="ar"/>
              </w:rPr>
              <w:t>，</w:t>
            </w:r>
            <w:r>
              <w:rPr>
                <w:rFonts w:hint="eastAsia" w:ascii="宋体" w:hAnsi="宋体" w:cs="宋体"/>
                <w:b w:val="0"/>
                <w:bCs w:val="0"/>
                <w:color w:val="000000"/>
                <w:kern w:val="0"/>
                <w:sz w:val="24"/>
                <w:szCs w:val="24"/>
                <w:lang w:val="en-US" w:eastAsia="zh-CN" w:bidi="ar"/>
              </w:rPr>
              <w:t>两级活性炭吸附装置</w:t>
            </w:r>
            <w:r>
              <w:rPr>
                <w:rFonts w:hint="default" w:ascii="Times New Roman" w:hAnsi="Times New Roman" w:eastAsia="宋体" w:cs="Times New Roman"/>
                <w:b w:val="0"/>
                <w:bCs w:val="0"/>
                <w:color w:val="000000"/>
                <w:kern w:val="0"/>
                <w:sz w:val="24"/>
                <w:szCs w:val="24"/>
                <w:lang w:val="en-US" w:eastAsia="zh-CN" w:bidi="ar"/>
              </w:rPr>
              <w:t>处理效率不低于</w:t>
            </w:r>
            <w:r>
              <w:rPr>
                <w:rFonts w:hint="default" w:ascii="Times New Roman" w:hAnsi="Times New Roman" w:cs="Times New Roman"/>
                <w:b w:val="0"/>
                <w:bCs w:val="0"/>
                <w:color w:val="000000"/>
                <w:kern w:val="0"/>
                <w:sz w:val="24"/>
                <w:szCs w:val="24"/>
                <w:lang w:val="en-US" w:eastAsia="zh-CN" w:bidi="ar"/>
              </w:rPr>
              <w:t>90</w:t>
            </w:r>
            <w:r>
              <w:rPr>
                <w:rFonts w:hint="default" w:ascii="Times New Roman" w:hAnsi="Times New Roman" w:eastAsia="宋体" w:cs="Times New Roman"/>
                <w:b w:val="0"/>
                <w:bCs w:val="0"/>
                <w:color w:val="000000"/>
                <w:kern w:val="0"/>
                <w:sz w:val="24"/>
                <w:szCs w:val="24"/>
                <w:lang w:val="en-US" w:eastAsia="zh-CN" w:bidi="ar"/>
              </w:rPr>
              <w:t>%</w:t>
            </w:r>
            <w:r>
              <w:rPr>
                <w:rFonts w:hint="eastAsia" w:ascii="宋体" w:hAnsi="宋体" w:cs="宋体"/>
                <w:b w:val="0"/>
                <w:bCs w:val="0"/>
                <w:color w:val="000000"/>
                <w:kern w:val="0"/>
                <w:sz w:val="24"/>
                <w:szCs w:val="24"/>
                <w:lang w:val="en-US" w:eastAsia="zh-CN" w:bidi="ar"/>
              </w:rPr>
              <w:t>。</w:t>
            </w:r>
            <w:r>
              <w:rPr>
                <w:rFonts w:hint="eastAsia" w:ascii="宋体" w:hAnsi="宋体" w:eastAsia="宋体" w:cs="宋体"/>
                <w:b w:val="0"/>
                <w:bCs w:val="0"/>
                <w:color w:val="000000"/>
                <w:kern w:val="0"/>
                <w:sz w:val="24"/>
                <w:szCs w:val="24"/>
                <w:lang w:val="en-US" w:eastAsia="zh-CN" w:bidi="ar"/>
              </w:rPr>
              <w:t>则</w:t>
            </w:r>
            <w:r>
              <w:rPr>
                <w:rFonts w:hint="eastAsia" w:ascii="宋体" w:hAnsi="宋体" w:cs="宋体"/>
                <w:b w:val="0"/>
                <w:bCs w:val="0"/>
                <w:color w:val="000000"/>
                <w:kern w:val="0"/>
                <w:sz w:val="24"/>
                <w:szCs w:val="24"/>
                <w:lang w:val="en-US" w:eastAsia="zh-CN" w:bidi="ar"/>
              </w:rPr>
              <w:t>单条中空线</w:t>
            </w:r>
            <w:r>
              <w:rPr>
                <w:rFonts w:hint="eastAsia" w:ascii="宋体" w:hAnsi="宋体" w:eastAsia="宋体" w:cs="宋体"/>
                <w:b w:val="0"/>
                <w:bCs w:val="0"/>
                <w:color w:val="000000"/>
                <w:kern w:val="0"/>
                <w:sz w:val="24"/>
                <w:szCs w:val="24"/>
                <w:lang w:val="en-US" w:eastAsia="zh-CN" w:bidi="ar"/>
              </w:rPr>
              <w:t>有组织非甲烷总烃产生量为</w:t>
            </w:r>
            <w:r>
              <w:rPr>
                <w:rFonts w:hint="eastAsia" w:cs="Times New Roman"/>
                <w:b w:val="0"/>
                <w:bCs w:val="0"/>
                <w:color w:val="000000"/>
                <w:kern w:val="0"/>
                <w:sz w:val="24"/>
                <w:szCs w:val="24"/>
                <w:lang w:val="en-US" w:eastAsia="zh-CN" w:bidi="ar"/>
              </w:rPr>
              <w:t>0.4418</w:t>
            </w:r>
            <w:r>
              <w:rPr>
                <w:rFonts w:hint="default" w:ascii="Times New Roman" w:hAnsi="Times New Roman" w:eastAsia="宋体" w:cs="Times New Roman"/>
                <w:b w:val="0"/>
                <w:bCs w:val="0"/>
                <w:color w:val="000000"/>
                <w:kern w:val="0"/>
                <w:sz w:val="24"/>
                <w:szCs w:val="24"/>
                <w:lang w:val="en-US" w:eastAsia="zh-CN" w:bidi="ar"/>
              </w:rPr>
              <w:t>t/a</w:t>
            </w:r>
            <w:r>
              <w:rPr>
                <w:rFonts w:hint="eastAsia" w:ascii="宋体" w:hAnsi="宋体" w:eastAsia="宋体" w:cs="宋体"/>
                <w:b w:val="0"/>
                <w:bCs w:val="0"/>
                <w:color w:val="000000"/>
                <w:kern w:val="0"/>
                <w:sz w:val="24"/>
                <w:szCs w:val="24"/>
                <w:lang w:val="en-US" w:eastAsia="zh-CN" w:bidi="ar"/>
              </w:rPr>
              <w:t>、</w:t>
            </w:r>
            <w:r>
              <w:rPr>
                <w:rFonts w:hint="eastAsia" w:ascii="宋体" w:hAnsi="宋体" w:cs="宋体"/>
                <w:b w:val="0"/>
                <w:bCs w:val="0"/>
                <w:color w:val="000000"/>
                <w:kern w:val="0"/>
                <w:sz w:val="24"/>
                <w:szCs w:val="24"/>
                <w:lang w:val="en-US" w:eastAsia="zh-CN" w:bidi="ar"/>
              </w:rPr>
              <w:t>产生速率为</w:t>
            </w:r>
            <w:r>
              <w:rPr>
                <w:rFonts w:hint="eastAsia" w:cs="Times New Roman"/>
                <w:b w:val="0"/>
                <w:bCs w:val="0"/>
                <w:color w:val="000000"/>
                <w:kern w:val="0"/>
                <w:sz w:val="24"/>
                <w:szCs w:val="24"/>
                <w:lang w:val="en-US" w:eastAsia="zh-CN" w:bidi="ar"/>
              </w:rPr>
              <w:t>0.37</w:t>
            </w:r>
            <w:r>
              <w:rPr>
                <w:rFonts w:hint="default" w:ascii="Times New Roman" w:hAnsi="Times New Roman" w:eastAsia="宋体" w:cs="Times New Roman"/>
                <w:b w:val="0"/>
                <w:bCs w:val="0"/>
                <w:color w:val="000000"/>
                <w:kern w:val="0"/>
                <w:sz w:val="24"/>
                <w:szCs w:val="24"/>
                <w:lang w:val="en-US" w:eastAsia="zh-CN" w:bidi="ar"/>
              </w:rPr>
              <w:t>kg/h</w:t>
            </w:r>
            <w:r>
              <w:rPr>
                <w:rFonts w:hint="eastAsia" w:ascii="宋体" w:hAnsi="宋体" w:eastAsia="宋体" w:cs="宋体"/>
                <w:b w:val="0"/>
                <w:bCs w:val="0"/>
                <w:color w:val="000000"/>
                <w:kern w:val="0"/>
                <w:sz w:val="24"/>
                <w:szCs w:val="24"/>
                <w:lang w:val="en-US" w:eastAsia="zh-CN" w:bidi="ar"/>
              </w:rPr>
              <w:t>，产生浓度为</w:t>
            </w:r>
            <w:r>
              <w:rPr>
                <w:rFonts w:hint="eastAsia" w:cs="Times New Roman"/>
                <w:b w:val="0"/>
                <w:bCs w:val="0"/>
                <w:color w:val="000000"/>
                <w:kern w:val="0"/>
                <w:sz w:val="24"/>
                <w:szCs w:val="24"/>
                <w:lang w:val="en-US" w:eastAsia="zh-CN" w:bidi="ar"/>
              </w:rPr>
              <w:t>30.3</w:t>
            </w:r>
            <w:r>
              <w:rPr>
                <w:rFonts w:hint="default" w:ascii="Times New Roman" w:hAnsi="Times New Roman" w:eastAsia="宋体" w:cs="Times New Roman"/>
                <w:b w:val="0"/>
                <w:bCs w:val="0"/>
                <w:color w:val="000000"/>
                <w:kern w:val="0"/>
                <w:sz w:val="24"/>
                <w:szCs w:val="24"/>
                <w:lang w:val="en-US" w:eastAsia="zh-CN" w:bidi="ar"/>
              </w:rPr>
              <w:t>mg/m</w:t>
            </w:r>
            <w:r>
              <w:rPr>
                <w:rFonts w:hint="default" w:ascii="Times New Roman" w:hAnsi="Times New Roman" w:eastAsia="宋体" w:cs="Times New Roman"/>
                <w:b w:val="0"/>
                <w:bCs w:val="0"/>
                <w:color w:val="000000"/>
                <w:kern w:val="0"/>
                <w:sz w:val="24"/>
                <w:szCs w:val="24"/>
                <w:vertAlign w:val="superscript"/>
                <w:lang w:val="en-US" w:eastAsia="zh-CN" w:bidi="ar"/>
              </w:rPr>
              <w:t>3</w:t>
            </w:r>
            <w:r>
              <w:rPr>
                <w:rFonts w:hint="eastAsia" w:ascii="宋体" w:hAnsi="宋体" w:eastAsia="宋体" w:cs="宋体"/>
                <w:b w:val="0"/>
                <w:bCs w:val="0"/>
                <w:color w:val="000000"/>
                <w:kern w:val="0"/>
                <w:sz w:val="24"/>
                <w:szCs w:val="24"/>
                <w:lang w:val="en-US" w:eastAsia="zh-CN" w:bidi="ar"/>
              </w:rPr>
              <w:t>，有组织非甲烷总烃排放量为</w:t>
            </w:r>
            <w:r>
              <w:rPr>
                <w:rFonts w:hint="eastAsia" w:cs="Times New Roman"/>
                <w:b w:val="0"/>
                <w:bCs w:val="0"/>
                <w:color w:val="000000"/>
                <w:kern w:val="0"/>
                <w:sz w:val="24"/>
                <w:szCs w:val="24"/>
                <w:lang w:val="en-US" w:eastAsia="zh-CN" w:bidi="ar"/>
              </w:rPr>
              <w:t>0.0442</w:t>
            </w:r>
            <w:r>
              <w:rPr>
                <w:rFonts w:hint="default" w:ascii="Times New Roman" w:hAnsi="Times New Roman" w:eastAsia="宋体" w:cs="Times New Roman"/>
                <w:b w:val="0"/>
                <w:bCs w:val="0"/>
                <w:color w:val="000000"/>
                <w:kern w:val="0"/>
                <w:sz w:val="24"/>
                <w:szCs w:val="24"/>
                <w:lang w:val="en-US" w:eastAsia="zh-CN" w:bidi="ar"/>
              </w:rPr>
              <w:t>t/a</w:t>
            </w:r>
            <w:r>
              <w:rPr>
                <w:rFonts w:hint="eastAsia" w:ascii="宋体" w:hAnsi="宋体" w:eastAsia="宋体" w:cs="宋体"/>
                <w:b w:val="0"/>
                <w:bCs w:val="0"/>
                <w:color w:val="000000"/>
                <w:kern w:val="0"/>
                <w:sz w:val="24"/>
                <w:szCs w:val="24"/>
                <w:lang w:val="en-US" w:eastAsia="zh-CN" w:bidi="ar"/>
              </w:rPr>
              <w:t>、</w:t>
            </w:r>
            <w:r>
              <w:rPr>
                <w:rFonts w:hint="default" w:ascii="Times New Roman" w:hAnsi="Times New Roman" w:eastAsia="宋体" w:cs="Times New Roman"/>
                <w:b w:val="0"/>
                <w:bCs w:val="0"/>
                <w:color w:val="000000"/>
                <w:kern w:val="0"/>
                <w:sz w:val="24"/>
                <w:szCs w:val="24"/>
                <w:lang w:val="en-US" w:eastAsia="zh-CN" w:bidi="ar"/>
              </w:rPr>
              <w:t>0.</w:t>
            </w:r>
            <w:r>
              <w:rPr>
                <w:rFonts w:hint="eastAsia" w:cs="Times New Roman"/>
                <w:b w:val="0"/>
                <w:bCs w:val="0"/>
                <w:color w:val="000000"/>
                <w:kern w:val="0"/>
                <w:sz w:val="24"/>
                <w:szCs w:val="24"/>
                <w:lang w:val="en-US" w:eastAsia="zh-CN" w:bidi="ar"/>
              </w:rPr>
              <w:t>037</w:t>
            </w:r>
            <w:r>
              <w:rPr>
                <w:rFonts w:hint="default" w:ascii="Times New Roman" w:hAnsi="Times New Roman" w:eastAsia="宋体" w:cs="Times New Roman"/>
                <w:b w:val="0"/>
                <w:bCs w:val="0"/>
                <w:color w:val="000000"/>
                <w:kern w:val="0"/>
                <w:sz w:val="24"/>
                <w:szCs w:val="24"/>
                <w:lang w:val="en-US" w:eastAsia="zh-CN" w:bidi="ar"/>
              </w:rPr>
              <w:t>kg/h</w:t>
            </w:r>
            <w:r>
              <w:rPr>
                <w:rFonts w:hint="eastAsia" w:ascii="宋体" w:hAnsi="宋体" w:eastAsia="宋体" w:cs="宋体"/>
                <w:b w:val="0"/>
                <w:bCs w:val="0"/>
                <w:color w:val="000000"/>
                <w:kern w:val="0"/>
                <w:sz w:val="24"/>
                <w:szCs w:val="24"/>
                <w:lang w:val="en-US" w:eastAsia="zh-CN" w:bidi="ar"/>
              </w:rPr>
              <w:t>，排放浓度为</w:t>
            </w:r>
            <w:r>
              <w:rPr>
                <w:rFonts w:hint="eastAsia" w:cs="Times New Roman"/>
                <w:b w:val="0"/>
                <w:bCs w:val="0"/>
                <w:color w:val="000000"/>
                <w:kern w:val="0"/>
                <w:sz w:val="24"/>
                <w:szCs w:val="24"/>
                <w:lang w:val="en-US" w:eastAsia="zh-CN" w:bidi="ar"/>
              </w:rPr>
              <w:t>3.03</w:t>
            </w:r>
            <w:r>
              <w:rPr>
                <w:rFonts w:hint="default" w:ascii="Times New Roman" w:hAnsi="Times New Roman" w:eastAsia="宋体" w:cs="Times New Roman"/>
                <w:b w:val="0"/>
                <w:bCs w:val="0"/>
                <w:color w:val="000000"/>
                <w:kern w:val="0"/>
                <w:sz w:val="24"/>
                <w:szCs w:val="24"/>
                <w:lang w:val="en-US" w:eastAsia="zh-CN" w:bidi="ar"/>
              </w:rPr>
              <w:t>mg/m</w:t>
            </w:r>
            <w:r>
              <w:rPr>
                <w:rFonts w:hint="default" w:ascii="Times New Roman" w:hAnsi="Times New Roman" w:eastAsia="宋体" w:cs="Times New Roman"/>
                <w:b w:val="0"/>
                <w:bCs w:val="0"/>
                <w:color w:val="000000"/>
                <w:kern w:val="0"/>
                <w:sz w:val="24"/>
                <w:szCs w:val="24"/>
                <w:vertAlign w:val="superscript"/>
                <w:lang w:val="en-US" w:eastAsia="zh-CN" w:bidi="ar"/>
              </w:rPr>
              <w:t>3</w:t>
            </w:r>
            <w:r>
              <w:rPr>
                <w:rFonts w:hint="eastAsia" w:ascii="宋体" w:hAnsi="宋体" w:eastAsia="宋体" w:cs="宋体"/>
                <w:b w:val="0"/>
                <w:bCs w:val="0"/>
                <w:color w:val="000000"/>
                <w:kern w:val="0"/>
                <w:sz w:val="24"/>
                <w:szCs w:val="24"/>
                <w:lang w:val="en-US" w:eastAsia="zh-CN" w:bidi="ar"/>
              </w:rPr>
              <w:t>。</w:t>
            </w:r>
            <w:r>
              <w:rPr>
                <w:rFonts w:hint="eastAsia" w:ascii="Times New Roman" w:hAnsi="Times New Roman" w:cs="Times New Roman"/>
                <w:sz w:val="24"/>
                <w:szCs w:val="24"/>
                <w:highlight w:val="none"/>
                <w:lang w:val="en-US" w:eastAsia="zh-CN"/>
              </w:rPr>
              <w:t>排放浓度</w:t>
            </w:r>
            <w:r>
              <w:rPr>
                <w:rFonts w:hint="default" w:ascii="Times New Roman" w:hAnsi="Times New Roman" w:cs="Times New Roman"/>
                <w:sz w:val="24"/>
                <w:szCs w:val="24"/>
                <w:highlight w:val="none"/>
                <w:lang w:val="en-US" w:eastAsia="zh-CN"/>
              </w:rPr>
              <w:t>满足</w:t>
            </w:r>
            <w:r>
              <w:rPr>
                <w:rFonts w:hint="eastAsia"/>
                <w:b w:val="0"/>
                <w:bCs/>
                <w:kern w:val="2"/>
                <w:sz w:val="24"/>
                <w:szCs w:val="24"/>
                <w:highlight w:val="none"/>
                <w:lang w:val="en-US" w:eastAsia="zh-CN" w:bidi="ar-SA"/>
              </w:rPr>
              <w:t>《玻璃工业大气污染物排放标准》（GB26453—2022）表1</w:t>
            </w:r>
            <w:r>
              <w:rPr>
                <w:rFonts w:hint="eastAsia" w:ascii="Times New Roman" w:hAnsi="Times New Roman" w:cs="Times New Roman"/>
                <w:b w:val="0"/>
                <w:bCs w:val="0"/>
                <w:sz w:val="24"/>
                <w:szCs w:val="24"/>
                <w:highlight w:val="none"/>
                <w:u w:val="none"/>
                <w:lang w:val="en-US" w:eastAsia="zh-CN"/>
              </w:rPr>
              <w:t>标准（</w:t>
            </w:r>
            <w:r>
              <w:rPr>
                <w:rFonts w:hint="default" w:ascii="Times New Roman" w:hAnsi="Times New Roman" w:cs="Times New Roman"/>
                <w:sz w:val="24"/>
                <w:szCs w:val="24"/>
                <w:highlight w:val="none"/>
                <w:lang w:val="en-US" w:eastAsia="zh-CN"/>
              </w:rPr>
              <w:t>非甲烷总烃排放浓度≤80mg/m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b w:val="0"/>
                <w:bCs w:val="0"/>
                <w:sz w:val="24"/>
                <w:szCs w:val="24"/>
                <w:highlight w:val="none"/>
                <w:u w:val="none"/>
                <w:lang w:val="en-US" w:eastAsia="zh-CN"/>
              </w:rPr>
              <w:t>）</w:t>
            </w:r>
            <w:r>
              <w:rPr>
                <w:rFonts w:hint="default" w:ascii="Times New Roman" w:hAnsi="Times New Roman" w:cs="Times New Roman"/>
                <w:sz w:val="24"/>
                <w:szCs w:val="24"/>
                <w:highlight w:val="none"/>
                <w:lang w:val="en-US" w:eastAsia="zh-CN"/>
              </w:rPr>
              <w:t>要求，同时满足《关于全省开展工业企业挥发性有机物专项治理工作中排放建议值的通知》（豫环攻坚办[2017]162 号）（其他行业有组织非甲烷总烃排放浓度≤80mg/m</w:t>
            </w:r>
            <w:r>
              <w:rPr>
                <w:rFonts w:hint="default" w:ascii="Times New Roman" w:hAnsi="Times New Roman" w:cs="Times New Roman"/>
                <w:sz w:val="24"/>
                <w:szCs w:val="24"/>
                <w:highlight w:val="none"/>
                <w:vertAlign w:val="superscript"/>
                <w:lang w:val="en-US" w:eastAsia="zh-CN"/>
              </w:rPr>
              <w:t>3</w:t>
            </w:r>
            <w:r>
              <w:rPr>
                <w:rFonts w:hint="default" w:ascii="Times New Roman" w:hAnsi="Times New Roman" w:cs="Times New Roman"/>
                <w:sz w:val="24"/>
                <w:szCs w:val="24"/>
                <w:highlight w:val="none"/>
                <w:lang w:val="en-US" w:eastAsia="zh-CN"/>
              </w:rPr>
              <w:t>）</w:t>
            </w:r>
            <w:r>
              <w:rPr>
                <w:rFonts w:hint="eastAsia" w:ascii="Times New Roman" w:hAnsi="Times New Roman" w:cs="Times New Roman"/>
                <w:sz w:val="24"/>
                <w:szCs w:val="24"/>
                <w:highlight w:val="none"/>
                <w:lang w:val="en-US" w:eastAsia="zh-CN"/>
              </w:rPr>
              <w:t>以及</w:t>
            </w:r>
            <w:r>
              <w:rPr>
                <w:rFonts w:hint="default" w:ascii="Times New Roman" w:hAnsi="Times New Roman" w:cs="Times New Roman"/>
                <w:sz w:val="24"/>
                <w:szCs w:val="24"/>
                <w:highlight w:val="none"/>
                <w:lang w:val="en-US" w:eastAsia="zh-CN"/>
              </w:rPr>
              <w:t>《重污染天气重点行业应急减排措施制定技术指南》玻璃行业中玻璃后加工企业引领性指标</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非甲烷总烃排放浓度≤</w:t>
            </w:r>
            <w:r>
              <w:rPr>
                <w:rFonts w:hint="eastAsia" w:ascii="Times New Roman" w:hAnsi="Times New Roman" w:cs="Times New Roman"/>
                <w:sz w:val="24"/>
                <w:szCs w:val="24"/>
                <w:highlight w:val="none"/>
                <w:lang w:val="en-US" w:eastAsia="zh-CN"/>
              </w:rPr>
              <w:t>6</w:t>
            </w:r>
            <w:r>
              <w:rPr>
                <w:rFonts w:hint="default" w:ascii="Times New Roman" w:hAnsi="Times New Roman" w:cs="Times New Roman"/>
                <w:sz w:val="24"/>
                <w:szCs w:val="24"/>
                <w:highlight w:val="none"/>
                <w:lang w:val="en-US" w:eastAsia="zh-CN"/>
              </w:rPr>
              <w:t>0mg/m</w:t>
            </w:r>
            <w:r>
              <w:rPr>
                <w:rFonts w:hint="default" w:ascii="Times New Roman" w:hAnsi="Times New Roman" w:cs="Times New Roman"/>
                <w:sz w:val="24"/>
                <w:szCs w:val="24"/>
                <w:highlight w:val="none"/>
                <w:vertAlign w:val="superscript"/>
                <w:lang w:val="en-US" w:eastAsia="zh-CN"/>
              </w:rPr>
              <w:t>3</w:t>
            </w:r>
            <w:r>
              <w:rPr>
                <w:rFonts w:hint="eastAsia" w:ascii="Times New Roman" w:hAnsi="Times New Roman" w:cs="Times New Roman"/>
                <w:sz w:val="24"/>
                <w:szCs w:val="24"/>
                <w:highlight w:val="none"/>
                <w:lang w:val="en-US" w:eastAsia="zh-CN"/>
              </w:rPr>
              <w:t>）。</w:t>
            </w:r>
          </w:p>
          <w:p w14:paraId="7C930B4A">
            <w:pPr>
              <w:keepNext w:val="0"/>
              <w:keepLines w:val="0"/>
              <w:widowControl/>
              <w:suppressLineNumbers w:val="0"/>
              <w:spacing w:line="360" w:lineRule="auto"/>
              <w:ind w:firstLine="480" w:firstLineChars="200"/>
              <w:jc w:val="left"/>
              <w:rPr>
                <w:rFonts w:hint="eastAsia" w:ascii="宋体" w:hAnsi="宋体" w:eastAsia="宋体" w:cs="宋体"/>
                <w:b w:val="0"/>
                <w:bCs w:val="0"/>
                <w:color w:val="000000"/>
                <w:kern w:val="0"/>
                <w:sz w:val="24"/>
                <w:szCs w:val="24"/>
                <w:lang w:val="en-US" w:eastAsia="zh-CN" w:bidi="ar"/>
              </w:rPr>
            </w:pPr>
            <w:r>
              <w:rPr>
                <w:rFonts w:hint="eastAsia" w:ascii="宋体" w:hAnsi="宋体" w:eastAsia="宋体" w:cs="宋体"/>
                <w:b w:val="0"/>
                <w:bCs w:val="0"/>
                <w:color w:val="000000"/>
                <w:kern w:val="0"/>
                <w:sz w:val="24"/>
                <w:szCs w:val="24"/>
                <w:lang w:val="en-US" w:eastAsia="zh-CN" w:bidi="ar"/>
              </w:rPr>
              <w:t>集气罩未收集到的非甲烷总烃无组织排放，则无组织非甲烷总烃</w:t>
            </w:r>
            <w:r>
              <w:rPr>
                <w:rFonts w:hint="eastAsia" w:ascii="宋体" w:hAnsi="宋体" w:cs="宋体"/>
                <w:b w:val="0"/>
                <w:bCs w:val="0"/>
                <w:color w:val="000000"/>
                <w:kern w:val="0"/>
                <w:sz w:val="24"/>
                <w:szCs w:val="24"/>
                <w:lang w:val="en-US" w:eastAsia="zh-CN" w:bidi="ar"/>
              </w:rPr>
              <w:t>排放</w:t>
            </w:r>
            <w:r>
              <w:rPr>
                <w:rFonts w:hint="eastAsia" w:ascii="宋体" w:hAnsi="宋体" w:eastAsia="宋体" w:cs="宋体"/>
                <w:b w:val="0"/>
                <w:bCs w:val="0"/>
                <w:color w:val="000000"/>
                <w:kern w:val="0"/>
                <w:sz w:val="24"/>
                <w:szCs w:val="24"/>
                <w:lang w:val="en-US" w:eastAsia="zh-CN" w:bidi="ar"/>
              </w:rPr>
              <w:t>量为</w:t>
            </w:r>
            <w:r>
              <w:rPr>
                <w:rFonts w:hint="eastAsia" w:cs="Times New Roman"/>
                <w:b w:val="0"/>
                <w:bCs w:val="0"/>
                <w:color w:val="000000"/>
                <w:kern w:val="0"/>
                <w:sz w:val="24"/>
                <w:szCs w:val="24"/>
                <w:lang w:val="en-US" w:eastAsia="zh-CN" w:bidi="ar"/>
              </w:rPr>
              <w:t>0.0932</w:t>
            </w:r>
            <w:r>
              <w:rPr>
                <w:rFonts w:hint="default" w:ascii="Times New Roman" w:hAnsi="Times New Roman" w:eastAsia="宋体" w:cs="Times New Roman"/>
                <w:b w:val="0"/>
                <w:bCs w:val="0"/>
                <w:color w:val="000000"/>
                <w:kern w:val="0"/>
                <w:sz w:val="24"/>
                <w:szCs w:val="24"/>
                <w:lang w:val="en-US" w:eastAsia="zh-CN" w:bidi="ar"/>
              </w:rPr>
              <w:t>t/a</w:t>
            </w:r>
            <w:r>
              <w:rPr>
                <w:rFonts w:hint="eastAsia" w:ascii="宋体" w:hAnsi="宋体" w:cs="宋体"/>
                <w:b w:val="0"/>
                <w:bCs w:val="0"/>
                <w:color w:val="000000"/>
                <w:kern w:val="0"/>
                <w:sz w:val="24"/>
                <w:szCs w:val="24"/>
                <w:lang w:val="en-US" w:eastAsia="zh-CN" w:bidi="ar"/>
              </w:rPr>
              <w:t>、</w:t>
            </w:r>
            <w:r>
              <w:rPr>
                <w:rFonts w:hint="default" w:ascii="Times New Roman" w:hAnsi="Times New Roman" w:eastAsia="宋体" w:cs="Times New Roman"/>
                <w:b w:val="0"/>
                <w:bCs w:val="0"/>
                <w:color w:val="000000"/>
                <w:kern w:val="0"/>
                <w:sz w:val="24"/>
                <w:szCs w:val="24"/>
                <w:lang w:val="en-US" w:eastAsia="zh-CN" w:bidi="ar"/>
              </w:rPr>
              <w:t>0.</w:t>
            </w:r>
            <w:r>
              <w:rPr>
                <w:rFonts w:hint="eastAsia" w:cs="Times New Roman"/>
                <w:b w:val="0"/>
                <w:bCs w:val="0"/>
                <w:color w:val="000000"/>
                <w:kern w:val="0"/>
                <w:sz w:val="24"/>
                <w:szCs w:val="24"/>
                <w:lang w:val="en-US" w:eastAsia="zh-CN" w:bidi="ar"/>
              </w:rPr>
              <w:t>08</w:t>
            </w:r>
            <w:r>
              <w:rPr>
                <w:rFonts w:hint="default" w:ascii="Times New Roman" w:hAnsi="Times New Roman" w:eastAsia="宋体" w:cs="Times New Roman"/>
                <w:b w:val="0"/>
                <w:bCs w:val="0"/>
                <w:color w:val="000000"/>
                <w:kern w:val="0"/>
                <w:sz w:val="24"/>
                <w:szCs w:val="24"/>
                <w:lang w:val="en-US" w:eastAsia="zh-CN" w:bidi="ar"/>
              </w:rPr>
              <w:t>kg/h</w:t>
            </w:r>
            <w:r>
              <w:rPr>
                <w:rFonts w:hint="eastAsia" w:ascii="宋体" w:hAnsi="宋体" w:eastAsia="宋体" w:cs="宋体"/>
                <w:b w:val="0"/>
                <w:bCs w:val="0"/>
                <w:color w:val="000000"/>
                <w:kern w:val="0"/>
                <w:sz w:val="24"/>
                <w:szCs w:val="24"/>
                <w:lang w:val="en-US" w:eastAsia="zh-CN" w:bidi="ar"/>
              </w:rPr>
              <w:t>。</w:t>
            </w:r>
          </w:p>
          <w:p w14:paraId="10562E83">
            <w:pPr>
              <w:bidi w:val="0"/>
              <w:spacing w:line="360" w:lineRule="auto"/>
              <w:ind w:firstLine="480" w:firstLineChars="200"/>
              <w:rPr>
                <w:rFonts w:hint="eastAsia"/>
                <w:sz w:val="24"/>
                <w:szCs w:val="24"/>
                <w:lang w:val="en-US" w:eastAsia="zh-CN"/>
              </w:rPr>
            </w:pPr>
            <w:r>
              <w:rPr>
                <w:rFonts w:hint="eastAsia"/>
                <w:sz w:val="24"/>
                <w:szCs w:val="24"/>
                <w:lang w:val="en-US" w:eastAsia="zh-CN"/>
              </w:rPr>
              <w:t>本项目设置有危废暂存间，</w:t>
            </w:r>
            <w:r>
              <w:rPr>
                <w:rFonts w:hint="eastAsia" w:ascii="Times New Roman" w:hAnsi="Times New Roman" w:cs="Times New Roman"/>
                <w:b w:val="0"/>
                <w:bCs/>
                <w:color w:val="auto"/>
                <w:sz w:val="24"/>
                <w:szCs w:val="24"/>
                <w:highlight w:val="none"/>
                <w:u w:val="none"/>
                <w:lang w:val="en-US" w:eastAsia="zh-CN"/>
              </w:rPr>
              <w:t>危险废物在暂存过</w:t>
            </w:r>
            <w:r>
              <w:rPr>
                <w:rFonts w:hint="eastAsia" w:cs="Times New Roman"/>
                <w:b w:val="0"/>
                <w:bCs/>
                <w:color w:val="auto"/>
                <w:sz w:val="24"/>
                <w:szCs w:val="24"/>
                <w:highlight w:val="none"/>
                <w:u w:val="none"/>
                <w:lang w:val="en-US" w:eastAsia="zh-CN"/>
              </w:rPr>
              <w:t>程中</w:t>
            </w:r>
            <w:r>
              <w:rPr>
                <w:rFonts w:hint="eastAsia" w:ascii="Times New Roman" w:hAnsi="Times New Roman" w:cs="Times New Roman"/>
                <w:b w:val="0"/>
                <w:bCs/>
                <w:color w:val="auto"/>
                <w:sz w:val="24"/>
                <w:szCs w:val="24"/>
                <w:highlight w:val="none"/>
                <w:u w:val="none"/>
                <w:lang w:val="en-US" w:eastAsia="zh-CN"/>
              </w:rPr>
              <w:t>会产生少量有机气体，评价建议：危废暂存间设置引风管道，危险废物暂存过程中产生的有机废气通过管道</w:t>
            </w:r>
            <w:r>
              <w:rPr>
                <w:rFonts w:hint="eastAsia" w:cs="Times New Roman"/>
                <w:b w:val="0"/>
                <w:bCs/>
                <w:color w:val="auto"/>
                <w:sz w:val="24"/>
                <w:szCs w:val="24"/>
                <w:highlight w:val="none"/>
                <w:u w:val="none"/>
                <w:lang w:val="en-US" w:eastAsia="zh-CN"/>
              </w:rPr>
              <w:t>引到厂区配套的最近的1</w:t>
            </w:r>
            <w:r>
              <w:rPr>
                <w:rFonts w:hint="eastAsia" w:ascii="Times New Roman" w:hAnsi="Times New Roman" w:cs="Times New Roman"/>
                <w:b w:val="0"/>
                <w:bCs/>
                <w:color w:val="auto"/>
                <w:sz w:val="24"/>
                <w:szCs w:val="24"/>
                <w:highlight w:val="none"/>
                <w:u w:val="none"/>
                <w:lang w:val="en-US" w:eastAsia="zh-CN"/>
              </w:rPr>
              <w:t>套两级活性炭吸附装置处理，处理后经15m高排气筒排放，由于危废暂存间有机废气不是连续性产生，且产生量不大，不再定量分析。评价要求各类危险废物密闭储存，废活性炭先用塑料薄膜缠绕后再盛装在带内衬薄膜的双层袋内密封存放，其他危废存放于密闭桶内，并及时委托有资质单位转移处置，可以减少有机废气排放</w:t>
            </w:r>
            <w:r>
              <w:rPr>
                <w:rFonts w:hint="eastAsia"/>
                <w:sz w:val="24"/>
                <w:szCs w:val="24"/>
                <w:lang w:val="en-US" w:eastAsia="zh-CN"/>
              </w:rPr>
              <w:t>。</w:t>
            </w:r>
          </w:p>
          <w:p w14:paraId="697E0765">
            <w:pPr>
              <w:bidi w:val="0"/>
              <w:spacing w:line="360" w:lineRule="auto"/>
              <w:ind w:firstLine="480" w:firstLineChars="200"/>
              <w:rPr>
                <w:rFonts w:hint="eastAsia"/>
                <w:sz w:val="24"/>
                <w:szCs w:val="24"/>
                <w:lang w:val="en-US" w:eastAsia="zh-CN"/>
              </w:rPr>
            </w:pPr>
          </w:p>
          <w:p w14:paraId="211DA3D8">
            <w:pPr>
              <w:pStyle w:val="16"/>
              <w:spacing w:line="360" w:lineRule="auto"/>
              <w:ind w:firstLine="482" w:firstLineChars="200"/>
              <w:rPr>
                <w:rFonts w:hint="eastAsia"/>
                <w:b/>
                <w:bCs/>
                <w:snapToGrid w:val="0"/>
                <w:kern w:val="0"/>
                <w:sz w:val="24"/>
              </w:rPr>
            </w:pPr>
            <w:r>
              <w:rPr>
                <w:rFonts w:hint="eastAsia"/>
                <w:b/>
                <w:bCs/>
                <w:snapToGrid w:val="0"/>
                <w:kern w:val="0"/>
                <w:sz w:val="24"/>
              </w:rPr>
              <w:t>（</w:t>
            </w:r>
            <w:r>
              <w:rPr>
                <w:rFonts w:hint="eastAsia"/>
                <w:b/>
                <w:bCs/>
                <w:snapToGrid w:val="0"/>
                <w:kern w:val="0"/>
                <w:sz w:val="24"/>
                <w:lang w:val="en-US" w:eastAsia="zh-CN"/>
              </w:rPr>
              <w:t>3</w:t>
            </w:r>
            <w:r>
              <w:rPr>
                <w:rFonts w:hint="eastAsia"/>
                <w:b/>
                <w:bCs/>
                <w:snapToGrid w:val="0"/>
                <w:kern w:val="0"/>
                <w:sz w:val="24"/>
              </w:rPr>
              <w:t>）本项目废气排放汇总</w:t>
            </w:r>
          </w:p>
          <w:p w14:paraId="0B83F109">
            <w:pPr>
              <w:keepNext w:val="0"/>
              <w:keepLines w:val="0"/>
              <w:pageBreakBefore w:val="0"/>
              <w:widowControl w:val="0"/>
              <w:kinsoku/>
              <w:wordWrap/>
              <w:overflowPunct/>
              <w:topLinePunct w:val="0"/>
              <w:autoSpaceDE/>
              <w:autoSpaceDN/>
              <w:bidi w:val="0"/>
              <w:adjustRightInd w:val="0"/>
              <w:snapToGrid w:val="0"/>
              <w:spacing w:line="360" w:lineRule="auto"/>
              <w:ind w:firstLine="452" w:firstLineChars="200"/>
              <w:jc w:val="both"/>
              <w:textAlignment w:val="auto"/>
              <w:rPr>
                <w:rFonts w:hint="default" w:ascii="Times New Roman" w:hAnsi="Times New Roman" w:eastAsia="宋体" w:cs="Times New Roman"/>
                <w:b w:val="0"/>
                <w:bCs/>
                <w:spacing w:val="-7"/>
                <w:kern w:val="2"/>
                <w:sz w:val="24"/>
                <w:szCs w:val="24"/>
                <w:highlight w:val="none"/>
                <w:u w:val="none"/>
                <w:lang w:val="en-US" w:eastAsia="zh-CN" w:bidi="ar-SA"/>
              </w:rPr>
            </w:pPr>
            <w:r>
              <w:rPr>
                <w:rFonts w:hint="default" w:ascii="Times New Roman" w:hAnsi="Times New Roman" w:eastAsia="宋体" w:cs="Times New Roman"/>
                <w:b w:val="0"/>
                <w:bCs/>
                <w:spacing w:val="-7"/>
                <w:kern w:val="2"/>
                <w:sz w:val="24"/>
                <w:szCs w:val="24"/>
                <w:highlight w:val="none"/>
                <w:u w:val="none"/>
                <w:lang w:val="en-US" w:eastAsia="zh-CN" w:bidi="ar-SA"/>
              </w:rPr>
              <w:t>项目废气排放情况详见</w:t>
            </w:r>
            <w:r>
              <w:rPr>
                <w:rFonts w:hint="eastAsia" w:ascii="Times New Roman" w:hAnsi="Times New Roman" w:eastAsia="宋体" w:cs="Times New Roman"/>
                <w:b w:val="0"/>
                <w:bCs/>
                <w:spacing w:val="-7"/>
                <w:kern w:val="2"/>
                <w:sz w:val="24"/>
                <w:szCs w:val="24"/>
                <w:highlight w:val="none"/>
                <w:u w:val="none"/>
                <w:lang w:val="en-US" w:eastAsia="zh-CN" w:bidi="ar-SA"/>
              </w:rPr>
              <w:t>下</w:t>
            </w:r>
            <w:r>
              <w:rPr>
                <w:rFonts w:hint="default" w:ascii="Times New Roman" w:hAnsi="Times New Roman" w:eastAsia="宋体" w:cs="Times New Roman"/>
                <w:b w:val="0"/>
                <w:bCs/>
                <w:spacing w:val="-7"/>
                <w:kern w:val="2"/>
                <w:sz w:val="24"/>
                <w:szCs w:val="24"/>
                <w:highlight w:val="none"/>
                <w:u w:val="none"/>
                <w:lang w:val="en-US" w:eastAsia="zh-CN" w:bidi="ar-SA"/>
              </w:rPr>
              <w:t>表。</w:t>
            </w:r>
          </w:p>
          <w:p w14:paraId="7E2169D4">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b/>
                <w:bCs/>
                <w:sz w:val="24"/>
                <w:szCs w:val="24"/>
                <w:u w:val="single"/>
                <w:lang w:val="en-US" w:eastAsia="zh-CN"/>
              </w:rPr>
            </w:pPr>
            <w:r>
              <w:rPr>
                <w:rFonts w:hint="eastAsia"/>
                <w:b/>
                <w:bCs/>
                <w:sz w:val="24"/>
                <w:szCs w:val="24"/>
                <w:u w:val="single"/>
                <w:lang w:val="en-US" w:eastAsia="zh-CN"/>
              </w:rPr>
              <w:t xml:space="preserve">表4-1     </w:t>
            </w:r>
            <w:r>
              <w:rPr>
                <w:rFonts w:hint="default"/>
                <w:b/>
                <w:bCs/>
                <w:sz w:val="24"/>
                <w:szCs w:val="24"/>
                <w:u w:val="single"/>
                <w:lang w:val="en-US" w:eastAsia="zh-CN"/>
              </w:rPr>
              <w:t>废气产生情况汇总一览表</w:t>
            </w:r>
          </w:p>
          <w:tbl>
            <w:tblPr>
              <w:tblStyle w:val="3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85" w:type="dxa"/>
                <w:left w:w="85" w:type="dxa"/>
                <w:bottom w:w="85" w:type="dxa"/>
                <w:right w:w="85" w:type="dxa"/>
              </w:tblCellMar>
            </w:tblPr>
            <w:tblGrid>
              <w:gridCol w:w="387"/>
              <w:gridCol w:w="840"/>
              <w:gridCol w:w="1024"/>
              <w:gridCol w:w="840"/>
              <w:gridCol w:w="869"/>
              <w:gridCol w:w="804"/>
              <w:gridCol w:w="785"/>
              <w:gridCol w:w="763"/>
              <w:gridCol w:w="669"/>
              <w:gridCol w:w="788"/>
              <w:gridCol w:w="782"/>
            </w:tblGrid>
            <w:tr w14:paraId="69284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402" w:hRule="atLeast"/>
                <w:jc w:val="center"/>
              </w:trPr>
              <w:tc>
                <w:tcPr>
                  <w:tcW w:w="1317" w:type="pct"/>
                  <w:gridSpan w:val="3"/>
                  <w:vMerge w:val="restart"/>
                  <w:noWrap w:val="0"/>
                  <w:vAlign w:val="center"/>
                </w:tcPr>
                <w:p w14:paraId="1F3D6B58">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产污环节</w:t>
                  </w:r>
                </w:p>
              </w:tc>
              <w:tc>
                <w:tcPr>
                  <w:tcW w:w="491" w:type="pct"/>
                  <w:vMerge w:val="restart"/>
                  <w:noWrap w:val="0"/>
                  <w:vAlign w:val="center"/>
                </w:tcPr>
                <w:p w14:paraId="4851EB7A">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污染物</w:t>
                  </w:r>
                </w:p>
              </w:tc>
              <w:tc>
                <w:tcPr>
                  <w:tcW w:w="1437" w:type="pct"/>
                  <w:gridSpan w:val="3"/>
                  <w:noWrap w:val="0"/>
                  <w:vAlign w:val="center"/>
                </w:tcPr>
                <w:p w14:paraId="50019E73">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产生情况</w:t>
                  </w:r>
                </w:p>
              </w:tc>
              <w:tc>
                <w:tcPr>
                  <w:tcW w:w="1298" w:type="pct"/>
                  <w:gridSpan w:val="3"/>
                  <w:noWrap w:val="0"/>
                  <w:vAlign w:val="center"/>
                </w:tcPr>
                <w:p w14:paraId="77D21834">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排放情况</w:t>
                  </w:r>
                </w:p>
              </w:tc>
              <w:tc>
                <w:tcPr>
                  <w:tcW w:w="456" w:type="pct"/>
                  <w:noWrap w:val="0"/>
                  <w:vAlign w:val="center"/>
                </w:tcPr>
                <w:p w14:paraId="3F567E13">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标准</w:t>
                  </w:r>
                </w:p>
              </w:tc>
            </w:tr>
            <w:tr w14:paraId="57533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312" w:hRule="atLeast"/>
                <w:jc w:val="center"/>
              </w:trPr>
              <w:tc>
                <w:tcPr>
                  <w:tcW w:w="1317" w:type="pct"/>
                  <w:gridSpan w:val="3"/>
                  <w:vMerge w:val="continue"/>
                  <w:noWrap w:val="0"/>
                  <w:vAlign w:val="center"/>
                </w:tcPr>
                <w:p w14:paraId="602CEC57">
                  <w:pPr>
                    <w:keepNext w:val="0"/>
                    <w:keepLines w:val="0"/>
                    <w:pageBreakBefore w:val="0"/>
                    <w:widowControl/>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3F1B1430">
                  <w:pPr>
                    <w:keepNext w:val="0"/>
                    <w:keepLines w:val="0"/>
                    <w:pageBreakBefore w:val="0"/>
                    <w:widowControl/>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508" w:type="pct"/>
                  <w:noWrap w:val="0"/>
                  <w:vAlign w:val="center"/>
                </w:tcPr>
                <w:p w14:paraId="042BEED3">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eastAsia="宋体"/>
                      <w:b/>
                      <w:bCs w:val="0"/>
                      <w:snapToGrid w:val="0"/>
                      <w:color w:val="auto"/>
                      <w:kern w:val="0"/>
                      <w:sz w:val="21"/>
                      <w:szCs w:val="21"/>
                      <w:lang w:val="en-US" w:eastAsia="zh-CN" w:bidi="ar-SA"/>
                    </w:rPr>
                  </w:pPr>
                  <w:r>
                    <w:rPr>
                      <w:b/>
                      <w:bCs w:val="0"/>
                      <w:snapToGrid w:val="0"/>
                      <w:color w:val="auto"/>
                      <w:kern w:val="0"/>
                      <w:sz w:val="21"/>
                      <w:szCs w:val="21"/>
                    </w:rPr>
                    <w:t>mg/m</w:t>
                  </w:r>
                  <w:r>
                    <w:rPr>
                      <w:b/>
                      <w:bCs w:val="0"/>
                      <w:snapToGrid w:val="0"/>
                      <w:color w:val="auto"/>
                      <w:kern w:val="0"/>
                      <w:sz w:val="21"/>
                      <w:szCs w:val="21"/>
                      <w:vertAlign w:val="superscript"/>
                    </w:rPr>
                    <w:t>3</w:t>
                  </w:r>
                </w:p>
              </w:tc>
              <w:tc>
                <w:tcPr>
                  <w:tcW w:w="470" w:type="pct"/>
                  <w:noWrap w:val="0"/>
                  <w:vAlign w:val="center"/>
                </w:tcPr>
                <w:p w14:paraId="489AF9E7">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eastAsia="宋体"/>
                      <w:b/>
                      <w:bCs w:val="0"/>
                      <w:snapToGrid w:val="0"/>
                      <w:color w:val="auto"/>
                      <w:kern w:val="0"/>
                      <w:sz w:val="21"/>
                      <w:szCs w:val="21"/>
                      <w:lang w:val="en-US" w:eastAsia="zh-CN" w:bidi="ar-SA"/>
                    </w:rPr>
                  </w:pPr>
                  <w:r>
                    <w:rPr>
                      <w:b/>
                      <w:bCs w:val="0"/>
                      <w:snapToGrid w:val="0"/>
                      <w:color w:val="auto"/>
                      <w:kern w:val="0"/>
                      <w:sz w:val="21"/>
                      <w:szCs w:val="21"/>
                    </w:rPr>
                    <w:t>kg/h</w:t>
                  </w:r>
                </w:p>
              </w:tc>
              <w:tc>
                <w:tcPr>
                  <w:tcW w:w="459" w:type="pct"/>
                  <w:noWrap w:val="0"/>
                  <w:vAlign w:val="center"/>
                </w:tcPr>
                <w:p w14:paraId="2EE8A34B">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eastAsia="宋体"/>
                      <w:b/>
                      <w:bCs w:val="0"/>
                      <w:snapToGrid w:val="0"/>
                      <w:color w:val="auto"/>
                      <w:kern w:val="0"/>
                      <w:sz w:val="21"/>
                      <w:szCs w:val="21"/>
                      <w:lang w:val="en-US" w:eastAsia="zh-CN" w:bidi="ar-SA"/>
                    </w:rPr>
                  </w:pPr>
                  <w:r>
                    <w:rPr>
                      <w:b/>
                      <w:bCs w:val="0"/>
                      <w:snapToGrid w:val="0"/>
                      <w:color w:val="auto"/>
                      <w:kern w:val="0"/>
                      <w:sz w:val="21"/>
                      <w:szCs w:val="21"/>
                    </w:rPr>
                    <w:t>t/a</w:t>
                  </w:r>
                </w:p>
              </w:tc>
              <w:tc>
                <w:tcPr>
                  <w:tcW w:w="446" w:type="pct"/>
                  <w:noWrap w:val="0"/>
                  <w:vAlign w:val="center"/>
                </w:tcPr>
                <w:p w14:paraId="67C8D235">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mg/m</w:t>
                  </w:r>
                  <w:r>
                    <w:rPr>
                      <w:b/>
                      <w:bCs w:val="0"/>
                      <w:snapToGrid w:val="0"/>
                      <w:color w:val="auto"/>
                      <w:kern w:val="0"/>
                      <w:sz w:val="21"/>
                      <w:szCs w:val="21"/>
                      <w:vertAlign w:val="superscript"/>
                    </w:rPr>
                    <w:t>3</w:t>
                  </w:r>
                </w:p>
              </w:tc>
              <w:tc>
                <w:tcPr>
                  <w:tcW w:w="391" w:type="pct"/>
                  <w:noWrap w:val="0"/>
                  <w:vAlign w:val="center"/>
                </w:tcPr>
                <w:p w14:paraId="632DA716">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kg/h</w:t>
                  </w:r>
                </w:p>
              </w:tc>
              <w:tc>
                <w:tcPr>
                  <w:tcW w:w="460" w:type="pct"/>
                  <w:noWrap w:val="0"/>
                  <w:vAlign w:val="center"/>
                </w:tcPr>
                <w:p w14:paraId="5AB3166E">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b/>
                      <w:bCs w:val="0"/>
                      <w:snapToGrid w:val="0"/>
                      <w:color w:val="auto"/>
                      <w:kern w:val="0"/>
                      <w:sz w:val="21"/>
                      <w:szCs w:val="21"/>
                    </w:rPr>
                  </w:pPr>
                  <w:r>
                    <w:rPr>
                      <w:b/>
                      <w:bCs w:val="0"/>
                      <w:snapToGrid w:val="0"/>
                      <w:color w:val="auto"/>
                      <w:kern w:val="0"/>
                      <w:sz w:val="21"/>
                      <w:szCs w:val="21"/>
                    </w:rPr>
                    <w:t>t/a</w:t>
                  </w:r>
                </w:p>
              </w:tc>
              <w:tc>
                <w:tcPr>
                  <w:tcW w:w="456" w:type="pct"/>
                  <w:noWrap w:val="0"/>
                  <w:vAlign w:val="center"/>
                </w:tcPr>
                <w:p w14:paraId="2490BD6F">
                  <w:pPr>
                    <w:keepNext w:val="0"/>
                    <w:keepLines w:val="0"/>
                    <w:pageBreakBefore w:val="0"/>
                    <w:widowControl/>
                    <w:kinsoku/>
                    <w:wordWrap/>
                    <w:overflowPunct/>
                    <w:topLinePunct w:val="0"/>
                    <w:autoSpaceDE/>
                    <w:autoSpaceDN/>
                    <w:bidi w:val="0"/>
                    <w:adjustRightInd w:val="0"/>
                    <w:snapToGrid w:val="0"/>
                    <w:ind w:left="0" w:right="0"/>
                    <w:jc w:val="center"/>
                    <w:rPr>
                      <w:b/>
                      <w:bCs w:val="0"/>
                      <w:snapToGrid w:val="0"/>
                      <w:color w:val="auto"/>
                      <w:kern w:val="0"/>
                      <w:sz w:val="21"/>
                      <w:szCs w:val="21"/>
                    </w:rPr>
                  </w:pPr>
                  <w:r>
                    <w:rPr>
                      <w:b/>
                      <w:bCs w:val="0"/>
                      <w:snapToGrid w:val="0"/>
                      <w:color w:val="auto"/>
                      <w:kern w:val="0"/>
                      <w:sz w:val="21"/>
                      <w:szCs w:val="21"/>
                    </w:rPr>
                    <w:t>mg/m</w:t>
                  </w:r>
                  <w:r>
                    <w:rPr>
                      <w:b/>
                      <w:bCs w:val="0"/>
                      <w:snapToGrid w:val="0"/>
                      <w:color w:val="auto"/>
                      <w:kern w:val="0"/>
                      <w:sz w:val="21"/>
                      <w:szCs w:val="21"/>
                      <w:vertAlign w:val="superscript"/>
                    </w:rPr>
                    <w:t>3</w:t>
                  </w:r>
                </w:p>
              </w:tc>
            </w:tr>
            <w:tr w14:paraId="4A29F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651" w:hRule="atLeast"/>
                <w:jc w:val="center"/>
              </w:trPr>
              <w:tc>
                <w:tcPr>
                  <w:tcW w:w="227" w:type="pct"/>
                  <w:vMerge w:val="restart"/>
                  <w:noWrap w:val="0"/>
                  <w:vAlign w:val="center"/>
                </w:tcPr>
                <w:p w14:paraId="65B2FC86">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b/>
                      <w:bCs w:val="0"/>
                      <w:snapToGrid w:val="0"/>
                      <w:color w:val="auto"/>
                      <w:kern w:val="0"/>
                      <w:sz w:val="21"/>
                      <w:szCs w:val="21"/>
                      <w:lang w:val="en-US" w:eastAsia="zh-CN"/>
                    </w:rPr>
                  </w:pPr>
                  <w:r>
                    <w:rPr>
                      <w:rFonts w:hint="eastAsia"/>
                      <w:b/>
                      <w:bCs w:val="0"/>
                      <w:snapToGrid w:val="0"/>
                      <w:color w:val="auto"/>
                      <w:kern w:val="0"/>
                      <w:sz w:val="21"/>
                      <w:szCs w:val="21"/>
                      <w:lang w:val="en-US" w:eastAsia="zh-CN"/>
                    </w:rPr>
                    <w:t>有组织</w:t>
                  </w:r>
                </w:p>
                <w:p w14:paraId="5DD8A334">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p w14:paraId="50BDDDEA">
                  <w:pPr>
                    <w:pStyle w:val="5"/>
                  </w:pPr>
                </w:p>
              </w:tc>
              <w:tc>
                <w:tcPr>
                  <w:tcW w:w="1089" w:type="pct"/>
                  <w:gridSpan w:val="2"/>
                  <w:noWrap w:val="0"/>
                  <w:vAlign w:val="center"/>
                </w:tcPr>
                <w:p w14:paraId="68910DBF">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default" w:eastAsia="宋体"/>
                      <w:b/>
                      <w:bCs w:val="0"/>
                      <w:snapToGrid w:val="0"/>
                      <w:color w:val="auto"/>
                      <w:kern w:val="0"/>
                      <w:sz w:val="21"/>
                      <w:szCs w:val="21"/>
                      <w:lang w:val="en-US" w:eastAsia="zh-CN" w:bidi="ar-SA"/>
                    </w:rPr>
                  </w:pPr>
                  <w:r>
                    <w:rPr>
                      <w:rFonts w:hint="default" w:eastAsia="宋体"/>
                      <w:b/>
                      <w:bCs w:val="0"/>
                      <w:snapToGrid w:val="0"/>
                      <w:color w:val="auto"/>
                      <w:kern w:val="0"/>
                      <w:sz w:val="21"/>
                      <w:szCs w:val="21"/>
                      <w:lang w:val="en-US" w:eastAsia="zh-CN" w:bidi="ar-SA"/>
                    </w:rPr>
                    <w:t>彩色成像玻璃生产过程烘干固化工序</w:t>
                  </w:r>
                </w:p>
              </w:tc>
              <w:tc>
                <w:tcPr>
                  <w:tcW w:w="491" w:type="pct"/>
                  <w:noWrap w:val="0"/>
                  <w:vAlign w:val="center"/>
                </w:tcPr>
                <w:p w14:paraId="2C18421B">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eastAsia="宋体"/>
                      <w:b/>
                      <w:bCs w:val="0"/>
                      <w:snapToGrid w:val="0"/>
                      <w:color w:val="auto"/>
                      <w:kern w:val="0"/>
                      <w:sz w:val="21"/>
                      <w:szCs w:val="21"/>
                      <w:lang w:val="en-US" w:eastAsia="zh-CN"/>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5EB9E7F1">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0"/>
                      <w:sz w:val="21"/>
                      <w:szCs w:val="21"/>
                      <w:highlight w:val="none"/>
                      <w:u w:val="none"/>
                      <w:lang w:val="en-US" w:eastAsia="zh-CN" w:bidi="ar"/>
                    </w:rPr>
                  </w:pPr>
                  <w:r>
                    <w:rPr>
                      <w:rFonts w:hint="eastAsia" w:cs="Times New Roman"/>
                      <w:b/>
                      <w:bCs w:val="0"/>
                      <w:i w:val="0"/>
                      <w:iCs w:val="0"/>
                      <w:color w:val="auto"/>
                      <w:kern w:val="0"/>
                      <w:sz w:val="21"/>
                      <w:szCs w:val="21"/>
                      <w:highlight w:val="none"/>
                      <w:u w:val="none"/>
                      <w:lang w:val="en-US" w:eastAsia="zh-CN" w:bidi="ar"/>
                    </w:rPr>
                    <w:t>23.1</w:t>
                  </w:r>
                </w:p>
              </w:tc>
              <w:tc>
                <w:tcPr>
                  <w:tcW w:w="470" w:type="pct"/>
                  <w:noWrap w:val="0"/>
                  <w:vAlign w:val="center"/>
                </w:tcPr>
                <w:p w14:paraId="7F812A94">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0"/>
                      <w:sz w:val="21"/>
                      <w:szCs w:val="21"/>
                      <w:highlight w:val="none"/>
                      <w:u w:val="none"/>
                      <w:lang w:val="en-US" w:eastAsia="zh-CN" w:bidi="ar"/>
                    </w:rPr>
                  </w:pPr>
                  <w:r>
                    <w:rPr>
                      <w:rFonts w:hint="eastAsia" w:cs="Times New Roman"/>
                      <w:b/>
                      <w:bCs w:val="0"/>
                      <w:i w:val="0"/>
                      <w:iCs w:val="0"/>
                      <w:color w:val="auto"/>
                      <w:kern w:val="0"/>
                      <w:sz w:val="21"/>
                      <w:szCs w:val="21"/>
                      <w:highlight w:val="none"/>
                      <w:u w:val="none"/>
                      <w:lang w:val="en-US" w:eastAsia="zh-CN" w:bidi="ar"/>
                    </w:rPr>
                    <w:t>0.208</w:t>
                  </w:r>
                </w:p>
              </w:tc>
              <w:tc>
                <w:tcPr>
                  <w:tcW w:w="459" w:type="pct"/>
                  <w:noWrap w:val="0"/>
                  <w:vAlign w:val="center"/>
                </w:tcPr>
                <w:p w14:paraId="7EC8CF41">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eastAsia" w:cs="Times New Roman"/>
                      <w:b/>
                      <w:bCs w:val="0"/>
                      <w:i w:val="0"/>
                      <w:iCs w:val="0"/>
                      <w:color w:val="auto"/>
                      <w:kern w:val="2"/>
                      <w:sz w:val="21"/>
                      <w:szCs w:val="21"/>
                      <w:highlight w:val="none"/>
                      <w:u w:val="none"/>
                      <w:lang w:val="en-US" w:eastAsia="zh-CN" w:bidi="ar-SA"/>
                    </w:rPr>
                    <w:t>0.25</w:t>
                  </w:r>
                </w:p>
              </w:tc>
              <w:tc>
                <w:tcPr>
                  <w:tcW w:w="446" w:type="pct"/>
                  <w:noWrap w:val="0"/>
                  <w:vAlign w:val="center"/>
                </w:tcPr>
                <w:p w14:paraId="09DDA645">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eastAsia" w:cs="Times New Roman"/>
                      <w:b/>
                      <w:bCs w:val="0"/>
                      <w:i w:val="0"/>
                      <w:iCs w:val="0"/>
                      <w:color w:val="auto"/>
                      <w:kern w:val="2"/>
                      <w:sz w:val="21"/>
                      <w:szCs w:val="21"/>
                      <w:highlight w:val="none"/>
                      <w:u w:val="none"/>
                      <w:lang w:val="en-US" w:eastAsia="zh-CN" w:bidi="ar-SA"/>
                    </w:rPr>
                    <w:t>2.31</w:t>
                  </w:r>
                </w:p>
              </w:tc>
              <w:tc>
                <w:tcPr>
                  <w:tcW w:w="391" w:type="pct"/>
                  <w:noWrap w:val="0"/>
                  <w:vAlign w:val="center"/>
                </w:tcPr>
                <w:p w14:paraId="13469CB5">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eastAsia" w:ascii="Times New Roman" w:hAnsi="Times New Roman" w:eastAsia="宋体" w:cs="Times New Roman"/>
                      <w:b/>
                      <w:bCs w:val="0"/>
                      <w:i w:val="0"/>
                      <w:iCs w:val="0"/>
                      <w:color w:val="auto"/>
                      <w:kern w:val="2"/>
                      <w:sz w:val="21"/>
                      <w:szCs w:val="21"/>
                      <w:highlight w:val="none"/>
                      <w:u w:val="none"/>
                      <w:lang w:val="en-US" w:eastAsia="zh-CN" w:bidi="ar-SA"/>
                    </w:rPr>
                    <w:t>0.</w:t>
                  </w:r>
                  <w:r>
                    <w:rPr>
                      <w:rFonts w:hint="eastAsia" w:cs="Times New Roman"/>
                      <w:b/>
                      <w:bCs w:val="0"/>
                      <w:i w:val="0"/>
                      <w:iCs w:val="0"/>
                      <w:color w:val="auto"/>
                      <w:kern w:val="2"/>
                      <w:sz w:val="21"/>
                      <w:szCs w:val="21"/>
                      <w:highlight w:val="none"/>
                      <w:u w:val="none"/>
                      <w:lang w:val="en-US" w:eastAsia="zh-CN" w:bidi="ar-SA"/>
                    </w:rPr>
                    <w:t>021</w:t>
                  </w:r>
                </w:p>
              </w:tc>
              <w:tc>
                <w:tcPr>
                  <w:tcW w:w="460" w:type="pct"/>
                  <w:noWrap w:val="0"/>
                  <w:vAlign w:val="center"/>
                </w:tcPr>
                <w:p w14:paraId="23924BFF">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eastAsia" w:cs="Times New Roman"/>
                      <w:b/>
                      <w:bCs w:val="0"/>
                      <w:i w:val="0"/>
                      <w:iCs w:val="0"/>
                      <w:color w:val="auto"/>
                      <w:kern w:val="2"/>
                      <w:sz w:val="21"/>
                      <w:szCs w:val="21"/>
                      <w:highlight w:val="none"/>
                      <w:u w:val="none"/>
                      <w:lang w:val="en-US" w:eastAsia="zh-CN" w:bidi="ar-SA"/>
                    </w:rPr>
                    <w:t>0.025</w:t>
                  </w:r>
                </w:p>
              </w:tc>
              <w:tc>
                <w:tcPr>
                  <w:tcW w:w="456" w:type="pct"/>
                  <w:noWrap w:val="0"/>
                  <w:vAlign w:val="center"/>
                </w:tcPr>
                <w:p w14:paraId="3960ED3C">
                  <w:pPr>
                    <w:keepNext w:val="0"/>
                    <w:keepLines w:val="0"/>
                    <w:pageBreakBefore w:val="0"/>
                    <w:widowControl/>
                    <w:kinsoku/>
                    <w:wordWrap/>
                    <w:overflowPunct/>
                    <w:topLinePunct w:val="0"/>
                    <w:autoSpaceDE/>
                    <w:autoSpaceDN/>
                    <w:bidi w:val="0"/>
                    <w:adjustRightInd w:val="0"/>
                    <w:snapToGrid w:val="0"/>
                    <w:ind w:left="0" w:right="0"/>
                    <w:jc w:val="center"/>
                    <w:rPr>
                      <w:rFonts w:hint="default" w:eastAsia="宋体"/>
                      <w:b/>
                      <w:bCs w:val="0"/>
                      <w:snapToGrid w:val="0"/>
                      <w:color w:val="auto"/>
                      <w:kern w:val="0"/>
                      <w:sz w:val="21"/>
                      <w:szCs w:val="21"/>
                      <w:lang w:val="en-US" w:eastAsia="zh-CN"/>
                    </w:rPr>
                  </w:pPr>
                  <w:r>
                    <w:rPr>
                      <w:rFonts w:hint="eastAsia"/>
                      <w:b/>
                      <w:bCs w:val="0"/>
                      <w:snapToGrid w:val="0"/>
                      <w:color w:val="auto"/>
                      <w:kern w:val="0"/>
                      <w:sz w:val="21"/>
                      <w:szCs w:val="21"/>
                      <w:highlight w:val="none"/>
                      <w:lang w:val="en-US" w:eastAsia="zh-CN"/>
                    </w:rPr>
                    <w:t>30</w:t>
                  </w:r>
                </w:p>
              </w:tc>
            </w:tr>
            <w:tr w14:paraId="60881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35C0E00A">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restart"/>
                  <w:noWrap w:val="0"/>
                  <w:vAlign w:val="center"/>
                </w:tcPr>
                <w:p w14:paraId="53A0ABC8">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中空玻璃生产过程涂胶固化工序</w:t>
                  </w:r>
                </w:p>
              </w:tc>
              <w:tc>
                <w:tcPr>
                  <w:tcW w:w="598" w:type="pct"/>
                  <w:vMerge w:val="restart"/>
                  <w:noWrap w:val="0"/>
                  <w:vAlign w:val="center"/>
                </w:tcPr>
                <w:p w14:paraId="5DE021FB">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default"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单条中空线</w:t>
                  </w:r>
                </w:p>
              </w:tc>
              <w:tc>
                <w:tcPr>
                  <w:tcW w:w="491" w:type="pct"/>
                  <w:noWrap w:val="0"/>
                  <w:vAlign w:val="center"/>
                </w:tcPr>
                <w:p w14:paraId="07A6857F">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eastAsia="宋体"/>
                      <w:b/>
                      <w:bCs w:val="0"/>
                      <w:snapToGrid w:val="0"/>
                      <w:color w:val="auto"/>
                      <w:kern w:val="0"/>
                      <w:sz w:val="21"/>
                      <w:szCs w:val="21"/>
                      <w:lang w:val="en-US" w:eastAsia="zh-CN" w:bidi="ar-SA"/>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3F1E49EA">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30.3</w:t>
                  </w:r>
                </w:p>
              </w:tc>
              <w:tc>
                <w:tcPr>
                  <w:tcW w:w="470" w:type="pct"/>
                  <w:noWrap w:val="0"/>
                  <w:vAlign w:val="center"/>
                </w:tcPr>
                <w:p w14:paraId="14AE87D3">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0.37</w:t>
                  </w:r>
                </w:p>
              </w:tc>
              <w:tc>
                <w:tcPr>
                  <w:tcW w:w="459" w:type="pct"/>
                  <w:noWrap w:val="0"/>
                  <w:vAlign w:val="center"/>
                </w:tcPr>
                <w:p w14:paraId="78EF5C81">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0.4418</w:t>
                  </w:r>
                </w:p>
              </w:tc>
              <w:tc>
                <w:tcPr>
                  <w:tcW w:w="446" w:type="pct"/>
                  <w:noWrap w:val="0"/>
                  <w:vAlign w:val="center"/>
                </w:tcPr>
                <w:p w14:paraId="2AA646B9">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3.03</w:t>
                  </w:r>
                </w:p>
              </w:tc>
              <w:tc>
                <w:tcPr>
                  <w:tcW w:w="391" w:type="pct"/>
                  <w:noWrap w:val="0"/>
                  <w:vAlign w:val="center"/>
                </w:tcPr>
                <w:p w14:paraId="020F7082">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t>0.</w:t>
                  </w:r>
                  <w:r>
                    <w:rPr>
                      <w:rFonts w:hint="eastAsia" w:cs="Times New Roman"/>
                      <w:b/>
                      <w:bCs w:val="0"/>
                      <w:color w:val="auto"/>
                      <w:spacing w:val="-7"/>
                      <w:kern w:val="2"/>
                      <w:sz w:val="21"/>
                      <w:szCs w:val="21"/>
                      <w:highlight w:val="none"/>
                      <w:u w:val="none"/>
                      <w:vertAlign w:val="baseline"/>
                      <w:lang w:val="en-US" w:eastAsia="zh-CN" w:bidi="ar-SA"/>
                    </w:rPr>
                    <w:t>037</w:t>
                  </w:r>
                </w:p>
              </w:tc>
              <w:tc>
                <w:tcPr>
                  <w:tcW w:w="460" w:type="pct"/>
                  <w:noWrap w:val="0"/>
                  <w:vAlign w:val="center"/>
                </w:tcPr>
                <w:p w14:paraId="24E8450A">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0.0442</w:t>
                  </w:r>
                </w:p>
              </w:tc>
              <w:tc>
                <w:tcPr>
                  <w:tcW w:w="456" w:type="pct"/>
                  <w:noWrap w:val="0"/>
                  <w:vAlign w:val="center"/>
                </w:tcPr>
                <w:p w14:paraId="1206BFFF">
                  <w:pPr>
                    <w:keepNext w:val="0"/>
                    <w:keepLines w:val="0"/>
                    <w:pageBreakBefore w:val="0"/>
                    <w:widowControl/>
                    <w:kinsoku/>
                    <w:wordWrap/>
                    <w:overflowPunct/>
                    <w:topLinePunct w:val="0"/>
                    <w:autoSpaceDE/>
                    <w:autoSpaceDN/>
                    <w:bidi w:val="0"/>
                    <w:adjustRightInd w:val="0"/>
                    <w:snapToGrid w:val="0"/>
                    <w:ind w:left="0" w:right="0"/>
                    <w:jc w:val="center"/>
                    <w:rPr>
                      <w:rFonts w:hint="default" w:eastAsia="宋体"/>
                      <w:b/>
                      <w:bCs w:val="0"/>
                      <w:snapToGrid w:val="0"/>
                      <w:color w:val="auto"/>
                      <w:kern w:val="0"/>
                      <w:sz w:val="21"/>
                      <w:szCs w:val="21"/>
                      <w:highlight w:val="none"/>
                      <w:lang w:val="en-US" w:eastAsia="zh-CN"/>
                    </w:rPr>
                  </w:pPr>
                  <w:r>
                    <w:rPr>
                      <w:rFonts w:hint="eastAsia"/>
                      <w:b/>
                      <w:bCs w:val="0"/>
                      <w:snapToGrid w:val="0"/>
                      <w:color w:val="auto"/>
                      <w:kern w:val="0"/>
                      <w:sz w:val="21"/>
                      <w:szCs w:val="21"/>
                      <w:highlight w:val="none"/>
                      <w:lang w:val="en-US" w:eastAsia="zh-CN"/>
                    </w:rPr>
                    <w:t>60</w:t>
                  </w:r>
                </w:p>
              </w:tc>
            </w:tr>
            <w:tr w14:paraId="046D1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1799B332">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18F2E1BD">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continue"/>
                  <w:noWrap w:val="0"/>
                  <w:vAlign w:val="center"/>
                </w:tcPr>
                <w:p w14:paraId="60A6D9F4">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491" w:type="pct"/>
                  <w:noWrap w:val="0"/>
                  <w:vAlign w:val="center"/>
                </w:tcPr>
                <w:p w14:paraId="2A096A6E">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default" w:eastAsia="宋体"/>
                      <w:b/>
                      <w:bCs w:val="0"/>
                      <w:snapToGrid w:val="0"/>
                      <w:color w:val="auto"/>
                      <w:kern w:val="0"/>
                      <w:sz w:val="21"/>
                      <w:szCs w:val="21"/>
                      <w:lang w:val="en-US" w:eastAsia="zh-CN" w:bidi="ar-SA"/>
                    </w:rPr>
                  </w:pPr>
                  <w:r>
                    <w:rPr>
                      <w:rFonts w:hint="eastAsia"/>
                      <w:b/>
                      <w:bCs w:val="0"/>
                      <w:snapToGrid w:val="0"/>
                      <w:color w:val="auto"/>
                      <w:kern w:val="0"/>
                      <w:sz w:val="21"/>
                      <w:szCs w:val="21"/>
                      <w:lang w:val="en-US" w:eastAsia="zh-CN" w:bidi="ar-SA"/>
                    </w:rPr>
                    <w:t>颗粒物</w:t>
                  </w:r>
                </w:p>
              </w:tc>
              <w:tc>
                <w:tcPr>
                  <w:tcW w:w="508" w:type="pct"/>
                  <w:noWrap w:val="0"/>
                  <w:vAlign w:val="center"/>
                </w:tcPr>
                <w:p w14:paraId="6E95BCEF">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70" w:type="pct"/>
                  <w:noWrap w:val="0"/>
                  <w:vAlign w:val="center"/>
                </w:tcPr>
                <w:p w14:paraId="0219E51E">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59" w:type="pct"/>
                  <w:noWrap w:val="0"/>
                  <w:vAlign w:val="center"/>
                </w:tcPr>
                <w:p w14:paraId="52B6387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46" w:type="pct"/>
                  <w:noWrap w:val="0"/>
                  <w:vAlign w:val="center"/>
                </w:tcPr>
                <w:p w14:paraId="59C06A06">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391" w:type="pct"/>
                  <w:noWrap w:val="0"/>
                  <w:vAlign w:val="center"/>
                </w:tcPr>
                <w:p w14:paraId="2DBE1CA9">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60" w:type="pct"/>
                  <w:noWrap w:val="0"/>
                  <w:vAlign w:val="center"/>
                </w:tcPr>
                <w:p w14:paraId="31441FC9">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56" w:type="pct"/>
                  <w:noWrap w:val="0"/>
                  <w:vAlign w:val="center"/>
                </w:tcPr>
                <w:p w14:paraId="7859442E">
                  <w:pPr>
                    <w:keepNext w:val="0"/>
                    <w:keepLines w:val="0"/>
                    <w:pageBreakBefore w:val="0"/>
                    <w:widowControl/>
                    <w:kinsoku/>
                    <w:wordWrap/>
                    <w:overflowPunct/>
                    <w:topLinePunct w:val="0"/>
                    <w:autoSpaceDE/>
                    <w:autoSpaceDN/>
                    <w:bidi w:val="0"/>
                    <w:adjustRightInd w:val="0"/>
                    <w:snapToGrid w:val="0"/>
                    <w:ind w:left="0" w:right="0"/>
                    <w:jc w:val="center"/>
                    <w:rPr>
                      <w:rFonts w:hint="default"/>
                      <w:b/>
                      <w:bCs w:val="0"/>
                      <w:snapToGrid w:val="0"/>
                      <w:color w:val="auto"/>
                      <w:kern w:val="0"/>
                      <w:sz w:val="21"/>
                      <w:szCs w:val="21"/>
                      <w:highlight w:val="none"/>
                      <w:lang w:val="en-US" w:eastAsia="zh-CN"/>
                    </w:rPr>
                  </w:pPr>
                  <w:r>
                    <w:rPr>
                      <w:rFonts w:hint="eastAsia"/>
                      <w:b/>
                      <w:bCs w:val="0"/>
                      <w:snapToGrid w:val="0"/>
                      <w:color w:val="auto"/>
                      <w:kern w:val="0"/>
                      <w:sz w:val="21"/>
                      <w:szCs w:val="21"/>
                      <w:highlight w:val="none"/>
                      <w:lang w:val="en-US" w:eastAsia="zh-CN"/>
                    </w:rPr>
                    <w:t>30</w:t>
                  </w:r>
                </w:p>
              </w:tc>
            </w:tr>
            <w:tr w14:paraId="533F4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5660703D">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35B3A962">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restart"/>
                  <w:noWrap w:val="0"/>
                  <w:vAlign w:val="center"/>
                </w:tcPr>
                <w:p w14:paraId="2F13DA63">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单条中空线</w:t>
                  </w:r>
                </w:p>
              </w:tc>
              <w:tc>
                <w:tcPr>
                  <w:tcW w:w="491" w:type="pct"/>
                  <w:noWrap w:val="0"/>
                  <w:vAlign w:val="center"/>
                </w:tcPr>
                <w:p w14:paraId="15F181FE">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eastAsia="宋体"/>
                      <w:b/>
                      <w:bCs w:val="0"/>
                      <w:snapToGrid w:val="0"/>
                      <w:color w:val="auto"/>
                      <w:kern w:val="0"/>
                      <w:sz w:val="21"/>
                      <w:szCs w:val="21"/>
                      <w:lang w:val="en-US" w:eastAsia="zh-CN" w:bidi="ar-SA"/>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505E792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30.3</w:t>
                  </w:r>
                </w:p>
              </w:tc>
              <w:tc>
                <w:tcPr>
                  <w:tcW w:w="470" w:type="pct"/>
                  <w:noWrap w:val="0"/>
                  <w:vAlign w:val="center"/>
                </w:tcPr>
                <w:p w14:paraId="0A9D58E0">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0.37</w:t>
                  </w:r>
                </w:p>
              </w:tc>
              <w:tc>
                <w:tcPr>
                  <w:tcW w:w="459" w:type="pct"/>
                  <w:noWrap w:val="0"/>
                  <w:vAlign w:val="center"/>
                </w:tcPr>
                <w:p w14:paraId="231F6CC7">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0.4418</w:t>
                  </w:r>
                </w:p>
              </w:tc>
              <w:tc>
                <w:tcPr>
                  <w:tcW w:w="446" w:type="pct"/>
                  <w:noWrap w:val="0"/>
                  <w:vAlign w:val="center"/>
                </w:tcPr>
                <w:p w14:paraId="682B993C">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3.03</w:t>
                  </w:r>
                </w:p>
              </w:tc>
              <w:tc>
                <w:tcPr>
                  <w:tcW w:w="391" w:type="pct"/>
                  <w:noWrap w:val="0"/>
                  <w:vAlign w:val="center"/>
                </w:tcPr>
                <w:p w14:paraId="3F8BB7C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t>0.</w:t>
                  </w:r>
                  <w:r>
                    <w:rPr>
                      <w:rFonts w:hint="eastAsia" w:cs="Times New Roman"/>
                      <w:b/>
                      <w:bCs w:val="0"/>
                      <w:color w:val="auto"/>
                      <w:spacing w:val="-7"/>
                      <w:kern w:val="2"/>
                      <w:sz w:val="21"/>
                      <w:szCs w:val="21"/>
                      <w:highlight w:val="none"/>
                      <w:u w:val="none"/>
                      <w:vertAlign w:val="baseline"/>
                      <w:lang w:val="en-US" w:eastAsia="zh-CN" w:bidi="ar-SA"/>
                    </w:rPr>
                    <w:t>037</w:t>
                  </w:r>
                </w:p>
              </w:tc>
              <w:tc>
                <w:tcPr>
                  <w:tcW w:w="460" w:type="pct"/>
                  <w:noWrap w:val="0"/>
                  <w:vAlign w:val="center"/>
                </w:tcPr>
                <w:p w14:paraId="0C38D61A">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0.0442</w:t>
                  </w:r>
                </w:p>
              </w:tc>
              <w:tc>
                <w:tcPr>
                  <w:tcW w:w="456" w:type="pct"/>
                  <w:noWrap w:val="0"/>
                  <w:vAlign w:val="center"/>
                </w:tcPr>
                <w:p w14:paraId="600151AC">
                  <w:pPr>
                    <w:keepNext w:val="0"/>
                    <w:keepLines w:val="0"/>
                    <w:pageBreakBefore w:val="0"/>
                    <w:widowControl/>
                    <w:kinsoku/>
                    <w:wordWrap/>
                    <w:overflowPunct/>
                    <w:topLinePunct w:val="0"/>
                    <w:autoSpaceDE/>
                    <w:autoSpaceDN/>
                    <w:bidi w:val="0"/>
                    <w:adjustRightInd w:val="0"/>
                    <w:snapToGrid w:val="0"/>
                    <w:ind w:left="0" w:leftChars="0" w:right="0" w:rightChars="0"/>
                    <w:jc w:val="center"/>
                    <w:rPr>
                      <w:rFonts w:hint="eastAsia"/>
                      <w:b/>
                      <w:bCs w:val="0"/>
                      <w:snapToGrid w:val="0"/>
                      <w:color w:val="auto"/>
                      <w:kern w:val="0"/>
                      <w:sz w:val="21"/>
                      <w:szCs w:val="21"/>
                      <w:highlight w:val="none"/>
                      <w:lang w:val="en-US" w:eastAsia="zh-CN"/>
                    </w:rPr>
                  </w:pPr>
                  <w:r>
                    <w:rPr>
                      <w:rFonts w:hint="eastAsia"/>
                      <w:b/>
                      <w:bCs w:val="0"/>
                      <w:snapToGrid w:val="0"/>
                      <w:color w:val="auto"/>
                      <w:kern w:val="0"/>
                      <w:sz w:val="21"/>
                      <w:szCs w:val="21"/>
                      <w:highlight w:val="none"/>
                      <w:lang w:val="en-US" w:eastAsia="zh-CN"/>
                    </w:rPr>
                    <w:t>60</w:t>
                  </w:r>
                </w:p>
              </w:tc>
            </w:tr>
            <w:tr w14:paraId="0ABA5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11C8710D">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23FF00FA">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continue"/>
                  <w:noWrap w:val="0"/>
                  <w:vAlign w:val="center"/>
                </w:tcPr>
                <w:p w14:paraId="6F4D6CA9">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491" w:type="pct"/>
                  <w:shd w:val="clear" w:color="auto" w:fill="auto"/>
                  <w:noWrap w:val="0"/>
                  <w:vAlign w:val="center"/>
                </w:tcPr>
                <w:p w14:paraId="0C483B0D">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b/>
                      <w:bCs w:val="0"/>
                      <w:snapToGrid w:val="0"/>
                      <w:color w:val="auto"/>
                      <w:kern w:val="0"/>
                      <w:sz w:val="21"/>
                      <w:szCs w:val="21"/>
                      <w:lang w:val="en-US" w:eastAsia="zh-CN" w:bidi="ar-SA"/>
                    </w:rPr>
                    <w:t>颗粒物</w:t>
                  </w:r>
                </w:p>
              </w:tc>
              <w:tc>
                <w:tcPr>
                  <w:tcW w:w="508" w:type="pct"/>
                  <w:shd w:val="clear" w:color="auto" w:fill="auto"/>
                  <w:noWrap w:val="0"/>
                  <w:vAlign w:val="center"/>
                </w:tcPr>
                <w:p w14:paraId="650C8C4F">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70" w:type="pct"/>
                  <w:shd w:val="clear" w:color="auto" w:fill="auto"/>
                  <w:noWrap w:val="0"/>
                  <w:vAlign w:val="center"/>
                </w:tcPr>
                <w:p w14:paraId="3804C577">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59" w:type="pct"/>
                  <w:shd w:val="clear" w:color="auto" w:fill="auto"/>
                  <w:noWrap w:val="0"/>
                  <w:vAlign w:val="center"/>
                </w:tcPr>
                <w:p w14:paraId="039A1732">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46" w:type="pct"/>
                  <w:shd w:val="clear" w:color="auto" w:fill="auto"/>
                  <w:noWrap w:val="0"/>
                  <w:vAlign w:val="center"/>
                </w:tcPr>
                <w:p w14:paraId="7E3FCB39">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391" w:type="pct"/>
                  <w:shd w:val="clear" w:color="auto" w:fill="auto"/>
                  <w:noWrap w:val="0"/>
                  <w:vAlign w:val="center"/>
                </w:tcPr>
                <w:p w14:paraId="62F37AEB">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60" w:type="pct"/>
                  <w:shd w:val="clear" w:color="auto" w:fill="auto"/>
                  <w:noWrap w:val="0"/>
                  <w:vAlign w:val="center"/>
                </w:tcPr>
                <w:p w14:paraId="3C3F6A14">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56" w:type="pct"/>
                  <w:shd w:val="clear" w:color="auto" w:fill="auto"/>
                  <w:noWrap w:val="0"/>
                  <w:vAlign w:val="center"/>
                </w:tcPr>
                <w:p w14:paraId="4A870D81">
                  <w:pPr>
                    <w:keepNext w:val="0"/>
                    <w:keepLines w:val="0"/>
                    <w:pageBreakBefore w:val="0"/>
                    <w:widowControl/>
                    <w:kinsoku/>
                    <w:wordWrap/>
                    <w:overflowPunct/>
                    <w:topLinePunct w:val="0"/>
                    <w:autoSpaceDE/>
                    <w:autoSpaceDN/>
                    <w:bidi w:val="0"/>
                    <w:adjustRightInd w:val="0"/>
                    <w:snapToGrid w:val="0"/>
                    <w:ind w:left="0" w:leftChars="0" w:right="0" w:rightChars="0"/>
                    <w:jc w:val="center"/>
                    <w:rPr>
                      <w:rFonts w:hint="eastAsia" w:ascii="Times New Roman" w:hAnsi="Times New Roman" w:eastAsia="宋体" w:cs="Times New Roman"/>
                      <w:b/>
                      <w:bCs w:val="0"/>
                      <w:snapToGrid w:val="0"/>
                      <w:color w:val="auto"/>
                      <w:kern w:val="0"/>
                      <w:sz w:val="21"/>
                      <w:szCs w:val="21"/>
                      <w:highlight w:val="none"/>
                      <w:lang w:val="en-US" w:eastAsia="zh-CN" w:bidi="ar-SA"/>
                    </w:rPr>
                  </w:pPr>
                  <w:r>
                    <w:rPr>
                      <w:rFonts w:hint="eastAsia"/>
                      <w:b/>
                      <w:bCs w:val="0"/>
                      <w:snapToGrid w:val="0"/>
                      <w:color w:val="auto"/>
                      <w:kern w:val="0"/>
                      <w:sz w:val="21"/>
                      <w:szCs w:val="21"/>
                      <w:highlight w:val="none"/>
                      <w:lang w:val="en-US" w:eastAsia="zh-CN"/>
                    </w:rPr>
                    <w:t>30</w:t>
                  </w:r>
                </w:p>
              </w:tc>
            </w:tr>
            <w:tr w14:paraId="3DF6D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2797ED9E">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2479835B">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restart"/>
                  <w:noWrap w:val="0"/>
                  <w:vAlign w:val="center"/>
                </w:tcPr>
                <w:p w14:paraId="7176DA65">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单条中空线</w:t>
                  </w:r>
                </w:p>
              </w:tc>
              <w:tc>
                <w:tcPr>
                  <w:tcW w:w="491" w:type="pct"/>
                  <w:noWrap w:val="0"/>
                  <w:vAlign w:val="center"/>
                </w:tcPr>
                <w:p w14:paraId="15CCCB83">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eastAsia="宋体"/>
                      <w:b/>
                      <w:bCs w:val="0"/>
                      <w:snapToGrid w:val="0"/>
                      <w:color w:val="auto"/>
                      <w:kern w:val="0"/>
                      <w:sz w:val="21"/>
                      <w:szCs w:val="21"/>
                      <w:lang w:val="en-US" w:eastAsia="zh-CN" w:bidi="ar-SA"/>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059D736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30.3</w:t>
                  </w:r>
                </w:p>
              </w:tc>
              <w:tc>
                <w:tcPr>
                  <w:tcW w:w="470" w:type="pct"/>
                  <w:noWrap w:val="0"/>
                  <w:vAlign w:val="center"/>
                </w:tcPr>
                <w:p w14:paraId="1C4A3DC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0.37</w:t>
                  </w:r>
                </w:p>
              </w:tc>
              <w:tc>
                <w:tcPr>
                  <w:tcW w:w="459" w:type="pct"/>
                  <w:noWrap w:val="0"/>
                  <w:vAlign w:val="center"/>
                </w:tcPr>
                <w:p w14:paraId="400D34F8">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0.4418</w:t>
                  </w:r>
                </w:p>
              </w:tc>
              <w:tc>
                <w:tcPr>
                  <w:tcW w:w="446" w:type="pct"/>
                  <w:noWrap w:val="0"/>
                  <w:vAlign w:val="center"/>
                </w:tcPr>
                <w:p w14:paraId="713CA90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3.03</w:t>
                  </w:r>
                </w:p>
              </w:tc>
              <w:tc>
                <w:tcPr>
                  <w:tcW w:w="391" w:type="pct"/>
                  <w:noWrap w:val="0"/>
                  <w:vAlign w:val="center"/>
                </w:tcPr>
                <w:p w14:paraId="67D9356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t>0.</w:t>
                  </w:r>
                  <w:r>
                    <w:rPr>
                      <w:rFonts w:hint="eastAsia" w:cs="Times New Roman"/>
                      <w:b/>
                      <w:bCs w:val="0"/>
                      <w:color w:val="auto"/>
                      <w:spacing w:val="-7"/>
                      <w:kern w:val="2"/>
                      <w:sz w:val="21"/>
                      <w:szCs w:val="21"/>
                      <w:highlight w:val="none"/>
                      <w:u w:val="none"/>
                      <w:vertAlign w:val="baseline"/>
                      <w:lang w:val="en-US" w:eastAsia="zh-CN" w:bidi="ar-SA"/>
                    </w:rPr>
                    <w:t>037</w:t>
                  </w:r>
                </w:p>
              </w:tc>
              <w:tc>
                <w:tcPr>
                  <w:tcW w:w="460" w:type="pct"/>
                  <w:noWrap w:val="0"/>
                  <w:vAlign w:val="center"/>
                </w:tcPr>
                <w:p w14:paraId="03B279B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0.0442</w:t>
                  </w:r>
                </w:p>
              </w:tc>
              <w:tc>
                <w:tcPr>
                  <w:tcW w:w="456" w:type="pct"/>
                  <w:noWrap w:val="0"/>
                  <w:vAlign w:val="center"/>
                </w:tcPr>
                <w:p w14:paraId="3A6910D8">
                  <w:pPr>
                    <w:keepNext w:val="0"/>
                    <w:keepLines w:val="0"/>
                    <w:pageBreakBefore w:val="0"/>
                    <w:widowControl/>
                    <w:kinsoku/>
                    <w:wordWrap/>
                    <w:overflowPunct/>
                    <w:topLinePunct w:val="0"/>
                    <w:autoSpaceDE/>
                    <w:autoSpaceDN/>
                    <w:bidi w:val="0"/>
                    <w:adjustRightInd w:val="0"/>
                    <w:snapToGrid w:val="0"/>
                    <w:ind w:left="0" w:leftChars="0" w:right="0" w:rightChars="0"/>
                    <w:jc w:val="center"/>
                    <w:rPr>
                      <w:rFonts w:hint="eastAsia"/>
                      <w:b/>
                      <w:bCs w:val="0"/>
                      <w:snapToGrid w:val="0"/>
                      <w:color w:val="auto"/>
                      <w:kern w:val="0"/>
                      <w:sz w:val="21"/>
                      <w:szCs w:val="21"/>
                      <w:highlight w:val="none"/>
                      <w:lang w:val="en-US" w:eastAsia="zh-CN"/>
                    </w:rPr>
                  </w:pPr>
                  <w:r>
                    <w:rPr>
                      <w:rFonts w:hint="eastAsia"/>
                      <w:b/>
                      <w:bCs w:val="0"/>
                      <w:snapToGrid w:val="0"/>
                      <w:color w:val="auto"/>
                      <w:kern w:val="0"/>
                      <w:sz w:val="21"/>
                      <w:szCs w:val="21"/>
                      <w:highlight w:val="none"/>
                      <w:lang w:val="en-US" w:eastAsia="zh-CN"/>
                    </w:rPr>
                    <w:t>60</w:t>
                  </w:r>
                </w:p>
              </w:tc>
            </w:tr>
            <w:tr w14:paraId="4AE4E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7B0744F4">
                  <w:pPr>
                    <w:pStyle w:val="5"/>
                  </w:pPr>
                </w:p>
              </w:tc>
              <w:tc>
                <w:tcPr>
                  <w:tcW w:w="491" w:type="pct"/>
                  <w:vMerge w:val="continue"/>
                  <w:noWrap w:val="0"/>
                  <w:vAlign w:val="center"/>
                </w:tcPr>
                <w:p w14:paraId="1BC65F5D">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continue"/>
                  <w:noWrap w:val="0"/>
                  <w:vAlign w:val="center"/>
                </w:tcPr>
                <w:p w14:paraId="5CF9543C">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491" w:type="pct"/>
                  <w:shd w:val="clear" w:color="auto" w:fill="auto"/>
                  <w:noWrap w:val="0"/>
                  <w:vAlign w:val="center"/>
                </w:tcPr>
                <w:p w14:paraId="1C308226">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b/>
                      <w:bCs w:val="0"/>
                      <w:snapToGrid w:val="0"/>
                      <w:color w:val="auto"/>
                      <w:kern w:val="0"/>
                      <w:sz w:val="21"/>
                      <w:szCs w:val="21"/>
                      <w:lang w:val="en-US" w:eastAsia="zh-CN" w:bidi="ar-SA"/>
                    </w:rPr>
                    <w:t>颗粒物</w:t>
                  </w:r>
                </w:p>
              </w:tc>
              <w:tc>
                <w:tcPr>
                  <w:tcW w:w="508" w:type="pct"/>
                  <w:shd w:val="clear" w:color="auto" w:fill="auto"/>
                  <w:noWrap w:val="0"/>
                  <w:vAlign w:val="center"/>
                </w:tcPr>
                <w:p w14:paraId="53D17216">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70" w:type="pct"/>
                  <w:shd w:val="clear" w:color="auto" w:fill="auto"/>
                  <w:noWrap w:val="0"/>
                  <w:vAlign w:val="center"/>
                </w:tcPr>
                <w:p w14:paraId="55001DD6">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59" w:type="pct"/>
                  <w:shd w:val="clear" w:color="auto" w:fill="auto"/>
                  <w:noWrap w:val="0"/>
                  <w:vAlign w:val="center"/>
                </w:tcPr>
                <w:p w14:paraId="44AFE840">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46" w:type="pct"/>
                  <w:shd w:val="clear" w:color="auto" w:fill="auto"/>
                  <w:noWrap w:val="0"/>
                  <w:vAlign w:val="center"/>
                </w:tcPr>
                <w:p w14:paraId="55662E46">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391" w:type="pct"/>
                  <w:shd w:val="clear" w:color="auto" w:fill="auto"/>
                  <w:noWrap w:val="0"/>
                  <w:vAlign w:val="center"/>
                </w:tcPr>
                <w:p w14:paraId="5FF4A198">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60" w:type="pct"/>
                  <w:shd w:val="clear" w:color="auto" w:fill="auto"/>
                  <w:noWrap w:val="0"/>
                  <w:vAlign w:val="center"/>
                </w:tcPr>
                <w:p w14:paraId="773464E3">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56" w:type="pct"/>
                  <w:shd w:val="clear" w:color="auto" w:fill="auto"/>
                  <w:noWrap w:val="0"/>
                  <w:vAlign w:val="center"/>
                </w:tcPr>
                <w:p w14:paraId="4DC53C86">
                  <w:pPr>
                    <w:keepNext w:val="0"/>
                    <w:keepLines w:val="0"/>
                    <w:pageBreakBefore w:val="0"/>
                    <w:widowControl/>
                    <w:kinsoku/>
                    <w:wordWrap/>
                    <w:overflowPunct/>
                    <w:topLinePunct w:val="0"/>
                    <w:autoSpaceDE/>
                    <w:autoSpaceDN/>
                    <w:bidi w:val="0"/>
                    <w:adjustRightInd w:val="0"/>
                    <w:snapToGrid w:val="0"/>
                    <w:ind w:left="0" w:leftChars="0" w:right="0" w:rightChars="0"/>
                    <w:jc w:val="center"/>
                    <w:rPr>
                      <w:rFonts w:hint="eastAsia" w:ascii="Times New Roman" w:hAnsi="Times New Roman" w:eastAsia="宋体" w:cs="Times New Roman"/>
                      <w:b/>
                      <w:bCs w:val="0"/>
                      <w:snapToGrid w:val="0"/>
                      <w:color w:val="auto"/>
                      <w:kern w:val="0"/>
                      <w:sz w:val="21"/>
                      <w:szCs w:val="21"/>
                      <w:highlight w:val="none"/>
                      <w:lang w:val="en-US" w:eastAsia="zh-CN" w:bidi="ar-SA"/>
                    </w:rPr>
                  </w:pPr>
                  <w:r>
                    <w:rPr>
                      <w:rFonts w:hint="eastAsia"/>
                      <w:b/>
                      <w:bCs w:val="0"/>
                      <w:snapToGrid w:val="0"/>
                      <w:color w:val="auto"/>
                      <w:kern w:val="0"/>
                      <w:sz w:val="21"/>
                      <w:szCs w:val="21"/>
                      <w:highlight w:val="none"/>
                      <w:lang w:val="en-US" w:eastAsia="zh-CN"/>
                    </w:rPr>
                    <w:t>30</w:t>
                  </w:r>
                </w:p>
              </w:tc>
            </w:tr>
            <w:tr w14:paraId="2BB14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1C820FF6">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2B29D26D">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restart"/>
                  <w:noWrap w:val="0"/>
                  <w:vAlign w:val="center"/>
                </w:tcPr>
                <w:p w14:paraId="5E28D1D2">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单条中空线</w:t>
                  </w:r>
                </w:p>
              </w:tc>
              <w:tc>
                <w:tcPr>
                  <w:tcW w:w="491" w:type="pct"/>
                  <w:noWrap w:val="0"/>
                  <w:vAlign w:val="center"/>
                </w:tcPr>
                <w:p w14:paraId="25FB2AA2">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eastAsia="宋体"/>
                      <w:b/>
                      <w:bCs w:val="0"/>
                      <w:snapToGrid w:val="0"/>
                      <w:color w:val="auto"/>
                      <w:kern w:val="0"/>
                      <w:sz w:val="21"/>
                      <w:szCs w:val="21"/>
                      <w:lang w:val="en-US" w:eastAsia="zh-CN" w:bidi="ar-SA"/>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66473436">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30.3</w:t>
                  </w:r>
                </w:p>
              </w:tc>
              <w:tc>
                <w:tcPr>
                  <w:tcW w:w="470" w:type="pct"/>
                  <w:noWrap w:val="0"/>
                  <w:vAlign w:val="center"/>
                </w:tcPr>
                <w:p w14:paraId="3487B1C0">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0.37</w:t>
                  </w:r>
                </w:p>
              </w:tc>
              <w:tc>
                <w:tcPr>
                  <w:tcW w:w="459" w:type="pct"/>
                  <w:noWrap w:val="0"/>
                  <w:vAlign w:val="center"/>
                </w:tcPr>
                <w:p w14:paraId="0CC1E09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0.4418</w:t>
                  </w:r>
                </w:p>
              </w:tc>
              <w:tc>
                <w:tcPr>
                  <w:tcW w:w="446" w:type="pct"/>
                  <w:noWrap w:val="0"/>
                  <w:vAlign w:val="center"/>
                </w:tcPr>
                <w:p w14:paraId="32384347">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3.03</w:t>
                  </w:r>
                </w:p>
              </w:tc>
              <w:tc>
                <w:tcPr>
                  <w:tcW w:w="391" w:type="pct"/>
                  <w:noWrap w:val="0"/>
                  <w:vAlign w:val="center"/>
                </w:tcPr>
                <w:p w14:paraId="1448C923">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t>0.</w:t>
                  </w:r>
                  <w:r>
                    <w:rPr>
                      <w:rFonts w:hint="eastAsia" w:cs="Times New Roman"/>
                      <w:b/>
                      <w:bCs w:val="0"/>
                      <w:color w:val="auto"/>
                      <w:spacing w:val="-7"/>
                      <w:kern w:val="2"/>
                      <w:sz w:val="21"/>
                      <w:szCs w:val="21"/>
                      <w:highlight w:val="none"/>
                      <w:u w:val="none"/>
                      <w:vertAlign w:val="baseline"/>
                      <w:lang w:val="en-US" w:eastAsia="zh-CN" w:bidi="ar-SA"/>
                    </w:rPr>
                    <w:t>037</w:t>
                  </w:r>
                </w:p>
              </w:tc>
              <w:tc>
                <w:tcPr>
                  <w:tcW w:w="460" w:type="pct"/>
                  <w:noWrap w:val="0"/>
                  <w:vAlign w:val="center"/>
                </w:tcPr>
                <w:p w14:paraId="2286CF4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0.0442</w:t>
                  </w:r>
                </w:p>
              </w:tc>
              <w:tc>
                <w:tcPr>
                  <w:tcW w:w="456" w:type="pct"/>
                  <w:noWrap w:val="0"/>
                  <w:vAlign w:val="center"/>
                </w:tcPr>
                <w:p w14:paraId="3D193C09">
                  <w:pPr>
                    <w:keepNext w:val="0"/>
                    <w:keepLines w:val="0"/>
                    <w:pageBreakBefore w:val="0"/>
                    <w:widowControl/>
                    <w:kinsoku/>
                    <w:wordWrap/>
                    <w:overflowPunct/>
                    <w:topLinePunct w:val="0"/>
                    <w:autoSpaceDE/>
                    <w:autoSpaceDN/>
                    <w:bidi w:val="0"/>
                    <w:adjustRightInd w:val="0"/>
                    <w:snapToGrid w:val="0"/>
                    <w:ind w:left="0" w:leftChars="0" w:right="0" w:rightChars="0"/>
                    <w:jc w:val="center"/>
                    <w:rPr>
                      <w:rFonts w:hint="eastAsia"/>
                      <w:b/>
                      <w:bCs w:val="0"/>
                      <w:snapToGrid w:val="0"/>
                      <w:color w:val="auto"/>
                      <w:kern w:val="0"/>
                      <w:sz w:val="21"/>
                      <w:szCs w:val="21"/>
                      <w:highlight w:val="none"/>
                      <w:lang w:val="en-US" w:eastAsia="zh-CN"/>
                    </w:rPr>
                  </w:pPr>
                  <w:r>
                    <w:rPr>
                      <w:rFonts w:hint="eastAsia"/>
                      <w:b/>
                      <w:bCs w:val="0"/>
                      <w:snapToGrid w:val="0"/>
                      <w:color w:val="auto"/>
                      <w:kern w:val="0"/>
                      <w:sz w:val="21"/>
                      <w:szCs w:val="21"/>
                      <w:highlight w:val="none"/>
                      <w:lang w:val="en-US" w:eastAsia="zh-CN"/>
                    </w:rPr>
                    <w:t>60</w:t>
                  </w:r>
                </w:p>
              </w:tc>
            </w:tr>
            <w:tr w14:paraId="10AC6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251C95A4">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491" w:type="pct"/>
                  <w:vMerge w:val="continue"/>
                  <w:noWrap w:val="0"/>
                  <w:vAlign w:val="center"/>
                </w:tcPr>
                <w:p w14:paraId="0006B26D">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598" w:type="pct"/>
                  <w:vMerge w:val="continue"/>
                  <w:noWrap w:val="0"/>
                  <w:vAlign w:val="center"/>
                </w:tcPr>
                <w:p w14:paraId="473F4356">
                  <w:pPr>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p>
              </w:tc>
              <w:tc>
                <w:tcPr>
                  <w:tcW w:w="491" w:type="pct"/>
                  <w:shd w:val="clear" w:color="auto" w:fill="auto"/>
                  <w:noWrap w:val="0"/>
                  <w:vAlign w:val="center"/>
                </w:tcPr>
                <w:p w14:paraId="696315FA">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b/>
                      <w:bCs w:val="0"/>
                      <w:snapToGrid w:val="0"/>
                      <w:color w:val="auto"/>
                      <w:kern w:val="0"/>
                      <w:sz w:val="21"/>
                      <w:szCs w:val="21"/>
                      <w:lang w:val="en-US" w:eastAsia="zh-CN" w:bidi="ar-SA"/>
                    </w:rPr>
                    <w:t>颗粒物</w:t>
                  </w:r>
                </w:p>
              </w:tc>
              <w:tc>
                <w:tcPr>
                  <w:tcW w:w="508" w:type="pct"/>
                  <w:shd w:val="clear" w:color="auto" w:fill="auto"/>
                  <w:noWrap w:val="0"/>
                  <w:vAlign w:val="center"/>
                </w:tcPr>
                <w:p w14:paraId="29EE026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70" w:type="pct"/>
                  <w:shd w:val="clear" w:color="auto" w:fill="auto"/>
                  <w:noWrap w:val="0"/>
                  <w:vAlign w:val="center"/>
                </w:tcPr>
                <w:p w14:paraId="6660515B">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59" w:type="pct"/>
                  <w:shd w:val="clear" w:color="auto" w:fill="auto"/>
                  <w:noWrap w:val="0"/>
                  <w:vAlign w:val="center"/>
                </w:tcPr>
                <w:p w14:paraId="57CE05A8">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w:t>
                  </w:r>
                </w:p>
              </w:tc>
              <w:tc>
                <w:tcPr>
                  <w:tcW w:w="446" w:type="pct"/>
                  <w:shd w:val="clear" w:color="auto" w:fill="auto"/>
                  <w:noWrap w:val="0"/>
                  <w:vAlign w:val="center"/>
                </w:tcPr>
                <w:p w14:paraId="182346DB">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391" w:type="pct"/>
                  <w:shd w:val="clear" w:color="auto" w:fill="auto"/>
                  <w:noWrap w:val="0"/>
                  <w:vAlign w:val="center"/>
                </w:tcPr>
                <w:p w14:paraId="588EF038">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60" w:type="pct"/>
                  <w:shd w:val="clear" w:color="auto" w:fill="auto"/>
                  <w:noWrap w:val="0"/>
                  <w:vAlign w:val="center"/>
                </w:tcPr>
                <w:p w14:paraId="4E7002BA">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ascii="Times New Roman" w:hAnsi="Times New Roman" w:eastAsia="宋体" w:cs="Times New Roman"/>
                      <w:b/>
                      <w:bCs w:val="0"/>
                      <w:color w:val="auto"/>
                      <w:spacing w:val="-7"/>
                      <w:kern w:val="2"/>
                      <w:sz w:val="21"/>
                      <w:szCs w:val="21"/>
                      <w:highlight w:val="none"/>
                      <w:u w:val="none"/>
                      <w:vertAlign w:val="baseline"/>
                      <w:lang w:val="en-US" w:eastAsia="zh-CN" w:bidi="ar-SA"/>
                    </w:rPr>
                  </w:pPr>
                  <w:r>
                    <w:rPr>
                      <w:rFonts w:hint="eastAsia" w:cs="Times New Roman"/>
                      <w:b/>
                      <w:bCs w:val="0"/>
                      <w:color w:val="auto"/>
                      <w:spacing w:val="-7"/>
                      <w:kern w:val="2"/>
                      <w:sz w:val="21"/>
                      <w:szCs w:val="21"/>
                      <w:highlight w:val="none"/>
                      <w:u w:val="none"/>
                      <w:vertAlign w:val="baseline"/>
                      <w:lang w:val="en-US" w:eastAsia="zh-CN" w:bidi="ar-SA"/>
                    </w:rPr>
                    <w:t>/</w:t>
                  </w:r>
                </w:p>
              </w:tc>
              <w:tc>
                <w:tcPr>
                  <w:tcW w:w="456" w:type="pct"/>
                  <w:shd w:val="clear" w:color="auto" w:fill="auto"/>
                  <w:noWrap w:val="0"/>
                  <w:vAlign w:val="center"/>
                </w:tcPr>
                <w:p w14:paraId="1FB1B1DB">
                  <w:pPr>
                    <w:keepNext w:val="0"/>
                    <w:keepLines w:val="0"/>
                    <w:pageBreakBefore w:val="0"/>
                    <w:widowControl/>
                    <w:kinsoku/>
                    <w:wordWrap/>
                    <w:overflowPunct/>
                    <w:topLinePunct w:val="0"/>
                    <w:autoSpaceDE/>
                    <w:autoSpaceDN/>
                    <w:bidi w:val="0"/>
                    <w:adjustRightInd w:val="0"/>
                    <w:snapToGrid w:val="0"/>
                    <w:ind w:left="0" w:leftChars="0" w:right="0" w:rightChars="0"/>
                    <w:jc w:val="center"/>
                    <w:rPr>
                      <w:rFonts w:hint="eastAsia" w:ascii="Times New Roman" w:hAnsi="Times New Roman" w:eastAsia="宋体" w:cs="Times New Roman"/>
                      <w:b/>
                      <w:bCs w:val="0"/>
                      <w:snapToGrid w:val="0"/>
                      <w:color w:val="auto"/>
                      <w:kern w:val="0"/>
                      <w:sz w:val="21"/>
                      <w:szCs w:val="21"/>
                      <w:highlight w:val="none"/>
                      <w:lang w:val="en-US" w:eastAsia="zh-CN" w:bidi="ar-SA"/>
                    </w:rPr>
                  </w:pPr>
                  <w:r>
                    <w:rPr>
                      <w:rFonts w:hint="eastAsia"/>
                      <w:b/>
                      <w:bCs w:val="0"/>
                      <w:snapToGrid w:val="0"/>
                      <w:color w:val="auto"/>
                      <w:kern w:val="0"/>
                      <w:sz w:val="21"/>
                      <w:szCs w:val="21"/>
                      <w:highlight w:val="none"/>
                      <w:lang w:val="en-US" w:eastAsia="zh-CN"/>
                    </w:rPr>
                    <w:t>30</w:t>
                  </w:r>
                </w:p>
              </w:tc>
            </w:tr>
            <w:tr w14:paraId="18ACB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restart"/>
                  <w:noWrap w:val="0"/>
                  <w:vAlign w:val="center"/>
                </w:tcPr>
                <w:p w14:paraId="1FAE13D8">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eastAsia="宋体"/>
                      <w:b/>
                      <w:bCs w:val="0"/>
                      <w:snapToGrid w:val="0"/>
                      <w:color w:val="auto"/>
                      <w:kern w:val="0"/>
                      <w:sz w:val="21"/>
                      <w:szCs w:val="21"/>
                      <w:lang w:val="en-US" w:eastAsia="zh-CN"/>
                    </w:rPr>
                  </w:pPr>
                  <w:r>
                    <w:rPr>
                      <w:rFonts w:hint="eastAsia"/>
                      <w:b/>
                      <w:bCs w:val="0"/>
                      <w:snapToGrid w:val="0"/>
                      <w:color w:val="auto"/>
                      <w:kern w:val="0"/>
                      <w:sz w:val="21"/>
                      <w:szCs w:val="21"/>
                      <w:lang w:val="en-US" w:eastAsia="zh-CN"/>
                    </w:rPr>
                    <w:t>无组织</w:t>
                  </w:r>
                </w:p>
              </w:tc>
              <w:tc>
                <w:tcPr>
                  <w:tcW w:w="1089" w:type="pct"/>
                  <w:gridSpan w:val="2"/>
                  <w:noWrap w:val="0"/>
                  <w:vAlign w:val="center"/>
                </w:tcPr>
                <w:p w14:paraId="40522541">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中空玻璃生产过程涂胶固化工序</w:t>
                  </w:r>
                </w:p>
              </w:tc>
              <w:tc>
                <w:tcPr>
                  <w:tcW w:w="491" w:type="pct"/>
                  <w:noWrap w:val="0"/>
                  <w:vAlign w:val="center"/>
                </w:tcPr>
                <w:p w14:paraId="70DBA511">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eastAsia" w:eastAsia="宋体"/>
                      <w:b/>
                      <w:bCs w:val="0"/>
                      <w:snapToGrid w:val="0"/>
                      <w:color w:val="auto"/>
                      <w:kern w:val="0"/>
                      <w:sz w:val="21"/>
                      <w:szCs w:val="21"/>
                      <w:lang w:val="en-US" w:eastAsia="zh-CN" w:bidi="ar-SA"/>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3A29EF55">
                  <w:pPr>
                    <w:pStyle w:val="3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113" w:leftChars="0" w:right="-113" w:rightChars="0"/>
                    <w:jc w:val="center"/>
                    <w:textAlignment w:val="auto"/>
                    <w:rPr>
                      <w:rFonts w:hint="eastAsia" w:ascii="Times New Roman" w:hAnsi="Times New Roman" w:eastAsia="宋体" w:cs="Times New Roman"/>
                      <w:b/>
                      <w:bCs w:val="0"/>
                      <w:color w:val="auto"/>
                      <w:kern w:val="0"/>
                      <w:sz w:val="21"/>
                      <w:szCs w:val="21"/>
                      <w:highlight w:val="none"/>
                      <w:lang w:val="en-US" w:eastAsia="zh-CN" w:bidi="ar-SA"/>
                    </w:rPr>
                  </w:pPr>
                  <w:r>
                    <w:rPr>
                      <w:rFonts w:hint="default" w:ascii="Times New Roman" w:hAnsi="Times New Roman" w:eastAsia="宋体" w:cs="Times New Roman"/>
                      <w:b/>
                      <w:bCs w:val="0"/>
                      <w:color w:val="auto"/>
                      <w:spacing w:val="-7"/>
                      <w:kern w:val="2"/>
                      <w:sz w:val="21"/>
                      <w:szCs w:val="21"/>
                      <w:u w:val="none"/>
                      <w:vertAlign w:val="baseline"/>
                      <w:lang w:val="en-US" w:eastAsia="zh-CN" w:bidi="ar-SA"/>
                    </w:rPr>
                    <w:t>/</w:t>
                  </w:r>
                </w:p>
              </w:tc>
              <w:tc>
                <w:tcPr>
                  <w:tcW w:w="470" w:type="pct"/>
                  <w:noWrap w:val="0"/>
                  <w:vAlign w:val="center"/>
                </w:tcPr>
                <w:p w14:paraId="53E3B671">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0"/>
                      <w:sz w:val="21"/>
                      <w:szCs w:val="21"/>
                      <w:highlight w:val="none"/>
                      <w:u w:val="none"/>
                      <w:lang w:val="en-US" w:eastAsia="zh-CN" w:bidi="ar"/>
                    </w:rPr>
                  </w:pPr>
                  <w:r>
                    <w:rPr>
                      <w:rFonts w:hint="eastAsia" w:cs="Times New Roman"/>
                      <w:b/>
                      <w:bCs w:val="0"/>
                      <w:i w:val="0"/>
                      <w:iCs w:val="0"/>
                      <w:color w:val="auto"/>
                      <w:kern w:val="0"/>
                      <w:sz w:val="21"/>
                      <w:szCs w:val="21"/>
                      <w:highlight w:val="none"/>
                      <w:u w:val="none"/>
                      <w:lang w:val="en-US" w:eastAsia="zh-CN" w:bidi="ar"/>
                    </w:rPr>
                    <w:t>0.08</w:t>
                  </w:r>
                </w:p>
              </w:tc>
              <w:tc>
                <w:tcPr>
                  <w:tcW w:w="459" w:type="pct"/>
                  <w:noWrap w:val="0"/>
                  <w:vAlign w:val="center"/>
                </w:tcPr>
                <w:p w14:paraId="5F6994E6">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eastAsia" w:cs="Times New Roman"/>
                      <w:b/>
                      <w:bCs w:val="0"/>
                      <w:i w:val="0"/>
                      <w:iCs w:val="0"/>
                      <w:color w:val="auto"/>
                      <w:kern w:val="2"/>
                      <w:sz w:val="21"/>
                      <w:szCs w:val="21"/>
                      <w:highlight w:val="none"/>
                      <w:u w:val="none"/>
                      <w:lang w:val="en-US" w:eastAsia="zh-CN" w:bidi="ar-SA"/>
                    </w:rPr>
                    <w:t>0.0932</w:t>
                  </w:r>
                </w:p>
              </w:tc>
              <w:tc>
                <w:tcPr>
                  <w:tcW w:w="446" w:type="pct"/>
                  <w:noWrap w:val="0"/>
                  <w:vAlign w:val="center"/>
                </w:tcPr>
                <w:p w14:paraId="01545ABF">
                  <w:pPr>
                    <w:pStyle w:val="3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113" w:leftChars="0" w:right="-113" w:rightChars="0"/>
                    <w:jc w:val="center"/>
                    <w:textAlignment w:val="auto"/>
                    <w:rPr>
                      <w:rFonts w:hint="eastAsia" w:ascii="Times New Roman" w:hAnsi="Times New Roman" w:eastAsia="宋体" w:cs="Times New Roman"/>
                      <w:b/>
                      <w:bCs w:val="0"/>
                      <w:color w:val="auto"/>
                      <w:kern w:val="0"/>
                      <w:sz w:val="21"/>
                      <w:szCs w:val="21"/>
                      <w:highlight w:val="none"/>
                      <w:lang w:val="en-US" w:eastAsia="zh-CN" w:bidi="ar-SA"/>
                    </w:rPr>
                  </w:pPr>
                  <w:r>
                    <w:rPr>
                      <w:rFonts w:hint="default" w:ascii="Times New Roman" w:hAnsi="Times New Roman" w:eastAsia="宋体" w:cs="Times New Roman"/>
                      <w:b/>
                      <w:bCs w:val="0"/>
                      <w:color w:val="auto"/>
                      <w:spacing w:val="-7"/>
                      <w:kern w:val="2"/>
                      <w:sz w:val="21"/>
                      <w:szCs w:val="21"/>
                      <w:u w:val="none"/>
                      <w:vertAlign w:val="baseline"/>
                      <w:lang w:val="en-US" w:eastAsia="zh-CN" w:bidi="ar-SA"/>
                    </w:rPr>
                    <w:t>/</w:t>
                  </w:r>
                </w:p>
              </w:tc>
              <w:tc>
                <w:tcPr>
                  <w:tcW w:w="391" w:type="pct"/>
                  <w:noWrap w:val="0"/>
                  <w:vAlign w:val="center"/>
                </w:tcPr>
                <w:p w14:paraId="67E4C2AA">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0"/>
                      <w:sz w:val="21"/>
                      <w:szCs w:val="21"/>
                      <w:highlight w:val="none"/>
                      <w:u w:val="none"/>
                      <w:lang w:val="en-US" w:eastAsia="zh-CN" w:bidi="ar"/>
                    </w:rPr>
                  </w:pPr>
                  <w:r>
                    <w:rPr>
                      <w:rFonts w:hint="eastAsia" w:cs="Times New Roman"/>
                      <w:b/>
                      <w:bCs w:val="0"/>
                      <w:i w:val="0"/>
                      <w:iCs w:val="0"/>
                      <w:color w:val="auto"/>
                      <w:kern w:val="0"/>
                      <w:sz w:val="21"/>
                      <w:szCs w:val="21"/>
                      <w:highlight w:val="none"/>
                      <w:u w:val="none"/>
                      <w:lang w:val="en-US" w:eastAsia="zh-CN" w:bidi="ar"/>
                    </w:rPr>
                    <w:t>0.08</w:t>
                  </w:r>
                </w:p>
              </w:tc>
              <w:tc>
                <w:tcPr>
                  <w:tcW w:w="460" w:type="pct"/>
                  <w:noWrap w:val="0"/>
                  <w:vAlign w:val="center"/>
                </w:tcPr>
                <w:p w14:paraId="67FFE06A">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eastAsia" w:cs="Times New Roman"/>
                      <w:b/>
                      <w:bCs w:val="0"/>
                      <w:i w:val="0"/>
                      <w:iCs w:val="0"/>
                      <w:color w:val="auto"/>
                      <w:kern w:val="2"/>
                      <w:sz w:val="21"/>
                      <w:szCs w:val="21"/>
                      <w:highlight w:val="none"/>
                      <w:u w:val="none"/>
                      <w:lang w:val="en-US" w:eastAsia="zh-CN" w:bidi="ar-SA"/>
                    </w:rPr>
                    <w:t>0.0932</w:t>
                  </w:r>
                </w:p>
              </w:tc>
              <w:tc>
                <w:tcPr>
                  <w:tcW w:w="456" w:type="pct"/>
                  <w:noWrap w:val="0"/>
                  <w:vAlign w:val="center"/>
                </w:tcPr>
                <w:p w14:paraId="1488212E">
                  <w:pPr>
                    <w:pStyle w:val="3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113" w:leftChars="0" w:right="-113" w:rightChars="0"/>
                    <w:jc w:val="center"/>
                    <w:textAlignment w:val="auto"/>
                    <w:rPr>
                      <w:rFonts w:hint="default" w:ascii="Times New Roman" w:hAnsi="Times New Roman" w:eastAsia="宋体" w:cs="Times New Roman"/>
                      <w:b/>
                      <w:bCs w:val="0"/>
                      <w:color w:val="auto"/>
                      <w:kern w:val="0"/>
                      <w:sz w:val="21"/>
                      <w:szCs w:val="21"/>
                      <w:highlight w:val="none"/>
                      <w:lang w:val="en-US" w:eastAsia="zh-CN" w:bidi="ar-SA"/>
                    </w:rPr>
                  </w:pPr>
                  <w:r>
                    <w:rPr>
                      <w:rFonts w:hint="default" w:ascii="Times New Roman" w:hAnsi="Times New Roman" w:eastAsia="宋体" w:cs="Times New Roman"/>
                      <w:b/>
                      <w:bCs w:val="0"/>
                      <w:color w:val="auto"/>
                      <w:spacing w:val="-7"/>
                      <w:kern w:val="2"/>
                      <w:sz w:val="21"/>
                      <w:szCs w:val="21"/>
                      <w:u w:val="none"/>
                      <w:vertAlign w:val="baseline"/>
                      <w:lang w:val="en-US" w:eastAsia="zh-CN" w:bidi="ar-SA"/>
                    </w:rPr>
                    <w:t>/</w:t>
                  </w:r>
                </w:p>
              </w:tc>
            </w:tr>
            <w:tr w14:paraId="6B308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227" w:type="pct"/>
                  <w:vMerge w:val="continue"/>
                  <w:noWrap w:val="0"/>
                  <w:vAlign w:val="center"/>
                </w:tcPr>
                <w:p w14:paraId="7CE4C4D7">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p>
              </w:tc>
              <w:tc>
                <w:tcPr>
                  <w:tcW w:w="1089" w:type="pct"/>
                  <w:gridSpan w:val="2"/>
                  <w:noWrap w:val="0"/>
                  <w:vAlign w:val="center"/>
                </w:tcPr>
                <w:p w14:paraId="4E51D345">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ascii="Times New Roman" w:hAnsi="Times New Roman" w:eastAsia="宋体" w:cs="Times New Roman"/>
                      <w:b/>
                      <w:bCs w:val="0"/>
                      <w:snapToGrid w:val="0"/>
                      <w:color w:val="auto"/>
                      <w:kern w:val="0"/>
                      <w:sz w:val="21"/>
                      <w:szCs w:val="21"/>
                      <w:lang w:val="en-US" w:eastAsia="zh-CN" w:bidi="ar-SA"/>
                    </w:rPr>
                  </w:pPr>
                  <w:r>
                    <w:rPr>
                      <w:rFonts w:hint="eastAsia" w:ascii="Times New Roman" w:hAnsi="Times New Roman" w:eastAsia="宋体" w:cs="Times New Roman"/>
                      <w:b/>
                      <w:bCs w:val="0"/>
                      <w:snapToGrid w:val="0"/>
                      <w:color w:val="auto"/>
                      <w:kern w:val="0"/>
                      <w:sz w:val="21"/>
                      <w:szCs w:val="21"/>
                      <w:lang w:val="en-US" w:eastAsia="zh-CN" w:bidi="ar-SA"/>
                    </w:rPr>
                    <w:t>危废暂存</w:t>
                  </w:r>
                </w:p>
              </w:tc>
              <w:tc>
                <w:tcPr>
                  <w:tcW w:w="491" w:type="pct"/>
                  <w:noWrap w:val="0"/>
                  <w:vAlign w:val="center"/>
                </w:tcPr>
                <w:p w14:paraId="1F1129EF">
                  <w:pPr>
                    <w:pStyle w:val="16"/>
                    <w:keepNext w:val="0"/>
                    <w:keepLines w:val="0"/>
                    <w:pageBreakBefore w:val="0"/>
                    <w:kinsoku/>
                    <w:wordWrap/>
                    <w:overflowPunct/>
                    <w:topLinePunct w:val="0"/>
                    <w:autoSpaceDE/>
                    <w:autoSpaceDN/>
                    <w:bidi w:val="0"/>
                    <w:adjustRightInd w:val="0"/>
                    <w:snapToGrid w:val="0"/>
                    <w:ind w:left="0" w:leftChars="0" w:right="0" w:firstLine="0" w:firstLineChars="0"/>
                    <w:jc w:val="center"/>
                    <w:rPr>
                      <w:rFonts w:hint="eastAsia"/>
                      <w:b/>
                      <w:bCs w:val="0"/>
                      <w:snapToGrid w:val="0"/>
                      <w:color w:val="auto"/>
                      <w:kern w:val="0"/>
                      <w:sz w:val="21"/>
                      <w:szCs w:val="21"/>
                      <w:lang w:val="en-US" w:eastAsia="zh-CN"/>
                    </w:rPr>
                  </w:pPr>
                  <w:r>
                    <w:rPr>
                      <w:rFonts w:hint="eastAsia" w:eastAsia="宋体"/>
                      <w:b/>
                      <w:bCs w:val="0"/>
                      <w:snapToGrid w:val="0"/>
                      <w:color w:val="auto"/>
                      <w:kern w:val="0"/>
                      <w:sz w:val="21"/>
                      <w:szCs w:val="21"/>
                      <w:lang w:val="en-US" w:eastAsia="zh-CN" w:bidi="ar-SA"/>
                    </w:rPr>
                    <w:t>非甲烷总烃</w:t>
                  </w:r>
                </w:p>
              </w:tc>
              <w:tc>
                <w:tcPr>
                  <w:tcW w:w="3191" w:type="pct"/>
                  <w:gridSpan w:val="7"/>
                  <w:noWrap w:val="0"/>
                  <w:vAlign w:val="center"/>
                </w:tcPr>
                <w:p w14:paraId="76B24621">
                  <w:pPr>
                    <w:pStyle w:val="3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113" w:leftChars="0" w:right="-113" w:rightChars="0"/>
                    <w:jc w:val="center"/>
                    <w:textAlignment w:val="auto"/>
                    <w:rPr>
                      <w:rFonts w:hint="default" w:ascii="Times New Roman" w:hAnsi="Times New Roman" w:eastAsia="宋体" w:cs="Times New Roman"/>
                      <w:b/>
                      <w:bCs w:val="0"/>
                      <w:color w:val="auto"/>
                      <w:kern w:val="0"/>
                      <w:sz w:val="21"/>
                      <w:szCs w:val="21"/>
                      <w:highlight w:val="none"/>
                      <w:lang w:val="en-US" w:eastAsia="zh-CN" w:bidi="ar-SA"/>
                    </w:rPr>
                  </w:pPr>
                  <w:r>
                    <w:rPr>
                      <w:rFonts w:hint="eastAsia" w:ascii="Times New Roman" w:hAnsi="Times New Roman" w:eastAsia="宋体" w:cs="Times New Roman"/>
                      <w:b/>
                      <w:bCs w:val="0"/>
                      <w:color w:val="auto"/>
                      <w:kern w:val="0"/>
                      <w:sz w:val="21"/>
                      <w:szCs w:val="21"/>
                      <w:highlight w:val="none"/>
                      <w:lang w:val="en-US" w:eastAsia="zh-CN" w:bidi="ar-SA"/>
                    </w:rPr>
                    <w:t>危废暂存间密闭负压收集</w:t>
                  </w:r>
                </w:p>
              </w:tc>
            </w:tr>
            <w:tr w14:paraId="6013C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85" w:type="dxa"/>
                  <w:bottom w:w="85" w:type="dxa"/>
                  <w:right w:w="85" w:type="dxa"/>
                </w:tblCellMar>
              </w:tblPrEx>
              <w:trPr>
                <w:trHeight w:val="90" w:hRule="atLeast"/>
                <w:jc w:val="center"/>
              </w:trPr>
              <w:tc>
                <w:tcPr>
                  <w:tcW w:w="1317" w:type="pct"/>
                  <w:gridSpan w:val="3"/>
                  <w:noWrap w:val="0"/>
                  <w:vAlign w:val="center"/>
                </w:tcPr>
                <w:p w14:paraId="4EF9DBFD">
                  <w:pPr>
                    <w:pStyle w:val="16"/>
                    <w:keepNext w:val="0"/>
                    <w:keepLines w:val="0"/>
                    <w:pageBreakBefore w:val="0"/>
                    <w:kinsoku/>
                    <w:wordWrap/>
                    <w:overflowPunct/>
                    <w:topLinePunct w:val="0"/>
                    <w:autoSpaceDE/>
                    <w:autoSpaceDN/>
                    <w:bidi w:val="0"/>
                    <w:adjustRightInd w:val="0"/>
                    <w:snapToGrid w:val="0"/>
                    <w:ind w:left="0" w:right="0"/>
                    <w:jc w:val="center"/>
                    <w:rPr>
                      <w:b/>
                      <w:bCs w:val="0"/>
                      <w:snapToGrid w:val="0"/>
                      <w:color w:val="auto"/>
                      <w:kern w:val="0"/>
                      <w:sz w:val="21"/>
                      <w:szCs w:val="21"/>
                    </w:rPr>
                  </w:pPr>
                  <w:r>
                    <w:rPr>
                      <w:b/>
                      <w:bCs w:val="0"/>
                      <w:snapToGrid w:val="0"/>
                      <w:color w:val="auto"/>
                      <w:kern w:val="0"/>
                      <w:sz w:val="21"/>
                      <w:szCs w:val="21"/>
                    </w:rPr>
                    <w:t>合计</w:t>
                  </w:r>
                </w:p>
              </w:tc>
              <w:tc>
                <w:tcPr>
                  <w:tcW w:w="491" w:type="pct"/>
                  <w:noWrap w:val="0"/>
                  <w:vAlign w:val="center"/>
                </w:tcPr>
                <w:p w14:paraId="69050F07">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both"/>
                    <w:rPr>
                      <w:rFonts w:hint="eastAsia" w:eastAsia="宋体"/>
                      <w:b/>
                      <w:bCs w:val="0"/>
                      <w:snapToGrid w:val="0"/>
                      <w:color w:val="auto"/>
                      <w:kern w:val="0"/>
                      <w:sz w:val="21"/>
                      <w:szCs w:val="21"/>
                      <w:lang w:val="en-US" w:eastAsia="zh-CN" w:bidi="ar-SA"/>
                    </w:rPr>
                  </w:pPr>
                  <w:r>
                    <w:rPr>
                      <w:rFonts w:hint="eastAsia" w:eastAsia="宋体"/>
                      <w:b/>
                      <w:bCs w:val="0"/>
                      <w:snapToGrid w:val="0"/>
                      <w:color w:val="auto"/>
                      <w:kern w:val="0"/>
                      <w:sz w:val="21"/>
                      <w:szCs w:val="21"/>
                      <w:lang w:val="en-US" w:eastAsia="zh-CN" w:bidi="ar-SA"/>
                    </w:rPr>
                    <w:t>非甲烷总烃</w:t>
                  </w:r>
                </w:p>
              </w:tc>
              <w:tc>
                <w:tcPr>
                  <w:tcW w:w="508" w:type="pct"/>
                  <w:noWrap w:val="0"/>
                  <w:vAlign w:val="center"/>
                </w:tcPr>
                <w:p w14:paraId="44CB955C">
                  <w:pPr>
                    <w:keepNext w:val="0"/>
                    <w:keepLines w:val="0"/>
                    <w:pageBreakBefore w:val="0"/>
                    <w:widowControl/>
                    <w:suppressLineNumbers w:val="0"/>
                    <w:kinsoku/>
                    <w:wordWrap/>
                    <w:overflowPunct/>
                    <w:topLinePunct w:val="0"/>
                    <w:autoSpaceDE/>
                    <w:autoSpaceDN/>
                    <w:bidi w:val="0"/>
                    <w:adjustRightInd w:val="0"/>
                    <w:snapToGrid w:val="0"/>
                    <w:ind w:left="0" w:leftChars="0" w:right="0" w:rightChars="0"/>
                    <w:jc w:val="center"/>
                    <w:textAlignment w:val="bottom"/>
                    <w:rPr>
                      <w:rFonts w:hint="eastAsia" w:eastAsia="宋体"/>
                      <w:b/>
                      <w:bCs w:val="0"/>
                      <w:color w:val="auto"/>
                      <w:kern w:val="2"/>
                      <w:sz w:val="21"/>
                      <w:szCs w:val="21"/>
                      <w:highlight w:val="none"/>
                      <w:lang w:val="en-US" w:eastAsia="zh-CN" w:bidi="ar-SA"/>
                    </w:rPr>
                  </w:pPr>
                  <w:r>
                    <w:rPr>
                      <w:b/>
                      <w:bCs w:val="0"/>
                      <w:snapToGrid w:val="0"/>
                      <w:color w:val="auto"/>
                      <w:kern w:val="0"/>
                      <w:sz w:val="21"/>
                      <w:szCs w:val="21"/>
                      <w:highlight w:val="none"/>
                    </w:rPr>
                    <w:t>/</w:t>
                  </w:r>
                </w:p>
              </w:tc>
              <w:tc>
                <w:tcPr>
                  <w:tcW w:w="470" w:type="pct"/>
                  <w:noWrap w:val="0"/>
                  <w:vAlign w:val="center"/>
                </w:tcPr>
                <w:p w14:paraId="30DCA3BF">
                  <w:pPr>
                    <w:keepNext w:val="0"/>
                    <w:keepLines w:val="0"/>
                    <w:pageBreakBefore w:val="0"/>
                    <w:kinsoku/>
                    <w:wordWrap/>
                    <w:overflowPunct/>
                    <w:topLinePunct w:val="0"/>
                    <w:autoSpaceDE/>
                    <w:autoSpaceDN/>
                    <w:bidi w:val="0"/>
                    <w:adjustRightInd w:val="0"/>
                    <w:snapToGrid w:val="0"/>
                    <w:ind w:left="0" w:leftChars="0" w:right="0" w:rightChars="0"/>
                    <w:jc w:val="center"/>
                    <w:rPr>
                      <w:rFonts w:hint="eastAsia"/>
                      <w:b/>
                      <w:bCs w:val="0"/>
                      <w:snapToGrid w:val="0"/>
                      <w:color w:val="auto"/>
                      <w:kern w:val="0"/>
                      <w:sz w:val="21"/>
                      <w:szCs w:val="21"/>
                      <w:highlight w:val="none"/>
                      <w:lang w:val="en-US" w:eastAsia="zh-CN" w:bidi="ar-SA"/>
                    </w:rPr>
                  </w:pPr>
                  <w:r>
                    <w:rPr>
                      <w:b/>
                      <w:bCs w:val="0"/>
                      <w:snapToGrid w:val="0"/>
                      <w:color w:val="auto"/>
                      <w:kern w:val="0"/>
                      <w:sz w:val="21"/>
                      <w:szCs w:val="21"/>
                      <w:highlight w:val="none"/>
                    </w:rPr>
                    <w:t>/</w:t>
                  </w:r>
                </w:p>
              </w:tc>
              <w:tc>
                <w:tcPr>
                  <w:tcW w:w="459" w:type="pct"/>
                  <w:noWrap w:val="0"/>
                  <w:vAlign w:val="center"/>
                </w:tcPr>
                <w:p w14:paraId="735EA7E6">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2.1104</w:t>
                  </w:r>
                </w:p>
              </w:tc>
              <w:tc>
                <w:tcPr>
                  <w:tcW w:w="446" w:type="pct"/>
                  <w:noWrap w:val="0"/>
                  <w:vAlign w:val="center"/>
                </w:tcPr>
                <w:p w14:paraId="11CACEBD">
                  <w:pPr>
                    <w:keepNext w:val="0"/>
                    <w:keepLines w:val="0"/>
                    <w:pageBreakBefore w:val="0"/>
                    <w:widowControl/>
                    <w:suppressLineNumbers w:val="0"/>
                    <w:kinsoku/>
                    <w:wordWrap/>
                    <w:overflowPunct/>
                    <w:topLinePunct w:val="0"/>
                    <w:autoSpaceDE/>
                    <w:autoSpaceDN/>
                    <w:bidi w:val="0"/>
                    <w:adjustRightInd w:val="0"/>
                    <w:snapToGrid w:val="0"/>
                    <w:ind w:left="0" w:leftChars="0" w:right="0" w:rightChars="0"/>
                    <w:jc w:val="center"/>
                    <w:textAlignment w:val="bottom"/>
                    <w:rPr>
                      <w:rFonts w:hint="default" w:ascii="Times New Roman" w:hAnsi="Times New Roman" w:eastAsia="宋体" w:cs="Times New Roman"/>
                      <w:b/>
                      <w:bCs w:val="0"/>
                      <w:i w:val="0"/>
                      <w:iCs w:val="0"/>
                      <w:color w:val="auto"/>
                      <w:kern w:val="2"/>
                      <w:sz w:val="21"/>
                      <w:szCs w:val="21"/>
                      <w:highlight w:val="none"/>
                      <w:u w:val="none"/>
                      <w:lang w:val="en-US" w:eastAsia="zh-CN" w:bidi="ar-SA"/>
                    </w:rPr>
                  </w:pPr>
                  <w:r>
                    <w:rPr>
                      <w:rFonts w:hint="default" w:ascii="Times New Roman" w:hAnsi="Times New Roman" w:eastAsia="宋体" w:cs="Times New Roman"/>
                      <w:b/>
                      <w:bCs w:val="0"/>
                      <w:i w:val="0"/>
                      <w:iCs w:val="0"/>
                      <w:color w:val="auto"/>
                      <w:kern w:val="0"/>
                      <w:sz w:val="21"/>
                      <w:szCs w:val="21"/>
                      <w:u w:val="none"/>
                      <w:lang w:val="en-US" w:eastAsia="zh-CN" w:bidi="ar"/>
                    </w:rPr>
                    <w:t>/</w:t>
                  </w:r>
                </w:p>
              </w:tc>
              <w:tc>
                <w:tcPr>
                  <w:tcW w:w="391" w:type="pct"/>
                  <w:noWrap w:val="0"/>
                  <w:vAlign w:val="center"/>
                </w:tcPr>
                <w:p w14:paraId="276B55E0">
                  <w:pPr>
                    <w:keepNext w:val="0"/>
                    <w:keepLines w:val="0"/>
                    <w:pageBreakBefore w:val="0"/>
                    <w:widowControl/>
                    <w:suppressLineNumbers w:val="0"/>
                    <w:kinsoku/>
                    <w:wordWrap/>
                    <w:overflowPunct/>
                    <w:topLinePunct w:val="0"/>
                    <w:autoSpaceDE/>
                    <w:autoSpaceDN/>
                    <w:bidi w:val="0"/>
                    <w:adjustRightInd w:val="0"/>
                    <w:snapToGrid w:val="0"/>
                    <w:ind w:left="0" w:leftChars="0" w:right="0" w:rightChars="0"/>
                    <w:jc w:val="center"/>
                    <w:textAlignment w:val="center"/>
                    <w:rPr>
                      <w:rFonts w:hint="default"/>
                      <w:b/>
                      <w:bCs w:val="0"/>
                      <w:snapToGrid w:val="0"/>
                      <w:color w:val="auto"/>
                      <w:kern w:val="0"/>
                      <w:sz w:val="21"/>
                      <w:szCs w:val="21"/>
                      <w:lang w:val="en-US" w:eastAsia="zh-CN" w:bidi="ar-SA"/>
                    </w:rPr>
                  </w:pPr>
                  <w:r>
                    <w:rPr>
                      <w:rFonts w:hint="default" w:ascii="Times New Roman" w:hAnsi="Times New Roman" w:eastAsia="宋体" w:cs="Times New Roman"/>
                      <w:b/>
                      <w:bCs w:val="0"/>
                      <w:i w:val="0"/>
                      <w:iCs w:val="0"/>
                      <w:color w:val="auto"/>
                      <w:kern w:val="0"/>
                      <w:sz w:val="21"/>
                      <w:szCs w:val="21"/>
                      <w:u w:val="none"/>
                      <w:lang w:val="en-US" w:eastAsia="zh-CN" w:bidi="ar"/>
                    </w:rPr>
                    <w:t>/</w:t>
                  </w:r>
                </w:p>
              </w:tc>
              <w:tc>
                <w:tcPr>
                  <w:tcW w:w="460" w:type="pct"/>
                  <w:noWrap w:val="0"/>
                  <w:vAlign w:val="center"/>
                </w:tcPr>
                <w:p w14:paraId="267CFCC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ascii="Times New Roman" w:hAnsi="Times New Roman" w:eastAsia="宋体" w:cs="Times New Roman"/>
                      <w:b/>
                      <w:bCs w:val="0"/>
                      <w:color w:val="auto"/>
                      <w:spacing w:val="-7"/>
                      <w:kern w:val="2"/>
                      <w:sz w:val="21"/>
                      <w:szCs w:val="21"/>
                      <w:u w:val="none"/>
                      <w:vertAlign w:val="baseline"/>
                      <w:lang w:val="en-US" w:eastAsia="zh-CN" w:bidi="ar-SA"/>
                    </w:rPr>
                  </w:pPr>
                  <w:r>
                    <w:rPr>
                      <w:rFonts w:hint="eastAsia" w:cs="Times New Roman"/>
                      <w:b/>
                      <w:bCs w:val="0"/>
                      <w:color w:val="auto"/>
                      <w:spacing w:val="-7"/>
                      <w:kern w:val="2"/>
                      <w:sz w:val="21"/>
                      <w:szCs w:val="21"/>
                      <w:u w:val="none"/>
                      <w:vertAlign w:val="baseline"/>
                      <w:lang w:val="en-US" w:eastAsia="zh-CN" w:bidi="ar-SA"/>
                    </w:rPr>
                    <w:t>0.295</w:t>
                  </w:r>
                </w:p>
              </w:tc>
              <w:tc>
                <w:tcPr>
                  <w:tcW w:w="456" w:type="pct"/>
                  <w:noWrap w:val="0"/>
                  <w:vAlign w:val="center"/>
                </w:tcPr>
                <w:p w14:paraId="26E5F98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jc w:val="center"/>
                    <w:textAlignment w:val="auto"/>
                    <w:rPr>
                      <w:rFonts w:hint="eastAsia" w:ascii="Times New Roman" w:hAnsi="Times New Roman" w:eastAsia="宋体" w:cs="Times New Roman"/>
                      <w:b/>
                      <w:bCs w:val="0"/>
                      <w:color w:val="auto"/>
                      <w:spacing w:val="-7"/>
                      <w:kern w:val="2"/>
                      <w:sz w:val="21"/>
                      <w:szCs w:val="21"/>
                      <w:u w:val="none"/>
                      <w:vertAlign w:val="baseline"/>
                      <w:lang w:val="en-US" w:eastAsia="zh-CN" w:bidi="ar-SA"/>
                    </w:rPr>
                  </w:pPr>
                  <w:r>
                    <w:rPr>
                      <w:rFonts w:hint="eastAsia" w:ascii="Times New Roman" w:hAnsi="Times New Roman" w:eastAsia="宋体" w:cs="Times New Roman"/>
                      <w:b/>
                      <w:bCs w:val="0"/>
                      <w:color w:val="auto"/>
                      <w:spacing w:val="-7"/>
                      <w:kern w:val="2"/>
                      <w:sz w:val="21"/>
                      <w:szCs w:val="21"/>
                      <w:u w:val="none"/>
                      <w:vertAlign w:val="baseline"/>
                      <w:lang w:val="en-US" w:eastAsia="zh-CN" w:bidi="ar-SA"/>
                    </w:rPr>
                    <w:t>/</w:t>
                  </w:r>
                </w:p>
              </w:tc>
            </w:tr>
          </w:tbl>
          <w:p w14:paraId="7404253A">
            <w:pPr>
              <w:pStyle w:val="85"/>
              <w:tabs>
                <w:tab w:val="left" w:pos="420"/>
              </w:tabs>
              <w:bidi w:val="0"/>
              <w:spacing w:line="360" w:lineRule="auto"/>
              <w:ind w:left="0" w:leftChars="0" w:firstLine="480" w:firstLineChars="20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项目有组织废气治理设施信息见下表。    </w:t>
            </w:r>
          </w:p>
          <w:p w14:paraId="3E1C16E2">
            <w:pPr>
              <w:pStyle w:val="85"/>
              <w:tabs>
                <w:tab w:val="left" w:pos="420"/>
              </w:tabs>
              <w:bidi w:val="0"/>
              <w:spacing w:line="360" w:lineRule="auto"/>
              <w:ind w:left="0" w:leftChars="0" w:firstLine="0" w:firstLineChars="0"/>
              <w:jc w:val="center"/>
              <w:rPr>
                <w:rFonts w:hint="default" w:ascii="Times New Roman" w:hAnsi="Times New Roman" w:eastAsia="宋体" w:cs="Times New Roman"/>
                <w:b/>
                <w:bCs/>
                <w:sz w:val="24"/>
                <w:szCs w:val="24"/>
                <w:u w:val="single"/>
                <w:lang w:val="en-US" w:eastAsia="zh-CN"/>
              </w:rPr>
            </w:pPr>
            <w:r>
              <w:rPr>
                <w:rFonts w:hint="default" w:ascii="Times New Roman" w:hAnsi="Times New Roman" w:eastAsia="宋体" w:cs="Times New Roman"/>
                <w:b/>
                <w:bCs/>
                <w:sz w:val="24"/>
                <w:szCs w:val="24"/>
                <w:u w:val="single"/>
                <w:lang w:val="en-US" w:eastAsia="zh-CN"/>
              </w:rPr>
              <w:t>表4-2    有组织废气治理设施信息表</w:t>
            </w:r>
          </w:p>
          <w:tbl>
            <w:tblPr>
              <w:tblStyle w:val="39"/>
              <w:tblW w:w="4993"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24"/>
              <w:gridCol w:w="2307"/>
              <w:gridCol w:w="2336"/>
              <w:gridCol w:w="708"/>
              <w:gridCol w:w="730"/>
              <w:gridCol w:w="612"/>
              <w:gridCol w:w="776"/>
              <w:gridCol w:w="749"/>
            </w:tblGrid>
            <w:tr w14:paraId="5458D0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5" w:hRule="atLeast"/>
              </w:trPr>
              <w:tc>
                <w:tcPr>
                  <w:tcW w:w="190" w:type="pct"/>
                  <w:tcBorders>
                    <w:top w:val="single" w:color="000000" w:sz="4" w:space="0"/>
                    <w:left w:val="single" w:color="000000" w:sz="4" w:space="0"/>
                    <w:bottom w:val="single" w:color="000000" w:sz="4" w:space="0"/>
                    <w:right w:val="single" w:color="000000" w:sz="4" w:space="0"/>
                  </w:tcBorders>
                  <w:noWrap w:val="0"/>
                  <w:vAlign w:val="center"/>
                </w:tcPr>
                <w:p w14:paraId="01C042AC">
                  <w:pPr>
                    <w:jc w:val="center"/>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序号</w:t>
                  </w:r>
                </w:p>
              </w:tc>
              <w:tc>
                <w:tcPr>
                  <w:tcW w:w="1349" w:type="pct"/>
                  <w:tcBorders>
                    <w:top w:val="single" w:color="000000" w:sz="4" w:space="0"/>
                    <w:left w:val="single" w:color="000000" w:sz="4" w:space="0"/>
                    <w:bottom w:val="single" w:color="000000" w:sz="4" w:space="0"/>
                    <w:right w:val="single" w:color="000000" w:sz="4" w:space="0"/>
                  </w:tcBorders>
                  <w:noWrap w:val="0"/>
                  <w:vAlign w:val="center"/>
                </w:tcPr>
                <w:p w14:paraId="3023495D">
                  <w:pPr>
                    <w:jc w:val="center"/>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工序</w:t>
                  </w:r>
                </w:p>
              </w:tc>
              <w:tc>
                <w:tcPr>
                  <w:tcW w:w="1366" w:type="pct"/>
                  <w:tcBorders>
                    <w:top w:val="single" w:color="000000" w:sz="4" w:space="0"/>
                    <w:left w:val="single" w:color="000000" w:sz="4" w:space="0"/>
                    <w:bottom w:val="single" w:color="000000" w:sz="4" w:space="0"/>
                    <w:right w:val="single" w:color="000000" w:sz="4" w:space="0"/>
                  </w:tcBorders>
                  <w:noWrap w:val="0"/>
                  <w:vAlign w:val="center"/>
                </w:tcPr>
                <w:p w14:paraId="5FAC1F4A">
                  <w:pPr>
                    <w:jc w:val="center"/>
                    <w:rPr>
                      <w:rFonts w:hint="default" w:ascii="Times New Roman" w:hAnsi="Times New Roman" w:cs="Times New Roman"/>
                      <w:b/>
                      <w:bCs/>
                      <w:snapToGrid w:val="0"/>
                      <w:color w:val="auto"/>
                      <w:kern w:val="0"/>
                      <w:sz w:val="21"/>
                      <w:szCs w:val="21"/>
                      <w:highlight w:val="yellow"/>
                    </w:rPr>
                  </w:pPr>
                  <w:r>
                    <w:rPr>
                      <w:rFonts w:hint="eastAsia" w:ascii="Times New Roman" w:hAnsi="Times New Roman" w:cs="Times New Roman"/>
                      <w:b/>
                      <w:bCs/>
                      <w:snapToGrid w:val="0"/>
                      <w:color w:val="auto"/>
                      <w:kern w:val="0"/>
                      <w:sz w:val="21"/>
                      <w:szCs w:val="21"/>
                      <w:lang w:val="en-US" w:eastAsia="zh-CN"/>
                    </w:rPr>
                    <w:t>治理</w:t>
                  </w:r>
                  <w:r>
                    <w:rPr>
                      <w:rFonts w:hint="default" w:ascii="Times New Roman" w:hAnsi="Times New Roman" w:cs="Times New Roman"/>
                      <w:b/>
                      <w:bCs/>
                      <w:snapToGrid w:val="0"/>
                      <w:color w:val="auto"/>
                      <w:kern w:val="0"/>
                      <w:sz w:val="21"/>
                      <w:szCs w:val="21"/>
                    </w:rPr>
                    <w:t>措施</w:t>
                  </w:r>
                </w:p>
              </w:tc>
              <w:tc>
                <w:tcPr>
                  <w:tcW w:w="414" w:type="pct"/>
                  <w:tcBorders>
                    <w:top w:val="single" w:color="000000" w:sz="4" w:space="0"/>
                    <w:left w:val="single" w:color="000000" w:sz="4" w:space="0"/>
                    <w:bottom w:val="single" w:color="000000" w:sz="4" w:space="0"/>
                    <w:right w:val="single" w:color="auto" w:sz="4" w:space="0"/>
                  </w:tcBorders>
                  <w:noWrap w:val="0"/>
                  <w:vAlign w:val="center"/>
                </w:tcPr>
                <w:p w14:paraId="0825271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收集效率（%）</w:t>
                  </w:r>
                </w:p>
              </w:tc>
              <w:tc>
                <w:tcPr>
                  <w:tcW w:w="785" w:type="pct"/>
                  <w:gridSpan w:val="2"/>
                  <w:tcBorders>
                    <w:top w:val="single" w:color="000000" w:sz="4" w:space="0"/>
                    <w:left w:val="single" w:color="auto" w:sz="4" w:space="0"/>
                    <w:bottom w:val="single" w:color="000000" w:sz="4" w:space="0"/>
                    <w:right w:val="single" w:color="auto" w:sz="4" w:space="0"/>
                  </w:tcBorders>
                  <w:noWrap w:val="0"/>
                  <w:vAlign w:val="center"/>
                </w:tcPr>
                <w:p w14:paraId="47652CD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处理效率（%）</w:t>
                  </w:r>
                </w:p>
              </w:tc>
              <w:tc>
                <w:tcPr>
                  <w:tcW w:w="454" w:type="pct"/>
                  <w:tcBorders>
                    <w:top w:val="single" w:color="000000" w:sz="4" w:space="0"/>
                    <w:left w:val="single" w:color="auto" w:sz="4" w:space="0"/>
                    <w:bottom w:val="single" w:color="000000" w:sz="4" w:space="0"/>
                    <w:right w:val="single" w:color="000000" w:sz="4" w:space="0"/>
                  </w:tcBorders>
                  <w:noWrap w:val="0"/>
                  <w:vAlign w:val="center"/>
                </w:tcPr>
                <w:p w14:paraId="29D8B6E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处理能力</w:t>
                  </w:r>
                </w:p>
                <w:p w14:paraId="28C0828C">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rPr>
                  </w:pPr>
                  <w:r>
                    <w:rPr>
                      <w:rFonts w:hint="eastAsia" w:ascii="Times New Roman" w:hAnsi="Times New Roman" w:cs="Times New Roman"/>
                      <w:b/>
                      <w:bCs/>
                      <w:snapToGrid w:val="0"/>
                      <w:color w:val="auto"/>
                      <w:kern w:val="0"/>
                      <w:sz w:val="21"/>
                      <w:szCs w:val="21"/>
                      <w:lang w:eastAsia="zh-CN"/>
                    </w:rPr>
                    <w:t>(</w:t>
                  </w:r>
                  <w:r>
                    <w:rPr>
                      <w:rFonts w:hint="default" w:ascii="Times New Roman" w:hAnsi="Times New Roman" w:cs="Times New Roman"/>
                      <w:b/>
                      <w:bCs/>
                      <w:snapToGrid w:val="0"/>
                      <w:color w:val="auto"/>
                      <w:kern w:val="0"/>
                      <w:sz w:val="21"/>
                      <w:szCs w:val="21"/>
                    </w:rPr>
                    <w:t>m</w:t>
                  </w:r>
                  <w:r>
                    <w:rPr>
                      <w:rFonts w:hint="default" w:ascii="Times New Roman" w:hAnsi="Times New Roman" w:cs="Times New Roman"/>
                      <w:b/>
                      <w:bCs/>
                      <w:snapToGrid w:val="0"/>
                      <w:color w:val="auto"/>
                      <w:kern w:val="0"/>
                      <w:sz w:val="21"/>
                      <w:szCs w:val="21"/>
                      <w:vertAlign w:val="superscript"/>
                    </w:rPr>
                    <w:t>3</w:t>
                  </w:r>
                  <w:r>
                    <w:rPr>
                      <w:rFonts w:hint="default" w:ascii="Times New Roman" w:hAnsi="Times New Roman" w:cs="Times New Roman"/>
                      <w:b/>
                      <w:bCs/>
                      <w:snapToGrid w:val="0"/>
                      <w:color w:val="auto"/>
                      <w:kern w:val="0"/>
                      <w:sz w:val="21"/>
                      <w:szCs w:val="21"/>
                    </w:rPr>
                    <w:t>/h</w:t>
                  </w:r>
                  <w:r>
                    <w:rPr>
                      <w:rFonts w:hint="eastAsia" w:ascii="Times New Roman" w:hAnsi="Times New Roman" w:cs="Times New Roman"/>
                      <w:b/>
                      <w:bCs/>
                      <w:snapToGrid w:val="0"/>
                      <w:color w:val="auto"/>
                      <w:kern w:val="0"/>
                      <w:sz w:val="21"/>
                      <w:szCs w:val="21"/>
                      <w:lang w:eastAsia="zh-CN"/>
                    </w:rPr>
                    <w:t>)</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27AC1F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是否为可行技术</w:t>
                  </w:r>
                </w:p>
              </w:tc>
            </w:tr>
            <w:tr w14:paraId="109878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 w:hRule="atLeast"/>
              </w:trPr>
              <w:tc>
                <w:tcPr>
                  <w:tcW w:w="190" w:type="pct"/>
                  <w:tcBorders>
                    <w:top w:val="single" w:color="000000" w:sz="4" w:space="0"/>
                    <w:left w:val="single" w:color="000000" w:sz="4" w:space="0"/>
                    <w:right w:val="single" w:color="000000" w:sz="4" w:space="0"/>
                  </w:tcBorders>
                  <w:noWrap w:val="0"/>
                  <w:vAlign w:val="center"/>
                </w:tcPr>
                <w:p w14:paraId="0FC1F36E">
                  <w:pPr>
                    <w:jc w:val="center"/>
                    <w:rPr>
                      <w:rFonts w:hint="default" w:ascii="Times New Roman" w:hAnsi="Times New Roman" w:cs="Times New Roman"/>
                      <w:b/>
                      <w:bCs/>
                      <w:snapToGrid w:val="0"/>
                      <w:color w:val="auto"/>
                      <w:kern w:val="0"/>
                      <w:sz w:val="21"/>
                      <w:szCs w:val="21"/>
                      <w:lang w:val="en-US" w:eastAsia="zh-CN" w:bidi="ar-SA"/>
                    </w:rPr>
                  </w:pPr>
                  <w:r>
                    <w:rPr>
                      <w:rFonts w:hint="default" w:ascii="Times New Roman" w:hAnsi="Times New Roman" w:cs="Times New Roman"/>
                      <w:b/>
                      <w:bCs/>
                      <w:snapToGrid w:val="0"/>
                      <w:color w:val="auto"/>
                      <w:kern w:val="0"/>
                      <w:sz w:val="21"/>
                      <w:szCs w:val="21"/>
                      <w:lang w:val="en-US" w:eastAsia="zh-CN"/>
                    </w:rPr>
                    <w:t>1</w:t>
                  </w:r>
                </w:p>
              </w:tc>
              <w:tc>
                <w:tcPr>
                  <w:tcW w:w="1349" w:type="pct"/>
                  <w:tcBorders>
                    <w:top w:val="single" w:color="000000" w:sz="4" w:space="0"/>
                    <w:left w:val="single" w:color="000000" w:sz="4" w:space="0"/>
                    <w:right w:val="single" w:color="000000" w:sz="4" w:space="0"/>
                  </w:tcBorders>
                  <w:noWrap w:val="0"/>
                  <w:vAlign w:val="center"/>
                </w:tcPr>
                <w:p w14:paraId="3689690A">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default" w:ascii="Times New Roman" w:hAnsi="Times New Roman" w:eastAsia="宋体" w:cs="Times New Roman"/>
                      <w:b/>
                      <w:bCs/>
                      <w:snapToGrid w:val="0"/>
                      <w:color w:val="auto"/>
                      <w:kern w:val="0"/>
                      <w:sz w:val="21"/>
                      <w:szCs w:val="21"/>
                      <w:lang w:val="en-US" w:eastAsia="zh-CN"/>
                    </w:rPr>
                  </w:pPr>
                  <w:r>
                    <w:rPr>
                      <w:rFonts w:hint="default" w:eastAsia="宋体"/>
                      <w:b/>
                      <w:bCs/>
                      <w:snapToGrid w:val="0"/>
                      <w:color w:val="auto"/>
                      <w:kern w:val="0"/>
                      <w:sz w:val="21"/>
                      <w:szCs w:val="21"/>
                      <w:lang w:val="en-US" w:eastAsia="zh-CN" w:bidi="ar-SA"/>
                    </w:rPr>
                    <w:t>彩色成像玻璃生产过程烘干固化工序</w:t>
                  </w:r>
                </w:p>
              </w:tc>
              <w:tc>
                <w:tcPr>
                  <w:tcW w:w="1366" w:type="pct"/>
                  <w:tcBorders>
                    <w:top w:val="single" w:color="000000" w:sz="4" w:space="0"/>
                    <w:left w:val="single" w:color="000000" w:sz="4" w:space="0"/>
                    <w:right w:val="single" w:color="000000" w:sz="4" w:space="0"/>
                  </w:tcBorders>
                  <w:noWrap w:val="0"/>
                  <w:vAlign w:val="center"/>
                </w:tcPr>
                <w:p w14:paraId="26DF94F0">
                  <w:pPr>
                    <w:jc w:val="center"/>
                    <w:rPr>
                      <w:rFonts w:hint="default" w:ascii="Times New Roman" w:hAnsi="Times New Roman" w:cs="Times New Roman"/>
                      <w:b/>
                      <w:bCs/>
                      <w:snapToGrid w:val="0"/>
                      <w:color w:val="auto"/>
                      <w:kern w:val="0"/>
                      <w:sz w:val="21"/>
                      <w:szCs w:val="21"/>
                      <w:lang w:val="en-US" w:eastAsia="zh-CN"/>
                    </w:rPr>
                  </w:pPr>
                  <w:r>
                    <w:rPr>
                      <w:rFonts w:hint="eastAsia" w:ascii="Times New Roman" w:hAnsi="Times New Roman" w:cs="Times New Roman"/>
                      <w:b/>
                      <w:bCs/>
                      <w:snapToGrid w:val="0"/>
                      <w:color w:val="auto"/>
                      <w:kern w:val="0"/>
                      <w:sz w:val="21"/>
                      <w:szCs w:val="21"/>
                      <w:lang w:val="en-US" w:eastAsia="zh-CN"/>
                    </w:rPr>
                    <w:t>彩打、固化整体密闭+1套两级活性炭吸附+</w:t>
                  </w:r>
                  <w:r>
                    <w:rPr>
                      <w:rFonts w:hint="eastAsia" w:ascii="Times New Roman" w:hAnsi="Times New Roman" w:eastAsia="宋体" w:cs="Times New Roman"/>
                      <w:b/>
                      <w:bCs/>
                      <w:i w:val="0"/>
                      <w:color w:val="auto"/>
                      <w:kern w:val="2"/>
                      <w:sz w:val="21"/>
                      <w:szCs w:val="21"/>
                      <w:u w:val="none"/>
                      <w:lang w:val="en-US" w:eastAsia="zh-CN" w:bidi="ar-SA"/>
                    </w:rPr>
                    <w:t>1根15m高排气筒DA001</w:t>
                  </w:r>
                </w:p>
              </w:tc>
              <w:tc>
                <w:tcPr>
                  <w:tcW w:w="414" w:type="pct"/>
                  <w:tcBorders>
                    <w:top w:val="single" w:color="000000" w:sz="4" w:space="0"/>
                    <w:left w:val="single" w:color="000000" w:sz="4" w:space="0"/>
                    <w:right w:val="single" w:color="auto" w:sz="4" w:space="0"/>
                  </w:tcBorders>
                  <w:noWrap w:val="0"/>
                  <w:vAlign w:val="center"/>
                </w:tcPr>
                <w:p w14:paraId="646E989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lang w:val="en-US"/>
                    </w:rPr>
                  </w:pPr>
                  <w:r>
                    <w:rPr>
                      <w:rFonts w:hint="eastAsia" w:ascii="Times New Roman" w:hAnsi="Times New Roman" w:eastAsia="宋体" w:cs="Times New Roman"/>
                      <w:b/>
                      <w:bCs/>
                      <w:i w:val="0"/>
                      <w:color w:val="auto"/>
                      <w:kern w:val="0"/>
                      <w:sz w:val="21"/>
                      <w:szCs w:val="21"/>
                      <w:u w:val="none"/>
                      <w:lang w:val="en-US" w:eastAsia="zh-CN" w:bidi="ar"/>
                    </w:rPr>
                    <w:t>100</w:t>
                  </w:r>
                </w:p>
              </w:tc>
              <w:tc>
                <w:tcPr>
                  <w:tcW w:w="427" w:type="pct"/>
                  <w:tcBorders>
                    <w:top w:val="single" w:color="000000" w:sz="4" w:space="0"/>
                    <w:left w:val="single" w:color="auto" w:sz="4" w:space="0"/>
                    <w:right w:val="single" w:color="auto" w:sz="4" w:space="0"/>
                  </w:tcBorders>
                  <w:noWrap w:val="0"/>
                  <w:vAlign w:val="center"/>
                </w:tcPr>
                <w:p w14:paraId="73C8CCC6">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bCs/>
                      <w:snapToGrid w:val="0"/>
                      <w:color w:val="auto"/>
                      <w:kern w:val="0"/>
                      <w:sz w:val="21"/>
                      <w:szCs w:val="21"/>
                      <w:lang w:val="en-US" w:eastAsia="zh-CN"/>
                    </w:rPr>
                  </w:pPr>
                  <w:r>
                    <w:rPr>
                      <w:rFonts w:hint="default" w:ascii="Times New Roman" w:hAnsi="Times New Roman" w:eastAsia="宋体" w:cs="Times New Roman"/>
                      <w:b/>
                      <w:bCs/>
                      <w:snapToGrid w:val="0"/>
                      <w:color w:val="auto"/>
                      <w:kern w:val="0"/>
                      <w:sz w:val="21"/>
                      <w:szCs w:val="21"/>
                      <w:u w:val="none"/>
                      <w:lang w:val="en-US" w:eastAsia="zh-CN"/>
                    </w:rPr>
                    <w:t>非甲烷总烃</w:t>
                  </w:r>
                </w:p>
              </w:tc>
              <w:tc>
                <w:tcPr>
                  <w:tcW w:w="358" w:type="pct"/>
                  <w:tcBorders>
                    <w:top w:val="single" w:color="000000" w:sz="4" w:space="0"/>
                    <w:left w:val="single" w:color="auto" w:sz="4" w:space="0"/>
                    <w:bottom w:val="single" w:color="000000" w:sz="4" w:space="0"/>
                    <w:right w:val="single" w:color="auto" w:sz="4" w:space="0"/>
                  </w:tcBorders>
                  <w:noWrap w:val="0"/>
                  <w:vAlign w:val="center"/>
                </w:tcPr>
                <w:p w14:paraId="1245E0E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lang w:val="en-US" w:eastAsia="zh-CN"/>
                    </w:rPr>
                  </w:pPr>
                  <w:r>
                    <w:rPr>
                      <w:rFonts w:hint="eastAsia" w:ascii="Times New Roman" w:hAnsi="Times New Roman" w:eastAsia="宋体" w:cs="Times New Roman"/>
                      <w:b/>
                      <w:bCs/>
                      <w:snapToGrid w:val="0"/>
                      <w:color w:val="auto"/>
                      <w:kern w:val="0"/>
                      <w:sz w:val="21"/>
                      <w:szCs w:val="21"/>
                      <w:lang w:val="en-US" w:eastAsia="zh-CN"/>
                    </w:rPr>
                    <w:t>90</w:t>
                  </w:r>
                </w:p>
              </w:tc>
              <w:tc>
                <w:tcPr>
                  <w:tcW w:w="454" w:type="pct"/>
                  <w:tcBorders>
                    <w:top w:val="single" w:color="000000" w:sz="4" w:space="0"/>
                    <w:left w:val="single" w:color="auto" w:sz="4" w:space="0"/>
                    <w:right w:val="single" w:color="000000" w:sz="4" w:space="0"/>
                  </w:tcBorders>
                  <w:noWrap w:val="0"/>
                  <w:vAlign w:val="center"/>
                </w:tcPr>
                <w:p w14:paraId="16AD66F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lang w:val="en-US" w:eastAsia="zh-CN"/>
                    </w:rPr>
                  </w:pPr>
                  <w:r>
                    <w:rPr>
                      <w:rFonts w:hint="eastAsia" w:cs="Times New Roman"/>
                      <w:b/>
                      <w:bCs/>
                      <w:snapToGrid w:val="0"/>
                      <w:color w:val="auto"/>
                      <w:kern w:val="0"/>
                      <w:sz w:val="21"/>
                      <w:szCs w:val="21"/>
                      <w:lang w:val="en-US" w:eastAsia="zh-CN"/>
                    </w:rPr>
                    <w:t>9</w:t>
                  </w:r>
                  <w:r>
                    <w:rPr>
                      <w:rFonts w:hint="eastAsia" w:ascii="Times New Roman" w:hAnsi="Times New Roman" w:cs="Times New Roman"/>
                      <w:b/>
                      <w:bCs/>
                      <w:snapToGrid w:val="0"/>
                      <w:color w:val="auto"/>
                      <w:kern w:val="0"/>
                      <w:sz w:val="21"/>
                      <w:szCs w:val="21"/>
                      <w:lang w:val="en-US" w:eastAsia="zh-CN"/>
                    </w:rPr>
                    <w:t>000</w:t>
                  </w:r>
                </w:p>
              </w:tc>
              <w:tc>
                <w:tcPr>
                  <w:tcW w:w="438" w:type="pct"/>
                  <w:tcBorders>
                    <w:top w:val="single" w:color="000000" w:sz="4" w:space="0"/>
                    <w:left w:val="single" w:color="000000" w:sz="4" w:space="0"/>
                    <w:right w:val="single" w:color="000000" w:sz="4" w:space="0"/>
                  </w:tcBorders>
                  <w:noWrap w:val="0"/>
                  <w:vAlign w:val="center"/>
                </w:tcPr>
                <w:p w14:paraId="3FB306C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是</w:t>
                  </w:r>
                </w:p>
              </w:tc>
            </w:tr>
            <w:tr w14:paraId="3BE10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190" w:type="pct"/>
                  <w:tcBorders>
                    <w:top w:val="single" w:color="000000" w:sz="4" w:space="0"/>
                    <w:left w:val="single" w:color="000000" w:sz="4" w:space="0"/>
                    <w:right w:val="single" w:color="000000" w:sz="4" w:space="0"/>
                  </w:tcBorders>
                  <w:noWrap w:val="0"/>
                  <w:vAlign w:val="center"/>
                </w:tcPr>
                <w:p w14:paraId="625296D6">
                  <w:pPr>
                    <w:jc w:val="center"/>
                    <w:rPr>
                      <w:rFonts w:hint="default" w:ascii="Times New Roman" w:hAnsi="Times New Roman" w:cs="Times New Roman"/>
                      <w:b/>
                      <w:bCs/>
                      <w:snapToGrid w:val="0"/>
                      <w:color w:val="auto"/>
                      <w:kern w:val="0"/>
                      <w:sz w:val="21"/>
                      <w:szCs w:val="21"/>
                      <w:lang w:val="en-US" w:eastAsia="zh-CN" w:bidi="ar-SA"/>
                    </w:rPr>
                  </w:pPr>
                  <w:r>
                    <w:rPr>
                      <w:rFonts w:hint="eastAsia" w:ascii="Times New Roman" w:hAnsi="Times New Roman" w:cs="Times New Roman"/>
                      <w:b/>
                      <w:bCs/>
                      <w:snapToGrid w:val="0"/>
                      <w:color w:val="auto"/>
                      <w:kern w:val="0"/>
                      <w:sz w:val="21"/>
                      <w:szCs w:val="21"/>
                      <w:lang w:val="en-US" w:eastAsia="zh-CN"/>
                    </w:rPr>
                    <w:t>2</w:t>
                  </w:r>
                </w:p>
              </w:tc>
              <w:tc>
                <w:tcPr>
                  <w:tcW w:w="1349" w:type="pct"/>
                  <w:tcBorders>
                    <w:top w:val="single" w:color="000000" w:sz="4" w:space="0"/>
                    <w:left w:val="single" w:color="000000" w:sz="4" w:space="0"/>
                    <w:right w:val="single" w:color="000000" w:sz="4" w:space="0"/>
                  </w:tcBorders>
                  <w:noWrap w:val="0"/>
                  <w:vAlign w:val="center"/>
                </w:tcPr>
                <w:p w14:paraId="33B8F5EB">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default" w:eastAsia="宋体"/>
                      <w:b/>
                      <w:bCs/>
                      <w:snapToGrid w:val="0"/>
                      <w:color w:val="auto"/>
                      <w:kern w:val="0"/>
                      <w:sz w:val="21"/>
                      <w:szCs w:val="21"/>
                      <w:lang w:val="en-US" w:eastAsia="zh-CN" w:bidi="ar-SA"/>
                    </w:rPr>
                  </w:pPr>
                  <w:r>
                    <w:rPr>
                      <w:rFonts w:hint="eastAsia" w:ascii="Times New Roman" w:hAnsi="Times New Roman" w:eastAsia="宋体" w:cs="Times New Roman"/>
                      <w:b/>
                      <w:bCs/>
                      <w:snapToGrid w:val="0"/>
                      <w:color w:val="auto"/>
                      <w:kern w:val="0"/>
                      <w:sz w:val="21"/>
                      <w:szCs w:val="21"/>
                      <w:lang w:val="en-US" w:eastAsia="zh-CN" w:bidi="ar-SA"/>
                    </w:rPr>
                    <w:t>中空玻璃生产过程涂胶固化工序</w:t>
                  </w:r>
                </w:p>
              </w:tc>
              <w:tc>
                <w:tcPr>
                  <w:tcW w:w="1366" w:type="pct"/>
                  <w:tcBorders>
                    <w:top w:val="single" w:color="000000" w:sz="4" w:space="0"/>
                    <w:left w:val="single" w:color="000000" w:sz="4" w:space="0"/>
                    <w:right w:val="single" w:color="000000" w:sz="4" w:space="0"/>
                  </w:tcBorders>
                  <w:noWrap w:val="0"/>
                  <w:vAlign w:val="center"/>
                </w:tcPr>
                <w:p w14:paraId="6BB8E1C7">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宋体" w:cs="Times New Roman"/>
                      <w:b/>
                      <w:bCs/>
                      <w:i w:val="0"/>
                      <w:color w:val="auto"/>
                      <w:kern w:val="2"/>
                      <w:sz w:val="21"/>
                      <w:szCs w:val="21"/>
                      <w:u w:val="none"/>
                      <w:lang w:val="en-US" w:eastAsia="zh-CN" w:bidi="ar-SA"/>
                    </w:rPr>
                  </w:pPr>
                  <w:r>
                    <w:rPr>
                      <w:rFonts w:hint="eastAsia" w:ascii="Times New Roman" w:hAnsi="Times New Roman" w:eastAsia="宋体" w:cs="Times New Roman"/>
                      <w:b/>
                      <w:bCs/>
                      <w:i w:val="0"/>
                      <w:color w:val="auto"/>
                      <w:kern w:val="2"/>
                      <w:sz w:val="21"/>
                      <w:szCs w:val="21"/>
                      <w:u w:val="none"/>
                      <w:lang w:val="en-US" w:eastAsia="zh-CN" w:bidi="ar-SA"/>
                    </w:rPr>
                    <w:t>集气罩集气收集+4套两级活性炭吸附装置+4根15m高排气筒（DA002、DA003、DA004、DA005）</w:t>
                  </w:r>
                </w:p>
              </w:tc>
              <w:tc>
                <w:tcPr>
                  <w:tcW w:w="414" w:type="pct"/>
                  <w:tcBorders>
                    <w:top w:val="single" w:color="000000" w:sz="4" w:space="0"/>
                    <w:left w:val="single" w:color="000000" w:sz="4" w:space="0"/>
                    <w:right w:val="single" w:color="auto" w:sz="4" w:space="0"/>
                  </w:tcBorders>
                  <w:noWrap w:val="0"/>
                  <w:vAlign w:val="center"/>
                </w:tcPr>
                <w:p w14:paraId="421A8B19">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snapToGrid w:val="0"/>
                      <w:color w:val="auto"/>
                      <w:kern w:val="0"/>
                      <w:sz w:val="21"/>
                      <w:szCs w:val="21"/>
                      <w:u w:val="none"/>
                      <w:lang w:val="en-US" w:eastAsia="zh-CN" w:bidi="ar-SA"/>
                    </w:rPr>
                  </w:pPr>
                  <w:r>
                    <w:rPr>
                      <w:rFonts w:hint="eastAsia" w:ascii="Times New Roman" w:hAnsi="Times New Roman" w:eastAsia="宋体" w:cs="Times New Roman"/>
                      <w:b/>
                      <w:bCs/>
                      <w:i w:val="0"/>
                      <w:color w:val="auto"/>
                      <w:kern w:val="0"/>
                      <w:sz w:val="21"/>
                      <w:szCs w:val="21"/>
                      <w:u w:val="none"/>
                      <w:lang w:val="en-US" w:eastAsia="zh-CN" w:bidi="ar"/>
                    </w:rPr>
                    <w:t>95</w:t>
                  </w:r>
                </w:p>
              </w:tc>
              <w:tc>
                <w:tcPr>
                  <w:tcW w:w="427" w:type="pct"/>
                  <w:tcBorders>
                    <w:top w:val="single" w:color="000000" w:sz="4" w:space="0"/>
                    <w:left w:val="single" w:color="auto" w:sz="4" w:space="0"/>
                    <w:right w:val="single" w:color="auto" w:sz="4" w:space="0"/>
                  </w:tcBorders>
                  <w:noWrap w:val="0"/>
                  <w:vAlign w:val="center"/>
                </w:tcPr>
                <w:p w14:paraId="242373C8">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snapToGrid w:val="0"/>
                      <w:color w:val="auto"/>
                      <w:kern w:val="0"/>
                      <w:sz w:val="21"/>
                      <w:szCs w:val="21"/>
                      <w:u w:val="none"/>
                      <w:lang w:val="en-US" w:eastAsia="zh-CN"/>
                    </w:rPr>
                  </w:pPr>
                  <w:r>
                    <w:rPr>
                      <w:rFonts w:hint="default" w:ascii="Times New Roman" w:hAnsi="Times New Roman" w:eastAsia="宋体" w:cs="Times New Roman"/>
                      <w:b/>
                      <w:bCs/>
                      <w:snapToGrid w:val="0"/>
                      <w:color w:val="auto"/>
                      <w:kern w:val="0"/>
                      <w:sz w:val="21"/>
                      <w:szCs w:val="21"/>
                      <w:u w:val="none"/>
                      <w:lang w:val="en-US" w:eastAsia="zh-CN"/>
                    </w:rPr>
                    <w:t>非甲烷总烃</w:t>
                  </w:r>
                </w:p>
              </w:tc>
              <w:tc>
                <w:tcPr>
                  <w:tcW w:w="358" w:type="pct"/>
                  <w:tcBorders>
                    <w:top w:val="single" w:color="000000" w:sz="4" w:space="0"/>
                    <w:left w:val="single" w:color="auto" w:sz="4" w:space="0"/>
                    <w:right w:val="single" w:color="auto" w:sz="4" w:space="0"/>
                  </w:tcBorders>
                  <w:noWrap w:val="0"/>
                  <w:vAlign w:val="center"/>
                </w:tcPr>
                <w:p w14:paraId="5ED87E2C">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i w:val="0"/>
                      <w:color w:val="auto"/>
                      <w:kern w:val="0"/>
                      <w:sz w:val="21"/>
                      <w:szCs w:val="21"/>
                      <w:u w:val="none"/>
                      <w:lang w:val="en-US" w:eastAsia="zh-CN" w:bidi="ar"/>
                    </w:rPr>
                  </w:pPr>
                  <w:r>
                    <w:rPr>
                      <w:rFonts w:hint="eastAsia" w:ascii="Times New Roman" w:hAnsi="Times New Roman" w:eastAsia="宋体" w:cs="Times New Roman"/>
                      <w:b/>
                      <w:bCs/>
                      <w:i w:val="0"/>
                      <w:color w:val="auto"/>
                      <w:kern w:val="0"/>
                      <w:sz w:val="21"/>
                      <w:szCs w:val="21"/>
                      <w:u w:val="none"/>
                      <w:lang w:val="en-US" w:eastAsia="zh-CN" w:bidi="ar"/>
                    </w:rPr>
                    <w:t>90</w:t>
                  </w:r>
                </w:p>
              </w:tc>
              <w:tc>
                <w:tcPr>
                  <w:tcW w:w="454" w:type="pct"/>
                  <w:tcBorders>
                    <w:top w:val="single" w:color="000000" w:sz="4" w:space="0"/>
                    <w:left w:val="single" w:color="auto" w:sz="4" w:space="0"/>
                    <w:right w:val="single" w:color="000000" w:sz="4" w:space="0"/>
                  </w:tcBorders>
                  <w:noWrap w:val="0"/>
                  <w:vAlign w:val="center"/>
                </w:tcPr>
                <w:p w14:paraId="52C64E4D">
                  <w:pPr>
                    <w:jc w:val="center"/>
                    <w:rPr>
                      <w:rFonts w:hint="default" w:ascii="Times New Roman" w:hAnsi="Times New Roman" w:eastAsia="宋体" w:cs="Times New Roman"/>
                      <w:b/>
                      <w:bCs/>
                      <w:snapToGrid w:val="0"/>
                      <w:color w:val="auto"/>
                      <w:kern w:val="0"/>
                      <w:sz w:val="21"/>
                      <w:szCs w:val="21"/>
                      <w:u w:val="none"/>
                      <w:lang w:val="en-US" w:eastAsia="zh-CN"/>
                    </w:rPr>
                  </w:pPr>
                  <w:r>
                    <w:rPr>
                      <w:rFonts w:hint="eastAsia" w:ascii="Times New Roman" w:hAnsi="Times New Roman" w:cs="Times New Roman"/>
                      <w:b/>
                      <w:bCs/>
                      <w:snapToGrid w:val="0"/>
                      <w:color w:val="auto"/>
                      <w:kern w:val="0"/>
                      <w:sz w:val="21"/>
                      <w:szCs w:val="21"/>
                      <w:highlight w:val="none"/>
                      <w:u w:val="none"/>
                      <w:lang w:val="en-US" w:eastAsia="zh-CN"/>
                    </w:rPr>
                    <w:t>1</w:t>
                  </w:r>
                  <w:r>
                    <w:rPr>
                      <w:rFonts w:hint="eastAsia" w:cs="Times New Roman"/>
                      <w:b/>
                      <w:bCs/>
                      <w:snapToGrid w:val="0"/>
                      <w:color w:val="auto"/>
                      <w:kern w:val="0"/>
                      <w:sz w:val="21"/>
                      <w:szCs w:val="21"/>
                      <w:highlight w:val="none"/>
                      <w:u w:val="none"/>
                      <w:lang w:val="en-US" w:eastAsia="zh-CN"/>
                    </w:rPr>
                    <w:t>2</w:t>
                  </w:r>
                  <w:r>
                    <w:rPr>
                      <w:rFonts w:hint="eastAsia" w:ascii="Times New Roman" w:hAnsi="Times New Roman" w:cs="Times New Roman"/>
                      <w:b/>
                      <w:bCs/>
                      <w:snapToGrid w:val="0"/>
                      <w:color w:val="auto"/>
                      <w:kern w:val="0"/>
                      <w:sz w:val="21"/>
                      <w:szCs w:val="21"/>
                      <w:highlight w:val="none"/>
                      <w:u w:val="none"/>
                      <w:lang w:val="en-US" w:eastAsia="zh-CN"/>
                    </w:rPr>
                    <w:t>200</w:t>
                  </w:r>
                </w:p>
              </w:tc>
              <w:tc>
                <w:tcPr>
                  <w:tcW w:w="438" w:type="pct"/>
                  <w:tcBorders>
                    <w:top w:val="single" w:color="000000" w:sz="4" w:space="0"/>
                    <w:left w:val="single" w:color="000000" w:sz="4" w:space="0"/>
                    <w:right w:val="single" w:color="000000" w:sz="4" w:space="0"/>
                  </w:tcBorders>
                  <w:noWrap w:val="0"/>
                  <w:vAlign w:val="center"/>
                </w:tcPr>
                <w:p w14:paraId="4DF7F3DD">
                  <w:pPr>
                    <w:jc w:val="center"/>
                    <w:rPr>
                      <w:rFonts w:hint="default" w:ascii="Times New Roman" w:hAnsi="Times New Roman" w:cs="Times New Roman"/>
                      <w:b/>
                      <w:bCs/>
                      <w:snapToGrid w:val="0"/>
                      <w:color w:val="auto"/>
                      <w:kern w:val="0"/>
                      <w:sz w:val="21"/>
                      <w:szCs w:val="21"/>
                    </w:rPr>
                  </w:pPr>
                  <w:r>
                    <w:rPr>
                      <w:rFonts w:hint="default" w:ascii="Times New Roman" w:hAnsi="Times New Roman" w:cs="Times New Roman"/>
                      <w:b/>
                      <w:bCs/>
                      <w:snapToGrid w:val="0"/>
                      <w:color w:val="auto"/>
                      <w:kern w:val="0"/>
                      <w:sz w:val="21"/>
                      <w:szCs w:val="21"/>
                    </w:rPr>
                    <w:t>是</w:t>
                  </w:r>
                </w:p>
              </w:tc>
            </w:tr>
          </w:tbl>
          <w:p w14:paraId="4995C0B2">
            <w:pPr>
              <w:pStyle w:val="85"/>
              <w:tabs>
                <w:tab w:val="left" w:pos="420"/>
              </w:tabs>
              <w:bidi w:val="0"/>
              <w:spacing w:line="360" w:lineRule="auto"/>
              <w:ind w:left="0" w:leftChars="0" w:firstLine="480" w:firstLineChars="200"/>
              <w:jc w:val="both"/>
              <w:rPr>
                <w:rFonts w:hint="eastAsia" w:ascii="宋体" w:hAnsi="宋体" w:eastAsia="宋体" w:cs="宋体"/>
                <w:sz w:val="24"/>
                <w:szCs w:val="24"/>
              </w:rPr>
            </w:pPr>
            <w:r>
              <w:rPr>
                <w:rFonts w:hint="eastAsia" w:ascii="宋体" w:hAnsi="宋体" w:eastAsia="宋体" w:cs="宋体"/>
                <w:sz w:val="24"/>
                <w:szCs w:val="24"/>
                <w:lang w:val="en-US" w:eastAsia="zh-CN"/>
              </w:rPr>
              <w:t>项目废气排放口基本情况见下表。</w:t>
            </w:r>
            <w:r>
              <w:rPr>
                <w:rFonts w:hint="eastAsia" w:ascii="宋体" w:hAnsi="宋体" w:eastAsia="宋体" w:cs="宋体"/>
                <w:sz w:val="24"/>
                <w:szCs w:val="24"/>
              </w:rPr>
              <w:t xml:space="preserve">   </w:t>
            </w:r>
          </w:p>
          <w:p w14:paraId="0C87FF53">
            <w:pPr>
              <w:pStyle w:val="85"/>
              <w:tabs>
                <w:tab w:val="left" w:pos="420"/>
              </w:tabs>
              <w:bidi w:val="0"/>
              <w:spacing w:line="360" w:lineRule="auto"/>
              <w:ind w:left="0" w:leftChars="0" w:firstLine="0" w:firstLineChars="0"/>
              <w:jc w:val="center"/>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 xml:space="preserve">表4-3   </w:t>
            </w:r>
            <w:r>
              <w:rPr>
                <w:rFonts w:hint="default" w:ascii="Times New Roman" w:hAnsi="Times New Roman" w:eastAsia="宋体" w:cs="Times New Roman"/>
                <w:b/>
                <w:bCs/>
                <w:sz w:val="24"/>
                <w:szCs w:val="24"/>
              </w:rPr>
              <w:t xml:space="preserve"> 排放口基本情况</w:t>
            </w:r>
            <w:r>
              <w:rPr>
                <w:rFonts w:hint="default" w:ascii="Times New Roman" w:hAnsi="Times New Roman" w:eastAsia="宋体" w:cs="Times New Roman"/>
                <w:b/>
                <w:bCs/>
                <w:sz w:val="24"/>
                <w:szCs w:val="24"/>
                <w:lang w:val="en-US" w:eastAsia="zh-CN"/>
              </w:rPr>
              <w:t>表</w:t>
            </w:r>
          </w:p>
          <w:tbl>
            <w:tblPr>
              <w:tblStyle w:val="39"/>
              <w:tblW w:w="498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88"/>
              <w:gridCol w:w="2054"/>
              <w:gridCol w:w="1901"/>
              <w:gridCol w:w="982"/>
              <w:gridCol w:w="1049"/>
              <w:gridCol w:w="707"/>
              <w:gridCol w:w="951"/>
            </w:tblGrid>
            <w:tr w14:paraId="1A08D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jc w:val="center"/>
              </w:trPr>
              <w:tc>
                <w:tcPr>
                  <w:tcW w:w="520" w:type="pct"/>
                  <w:noWrap w:val="0"/>
                  <w:vAlign w:val="center"/>
                </w:tcPr>
                <w:p w14:paraId="1F9CE66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编号</w:t>
                  </w:r>
                </w:p>
              </w:tc>
              <w:tc>
                <w:tcPr>
                  <w:tcW w:w="1203" w:type="pct"/>
                  <w:noWrap w:val="0"/>
                  <w:vAlign w:val="center"/>
                </w:tcPr>
                <w:p w14:paraId="4CFC954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排放口名称</w:t>
                  </w:r>
                </w:p>
              </w:tc>
              <w:tc>
                <w:tcPr>
                  <w:tcW w:w="1113" w:type="pct"/>
                  <w:tcBorders>
                    <w:right w:val="single" w:color="auto" w:sz="4" w:space="0"/>
                  </w:tcBorders>
                  <w:noWrap w:val="0"/>
                  <w:vAlign w:val="center"/>
                </w:tcPr>
                <w:p w14:paraId="3DFBC8D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地理坐标</w:t>
                  </w:r>
                </w:p>
              </w:tc>
              <w:tc>
                <w:tcPr>
                  <w:tcW w:w="575" w:type="pct"/>
                  <w:tcBorders>
                    <w:left w:val="single" w:color="auto" w:sz="4" w:space="0"/>
                  </w:tcBorders>
                  <w:noWrap w:val="0"/>
                  <w:vAlign w:val="center"/>
                </w:tcPr>
                <w:p w14:paraId="5860556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高度（m）</w:t>
                  </w:r>
                </w:p>
              </w:tc>
              <w:tc>
                <w:tcPr>
                  <w:tcW w:w="614" w:type="pct"/>
                  <w:tcBorders>
                    <w:right w:val="single" w:color="auto" w:sz="4" w:space="0"/>
                  </w:tcBorders>
                  <w:noWrap w:val="0"/>
                  <w:vAlign w:val="center"/>
                </w:tcPr>
                <w:p w14:paraId="2AD0625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排气筒内径（m）</w:t>
                  </w:r>
                </w:p>
              </w:tc>
              <w:tc>
                <w:tcPr>
                  <w:tcW w:w="414" w:type="pct"/>
                  <w:tcBorders>
                    <w:right w:val="single" w:color="auto" w:sz="4" w:space="0"/>
                  </w:tcBorders>
                  <w:noWrap w:val="0"/>
                  <w:vAlign w:val="center"/>
                </w:tcPr>
                <w:p w14:paraId="0463DEA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温度（℃）</w:t>
                  </w:r>
                </w:p>
              </w:tc>
              <w:tc>
                <w:tcPr>
                  <w:tcW w:w="557" w:type="pct"/>
                  <w:tcBorders>
                    <w:left w:val="single" w:color="auto" w:sz="4" w:space="0"/>
                  </w:tcBorders>
                  <w:noWrap w:val="0"/>
                  <w:vAlign w:val="center"/>
                </w:tcPr>
                <w:p w14:paraId="3A5F052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类型</w:t>
                  </w:r>
                </w:p>
              </w:tc>
            </w:tr>
            <w:tr w14:paraId="67FFE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jc w:val="center"/>
              </w:trPr>
              <w:tc>
                <w:tcPr>
                  <w:tcW w:w="520" w:type="pct"/>
                  <w:noWrap w:val="0"/>
                  <w:vAlign w:val="center"/>
                </w:tcPr>
                <w:p w14:paraId="78AECDFE">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default" w:ascii="Times New Roman" w:hAnsi="Times New Roman" w:eastAsia="宋体" w:cs="Times New Roman"/>
                      <w:b w:val="0"/>
                      <w:bCs w:val="0"/>
                      <w:snapToGrid w:val="0"/>
                      <w:kern w:val="0"/>
                      <w:sz w:val="21"/>
                      <w:szCs w:val="21"/>
                      <w:highlight w:val="none"/>
                    </w:rPr>
                    <w:t>DA00</w:t>
                  </w:r>
                  <w:r>
                    <w:rPr>
                      <w:rFonts w:hint="default" w:ascii="Times New Roman" w:hAnsi="Times New Roman" w:eastAsia="宋体" w:cs="Times New Roman"/>
                      <w:b w:val="0"/>
                      <w:bCs w:val="0"/>
                      <w:snapToGrid w:val="0"/>
                      <w:kern w:val="0"/>
                      <w:sz w:val="21"/>
                      <w:szCs w:val="21"/>
                      <w:highlight w:val="none"/>
                      <w:lang w:val="en-US" w:eastAsia="zh-CN"/>
                    </w:rPr>
                    <w:t>1</w:t>
                  </w:r>
                </w:p>
              </w:tc>
              <w:tc>
                <w:tcPr>
                  <w:tcW w:w="1203" w:type="pct"/>
                  <w:noWrap w:val="0"/>
                  <w:vAlign w:val="center"/>
                </w:tcPr>
                <w:p w14:paraId="7D610FE2">
                  <w:pPr>
                    <w:pStyle w:val="16"/>
                    <w:keepNext w:val="0"/>
                    <w:keepLines w:val="0"/>
                    <w:pageBreakBefore w:val="0"/>
                    <w:kinsoku/>
                    <w:wordWrap/>
                    <w:overflowPunct/>
                    <w:topLinePunct w:val="0"/>
                    <w:autoSpaceDE/>
                    <w:autoSpaceDN/>
                    <w:bidi w:val="0"/>
                    <w:adjustRightInd w:val="0"/>
                    <w:snapToGrid w:val="0"/>
                    <w:ind w:left="0" w:leftChars="0"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eastAsia="宋体"/>
                      <w:bCs/>
                      <w:snapToGrid w:val="0"/>
                      <w:color w:val="auto"/>
                      <w:kern w:val="0"/>
                      <w:sz w:val="21"/>
                      <w:szCs w:val="21"/>
                      <w:highlight w:val="none"/>
                      <w:lang w:val="en-US" w:eastAsia="zh-CN" w:bidi="ar-SA"/>
                    </w:rPr>
                    <w:t>彩色成像玻璃生产过程烘干固化工序</w:t>
                  </w:r>
                  <w:r>
                    <w:rPr>
                      <w:rFonts w:hint="eastAsia" w:eastAsia="宋体"/>
                      <w:bCs/>
                      <w:snapToGrid w:val="0"/>
                      <w:color w:val="auto"/>
                      <w:kern w:val="0"/>
                      <w:sz w:val="21"/>
                      <w:szCs w:val="21"/>
                      <w:highlight w:val="none"/>
                      <w:lang w:val="en-US" w:eastAsia="zh-CN" w:bidi="ar-SA"/>
                    </w:rPr>
                    <w:t>有机</w:t>
                  </w:r>
                  <w:r>
                    <w:rPr>
                      <w:rFonts w:hint="eastAsia" w:ascii="Times New Roman" w:hAnsi="Times New Roman" w:cs="Times New Roman"/>
                      <w:bCs/>
                      <w:snapToGrid w:val="0"/>
                      <w:color w:val="auto"/>
                      <w:kern w:val="0"/>
                      <w:sz w:val="21"/>
                      <w:szCs w:val="21"/>
                      <w:highlight w:val="none"/>
                      <w:lang w:val="en-US" w:eastAsia="zh-CN" w:bidi="ar-SA"/>
                    </w:rPr>
                    <w:t>废气排放口</w:t>
                  </w:r>
                </w:p>
              </w:tc>
              <w:tc>
                <w:tcPr>
                  <w:tcW w:w="1113" w:type="pct"/>
                  <w:tcBorders>
                    <w:right w:val="single" w:color="auto" w:sz="4" w:space="0"/>
                  </w:tcBorders>
                  <w:noWrap w:val="0"/>
                  <w:vAlign w:val="center"/>
                </w:tcPr>
                <w:p w14:paraId="0AD1F246">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rPr>
                  </w:pPr>
                  <w:r>
                    <w:rPr>
                      <w:rFonts w:hint="default" w:ascii="Times New Roman" w:hAnsi="Times New Roman" w:eastAsia="宋体" w:cs="Times New Roman"/>
                      <w:b w:val="0"/>
                      <w:bCs w:val="0"/>
                      <w:snapToGrid w:val="0"/>
                      <w:kern w:val="0"/>
                      <w:sz w:val="21"/>
                      <w:szCs w:val="21"/>
                      <w:highlight w:val="none"/>
                      <w:lang w:val="en-US" w:eastAsia="zh-CN"/>
                    </w:rPr>
                    <w:t>E114°50'07.849"</w:t>
                  </w:r>
                </w:p>
                <w:p w14:paraId="456534D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default" w:ascii="Times New Roman" w:hAnsi="Times New Roman" w:eastAsia="宋体" w:cs="Times New Roman"/>
                      <w:b w:val="0"/>
                      <w:bCs w:val="0"/>
                      <w:snapToGrid w:val="0"/>
                      <w:kern w:val="0"/>
                      <w:sz w:val="21"/>
                      <w:szCs w:val="21"/>
                      <w:highlight w:val="none"/>
                      <w:lang w:val="en-US" w:eastAsia="zh-CN"/>
                    </w:rPr>
                    <w:t>N33°40'54.366"</w:t>
                  </w:r>
                </w:p>
              </w:tc>
              <w:tc>
                <w:tcPr>
                  <w:tcW w:w="575" w:type="pct"/>
                  <w:tcBorders>
                    <w:left w:val="single" w:color="auto" w:sz="4" w:space="0"/>
                  </w:tcBorders>
                  <w:noWrap w:val="0"/>
                  <w:vAlign w:val="center"/>
                </w:tcPr>
                <w:p w14:paraId="45D253C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bidi="ar-SA"/>
                    </w:rPr>
                    <w:t>15</w:t>
                  </w:r>
                </w:p>
              </w:tc>
              <w:tc>
                <w:tcPr>
                  <w:tcW w:w="614" w:type="pct"/>
                  <w:tcBorders>
                    <w:right w:val="single" w:color="auto" w:sz="4" w:space="0"/>
                  </w:tcBorders>
                  <w:noWrap w:val="0"/>
                  <w:vAlign w:val="center"/>
                </w:tcPr>
                <w:p w14:paraId="63B737BC">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rPr>
                    <w:t>0.</w:t>
                  </w:r>
                  <w:r>
                    <w:rPr>
                      <w:rFonts w:hint="eastAsia" w:cs="Times New Roman"/>
                      <w:b w:val="0"/>
                      <w:bCs w:val="0"/>
                      <w:snapToGrid w:val="0"/>
                      <w:kern w:val="0"/>
                      <w:sz w:val="21"/>
                      <w:szCs w:val="21"/>
                      <w:highlight w:val="none"/>
                      <w:lang w:val="en-US" w:eastAsia="zh-CN"/>
                    </w:rPr>
                    <w:t>4</w:t>
                  </w:r>
                </w:p>
              </w:tc>
              <w:tc>
                <w:tcPr>
                  <w:tcW w:w="414" w:type="pct"/>
                  <w:tcBorders>
                    <w:right w:val="single" w:color="auto" w:sz="4" w:space="0"/>
                  </w:tcBorders>
                  <w:noWrap w:val="0"/>
                  <w:vAlign w:val="center"/>
                </w:tcPr>
                <w:p w14:paraId="46B3F98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bidi="ar-SA"/>
                    </w:rPr>
                  </w:pPr>
                  <w:r>
                    <w:rPr>
                      <w:rFonts w:hint="default" w:ascii="Times New Roman" w:hAnsi="Times New Roman" w:eastAsia="宋体" w:cs="Times New Roman"/>
                      <w:b w:val="0"/>
                      <w:bCs w:val="0"/>
                      <w:snapToGrid w:val="0"/>
                      <w:kern w:val="0"/>
                      <w:sz w:val="21"/>
                      <w:szCs w:val="21"/>
                      <w:lang w:val="en-US" w:eastAsia="zh-CN"/>
                    </w:rPr>
                    <w:t>25</w:t>
                  </w:r>
                </w:p>
              </w:tc>
              <w:tc>
                <w:tcPr>
                  <w:tcW w:w="557" w:type="pct"/>
                  <w:tcBorders>
                    <w:left w:val="single" w:color="auto" w:sz="4" w:space="0"/>
                  </w:tcBorders>
                  <w:noWrap w:val="0"/>
                  <w:vAlign w:val="center"/>
                </w:tcPr>
                <w:p w14:paraId="06B6BA5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bidi="ar-SA"/>
                    </w:rPr>
                  </w:pPr>
                  <w:r>
                    <w:rPr>
                      <w:rFonts w:hint="default" w:ascii="Times New Roman" w:hAnsi="Times New Roman" w:eastAsia="宋体" w:cs="Times New Roman"/>
                      <w:b w:val="0"/>
                      <w:bCs w:val="0"/>
                      <w:snapToGrid w:val="0"/>
                      <w:kern w:val="0"/>
                      <w:sz w:val="21"/>
                      <w:szCs w:val="21"/>
                    </w:rPr>
                    <w:t>一般排放口</w:t>
                  </w:r>
                </w:p>
              </w:tc>
            </w:tr>
            <w:tr w14:paraId="41022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3" w:hRule="atLeast"/>
                <w:jc w:val="center"/>
              </w:trPr>
              <w:tc>
                <w:tcPr>
                  <w:tcW w:w="520" w:type="pct"/>
                  <w:noWrap w:val="0"/>
                  <w:vAlign w:val="center"/>
                </w:tcPr>
                <w:p w14:paraId="6ED45F4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default" w:ascii="Times New Roman" w:hAnsi="Times New Roman" w:eastAsia="宋体" w:cs="Times New Roman"/>
                      <w:b w:val="0"/>
                      <w:bCs w:val="0"/>
                      <w:snapToGrid w:val="0"/>
                      <w:kern w:val="0"/>
                      <w:sz w:val="21"/>
                      <w:szCs w:val="21"/>
                      <w:highlight w:val="none"/>
                      <w:lang w:val="en-US" w:eastAsia="zh-CN"/>
                    </w:rPr>
                    <w:t>DA002</w:t>
                  </w:r>
                </w:p>
              </w:tc>
              <w:tc>
                <w:tcPr>
                  <w:tcW w:w="1203" w:type="pct"/>
                  <w:noWrap w:val="0"/>
                  <w:vAlign w:val="center"/>
                </w:tcPr>
                <w:p w14:paraId="6ECD02D6">
                  <w:pPr>
                    <w:pStyle w:val="16"/>
                    <w:keepNext w:val="0"/>
                    <w:keepLines w:val="0"/>
                    <w:pageBreakBefore w:val="0"/>
                    <w:kinsoku/>
                    <w:wordWrap/>
                    <w:overflowPunct/>
                    <w:topLinePunct w:val="0"/>
                    <w:autoSpaceDE/>
                    <w:autoSpaceDN/>
                    <w:bidi w:val="0"/>
                    <w:adjustRightInd w:val="0"/>
                    <w:snapToGrid w:val="0"/>
                    <w:ind w:left="0" w:leftChars="0"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snapToGrid w:val="0"/>
                      <w:color w:val="auto"/>
                      <w:kern w:val="0"/>
                      <w:sz w:val="21"/>
                      <w:szCs w:val="21"/>
                      <w:highlight w:val="none"/>
                      <w:lang w:val="en-US" w:eastAsia="zh-CN" w:bidi="ar-SA"/>
                    </w:rPr>
                    <w:t>中空玻璃生产过程涂胶固化工序</w:t>
                  </w:r>
                  <w:r>
                    <w:rPr>
                      <w:rFonts w:hint="eastAsia" w:ascii="Times New Roman" w:hAnsi="Times New Roman" w:cs="Times New Roman"/>
                      <w:bCs/>
                      <w:snapToGrid w:val="0"/>
                      <w:color w:val="auto"/>
                      <w:kern w:val="0"/>
                      <w:sz w:val="21"/>
                      <w:szCs w:val="21"/>
                      <w:highlight w:val="none"/>
                      <w:lang w:val="en-US" w:eastAsia="zh-CN" w:bidi="ar-SA"/>
                    </w:rPr>
                    <w:t>有机废气排放口</w:t>
                  </w:r>
                </w:p>
              </w:tc>
              <w:tc>
                <w:tcPr>
                  <w:tcW w:w="1113" w:type="pct"/>
                  <w:tcBorders>
                    <w:right w:val="single" w:color="auto" w:sz="4" w:space="0"/>
                  </w:tcBorders>
                  <w:noWrap w:val="0"/>
                  <w:vAlign w:val="center"/>
                </w:tcPr>
                <w:p w14:paraId="78B8612C">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rPr>
                  </w:pPr>
                  <w:r>
                    <w:rPr>
                      <w:rFonts w:hint="default" w:ascii="Times New Roman" w:hAnsi="Times New Roman" w:eastAsia="宋体" w:cs="Times New Roman"/>
                      <w:b w:val="0"/>
                      <w:bCs w:val="0"/>
                      <w:snapToGrid w:val="0"/>
                      <w:kern w:val="0"/>
                      <w:sz w:val="21"/>
                      <w:szCs w:val="21"/>
                      <w:highlight w:val="none"/>
                    </w:rPr>
                    <w:t>E114°50'17.33</w:t>
                  </w:r>
                  <w:r>
                    <w:rPr>
                      <w:rFonts w:hint="eastAsia" w:cs="Times New Roman"/>
                      <w:b w:val="0"/>
                      <w:bCs w:val="0"/>
                      <w:snapToGrid w:val="0"/>
                      <w:kern w:val="0"/>
                      <w:sz w:val="21"/>
                      <w:szCs w:val="21"/>
                      <w:highlight w:val="none"/>
                      <w:lang w:val="en-US" w:eastAsia="zh-CN"/>
                    </w:rPr>
                    <w:t>1</w:t>
                  </w:r>
                  <w:r>
                    <w:rPr>
                      <w:rFonts w:hint="default" w:ascii="Times New Roman" w:hAnsi="Times New Roman" w:eastAsia="宋体" w:cs="Times New Roman"/>
                      <w:b w:val="0"/>
                      <w:bCs w:val="0"/>
                      <w:snapToGrid w:val="0"/>
                      <w:kern w:val="0"/>
                      <w:sz w:val="21"/>
                      <w:szCs w:val="21"/>
                      <w:highlight w:val="none"/>
                    </w:rPr>
                    <w:t>"</w:t>
                  </w:r>
                </w:p>
                <w:p w14:paraId="3694190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default" w:ascii="Times New Roman" w:hAnsi="Times New Roman" w:eastAsia="宋体" w:cs="Times New Roman"/>
                      <w:b w:val="0"/>
                      <w:bCs w:val="0"/>
                      <w:snapToGrid w:val="0"/>
                      <w:kern w:val="0"/>
                      <w:sz w:val="21"/>
                      <w:szCs w:val="21"/>
                      <w:highlight w:val="none"/>
                    </w:rPr>
                    <w:t>N33°40'55.44</w:t>
                  </w:r>
                  <w:r>
                    <w:rPr>
                      <w:rFonts w:hint="eastAsia" w:cs="Times New Roman"/>
                      <w:b w:val="0"/>
                      <w:bCs w:val="0"/>
                      <w:snapToGrid w:val="0"/>
                      <w:kern w:val="0"/>
                      <w:sz w:val="21"/>
                      <w:szCs w:val="21"/>
                      <w:highlight w:val="none"/>
                      <w:lang w:val="en-US" w:eastAsia="zh-CN"/>
                    </w:rPr>
                    <w:t>2</w:t>
                  </w:r>
                  <w:r>
                    <w:rPr>
                      <w:rFonts w:hint="default" w:ascii="Times New Roman" w:hAnsi="Times New Roman" w:eastAsia="宋体" w:cs="Times New Roman"/>
                      <w:b w:val="0"/>
                      <w:bCs w:val="0"/>
                      <w:snapToGrid w:val="0"/>
                      <w:kern w:val="0"/>
                      <w:sz w:val="21"/>
                      <w:szCs w:val="21"/>
                      <w:highlight w:val="none"/>
                    </w:rPr>
                    <w:t>"</w:t>
                  </w:r>
                </w:p>
              </w:tc>
              <w:tc>
                <w:tcPr>
                  <w:tcW w:w="575" w:type="pct"/>
                  <w:tcBorders>
                    <w:left w:val="single" w:color="auto" w:sz="4" w:space="0"/>
                  </w:tcBorders>
                  <w:noWrap w:val="0"/>
                  <w:vAlign w:val="center"/>
                </w:tcPr>
                <w:p w14:paraId="46B895B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bidi="ar-SA"/>
                    </w:rPr>
                    <w:t>15</w:t>
                  </w:r>
                </w:p>
              </w:tc>
              <w:tc>
                <w:tcPr>
                  <w:tcW w:w="614" w:type="pct"/>
                  <w:tcBorders>
                    <w:right w:val="single" w:color="auto" w:sz="4" w:space="0"/>
                  </w:tcBorders>
                  <w:noWrap w:val="0"/>
                  <w:vAlign w:val="center"/>
                </w:tcPr>
                <w:p w14:paraId="6074B21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rPr>
                    <w:t>0.6</w:t>
                  </w:r>
                </w:p>
              </w:tc>
              <w:tc>
                <w:tcPr>
                  <w:tcW w:w="414" w:type="pct"/>
                  <w:tcBorders>
                    <w:right w:val="single" w:color="auto" w:sz="4" w:space="0"/>
                  </w:tcBorders>
                  <w:noWrap w:val="0"/>
                  <w:vAlign w:val="center"/>
                </w:tcPr>
                <w:p w14:paraId="7993F5C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bidi="ar-SA"/>
                    </w:rPr>
                  </w:pPr>
                  <w:r>
                    <w:rPr>
                      <w:rFonts w:hint="default" w:ascii="Times New Roman" w:hAnsi="Times New Roman" w:eastAsia="宋体" w:cs="Times New Roman"/>
                      <w:b w:val="0"/>
                      <w:bCs w:val="0"/>
                      <w:snapToGrid w:val="0"/>
                      <w:kern w:val="0"/>
                      <w:sz w:val="21"/>
                      <w:szCs w:val="21"/>
                      <w:lang w:val="en-US" w:eastAsia="zh-CN"/>
                    </w:rPr>
                    <w:t>25</w:t>
                  </w:r>
                </w:p>
              </w:tc>
              <w:tc>
                <w:tcPr>
                  <w:tcW w:w="557" w:type="pct"/>
                  <w:tcBorders>
                    <w:left w:val="single" w:color="auto" w:sz="4" w:space="0"/>
                  </w:tcBorders>
                  <w:noWrap w:val="0"/>
                  <w:vAlign w:val="center"/>
                </w:tcPr>
                <w:p w14:paraId="3A82BA24">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bidi="ar-SA"/>
                    </w:rPr>
                  </w:pPr>
                  <w:r>
                    <w:rPr>
                      <w:rFonts w:hint="default" w:ascii="Times New Roman" w:hAnsi="Times New Roman" w:eastAsia="宋体" w:cs="Times New Roman"/>
                      <w:b w:val="0"/>
                      <w:bCs w:val="0"/>
                      <w:snapToGrid w:val="0"/>
                      <w:kern w:val="0"/>
                      <w:sz w:val="21"/>
                      <w:szCs w:val="21"/>
                    </w:rPr>
                    <w:t>一般排放口</w:t>
                  </w:r>
                </w:p>
              </w:tc>
            </w:tr>
            <w:tr w14:paraId="5A394A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jc w:val="center"/>
              </w:trPr>
              <w:tc>
                <w:tcPr>
                  <w:tcW w:w="520" w:type="pct"/>
                  <w:noWrap w:val="0"/>
                  <w:vAlign w:val="center"/>
                </w:tcPr>
                <w:p w14:paraId="4E302EE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rPr>
                  </w:pPr>
                  <w:r>
                    <w:rPr>
                      <w:rFonts w:hint="eastAsia" w:ascii="Times New Roman" w:hAnsi="Times New Roman" w:eastAsia="宋体" w:cs="Times New Roman"/>
                      <w:b w:val="0"/>
                      <w:bCs w:val="0"/>
                      <w:snapToGrid w:val="0"/>
                      <w:kern w:val="0"/>
                      <w:sz w:val="21"/>
                      <w:szCs w:val="21"/>
                      <w:highlight w:val="none"/>
                      <w:lang w:val="en-US" w:eastAsia="zh-CN"/>
                    </w:rPr>
                    <w:t>DA003</w:t>
                  </w:r>
                </w:p>
              </w:tc>
              <w:tc>
                <w:tcPr>
                  <w:tcW w:w="1203" w:type="pct"/>
                  <w:noWrap w:val="0"/>
                  <w:vAlign w:val="center"/>
                </w:tcPr>
                <w:p w14:paraId="643B498F">
                  <w:pPr>
                    <w:keepNext w:val="0"/>
                    <w:keepLines w:val="0"/>
                    <w:pageBreakBefore w:val="0"/>
                    <w:kinsoku/>
                    <w:wordWrap/>
                    <w:overflowPunct/>
                    <w:topLinePunct w:val="0"/>
                    <w:autoSpaceDE/>
                    <w:autoSpaceDN/>
                    <w:bidi w:val="0"/>
                    <w:adjustRightInd w:val="0"/>
                    <w:snapToGrid w:val="0"/>
                    <w:jc w:val="center"/>
                    <w:rPr>
                      <w:rFonts w:hint="eastAsia" w:ascii="Times New Roman" w:hAnsi="Times New Roman" w:cs="Times New Roman"/>
                      <w:bCs/>
                      <w:snapToGrid w:val="0"/>
                      <w:color w:val="auto"/>
                      <w:kern w:val="0"/>
                      <w:sz w:val="21"/>
                      <w:szCs w:val="21"/>
                      <w:highlight w:val="none"/>
                      <w:lang w:val="en-US" w:eastAsia="zh-CN" w:bidi="ar-SA"/>
                    </w:rPr>
                  </w:pPr>
                  <w:r>
                    <w:rPr>
                      <w:rFonts w:hint="eastAsia" w:ascii="Times New Roman" w:hAnsi="Times New Roman" w:eastAsia="宋体" w:cs="Times New Roman"/>
                      <w:bCs/>
                      <w:snapToGrid w:val="0"/>
                      <w:color w:val="auto"/>
                      <w:kern w:val="0"/>
                      <w:sz w:val="21"/>
                      <w:szCs w:val="21"/>
                      <w:highlight w:val="none"/>
                      <w:lang w:val="en-US" w:eastAsia="zh-CN" w:bidi="ar-SA"/>
                    </w:rPr>
                    <w:t>中空玻璃生产过程涂胶固化工序</w:t>
                  </w:r>
                  <w:r>
                    <w:rPr>
                      <w:rFonts w:hint="eastAsia" w:ascii="Times New Roman" w:hAnsi="Times New Roman" w:cs="Times New Roman"/>
                      <w:bCs/>
                      <w:snapToGrid w:val="0"/>
                      <w:color w:val="auto"/>
                      <w:kern w:val="0"/>
                      <w:sz w:val="21"/>
                      <w:szCs w:val="21"/>
                      <w:highlight w:val="none"/>
                      <w:lang w:val="en-US" w:eastAsia="zh-CN" w:bidi="ar-SA"/>
                    </w:rPr>
                    <w:t>有机废气排放口</w:t>
                  </w:r>
                </w:p>
              </w:tc>
              <w:tc>
                <w:tcPr>
                  <w:tcW w:w="1113" w:type="pct"/>
                  <w:tcBorders>
                    <w:right w:val="single" w:color="auto" w:sz="4" w:space="0"/>
                  </w:tcBorders>
                  <w:noWrap w:val="0"/>
                  <w:vAlign w:val="center"/>
                </w:tcPr>
                <w:p w14:paraId="35E1473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rPr>
                  </w:pPr>
                  <w:r>
                    <w:rPr>
                      <w:rFonts w:hint="eastAsia" w:ascii="Times New Roman" w:hAnsi="Times New Roman" w:eastAsia="宋体" w:cs="Times New Roman"/>
                      <w:b w:val="0"/>
                      <w:bCs w:val="0"/>
                      <w:snapToGrid w:val="0"/>
                      <w:kern w:val="0"/>
                      <w:sz w:val="21"/>
                      <w:szCs w:val="21"/>
                      <w:highlight w:val="none"/>
                      <w:lang w:val="en-US" w:eastAsia="zh-CN"/>
                    </w:rPr>
                    <w:t>E</w:t>
                  </w:r>
                  <w:r>
                    <w:rPr>
                      <w:rFonts w:hint="default" w:ascii="Times New Roman" w:hAnsi="Times New Roman" w:eastAsia="宋体" w:cs="Times New Roman"/>
                      <w:b w:val="0"/>
                      <w:bCs w:val="0"/>
                      <w:snapToGrid w:val="0"/>
                      <w:kern w:val="0"/>
                      <w:sz w:val="21"/>
                      <w:szCs w:val="21"/>
                      <w:highlight w:val="none"/>
                    </w:rPr>
                    <w:t>114°50'16.251"</w:t>
                  </w:r>
                </w:p>
                <w:p w14:paraId="0146CBBC">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rPr>
                  </w:pPr>
                  <w:r>
                    <w:rPr>
                      <w:rFonts w:hint="eastAsia" w:ascii="Times New Roman" w:hAnsi="Times New Roman" w:eastAsia="宋体" w:cs="Times New Roman"/>
                      <w:b w:val="0"/>
                      <w:bCs w:val="0"/>
                      <w:snapToGrid w:val="0"/>
                      <w:kern w:val="0"/>
                      <w:sz w:val="21"/>
                      <w:szCs w:val="21"/>
                      <w:highlight w:val="none"/>
                      <w:lang w:val="en-US" w:eastAsia="zh-CN"/>
                    </w:rPr>
                    <w:t>N</w:t>
                  </w:r>
                  <w:r>
                    <w:rPr>
                      <w:rFonts w:hint="default" w:ascii="Times New Roman" w:hAnsi="Times New Roman" w:eastAsia="宋体" w:cs="Times New Roman"/>
                      <w:b w:val="0"/>
                      <w:bCs w:val="0"/>
                      <w:snapToGrid w:val="0"/>
                      <w:kern w:val="0"/>
                      <w:sz w:val="21"/>
                      <w:szCs w:val="21"/>
                      <w:highlight w:val="none"/>
                    </w:rPr>
                    <w:t>33°40'52.871"</w:t>
                  </w:r>
                </w:p>
              </w:tc>
              <w:tc>
                <w:tcPr>
                  <w:tcW w:w="575" w:type="pct"/>
                  <w:tcBorders>
                    <w:left w:val="single" w:color="auto" w:sz="4" w:space="0"/>
                  </w:tcBorders>
                  <w:noWrap w:val="0"/>
                  <w:vAlign w:val="center"/>
                </w:tcPr>
                <w:p w14:paraId="36AB56C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bidi="ar-SA"/>
                    </w:rPr>
                    <w:t>15</w:t>
                  </w:r>
                </w:p>
              </w:tc>
              <w:tc>
                <w:tcPr>
                  <w:tcW w:w="614" w:type="pct"/>
                  <w:tcBorders>
                    <w:right w:val="single" w:color="auto" w:sz="4" w:space="0"/>
                  </w:tcBorders>
                  <w:noWrap w:val="0"/>
                  <w:vAlign w:val="center"/>
                </w:tcPr>
                <w:p w14:paraId="3D4E5BC2">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kern w:val="0"/>
                      <w:sz w:val="21"/>
                      <w:szCs w:val="21"/>
                      <w:highlight w:val="none"/>
                      <w:lang w:val="en-US" w:eastAsia="zh-CN"/>
                    </w:rPr>
                  </w:pPr>
                  <w:r>
                    <w:rPr>
                      <w:rFonts w:hint="eastAsia" w:ascii="Times New Roman" w:hAnsi="Times New Roman" w:eastAsia="宋体" w:cs="Times New Roman"/>
                      <w:b w:val="0"/>
                      <w:bCs w:val="0"/>
                      <w:snapToGrid w:val="0"/>
                      <w:kern w:val="0"/>
                      <w:sz w:val="21"/>
                      <w:szCs w:val="21"/>
                      <w:highlight w:val="none"/>
                      <w:lang w:val="en-US" w:eastAsia="zh-CN"/>
                    </w:rPr>
                    <w:t>0.6</w:t>
                  </w:r>
                </w:p>
              </w:tc>
              <w:tc>
                <w:tcPr>
                  <w:tcW w:w="414" w:type="pct"/>
                  <w:tcBorders>
                    <w:right w:val="single" w:color="auto" w:sz="4" w:space="0"/>
                  </w:tcBorders>
                  <w:noWrap w:val="0"/>
                  <w:vAlign w:val="center"/>
                </w:tcPr>
                <w:p w14:paraId="6589C33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rPr>
                  </w:pPr>
                  <w:r>
                    <w:rPr>
                      <w:rFonts w:hint="default" w:ascii="Times New Roman" w:hAnsi="Times New Roman" w:eastAsia="宋体" w:cs="Times New Roman"/>
                      <w:b w:val="0"/>
                      <w:bCs w:val="0"/>
                      <w:snapToGrid w:val="0"/>
                      <w:kern w:val="0"/>
                      <w:sz w:val="21"/>
                      <w:szCs w:val="21"/>
                      <w:lang w:val="en-US" w:eastAsia="zh-CN"/>
                    </w:rPr>
                    <w:t>25</w:t>
                  </w:r>
                </w:p>
              </w:tc>
              <w:tc>
                <w:tcPr>
                  <w:tcW w:w="557" w:type="pct"/>
                  <w:tcBorders>
                    <w:left w:val="single" w:color="auto" w:sz="4" w:space="0"/>
                  </w:tcBorders>
                  <w:noWrap w:val="0"/>
                  <w:vAlign w:val="center"/>
                </w:tcPr>
                <w:p w14:paraId="555C337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一般排放口</w:t>
                  </w:r>
                </w:p>
              </w:tc>
            </w:tr>
            <w:tr w14:paraId="3F1A4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jc w:val="center"/>
              </w:trPr>
              <w:tc>
                <w:tcPr>
                  <w:tcW w:w="520" w:type="pct"/>
                  <w:noWrap w:val="0"/>
                  <w:vAlign w:val="center"/>
                </w:tcPr>
                <w:p w14:paraId="4C56BC6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rPr>
                  </w:pPr>
                  <w:r>
                    <w:rPr>
                      <w:rFonts w:hint="eastAsia" w:ascii="Times New Roman" w:hAnsi="Times New Roman" w:eastAsia="宋体" w:cs="Times New Roman"/>
                      <w:b w:val="0"/>
                      <w:bCs w:val="0"/>
                      <w:snapToGrid w:val="0"/>
                      <w:kern w:val="0"/>
                      <w:sz w:val="21"/>
                      <w:szCs w:val="21"/>
                      <w:highlight w:val="none"/>
                      <w:lang w:val="en-US" w:eastAsia="zh-CN"/>
                    </w:rPr>
                    <w:t>DA</w:t>
                  </w:r>
                  <w:r>
                    <w:rPr>
                      <w:rFonts w:hint="eastAsia" w:cs="Times New Roman"/>
                      <w:b w:val="0"/>
                      <w:bCs w:val="0"/>
                      <w:snapToGrid w:val="0"/>
                      <w:kern w:val="0"/>
                      <w:sz w:val="21"/>
                      <w:szCs w:val="21"/>
                      <w:highlight w:val="none"/>
                      <w:lang w:val="en-US" w:eastAsia="zh-CN"/>
                    </w:rPr>
                    <w:t>004</w:t>
                  </w:r>
                </w:p>
              </w:tc>
              <w:tc>
                <w:tcPr>
                  <w:tcW w:w="1203" w:type="pct"/>
                  <w:noWrap w:val="0"/>
                  <w:vAlign w:val="center"/>
                </w:tcPr>
                <w:p w14:paraId="4FA6AB54">
                  <w:pPr>
                    <w:keepNext w:val="0"/>
                    <w:keepLines w:val="0"/>
                    <w:pageBreakBefore w:val="0"/>
                    <w:kinsoku/>
                    <w:wordWrap/>
                    <w:overflowPunct/>
                    <w:topLinePunct w:val="0"/>
                    <w:autoSpaceDE/>
                    <w:autoSpaceDN/>
                    <w:bidi w:val="0"/>
                    <w:adjustRightInd w:val="0"/>
                    <w:snapToGrid w:val="0"/>
                    <w:jc w:val="center"/>
                    <w:rPr>
                      <w:rFonts w:hint="eastAsia" w:ascii="Times New Roman" w:hAnsi="Times New Roman" w:cs="Times New Roman"/>
                      <w:bCs/>
                      <w:snapToGrid w:val="0"/>
                      <w:color w:val="auto"/>
                      <w:kern w:val="0"/>
                      <w:sz w:val="21"/>
                      <w:szCs w:val="21"/>
                      <w:highlight w:val="none"/>
                      <w:lang w:val="en-US" w:eastAsia="zh-CN" w:bidi="ar-SA"/>
                    </w:rPr>
                  </w:pPr>
                  <w:r>
                    <w:rPr>
                      <w:rFonts w:hint="eastAsia" w:ascii="Times New Roman" w:hAnsi="Times New Roman" w:eastAsia="宋体" w:cs="Times New Roman"/>
                      <w:bCs/>
                      <w:snapToGrid w:val="0"/>
                      <w:color w:val="auto"/>
                      <w:kern w:val="0"/>
                      <w:sz w:val="21"/>
                      <w:szCs w:val="21"/>
                      <w:highlight w:val="none"/>
                      <w:lang w:val="en-US" w:eastAsia="zh-CN" w:bidi="ar-SA"/>
                    </w:rPr>
                    <w:t>中空玻璃生产过程涂胶固化工序</w:t>
                  </w:r>
                  <w:r>
                    <w:rPr>
                      <w:rFonts w:hint="eastAsia" w:ascii="Times New Roman" w:hAnsi="Times New Roman" w:cs="Times New Roman"/>
                      <w:bCs/>
                      <w:snapToGrid w:val="0"/>
                      <w:color w:val="auto"/>
                      <w:kern w:val="0"/>
                      <w:sz w:val="21"/>
                      <w:szCs w:val="21"/>
                      <w:highlight w:val="none"/>
                      <w:lang w:val="en-US" w:eastAsia="zh-CN" w:bidi="ar-SA"/>
                    </w:rPr>
                    <w:t>有机废气排放口</w:t>
                  </w:r>
                </w:p>
              </w:tc>
              <w:tc>
                <w:tcPr>
                  <w:tcW w:w="1113" w:type="pct"/>
                  <w:tcBorders>
                    <w:right w:val="single" w:color="auto" w:sz="4" w:space="0"/>
                  </w:tcBorders>
                  <w:noWrap w:val="0"/>
                  <w:vAlign w:val="center"/>
                </w:tcPr>
                <w:p w14:paraId="546F70BE">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rPr>
                  </w:pPr>
                  <w:r>
                    <w:rPr>
                      <w:rFonts w:hint="eastAsia" w:ascii="Times New Roman" w:hAnsi="Times New Roman" w:eastAsia="宋体" w:cs="Times New Roman"/>
                      <w:b w:val="0"/>
                      <w:bCs w:val="0"/>
                      <w:snapToGrid w:val="0"/>
                      <w:kern w:val="0"/>
                      <w:sz w:val="21"/>
                      <w:szCs w:val="21"/>
                      <w:highlight w:val="none"/>
                      <w:lang w:val="en-US" w:eastAsia="zh-CN"/>
                    </w:rPr>
                    <w:t>E</w:t>
                  </w:r>
                  <w:r>
                    <w:rPr>
                      <w:rFonts w:hint="default" w:ascii="Times New Roman" w:hAnsi="Times New Roman" w:eastAsia="宋体" w:cs="Times New Roman"/>
                      <w:b w:val="0"/>
                      <w:bCs w:val="0"/>
                      <w:snapToGrid w:val="0"/>
                      <w:kern w:val="0"/>
                      <w:sz w:val="21"/>
                      <w:szCs w:val="21"/>
                      <w:highlight w:val="none"/>
                    </w:rPr>
                    <w:t>114°50'16.019"</w:t>
                  </w:r>
                </w:p>
                <w:p w14:paraId="214EE6CC">
                  <w:pPr>
                    <w:pStyle w:val="21"/>
                    <w:ind w:firstLine="210" w:firstLineChars="100"/>
                    <w:rPr>
                      <w:rFonts w:hint="default"/>
                      <w:highlight w:val="none"/>
                    </w:rPr>
                  </w:pPr>
                  <w:r>
                    <w:rPr>
                      <w:rFonts w:hint="default" w:ascii="Times New Roman" w:hAnsi="Times New Roman" w:cs="Times New Roman"/>
                      <w:highlight w:val="none"/>
                      <w:lang w:val="en-US" w:eastAsia="zh-CN"/>
                    </w:rPr>
                    <w:t>N</w:t>
                  </w:r>
                  <w:r>
                    <w:rPr>
                      <w:rFonts w:hint="default" w:ascii="Times New Roman" w:hAnsi="Times New Roman" w:cs="Times New Roman"/>
                      <w:highlight w:val="none"/>
                    </w:rPr>
                    <w:t>33°40'50.429"</w:t>
                  </w:r>
                </w:p>
              </w:tc>
              <w:tc>
                <w:tcPr>
                  <w:tcW w:w="575" w:type="pct"/>
                  <w:tcBorders>
                    <w:left w:val="single" w:color="auto" w:sz="4" w:space="0"/>
                  </w:tcBorders>
                  <w:noWrap w:val="0"/>
                  <w:vAlign w:val="center"/>
                </w:tcPr>
                <w:p w14:paraId="430E940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bidi="ar-SA"/>
                    </w:rPr>
                    <w:t>15</w:t>
                  </w:r>
                </w:p>
              </w:tc>
              <w:tc>
                <w:tcPr>
                  <w:tcW w:w="614" w:type="pct"/>
                  <w:tcBorders>
                    <w:right w:val="single" w:color="auto" w:sz="4" w:space="0"/>
                  </w:tcBorders>
                  <w:noWrap w:val="0"/>
                  <w:vAlign w:val="center"/>
                </w:tcPr>
                <w:p w14:paraId="60291A45">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kern w:val="0"/>
                      <w:sz w:val="21"/>
                      <w:szCs w:val="21"/>
                      <w:highlight w:val="none"/>
                      <w:lang w:val="en-US" w:eastAsia="zh-CN"/>
                    </w:rPr>
                  </w:pPr>
                  <w:r>
                    <w:rPr>
                      <w:rFonts w:hint="eastAsia" w:ascii="Times New Roman" w:hAnsi="Times New Roman" w:eastAsia="宋体" w:cs="Times New Roman"/>
                      <w:b w:val="0"/>
                      <w:bCs w:val="0"/>
                      <w:snapToGrid w:val="0"/>
                      <w:kern w:val="0"/>
                      <w:sz w:val="21"/>
                      <w:szCs w:val="21"/>
                      <w:highlight w:val="none"/>
                      <w:lang w:val="en-US" w:eastAsia="zh-CN"/>
                    </w:rPr>
                    <w:t>0.6</w:t>
                  </w:r>
                </w:p>
              </w:tc>
              <w:tc>
                <w:tcPr>
                  <w:tcW w:w="414" w:type="pct"/>
                  <w:tcBorders>
                    <w:right w:val="single" w:color="auto" w:sz="4" w:space="0"/>
                  </w:tcBorders>
                  <w:noWrap w:val="0"/>
                  <w:vAlign w:val="center"/>
                </w:tcPr>
                <w:p w14:paraId="29A958B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rPr>
                  </w:pPr>
                  <w:r>
                    <w:rPr>
                      <w:rFonts w:hint="default" w:ascii="Times New Roman" w:hAnsi="Times New Roman" w:eastAsia="宋体" w:cs="Times New Roman"/>
                      <w:b w:val="0"/>
                      <w:bCs w:val="0"/>
                      <w:snapToGrid w:val="0"/>
                      <w:kern w:val="0"/>
                      <w:sz w:val="21"/>
                      <w:szCs w:val="21"/>
                      <w:lang w:val="en-US" w:eastAsia="zh-CN"/>
                    </w:rPr>
                    <w:t>25</w:t>
                  </w:r>
                </w:p>
              </w:tc>
              <w:tc>
                <w:tcPr>
                  <w:tcW w:w="557" w:type="pct"/>
                  <w:tcBorders>
                    <w:left w:val="single" w:color="auto" w:sz="4" w:space="0"/>
                  </w:tcBorders>
                  <w:noWrap w:val="0"/>
                  <w:vAlign w:val="center"/>
                </w:tcPr>
                <w:p w14:paraId="7550131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一般排放口</w:t>
                  </w:r>
                </w:p>
              </w:tc>
            </w:tr>
            <w:tr w14:paraId="0A98C7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jc w:val="center"/>
              </w:trPr>
              <w:tc>
                <w:tcPr>
                  <w:tcW w:w="520" w:type="pct"/>
                  <w:noWrap w:val="0"/>
                  <w:vAlign w:val="center"/>
                </w:tcPr>
                <w:p w14:paraId="1A516B54">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rPr>
                  </w:pPr>
                  <w:r>
                    <w:rPr>
                      <w:rFonts w:hint="eastAsia" w:ascii="Times New Roman" w:hAnsi="Times New Roman" w:eastAsia="宋体" w:cs="Times New Roman"/>
                      <w:b w:val="0"/>
                      <w:bCs w:val="0"/>
                      <w:snapToGrid w:val="0"/>
                      <w:kern w:val="0"/>
                      <w:sz w:val="21"/>
                      <w:szCs w:val="21"/>
                      <w:highlight w:val="none"/>
                      <w:lang w:val="en-US" w:eastAsia="zh-CN"/>
                    </w:rPr>
                    <w:t>DA005</w:t>
                  </w:r>
                </w:p>
              </w:tc>
              <w:tc>
                <w:tcPr>
                  <w:tcW w:w="1203" w:type="pct"/>
                  <w:noWrap w:val="0"/>
                  <w:vAlign w:val="center"/>
                </w:tcPr>
                <w:p w14:paraId="1E3CF011">
                  <w:pPr>
                    <w:keepNext w:val="0"/>
                    <w:keepLines w:val="0"/>
                    <w:pageBreakBefore w:val="0"/>
                    <w:kinsoku/>
                    <w:wordWrap/>
                    <w:overflowPunct/>
                    <w:topLinePunct w:val="0"/>
                    <w:autoSpaceDE/>
                    <w:autoSpaceDN/>
                    <w:bidi w:val="0"/>
                    <w:adjustRightInd w:val="0"/>
                    <w:snapToGrid w:val="0"/>
                    <w:jc w:val="center"/>
                    <w:rPr>
                      <w:rFonts w:hint="eastAsia" w:ascii="Times New Roman" w:hAnsi="Times New Roman" w:cs="Times New Roman"/>
                      <w:bCs/>
                      <w:snapToGrid w:val="0"/>
                      <w:color w:val="auto"/>
                      <w:kern w:val="0"/>
                      <w:sz w:val="21"/>
                      <w:szCs w:val="21"/>
                      <w:highlight w:val="none"/>
                      <w:lang w:val="en-US" w:eastAsia="zh-CN" w:bidi="ar-SA"/>
                    </w:rPr>
                  </w:pPr>
                  <w:r>
                    <w:rPr>
                      <w:rFonts w:hint="eastAsia" w:ascii="Times New Roman" w:hAnsi="Times New Roman" w:eastAsia="宋体" w:cs="Times New Roman"/>
                      <w:bCs/>
                      <w:snapToGrid w:val="0"/>
                      <w:color w:val="auto"/>
                      <w:kern w:val="0"/>
                      <w:sz w:val="21"/>
                      <w:szCs w:val="21"/>
                      <w:highlight w:val="none"/>
                      <w:lang w:val="en-US" w:eastAsia="zh-CN" w:bidi="ar-SA"/>
                    </w:rPr>
                    <w:t>中空玻璃生产过程涂胶固化工序</w:t>
                  </w:r>
                  <w:r>
                    <w:rPr>
                      <w:rFonts w:hint="eastAsia" w:ascii="Times New Roman" w:hAnsi="Times New Roman" w:cs="Times New Roman"/>
                      <w:bCs/>
                      <w:snapToGrid w:val="0"/>
                      <w:color w:val="auto"/>
                      <w:kern w:val="0"/>
                      <w:sz w:val="21"/>
                      <w:szCs w:val="21"/>
                      <w:highlight w:val="none"/>
                      <w:lang w:val="en-US" w:eastAsia="zh-CN" w:bidi="ar-SA"/>
                    </w:rPr>
                    <w:t>有机废气排放口</w:t>
                  </w:r>
                </w:p>
              </w:tc>
              <w:tc>
                <w:tcPr>
                  <w:tcW w:w="1113" w:type="pct"/>
                  <w:tcBorders>
                    <w:right w:val="single" w:color="auto" w:sz="4" w:space="0"/>
                  </w:tcBorders>
                  <w:noWrap w:val="0"/>
                  <w:vAlign w:val="center"/>
                </w:tcPr>
                <w:p w14:paraId="579F9A9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rPr>
                  </w:pPr>
                  <w:r>
                    <w:rPr>
                      <w:rFonts w:hint="eastAsia" w:ascii="Times New Roman" w:hAnsi="Times New Roman" w:eastAsia="宋体" w:cs="Times New Roman"/>
                      <w:b w:val="0"/>
                      <w:bCs w:val="0"/>
                      <w:snapToGrid w:val="0"/>
                      <w:kern w:val="0"/>
                      <w:sz w:val="21"/>
                      <w:szCs w:val="21"/>
                      <w:highlight w:val="none"/>
                      <w:lang w:val="en-US" w:eastAsia="zh-CN"/>
                    </w:rPr>
                    <w:t>E</w:t>
                  </w:r>
                  <w:r>
                    <w:rPr>
                      <w:rFonts w:hint="default" w:ascii="Times New Roman" w:hAnsi="Times New Roman" w:eastAsia="宋体" w:cs="Times New Roman"/>
                      <w:b w:val="0"/>
                      <w:bCs w:val="0"/>
                      <w:snapToGrid w:val="0"/>
                      <w:kern w:val="0"/>
                      <w:sz w:val="21"/>
                      <w:szCs w:val="21"/>
                      <w:highlight w:val="none"/>
                    </w:rPr>
                    <w:t>114°50'16.173"</w:t>
                  </w:r>
                </w:p>
                <w:p w14:paraId="0B82619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rPr>
                  </w:pPr>
                  <w:r>
                    <w:rPr>
                      <w:rFonts w:hint="eastAsia" w:ascii="Times New Roman" w:hAnsi="Times New Roman" w:eastAsia="宋体" w:cs="Times New Roman"/>
                      <w:b w:val="0"/>
                      <w:bCs w:val="0"/>
                      <w:snapToGrid w:val="0"/>
                      <w:kern w:val="0"/>
                      <w:sz w:val="21"/>
                      <w:szCs w:val="21"/>
                      <w:highlight w:val="none"/>
                      <w:lang w:val="en-US" w:eastAsia="zh-CN"/>
                    </w:rPr>
                    <w:t>N</w:t>
                  </w:r>
                  <w:r>
                    <w:rPr>
                      <w:rFonts w:hint="default" w:ascii="Times New Roman" w:hAnsi="Times New Roman" w:eastAsia="宋体" w:cs="Times New Roman"/>
                      <w:b w:val="0"/>
                      <w:bCs w:val="0"/>
                      <w:snapToGrid w:val="0"/>
                      <w:kern w:val="0"/>
                      <w:sz w:val="21"/>
                      <w:szCs w:val="21"/>
                      <w:highlight w:val="none"/>
                    </w:rPr>
                    <w:t>33°40'48.756"</w:t>
                  </w:r>
                </w:p>
              </w:tc>
              <w:tc>
                <w:tcPr>
                  <w:tcW w:w="575" w:type="pct"/>
                  <w:tcBorders>
                    <w:left w:val="single" w:color="auto" w:sz="4" w:space="0"/>
                  </w:tcBorders>
                  <w:noWrap w:val="0"/>
                  <w:vAlign w:val="center"/>
                </w:tcPr>
                <w:p w14:paraId="444C801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highlight w:val="none"/>
                      <w:lang w:val="en-US" w:eastAsia="zh-CN" w:bidi="ar-SA"/>
                    </w:rPr>
                  </w:pPr>
                  <w:r>
                    <w:rPr>
                      <w:rFonts w:hint="eastAsia" w:ascii="Times New Roman" w:hAnsi="Times New Roman" w:eastAsia="宋体" w:cs="Times New Roman"/>
                      <w:b w:val="0"/>
                      <w:bCs w:val="0"/>
                      <w:snapToGrid w:val="0"/>
                      <w:kern w:val="0"/>
                      <w:sz w:val="21"/>
                      <w:szCs w:val="21"/>
                      <w:highlight w:val="none"/>
                      <w:lang w:val="en-US" w:eastAsia="zh-CN" w:bidi="ar-SA"/>
                    </w:rPr>
                    <w:t>15</w:t>
                  </w:r>
                </w:p>
              </w:tc>
              <w:tc>
                <w:tcPr>
                  <w:tcW w:w="614" w:type="pct"/>
                  <w:tcBorders>
                    <w:right w:val="single" w:color="auto" w:sz="4" w:space="0"/>
                  </w:tcBorders>
                  <w:noWrap w:val="0"/>
                  <w:vAlign w:val="center"/>
                </w:tcPr>
                <w:p w14:paraId="2A5BB87C">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kern w:val="0"/>
                      <w:sz w:val="21"/>
                      <w:szCs w:val="21"/>
                      <w:highlight w:val="none"/>
                      <w:lang w:val="en-US" w:eastAsia="zh-CN"/>
                    </w:rPr>
                  </w:pPr>
                  <w:r>
                    <w:rPr>
                      <w:rFonts w:hint="eastAsia" w:ascii="Times New Roman" w:hAnsi="Times New Roman" w:eastAsia="宋体" w:cs="Times New Roman"/>
                      <w:b w:val="0"/>
                      <w:bCs w:val="0"/>
                      <w:snapToGrid w:val="0"/>
                      <w:kern w:val="0"/>
                      <w:sz w:val="21"/>
                      <w:szCs w:val="21"/>
                      <w:highlight w:val="none"/>
                      <w:lang w:val="en-US" w:eastAsia="zh-CN"/>
                    </w:rPr>
                    <w:t>0.6</w:t>
                  </w:r>
                </w:p>
              </w:tc>
              <w:tc>
                <w:tcPr>
                  <w:tcW w:w="414" w:type="pct"/>
                  <w:tcBorders>
                    <w:right w:val="single" w:color="auto" w:sz="4" w:space="0"/>
                  </w:tcBorders>
                  <w:noWrap w:val="0"/>
                  <w:vAlign w:val="center"/>
                </w:tcPr>
                <w:p w14:paraId="4A805C3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lang w:val="en-US" w:eastAsia="zh-CN"/>
                    </w:rPr>
                  </w:pPr>
                  <w:r>
                    <w:rPr>
                      <w:rFonts w:hint="default" w:ascii="Times New Roman" w:hAnsi="Times New Roman" w:eastAsia="宋体" w:cs="Times New Roman"/>
                      <w:b w:val="0"/>
                      <w:bCs w:val="0"/>
                      <w:snapToGrid w:val="0"/>
                      <w:kern w:val="0"/>
                      <w:sz w:val="21"/>
                      <w:szCs w:val="21"/>
                      <w:lang w:val="en-US" w:eastAsia="zh-CN"/>
                    </w:rPr>
                    <w:t>25</w:t>
                  </w:r>
                </w:p>
              </w:tc>
              <w:tc>
                <w:tcPr>
                  <w:tcW w:w="557" w:type="pct"/>
                  <w:tcBorders>
                    <w:left w:val="single" w:color="auto" w:sz="4" w:space="0"/>
                  </w:tcBorders>
                  <w:noWrap w:val="0"/>
                  <w:vAlign w:val="center"/>
                </w:tcPr>
                <w:p w14:paraId="7E37B84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kern w:val="0"/>
                      <w:sz w:val="21"/>
                      <w:szCs w:val="21"/>
                    </w:rPr>
                  </w:pPr>
                  <w:r>
                    <w:rPr>
                      <w:rFonts w:hint="default" w:ascii="Times New Roman" w:hAnsi="Times New Roman" w:eastAsia="宋体" w:cs="Times New Roman"/>
                      <w:b w:val="0"/>
                      <w:bCs w:val="0"/>
                      <w:snapToGrid w:val="0"/>
                      <w:kern w:val="0"/>
                      <w:sz w:val="21"/>
                      <w:szCs w:val="21"/>
                    </w:rPr>
                    <w:t>一般排放口</w:t>
                  </w:r>
                </w:p>
              </w:tc>
            </w:tr>
          </w:tbl>
          <w:p w14:paraId="0C619247">
            <w:pPr>
              <w:keepNext w:val="0"/>
              <w:keepLines w:val="0"/>
              <w:pageBreakBefore w:val="0"/>
              <w:widowControl w:val="0"/>
              <w:tabs>
                <w:tab w:val="left" w:pos="9496"/>
              </w:tabs>
              <w:kinsoku/>
              <w:wordWrap/>
              <w:overflowPunct/>
              <w:topLinePunct w:val="0"/>
              <w:autoSpaceDE/>
              <w:autoSpaceDN/>
              <w:bidi w:val="0"/>
              <w:adjustRightInd w:val="0"/>
              <w:snapToGrid w:val="0"/>
              <w:spacing w:before="157" w:beforeLines="50" w:line="360" w:lineRule="auto"/>
              <w:jc w:val="both"/>
              <w:textAlignment w:val="auto"/>
              <w:rPr>
                <w:rFonts w:hint="default"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（4）环保措施可行性分析</w:t>
            </w:r>
          </w:p>
          <w:p w14:paraId="300E7E0B">
            <w:pPr>
              <w:keepNext w:val="0"/>
              <w:keepLines w:val="0"/>
              <w:pageBreakBefore w:val="0"/>
              <w:widowControl w:val="0"/>
              <w:kinsoku/>
              <w:wordWrap/>
              <w:overflowPunct/>
              <w:topLinePunct w:val="0"/>
              <w:autoSpaceDE/>
              <w:autoSpaceDN/>
              <w:bidi w:val="0"/>
              <w:adjustRightInd w:val="0"/>
              <w:snapToGrid w:val="0"/>
              <w:spacing w:line="360" w:lineRule="auto"/>
              <w:ind w:firstLine="452" w:firstLineChars="200"/>
              <w:jc w:val="both"/>
              <w:textAlignment w:val="auto"/>
              <w:rPr>
                <w:rFonts w:hint="eastAsia" w:ascii="Times New Roman" w:hAnsi="Times New Roman" w:eastAsia="宋体" w:cs="Times New Roman"/>
                <w:b w:val="0"/>
                <w:bCs/>
                <w:spacing w:val="-7"/>
                <w:kern w:val="2"/>
                <w:sz w:val="24"/>
                <w:szCs w:val="24"/>
                <w:highlight w:val="none"/>
                <w:u w:val="none"/>
                <w:lang w:val="en-US" w:eastAsia="zh-CN" w:bidi="ar-SA"/>
              </w:rPr>
            </w:pPr>
            <w:r>
              <w:rPr>
                <w:rFonts w:hint="eastAsia" w:ascii="Times New Roman" w:hAnsi="Times New Roman" w:eastAsia="宋体" w:cs="Times New Roman"/>
                <w:b w:val="0"/>
                <w:bCs/>
                <w:spacing w:val="-7"/>
                <w:kern w:val="2"/>
                <w:sz w:val="24"/>
                <w:szCs w:val="24"/>
                <w:highlight w:val="none"/>
                <w:u w:val="none"/>
                <w:lang w:val="en-US" w:eastAsia="zh-CN" w:bidi="ar-SA"/>
              </w:rPr>
              <w:t>本项目污染防治技术</w:t>
            </w:r>
            <w:r>
              <w:rPr>
                <w:rFonts w:hint="eastAsia" w:ascii="Times New Roman" w:hAnsi="Times New Roman" w:eastAsia="宋体" w:cs="Times New Roman"/>
                <w:b w:val="0"/>
                <w:bCs/>
                <w:color w:val="auto"/>
                <w:spacing w:val="-7"/>
                <w:kern w:val="2"/>
                <w:sz w:val="24"/>
                <w:szCs w:val="24"/>
                <w:highlight w:val="none"/>
                <w:u w:val="none"/>
                <w:lang w:val="en-US" w:eastAsia="zh-CN" w:bidi="ar-SA"/>
              </w:rPr>
              <w:t>参考《排污许可证申请与核发技术规范 总则》（HJ942—2018）</w:t>
            </w:r>
            <w:r>
              <w:rPr>
                <w:rFonts w:hint="eastAsia" w:cs="Times New Roman"/>
                <w:b w:val="0"/>
                <w:bCs/>
                <w:color w:val="auto"/>
                <w:spacing w:val="-7"/>
                <w:kern w:val="2"/>
                <w:sz w:val="24"/>
                <w:szCs w:val="24"/>
                <w:highlight w:val="none"/>
                <w:u w:val="none"/>
                <w:lang w:val="en-US" w:eastAsia="zh-CN" w:bidi="ar-SA"/>
              </w:rPr>
              <w:t>、《</w:t>
            </w:r>
            <w:r>
              <w:rPr>
                <w:rFonts w:hint="eastAsia" w:ascii="Times New Roman" w:hAnsi="Times New Roman" w:eastAsia="宋体" w:cs="Times New Roman"/>
                <w:b w:val="0"/>
                <w:bCs/>
                <w:color w:val="auto"/>
                <w:spacing w:val="-7"/>
                <w:kern w:val="2"/>
                <w:sz w:val="24"/>
                <w:szCs w:val="24"/>
                <w:highlight w:val="none"/>
                <w:u w:val="none"/>
                <w:lang w:val="en-US" w:eastAsia="zh-CN" w:bidi="ar-SA"/>
              </w:rPr>
              <w:t>玻璃工业大气污染防治可行技术指南</w:t>
            </w:r>
            <w:r>
              <w:rPr>
                <w:rFonts w:hint="eastAsia" w:cs="Times New Roman"/>
                <w:b w:val="0"/>
                <w:bCs/>
                <w:color w:val="auto"/>
                <w:spacing w:val="-7"/>
                <w:kern w:val="2"/>
                <w:sz w:val="24"/>
                <w:szCs w:val="24"/>
                <w:highlight w:val="none"/>
                <w:u w:val="none"/>
                <w:lang w:val="en-US" w:eastAsia="zh-CN" w:bidi="ar-SA"/>
              </w:rPr>
              <w:t>》（HJ 2305.1—2025）</w:t>
            </w:r>
            <w:r>
              <w:rPr>
                <w:rFonts w:hint="eastAsia" w:ascii="Times New Roman" w:hAnsi="Times New Roman" w:eastAsia="宋体" w:cs="Times New Roman"/>
                <w:b w:val="0"/>
                <w:bCs/>
                <w:color w:val="auto"/>
                <w:spacing w:val="-7"/>
                <w:kern w:val="2"/>
                <w:sz w:val="24"/>
                <w:szCs w:val="24"/>
                <w:highlight w:val="none"/>
                <w:u w:val="none"/>
                <w:lang w:val="en-US" w:eastAsia="zh-CN" w:bidi="ar-SA"/>
              </w:rPr>
              <w:t xml:space="preserve">和《排污许可证申请与核发技术规范 </w:t>
            </w:r>
            <w:r>
              <w:rPr>
                <w:rFonts w:hint="eastAsia" w:cs="Times New Roman"/>
                <w:b w:val="0"/>
                <w:bCs/>
                <w:color w:val="auto"/>
                <w:spacing w:val="-7"/>
                <w:kern w:val="2"/>
                <w:sz w:val="24"/>
                <w:szCs w:val="24"/>
                <w:highlight w:val="none"/>
                <w:u w:val="none"/>
                <w:lang w:val="en-US" w:eastAsia="zh-CN" w:bidi="ar-SA"/>
              </w:rPr>
              <w:t xml:space="preserve"> </w:t>
            </w:r>
            <w:r>
              <w:rPr>
                <w:rFonts w:hint="eastAsia" w:ascii="Times New Roman" w:hAnsi="Times New Roman" w:eastAsia="宋体" w:cs="Times New Roman"/>
                <w:b w:val="0"/>
                <w:bCs/>
                <w:color w:val="auto"/>
                <w:spacing w:val="-7"/>
                <w:kern w:val="2"/>
                <w:sz w:val="24"/>
                <w:szCs w:val="24"/>
                <w:highlight w:val="none"/>
                <w:u w:val="none"/>
                <w:lang w:val="en-US" w:eastAsia="zh-CN" w:bidi="ar-SA"/>
              </w:rPr>
              <w:t>印刷工业</w:t>
            </w:r>
            <w:r>
              <w:rPr>
                <w:rFonts w:hint="default" w:ascii="Times New Roman" w:hAnsi="Times New Roman" w:eastAsia="宋体" w:cs="Times New Roman"/>
                <w:b w:val="0"/>
                <w:bCs/>
                <w:color w:val="auto"/>
                <w:spacing w:val="-7"/>
                <w:kern w:val="2"/>
                <w:sz w:val="24"/>
                <w:szCs w:val="24"/>
                <w:highlight w:val="none"/>
                <w:u w:val="none"/>
                <w:lang w:val="en-US" w:eastAsia="zh-CN" w:bidi="ar-SA"/>
              </w:rPr>
              <w:t>》（HJ 1066－2019）</w:t>
            </w:r>
            <w:r>
              <w:rPr>
                <w:rFonts w:hint="eastAsia" w:ascii="Times New Roman" w:hAnsi="Times New Roman" w:eastAsia="宋体" w:cs="Times New Roman"/>
                <w:b w:val="0"/>
                <w:bCs/>
                <w:color w:val="auto"/>
                <w:spacing w:val="-7"/>
                <w:kern w:val="2"/>
                <w:sz w:val="24"/>
                <w:szCs w:val="24"/>
                <w:highlight w:val="none"/>
                <w:u w:val="none"/>
                <w:lang w:val="en-US" w:eastAsia="zh-CN" w:bidi="ar-SA"/>
              </w:rPr>
              <w:t>中</w:t>
            </w:r>
            <w:r>
              <w:rPr>
                <w:rFonts w:hint="eastAsia" w:ascii="Times New Roman" w:hAnsi="Times New Roman" w:eastAsia="宋体" w:cs="Times New Roman"/>
                <w:b w:val="0"/>
                <w:bCs/>
                <w:spacing w:val="-7"/>
                <w:kern w:val="2"/>
                <w:sz w:val="24"/>
                <w:szCs w:val="24"/>
                <w:highlight w:val="none"/>
                <w:u w:val="none"/>
                <w:lang w:val="en-US" w:eastAsia="zh-CN" w:bidi="ar-SA"/>
              </w:rPr>
              <w:t>废气治理可行技术参照表，具体见下表。</w:t>
            </w:r>
          </w:p>
          <w:p w14:paraId="3BF523DB">
            <w:pPr>
              <w:pStyle w:val="85"/>
              <w:tabs>
                <w:tab w:val="left" w:pos="420"/>
              </w:tabs>
              <w:bidi w:val="0"/>
              <w:spacing w:line="360" w:lineRule="auto"/>
              <w:ind w:left="0" w:leftChars="0" w:firstLine="0" w:firstLineChars="0"/>
              <w:rPr>
                <w:rFonts w:hint="default" w:ascii="Times New Roman" w:hAnsi="Times New Roman" w:eastAsia="宋体" w:cs="Times New Roman"/>
                <w:b/>
                <w:bCs/>
                <w:sz w:val="24"/>
                <w:szCs w:val="24"/>
                <w:lang w:val="en-US" w:eastAsia="zh-CN"/>
              </w:rPr>
            </w:pPr>
            <w:r>
              <w:rPr>
                <w:rFonts w:hint="eastAsia" w:ascii="宋体" w:hAnsi="宋体" w:eastAsia="宋体" w:cs="宋体"/>
                <w:b/>
                <w:bCs/>
                <w:sz w:val="24"/>
                <w:szCs w:val="24"/>
                <w:lang w:val="en-US" w:eastAsia="zh-CN"/>
              </w:rPr>
              <w:t xml:space="preserve"> </w:t>
            </w:r>
            <w:r>
              <w:rPr>
                <w:rFonts w:hint="default" w:ascii="Times New Roman" w:hAnsi="Times New Roman" w:eastAsia="宋体" w:cs="Times New Roman"/>
                <w:b/>
                <w:bCs/>
                <w:sz w:val="24"/>
                <w:szCs w:val="24"/>
                <w:lang w:val="en-US" w:eastAsia="zh-CN"/>
              </w:rPr>
              <w:t xml:space="preserve"> 表4-4   </w:t>
            </w:r>
            <w:r>
              <w:rPr>
                <w:rFonts w:hint="eastAsia" w:ascii="Times New Roman" w:hAnsi="Times New Roman" w:eastAsia="宋体" w:cs="Times New Roman"/>
                <w:b/>
                <w:bCs/>
                <w:sz w:val="24"/>
                <w:szCs w:val="24"/>
                <w:lang w:val="en-US" w:eastAsia="zh-CN"/>
              </w:rPr>
              <w:t xml:space="preserve">  </w:t>
            </w:r>
            <w:r>
              <w:rPr>
                <w:rFonts w:hint="default" w:ascii="Times New Roman" w:hAnsi="Times New Roman" w:eastAsia="宋体" w:cs="Times New Roman"/>
                <w:b/>
                <w:bCs/>
                <w:sz w:val="24"/>
                <w:szCs w:val="24"/>
                <w:lang w:val="en-US" w:eastAsia="zh-CN"/>
              </w:rPr>
              <w:t xml:space="preserve"> 废气治理可行技术参照表</w:t>
            </w:r>
          </w:p>
          <w:tbl>
            <w:tblPr>
              <w:tblStyle w:val="40"/>
              <w:tblW w:w="494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67"/>
              <w:gridCol w:w="1601"/>
              <w:gridCol w:w="2124"/>
              <w:gridCol w:w="1575"/>
            </w:tblGrid>
            <w:tr w14:paraId="1147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4069" w:type="pct"/>
                  <w:gridSpan w:val="3"/>
                  <w:noWrap w:val="0"/>
                  <w:vAlign w:val="center"/>
                </w:tcPr>
                <w:p w14:paraId="07A8951D">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kern w:val="0"/>
                      <w:sz w:val="21"/>
                      <w:szCs w:val="21"/>
                      <w:lang w:val="en-US" w:eastAsia="zh-CN"/>
                    </w:rPr>
                  </w:pPr>
                  <w:r>
                    <w:rPr>
                      <w:rFonts w:hint="eastAsia" w:ascii="Times New Roman" w:hAnsi="Times New Roman" w:eastAsia="宋体" w:cs="Times New Roman"/>
                      <w:snapToGrid w:val="0"/>
                      <w:kern w:val="0"/>
                      <w:sz w:val="21"/>
                      <w:szCs w:val="21"/>
                      <w:lang w:val="en-US" w:eastAsia="zh-CN"/>
                    </w:rPr>
                    <w:t>可行技术</w:t>
                  </w:r>
                </w:p>
              </w:tc>
              <w:tc>
                <w:tcPr>
                  <w:tcW w:w="930" w:type="pct"/>
                  <w:noWrap w:val="0"/>
                  <w:vAlign w:val="center"/>
                </w:tcPr>
                <w:p w14:paraId="4FCE6AC5">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kern w:val="0"/>
                      <w:sz w:val="21"/>
                      <w:szCs w:val="21"/>
                      <w:lang w:val="en-US" w:eastAsia="zh-CN"/>
                    </w:rPr>
                  </w:pPr>
                  <w:r>
                    <w:rPr>
                      <w:rFonts w:hint="eastAsia" w:ascii="Times New Roman" w:hAnsi="Times New Roman" w:eastAsia="宋体" w:cs="Times New Roman"/>
                      <w:snapToGrid w:val="0"/>
                      <w:kern w:val="0"/>
                      <w:sz w:val="21"/>
                      <w:szCs w:val="21"/>
                      <w:lang w:val="en-US" w:eastAsia="zh-CN"/>
                    </w:rPr>
                    <w:t>本项目情况</w:t>
                  </w:r>
                </w:p>
              </w:tc>
            </w:tr>
            <w:tr w14:paraId="699B4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2815" w:type="pct"/>
                  <w:gridSpan w:val="2"/>
                  <w:noWrap w:val="0"/>
                  <w:vAlign w:val="center"/>
                </w:tcPr>
                <w:p w14:paraId="6ED464B0">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《排污许可证申请与核发技术规范 总则》（HJ942—2018）</w:t>
                  </w:r>
                </w:p>
              </w:tc>
              <w:tc>
                <w:tcPr>
                  <w:tcW w:w="1254" w:type="pct"/>
                  <w:noWrap w:val="0"/>
                  <w:vAlign w:val="center"/>
                </w:tcPr>
                <w:p w14:paraId="6810244C">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有机废气收集治理设施</w:t>
                  </w:r>
                  <w:r>
                    <w:rPr>
                      <w:rFonts w:hint="eastAsia" w:ascii="Times New Roman" w:hAnsi="Times New Roman" w:eastAsia="宋体" w:cs="Times New Roman"/>
                      <w:snapToGrid w:val="0"/>
                      <w:color w:val="auto"/>
                      <w:kern w:val="0"/>
                      <w:sz w:val="21"/>
                      <w:szCs w:val="21"/>
                      <w:highlight w:val="none"/>
                      <w:lang w:val="en-US" w:eastAsia="zh-CN" w:bidi="ar-SA"/>
                    </w:rPr>
                    <w:t>：</w:t>
                  </w:r>
                  <w:r>
                    <w:rPr>
                      <w:rFonts w:hint="default" w:ascii="Times New Roman" w:hAnsi="Times New Roman" w:eastAsia="宋体" w:cs="Times New Roman"/>
                      <w:snapToGrid w:val="0"/>
                      <w:color w:val="auto"/>
                      <w:kern w:val="0"/>
                      <w:sz w:val="21"/>
                      <w:szCs w:val="21"/>
                      <w:highlight w:val="none"/>
                      <w:lang w:val="en-US" w:eastAsia="zh-CN" w:bidi="ar-SA"/>
                    </w:rPr>
                    <w:t>焚烧、吸附、催化分解、其他</w:t>
                  </w:r>
                </w:p>
              </w:tc>
              <w:tc>
                <w:tcPr>
                  <w:tcW w:w="930" w:type="pct"/>
                  <w:vMerge w:val="restart"/>
                  <w:noWrap w:val="0"/>
                  <w:vAlign w:val="center"/>
                </w:tcPr>
                <w:p w14:paraId="228F7C59">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kern w:val="0"/>
                      <w:sz w:val="21"/>
                      <w:szCs w:val="21"/>
                      <w:lang w:val="en-US" w:eastAsia="zh-CN" w:bidi="ar-SA"/>
                    </w:rPr>
                  </w:pPr>
                  <w:r>
                    <w:rPr>
                      <w:rFonts w:hint="eastAsia" w:ascii="Times New Roman" w:hAnsi="Times New Roman" w:eastAsia="宋体" w:cs="Times New Roman"/>
                      <w:snapToGrid w:val="0"/>
                      <w:color w:val="auto"/>
                      <w:kern w:val="0"/>
                      <w:sz w:val="21"/>
                      <w:szCs w:val="21"/>
                      <w:lang w:val="en-US" w:eastAsia="zh-CN"/>
                    </w:rPr>
                    <w:t>本项目有机</w:t>
                  </w:r>
                  <w:r>
                    <w:rPr>
                      <w:rFonts w:hint="eastAsia" w:ascii="Times New Roman" w:hAnsi="Times New Roman" w:eastAsia="宋体" w:cs="Times New Roman"/>
                      <w:snapToGrid w:val="0"/>
                      <w:kern w:val="0"/>
                      <w:sz w:val="21"/>
                      <w:szCs w:val="21"/>
                      <w:lang w:val="en-US" w:eastAsia="zh-CN" w:bidi="ar-SA"/>
                    </w:rPr>
                    <w:t>废气经两级活性炭吸附装置</w:t>
                  </w:r>
                  <w:r>
                    <w:rPr>
                      <w:rFonts w:hint="eastAsia" w:ascii="Times New Roman" w:hAnsi="Times New Roman" w:eastAsia="宋体" w:cs="Times New Roman"/>
                      <w:snapToGrid w:val="0"/>
                      <w:color w:val="auto"/>
                      <w:kern w:val="0"/>
                      <w:sz w:val="21"/>
                      <w:szCs w:val="21"/>
                      <w:lang w:val="en-US" w:eastAsia="zh-CN"/>
                    </w:rPr>
                    <w:t>处理后排放，属于可行技术。同时该处理措施也满足绩效分级要求</w:t>
                  </w:r>
                </w:p>
              </w:tc>
            </w:tr>
            <w:tr w14:paraId="05F75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870" w:type="pct"/>
                  <w:noWrap w:val="0"/>
                  <w:vAlign w:val="center"/>
                </w:tcPr>
                <w:p w14:paraId="49230AF5">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《排污许可证申请与核发技术规范  印刷工业》（HJ 1066－2019）</w:t>
                  </w:r>
                </w:p>
              </w:tc>
              <w:tc>
                <w:tcPr>
                  <w:tcW w:w="945" w:type="pct"/>
                  <w:noWrap w:val="0"/>
                  <w:vAlign w:val="center"/>
                </w:tcPr>
                <w:p w14:paraId="199BBFA4">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印前加工、印刷和复合涂布等其他生产单元</w:t>
                  </w:r>
                </w:p>
              </w:tc>
              <w:tc>
                <w:tcPr>
                  <w:tcW w:w="1254" w:type="pct"/>
                  <w:noWrap w:val="0"/>
                  <w:vAlign w:val="center"/>
                </w:tcPr>
                <w:p w14:paraId="3372ADDC">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活性炭吸附（现场再生）、浓缩+热力（催化）氧化、直接热力（催化）氧化、其他</w:t>
                  </w:r>
                </w:p>
              </w:tc>
              <w:tc>
                <w:tcPr>
                  <w:tcW w:w="930" w:type="pct"/>
                  <w:vMerge w:val="continue"/>
                  <w:noWrap w:val="0"/>
                  <w:vAlign w:val="center"/>
                </w:tcPr>
                <w:p w14:paraId="20EA7E03">
                  <w:pPr>
                    <w:keepNext w:val="0"/>
                    <w:keepLines w:val="0"/>
                    <w:pageBreakBefore w:val="0"/>
                    <w:kinsoku/>
                    <w:wordWrap/>
                    <w:overflowPunct/>
                    <w:topLinePunct w:val="0"/>
                    <w:autoSpaceDE/>
                    <w:autoSpaceDN/>
                    <w:bidi w:val="0"/>
                    <w:adjustRightInd w:val="0"/>
                    <w:snapToGrid w:val="0"/>
                    <w:jc w:val="center"/>
                    <w:rPr>
                      <w:rFonts w:hint="eastAsia" w:ascii="Times New Roman" w:hAnsi="Times New Roman" w:eastAsia="宋体" w:cs="Times New Roman"/>
                      <w:snapToGrid w:val="0"/>
                      <w:kern w:val="0"/>
                      <w:sz w:val="21"/>
                      <w:szCs w:val="21"/>
                      <w:lang w:val="en-US" w:eastAsia="zh-CN" w:bidi="ar-SA"/>
                    </w:rPr>
                  </w:pPr>
                </w:p>
              </w:tc>
            </w:tr>
            <w:tr w14:paraId="6D403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870" w:type="pct"/>
                  <w:noWrap w:val="0"/>
                  <w:vAlign w:val="center"/>
                </w:tcPr>
                <w:p w14:paraId="4500ED0A">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《玻璃工业大气污染防治可行技术指南》（HJ 2305.1—2025）</w:t>
                  </w:r>
                </w:p>
              </w:tc>
              <w:tc>
                <w:tcPr>
                  <w:tcW w:w="945" w:type="pct"/>
                  <w:noWrap w:val="0"/>
                  <w:vAlign w:val="center"/>
                </w:tcPr>
                <w:p w14:paraId="37512F31">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snapToGrid w:val="0"/>
                      <w:color w:val="auto"/>
                      <w:kern w:val="0"/>
                      <w:sz w:val="21"/>
                      <w:szCs w:val="21"/>
                      <w:highlight w:val="none"/>
                      <w:lang w:val="en-US" w:eastAsia="zh-CN" w:bidi="ar-SA"/>
                    </w:rPr>
                    <w:t>VOCs 治理技术</w:t>
                  </w:r>
                </w:p>
              </w:tc>
              <w:tc>
                <w:tcPr>
                  <w:tcW w:w="1254" w:type="pct"/>
                  <w:noWrap w:val="0"/>
                  <w:vAlign w:val="center"/>
                </w:tcPr>
                <w:p w14:paraId="44AB7945">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eastAsia" w:cs="Times New Roman"/>
                      <w:snapToGrid w:val="0"/>
                      <w:color w:val="auto"/>
                      <w:kern w:val="0"/>
                      <w:sz w:val="21"/>
                      <w:szCs w:val="21"/>
                      <w:highlight w:val="none"/>
                      <w:lang w:val="en-US" w:eastAsia="zh-CN" w:bidi="ar-SA"/>
                    </w:rPr>
                    <w:t>吸附技术、燃烧技术</w:t>
                  </w:r>
                </w:p>
              </w:tc>
              <w:tc>
                <w:tcPr>
                  <w:tcW w:w="930" w:type="pct"/>
                  <w:vMerge w:val="continue"/>
                  <w:noWrap w:val="0"/>
                  <w:vAlign w:val="center"/>
                </w:tcPr>
                <w:p w14:paraId="1C04D178">
                  <w:pPr>
                    <w:keepNext w:val="0"/>
                    <w:keepLines w:val="0"/>
                    <w:pageBreakBefore w:val="0"/>
                    <w:kinsoku/>
                    <w:wordWrap/>
                    <w:overflowPunct/>
                    <w:topLinePunct w:val="0"/>
                    <w:autoSpaceDE/>
                    <w:autoSpaceDN/>
                    <w:bidi w:val="0"/>
                    <w:adjustRightInd w:val="0"/>
                    <w:snapToGrid w:val="0"/>
                    <w:jc w:val="center"/>
                    <w:rPr>
                      <w:rFonts w:hint="eastAsia" w:ascii="Times New Roman" w:hAnsi="Times New Roman" w:eastAsia="宋体" w:cs="Times New Roman"/>
                      <w:snapToGrid w:val="0"/>
                      <w:kern w:val="0"/>
                      <w:sz w:val="21"/>
                      <w:szCs w:val="21"/>
                      <w:lang w:val="en-US" w:eastAsia="zh-CN" w:bidi="ar-SA"/>
                    </w:rPr>
                  </w:pPr>
                </w:p>
              </w:tc>
            </w:tr>
          </w:tbl>
          <w:p w14:paraId="6D701759">
            <w:pPr>
              <w:keepNext w:val="0"/>
              <w:keepLines w:val="0"/>
              <w:pageBreakBefore w:val="0"/>
              <w:widowControl w:val="0"/>
              <w:kinsoku/>
              <w:wordWrap/>
              <w:overflowPunct/>
              <w:topLinePunct w:val="0"/>
              <w:autoSpaceDE/>
              <w:autoSpaceDN/>
              <w:bidi w:val="0"/>
              <w:adjustRightInd w:val="0"/>
              <w:snapToGrid w:val="0"/>
              <w:spacing w:line="360" w:lineRule="auto"/>
              <w:ind w:firstLine="380" w:firstLineChars="200"/>
              <w:jc w:val="both"/>
              <w:textAlignment w:val="auto"/>
              <w:rPr>
                <w:b w:val="0"/>
                <w:bCs w:val="0"/>
                <w:color w:val="FF0000"/>
                <w:spacing w:val="-10"/>
              </w:rPr>
            </w:pPr>
          </w:p>
          <w:p w14:paraId="0DFCC069">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（5）非正常情况污染物排放</w:t>
            </w:r>
          </w:p>
          <w:p w14:paraId="6E63B2BC">
            <w:pPr>
              <w:keepNext w:val="0"/>
              <w:keepLines w:val="0"/>
              <w:pageBreakBefore w:val="0"/>
              <w:widowControl w:val="0"/>
              <w:kinsoku/>
              <w:wordWrap/>
              <w:overflowPunct/>
              <w:topLinePunct w:val="0"/>
              <w:autoSpaceDE/>
              <w:autoSpaceDN/>
              <w:bidi w:val="0"/>
              <w:adjustRightInd w:val="0"/>
              <w:snapToGrid w:val="0"/>
              <w:spacing w:line="360" w:lineRule="auto"/>
              <w:ind w:firstLine="452" w:firstLineChars="200"/>
              <w:textAlignment w:val="auto"/>
              <w:rPr>
                <w:rFonts w:hint="default" w:ascii="Times New Roman" w:hAnsi="Times New Roman" w:eastAsia="宋体" w:cs="Times New Roman"/>
                <w:bCs/>
                <w:spacing w:val="-7"/>
                <w:kern w:val="2"/>
                <w:sz w:val="24"/>
                <w:szCs w:val="24"/>
                <w:lang w:val="en-US" w:eastAsia="zh-CN" w:bidi="ar-SA"/>
              </w:rPr>
            </w:pPr>
            <w:r>
              <w:rPr>
                <w:rFonts w:hint="eastAsia" w:ascii="Times New Roman" w:hAnsi="Times New Roman" w:eastAsia="宋体" w:cs="Times New Roman"/>
                <w:bCs/>
                <w:spacing w:val="-7"/>
                <w:kern w:val="2"/>
                <w:sz w:val="24"/>
                <w:szCs w:val="24"/>
                <w:lang w:val="en-US" w:eastAsia="zh-CN" w:bidi="ar-SA"/>
              </w:rPr>
              <w:t>本项目</w:t>
            </w:r>
            <w:r>
              <w:rPr>
                <w:rFonts w:hint="default" w:ascii="Times New Roman" w:hAnsi="Times New Roman" w:eastAsia="宋体" w:cs="Times New Roman"/>
                <w:bCs/>
                <w:spacing w:val="-7"/>
                <w:kern w:val="2"/>
                <w:sz w:val="24"/>
                <w:szCs w:val="24"/>
                <w:lang w:val="en-US" w:eastAsia="zh-CN" w:bidi="ar-SA"/>
              </w:rPr>
              <w:t>非正常工况为开停车、环保设备处理率下降问题等。项目主要为废气排放影响。因此，本次评价仅分析项目环保设备处理率下降</w:t>
            </w:r>
            <w:r>
              <w:rPr>
                <w:rFonts w:hint="eastAsia" w:ascii="Times New Roman" w:hAnsi="Times New Roman" w:eastAsia="宋体" w:cs="Times New Roman"/>
                <w:bCs/>
                <w:spacing w:val="-7"/>
                <w:kern w:val="2"/>
                <w:sz w:val="24"/>
                <w:szCs w:val="24"/>
                <w:lang w:val="en-US" w:eastAsia="zh-CN" w:bidi="ar-SA"/>
              </w:rPr>
              <w:t>情况下，</w:t>
            </w:r>
            <w:r>
              <w:rPr>
                <w:rFonts w:hint="default" w:ascii="Times New Roman" w:hAnsi="Times New Roman" w:eastAsia="宋体" w:cs="Times New Roman"/>
                <w:bCs/>
                <w:spacing w:val="-7"/>
                <w:kern w:val="2"/>
                <w:sz w:val="24"/>
                <w:szCs w:val="24"/>
                <w:lang w:val="en-US" w:eastAsia="zh-CN" w:bidi="ar-SA"/>
              </w:rPr>
              <w:t>废气非正常排放情况。</w:t>
            </w:r>
          </w:p>
          <w:p w14:paraId="51368B39">
            <w:pPr>
              <w:pStyle w:val="96"/>
              <w:ind w:firstLine="480"/>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Cs/>
                <w:spacing w:val="-7"/>
                <w:kern w:val="2"/>
                <w:sz w:val="24"/>
                <w:szCs w:val="24"/>
                <w:lang w:val="en-US" w:eastAsia="zh-CN" w:bidi="ar-SA"/>
              </w:rPr>
              <w:t>经调查，环保设备处理率下降情况约出现频次大约为1次/年，每次持续1h，主要原因为未及时更</w:t>
            </w:r>
            <w:r>
              <w:rPr>
                <w:rFonts w:hint="eastAsia" w:ascii="Times New Roman" w:hAnsi="Times New Roman" w:eastAsia="宋体" w:cs="Times New Roman"/>
                <w:bCs/>
                <w:color w:val="auto"/>
                <w:spacing w:val="-7"/>
                <w:kern w:val="2"/>
                <w:sz w:val="24"/>
                <w:szCs w:val="24"/>
                <w:lang w:val="en-US" w:eastAsia="zh-CN" w:bidi="ar-SA"/>
              </w:rPr>
              <w:t>换活性炭等</w:t>
            </w:r>
            <w:r>
              <w:rPr>
                <w:rFonts w:hint="eastAsia" w:ascii="Times New Roman" w:hAnsi="Times New Roman" w:eastAsia="宋体" w:cs="Times New Roman"/>
                <w:bCs/>
                <w:spacing w:val="-7"/>
                <w:kern w:val="2"/>
                <w:sz w:val="24"/>
                <w:szCs w:val="24"/>
                <w:lang w:val="en-US" w:eastAsia="zh-CN" w:bidi="ar-SA"/>
              </w:rPr>
              <w:t>原因引起的环保设施处理效率下降，本次按处理效率</w:t>
            </w:r>
            <w:r>
              <w:rPr>
                <w:b w:val="0"/>
                <w:bCs w:val="0"/>
                <w:color w:val="auto"/>
              </w:rPr>
              <w:t>0</w:t>
            </w:r>
            <w:r>
              <w:rPr>
                <w:rFonts w:hint="eastAsia"/>
                <w:b w:val="0"/>
                <w:bCs w:val="0"/>
                <w:color w:val="auto"/>
              </w:rPr>
              <w:t>%</w:t>
            </w:r>
            <w:r>
              <w:rPr>
                <w:rFonts w:hint="eastAsia"/>
                <w:b w:val="0"/>
                <w:bCs w:val="0"/>
                <w:color w:val="auto"/>
                <w:lang w:val="en-US" w:eastAsia="zh-CN"/>
              </w:rPr>
              <w:t>考虑</w:t>
            </w:r>
            <w:r>
              <w:rPr>
                <w:b w:val="0"/>
                <w:bCs w:val="0"/>
                <w:color w:val="auto"/>
              </w:rPr>
              <w:t>，则本项目非正常排放量核算详见下</w:t>
            </w:r>
            <w:r>
              <w:rPr>
                <w:rFonts w:hint="eastAsia"/>
                <w:b w:val="0"/>
                <w:bCs w:val="0"/>
                <w:color w:val="auto"/>
                <w:lang w:val="en-US" w:eastAsia="zh-CN"/>
              </w:rPr>
              <w:t>表</w:t>
            </w:r>
            <w:r>
              <w:rPr>
                <w:b w:val="0"/>
                <w:bCs w:val="0"/>
                <w:color w:val="auto"/>
              </w:rPr>
              <w:t>。</w:t>
            </w:r>
            <w:r>
              <w:rPr>
                <w:rFonts w:hint="eastAsia" w:ascii="Times New Roman" w:hAnsi="Times New Roman" w:eastAsia="宋体" w:cs="Times New Roman"/>
                <w:b/>
                <w:bCs/>
                <w:snapToGrid w:val="0"/>
                <w:color w:val="auto"/>
                <w:kern w:val="0"/>
                <w:sz w:val="24"/>
                <w:szCs w:val="24"/>
                <w:lang w:val="en-US" w:eastAsia="zh-CN" w:bidi="ar-SA"/>
              </w:rPr>
              <w:t xml:space="preserve"> </w:t>
            </w:r>
          </w:p>
          <w:p w14:paraId="15E79BD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 xml:space="preserve">  表4-5      非正常排放量核算表</w:t>
            </w:r>
          </w:p>
          <w:tbl>
            <w:tblPr>
              <w:tblStyle w:val="39"/>
              <w:tblW w:w="5000"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57" w:type="dxa"/>
                <w:bottom w:w="0" w:type="dxa"/>
                <w:right w:w="57" w:type="dxa"/>
              </w:tblCellMar>
            </w:tblPr>
            <w:tblGrid>
              <w:gridCol w:w="508"/>
              <w:gridCol w:w="1124"/>
              <w:gridCol w:w="855"/>
              <w:gridCol w:w="1425"/>
              <w:gridCol w:w="1204"/>
              <w:gridCol w:w="1043"/>
              <w:gridCol w:w="792"/>
              <w:gridCol w:w="826"/>
              <w:gridCol w:w="767"/>
            </w:tblGrid>
            <w:tr w14:paraId="066D752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57" w:type="dxa"/>
                  <w:bottom w:w="0" w:type="dxa"/>
                  <w:right w:w="57" w:type="dxa"/>
                </w:tblCellMar>
              </w:tblPrEx>
              <w:trPr>
                <w:trHeight w:val="861" w:hRule="atLeast"/>
              </w:trPr>
              <w:tc>
                <w:tcPr>
                  <w:tcW w:w="297" w:type="pct"/>
                  <w:tcBorders>
                    <w:tl2br w:val="nil"/>
                    <w:tr2bl w:val="nil"/>
                  </w:tcBorders>
                  <w:noWrap w:val="0"/>
                  <w:vAlign w:val="center"/>
                </w:tcPr>
                <w:p w14:paraId="3720CBE7">
                  <w:pPr>
                    <w:adjustRightInd w:val="0"/>
                    <w:snapToGrid w:val="0"/>
                    <w:jc w:val="center"/>
                    <w:rPr>
                      <w:b w:val="0"/>
                      <w:bCs w:val="0"/>
                      <w:color w:val="auto"/>
                      <w:szCs w:val="21"/>
                    </w:rPr>
                  </w:pPr>
                  <w:r>
                    <w:rPr>
                      <w:b w:val="0"/>
                      <w:bCs w:val="0"/>
                      <w:color w:val="auto"/>
                      <w:szCs w:val="21"/>
                    </w:rPr>
                    <w:t>序号</w:t>
                  </w:r>
                </w:p>
              </w:tc>
              <w:tc>
                <w:tcPr>
                  <w:tcW w:w="657" w:type="pct"/>
                  <w:tcBorders>
                    <w:tl2br w:val="nil"/>
                    <w:tr2bl w:val="nil"/>
                  </w:tcBorders>
                  <w:noWrap w:val="0"/>
                  <w:vAlign w:val="center"/>
                </w:tcPr>
                <w:p w14:paraId="03A6D5FE">
                  <w:pPr>
                    <w:adjustRightInd w:val="0"/>
                    <w:snapToGrid w:val="0"/>
                    <w:jc w:val="center"/>
                    <w:rPr>
                      <w:b w:val="0"/>
                      <w:bCs w:val="0"/>
                      <w:color w:val="auto"/>
                      <w:szCs w:val="21"/>
                    </w:rPr>
                  </w:pPr>
                  <w:r>
                    <w:rPr>
                      <w:b w:val="0"/>
                      <w:bCs w:val="0"/>
                      <w:color w:val="auto"/>
                      <w:szCs w:val="21"/>
                    </w:rPr>
                    <w:t>污染源</w:t>
                  </w:r>
                </w:p>
              </w:tc>
              <w:tc>
                <w:tcPr>
                  <w:tcW w:w="500" w:type="pct"/>
                  <w:tcBorders>
                    <w:tl2br w:val="nil"/>
                    <w:tr2bl w:val="nil"/>
                  </w:tcBorders>
                  <w:noWrap w:val="0"/>
                  <w:vAlign w:val="center"/>
                </w:tcPr>
                <w:p w14:paraId="1AC064EB">
                  <w:pPr>
                    <w:adjustRightInd w:val="0"/>
                    <w:snapToGrid w:val="0"/>
                    <w:jc w:val="center"/>
                    <w:rPr>
                      <w:b w:val="0"/>
                      <w:bCs w:val="0"/>
                      <w:color w:val="auto"/>
                      <w:szCs w:val="21"/>
                    </w:rPr>
                  </w:pPr>
                  <w:r>
                    <w:rPr>
                      <w:b w:val="0"/>
                      <w:bCs w:val="0"/>
                      <w:color w:val="auto"/>
                      <w:szCs w:val="21"/>
                    </w:rPr>
                    <w:t>污染物</w:t>
                  </w:r>
                </w:p>
              </w:tc>
              <w:tc>
                <w:tcPr>
                  <w:tcW w:w="833" w:type="pct"/>
                  <w:tcBorders>
                    <w:tl2br w:val="nil"/>
                    <w:tr2bl w:val="nil"/>
                  </w:tcBorders>
                  <w:noWrap w:val="0"/>
                  <w:vAlign w:val="center"/>
                </w:tcPr>
                <w:p w14:paraId="1AE97027">
                  <w:pPr>
                    <w:adjustRightInd w:val="0"/>
                    <w:snapToGrid w:val="0"/>
                    <w:jc w:val="center"/>
                    <w:rPr>
                      <w:b w:val="0"/>
                      <w:bCs w:val="0"/>
                      <w:color w:val="auto"/>
                      <w:szCs w:val="21"/>
                    </w:rPr>
                  </w:pPr>
                  <w:r>
                    <w:rPr>
                      <w:b w:val="0"/>
                      <w:bCs w:val="0"/>
                      <w:color w:val="auto"/>
                      <w:szCs w:val="21"/>
                    </w:rPr>
                    <w:t>非正常排放浓度/（mg/m</w:t>
                  </w:r>
                  <w:r>
                    <w:rPr>
                      <w:b w:val="0"/>
                      <w:bCs w:val="0"/>
                      <w:color w:val="auto"/>
                      <w:szCs w:val="21"/>
                      <w:vertAlign w:val="superscript"/>
                    </w:rPr>
                    <w:t>3</w:t>
                  </w:r>
                  <w:r>
                    <w:rPr>
                      <w:b w:val="0"/>
                      <w:bCs w:val="0"/>
                      <w:color w:val="auto"/>
                      <w:szCs w:val="21"/>
                    </w:rPr>
                    <w:t>）</w:t>
                  </w:r>
                </w:p>
              </w:tc>
              <w:tc>
                <w:tcPr>
                  <w:tcW w:w="704" w:type="pct"/>
                  <w:tcBorders>
                    <w:tl2br w:val="nil"/>
                    <w:tr2bl w:val="nil"/>
                  </w:tcBorders>
                  <w:noWrap w:val="0"/>
                  <w:vAlign w:val="center"/>
                </w:tcPr>
                <w:p w14:paraId="68720F84">
                  <w:pPr>
                    <w:adjustRightInd w:val="0"/>
                    <w:snapToGrid w:val="0"/>
                    <w:jc w:val="center"/>
                    <w:rPr>
                      <w:b w:val="0"/>
                      <w:bCs w:val="0"/>
                      <w:color w:val="auto"/>
                      <w:szCs w:val="21"/>
                    </w:rPr>
                  </w:pPr>
                  <w:r>
                    <w:rPr>
                      <w:b w:val="0"/>
                      <w:bCs w:val="0"/>
                      <w:color w:val="auto"/>
                      <w:szCs w:val="21"/>
                    </w:rPr>
                    <w:t>非正常排放速率/（kg/h）</w:t>
                  </w:r>
                </w:p>
              </w:tc>
              <w:tc>
                <w:tcPr>
                  <w:tcW w:w="610" w:type="pct"/>
                  <w:tcBorders>
                    <w:tl2br w:val="nil"/>
                    <w:tr2bl w:val="nil"/>
                  </w:tcBorders>
                  <w:noWrap w:val="0"/>
                  <w:vAlign w:val="center"/>
                </w:tcPr>
                <w:p w14:paraId="7A92B240">
                  <w:pPr>
                    <w:adjustRightInd w:val="0"/>
                    <w:snapToGrid w:val="0"/>
                    <w:jc w:val="center"/>
                    <w:rPr>
                      <w:b w:val="0"/>
                      <w:bCs w:val="0"/>
                      <w:color w:val="auto"/>
                      <w:szCs w:val="21"/>
                    </w:rPr>
                  </w:pPr>
                  <w:r>
                    <w:rPr>
                      <w:b w:val="0"/>
                      <w:bCs w:val="0"/>
                      <w:color w:val="auto"/>
                      <w:szCs w:val="21"/>
                    </w:rPr>
                    <w:t>非正常排放量/（kg）</w:t>
                  </w:r>
                </w:p>
              </w:tc>
              <w:tc>
                <w:tcPr>
                  <w:tcW w:w="463" w:type="pct"/>
                  <w:tcBorders>
                    <w:tl2br w:val="nil"/>
                    <w:tr2bl w:val="nil"/>
                  </w:tcBorders>
                  <w:noWrap w:val="0"/>
                  <w:vAlign w:val="center"/>
                </w:tcPr>
                <w:p w14:paraId="68E1AC10">
                  <w:pPr>
                    <w:adjustRightInd w:val="0"/>
                    <w:snapToGrid w:val="0"/>
                    <w:jc w:val="center"/>
                    <w:rPr>
                      <w:b w:val="0"/>
                      <w:bCs w:val="0"/>
                      <w:color w:val="auto"/>
                      <w:szCs w:val="21"/>
                    </w:rPr>
                  </w:pPr>
                  <w:r>
                    <w:rPr>
                      <w:b w:val="0"/>
                      <w:bCs w:val="0"/>
                      <w:color w:val="auto"/>
                      <w:szCs w:val="21"/>
                    </w:rPr>
                    <w:t>单次持续时间/h</w:t>
                  </w:r>
                </w:p>
              </w:tc>
              <w:tc>
                <w:tcPr>
                  <w:tcW w:w="483" w:type="pct"/>
                  <w:tcBorders>
                    <w:tl2br w:val="nil"/>
                    <w:tr2bl w:val="nil"/>
                  </w:tcBorders>
                  <w:noWrap w:val="0"/>
                  <w:vAlign w:val="center"/>
                </w:tcPr>
                <w:p w14:paraId="334D24CC">
                  <w:pPr>
                    <w:adjustRightInd w:val="0"/>
                    <w:snapToGrid w:val="0"/>
                    <w:jc w:val="center"/>
                    <w:rPr>
                      <w:b w:val="0"/>
                      <w:bCs w:val="0"/>
                      <w:color w:val="auto"/>
                      <w:szCs w:val="21"/>
                    </w:rPr>
                  </w:pPr>
                  <w:r>
                    <w:rPr>
                      <w:b w:val="0"/>
                      <w:bCs w:val="0"/>
                      <w:color w:val="auto"/>
                      <w:szCs w:val="21"/>
                    </w:rPr>
                    <w:t>年发生频次/次</w:t>
                  </w:r>
                </w:p>
              </w:tc>
              <w:tc>
                <w:tcPr>
                  <w:tcW w:w="448" w:type="pct"/>
                  <w:tcBorders>
                    <w:tl2br w:val="nil"/>
                    <w:tr2bl w:val="nil"/>
                  </w:tcBorders>
                  <w:noWrap w:val="0"/>
                  <w:vAlign w:val="center"/>
                </w:tcPr>
                <w:p w14:paraId="4F1D629F">
                  <w:pPr>
                    <w:adjustRightInd w:val="0"/>
                    <w:snapToGrid w:val="0"/>
                    <w:jc w:val="center"/>
                    <w:rPr>
                      <w:b w:val="0"/>
                      <w:bCs w:val="0"/>
                      <w:color w:val="auto"/>
                      <w:szCs w:val="21"/>
                    </w:rPr>
                  </w:pPr>
                  <w:r>
                    <w:rPr>
                      <w:b w:val="0"/>
                      <w:bCs w:val="0"/>
                      <w:color w:val="auto"/>
                      <w:szCs w:val="21"/>
                    </w:rPr>
                    <w:t>应对措施</w:t>
                  </w:r>
                </w:p>
              </w:tc>
            </w:tr>
            <w:tr w14:paraId="395ADA3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57" w:type="dxa"/>
                  <w:bottom w:w="0" w:type="dxa"/>
                  <w:right w:w="57" w:type="dxa"/>
                </w:tblCellMar>
              </w:tblPrEx>
              <w:trPr>
                <w:trHeight w:val="375" w:hRule="atLeast"/>
              </w:trPr>
              <w:tc>
                <w:tcPr>
                  <w:tcW w:w="297" w:type="pct"/>
                  <w:tcBorders>
                    <w:tl2br w:val="nil"/>
                    <w:tr2bl w:val="nil"/>
                  </w:tcBorders>
                  <w:noWrap w:val="0"/>
                  <w:vAlign w:val="center"/>
                </w:tcPr>
                <w:p w14:paraId="7DE20DFC">
                  <w:pPr>
                    <w:adjustRightInd w:val="0"/>
                    <w:snapToGrid w:val="0"/>
                    <w:jc w:val="center"/>
                    <w:rPr>
                      <w:b w:val="0"/>
                      <w:bCs w:val="0"/>
                      <w:color w:val="auto"/>
                      <w:szCs w:val="21"/>
                    </w:rPr>
                  </w:pPr>
                  <w:r>
                    <w:rPr>
                      <w:b w:val="0"/>
                      <w:bCs w:val="0"/>
                      <w:color w:val="auto"/>
                      <w:szCs w:val="21"/>
                    </w:rPr>
                    <w:t>1</w:t>
                  </w:r>
                </w:p>
                <w:p w14:paraId="76E5CB2C">
                  <w:pPr>
                    <w:pStyle w:val="21"/>
                    <w:jc w:val="center"/>
                    <w:rPr>
                      <w:rFonts w:ascii="Times New Roman" w:hAnsi="Times New Roman" w:cs="Times New Roman"/>
                      <w:b w:val="0"/>
                      <w:bCs w:val="0"/>
                      <w:color w:val="auto"/>
                    </w:rPr>
                  </w:pPr>
                </w:p>
              </w:tc>
              <w:tc>
                <w:tcPr>
                  <w:tcW w:w="657" w:type="pct"/>
                  <w:tcBorders>
                    <w:tl2br w:val="nil"/>
                    <w:tr2bl w:val="nil"/>
                  </w:tcBorders>
                  <w:noWrap w:val="0"/>
                  <w:vAlign w:val="center"/>
                </w:tcPr>
                <w:p w14:paraId="10E5E3C7">
                  <w:pPr>
                    <w:pStyle w:val="16"/>
                    <w:keepNext w:val="0"/>
                    <w:keepLines w:val="0"/>
                    <w:pageBreakBefore w:val="0"/>
                    <w:kinsoku/>
                    <w:wordWrap/>
                    <w:overflowPunct/>
                    <w:topLinePunct w:val="0"/>
                    <w:autoSpaceDE/>
                    <w:autoSpaceDN/>
                    <w:bidi w:val="0"/>
                    <w:adjustRightInd w:val="0"/>
                    <w:snapToGrid w:val="0"/>
                    <w:ind w:left="0" w:leftChars="0" w:firstLine="0" w:firstLineChars="0"/>
                    <w:jc w:val="center"/>
                    <w:rPr>
                      <w:b w:val="0"/>
                      <w:bCs w:val="0"/>
                      <w:color w:val="auto"/>
                      <w:szCs w:val="21"/>
                    </w:rPr>
                  </w:pPr>
                  <w:r>
                    <w:rPr>
                      <w:rFonts w:hint="default" w:eastAsia="宋体"/>
                      <w:bCs/>
                      <w:snapToGrid w:val="0"/>
                      <w:color w:val="auto"/>
                      <w:kern w:val="0"/>
                      <w:sz w:val="21"/>
                      <w:szCs w:val="21"/>
                      <w:lang w:val="en-US" w:eastAsia="zh-CN" w:bidi="ar-SA"/>
                    </w:rPr>
                    <w:t>彩色成像玻璃生产过程烘干固化工序</w:t>
                  </w:r>
                </w:p>
              </w:tc>
              <w:tc>
                <w:tcPr>
                  <w:tcW w:w="500" w:type="pct"/>
                  <w:tcBorders>
                    <w:tl2br w:val="nil"/>
                    <w:tr2bl w:val="nil"/>
                  </w:tcBorders>
                  <w:noWrap w:val="0"/>
                  <w:vAlign w:val="center"/>
                </w:tcPr>
                <w:p w14:paraId="23D56280">
                  <w:pPr>
                    <w:adjustRightInd w:val="0"/>
                    <w:snapToGrid w:val="0"/>
                    <w:jc w:val="center"/>
                    <w:rPr>
                      <w:b w:val="0"/>
                      <w:bCs w:val="0"/>
                      <w:color w:val="auto"/>
                      <w:szCs w:val="21"/>
                    </w:rPr>
                  </w:pPr>
                  <w:r>
                    <w:rPr>
                      <w:rFonts w:hint="default" w:ascii="Times New Roman" w:hAnsi="Times New Roman" w:eastAsia="宋体" w:cs="Times New Roman"/>
                      <w:b w:val="0"/>
                      <w:bCs w:val="0"/>
                      <w:snapToGrid w:val="0"/>
                      <w:color w:val="auto"/>
                      <w:kern w:val="0"/>
                      <w:sz w:val="21"/>
                      <w:szCs w:val="21"/>
                      <w:u w:val="none"/>
                      <w:lang w:val="en-US" w:eastAsia="zh-CN"/>
                    </w:rPr>
                    <w:t>非甲烷总烃</w:t>
                  </w:r>
                </w:p>
              </w:tc>
              <w:tc>
                <w:tcPr>
                  <w:tcW w:w="1377" w:type="dxa"/>
                  <w:tcBorders>
                    <w:tl2br w:val="nil"/>
                    <w:tr2bl w:val="nil"/>
                  </w:tcBorders>
                  <w:noWrap w:val="0"/>
                  <w:vAlign w:val="center"/>
                </w:tcPr>
                <w:p w14:paraId="412E5EE6">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b w:val="0"/>
                      <w:bCs w:val="0"/>
                      <w:color w:val="auto"/>
                      <w:szCs w:val="21"/>
                    </w:rPr>
                  </w:pPr>
                  <w:r>
                    <w:rPr>
                      <w:rFonts w:hint="eastAsia" w:cs="Times New Roman"/>
                      <w:b w:val="0"/>
                      <w:bCs w:val="0"/>
                      <w:i w:val="0"/>
                      <w:iCs w:val="0"/>
                      <w:color w:val="auto"/>
                      <w:kern w:val="0"/>
                      <w:sz w:val="21"/>
                      <w:szCs w:val="21"/>
                      <w:highlight w:val="none"/>
                      <w:u w:val="none"/>
                      <w:lang w:val="en-US" w:eastAsia="zh-CN" w:bidi="ar"/>
                    </w:rPr>
                    <w:t>23.1</w:t>
                  </w:r>
                </w:p>
              </w:tc>
              <w:tc>
                <w:tcPr>
                  <w:tcW w:w="1164" w:type="dxa"/>
                  <w:tcBorders>
                    <w:tl2br w:val="nil"/>
                    <w:tr2bl w:val="nil"/>
                  </w:tcBorders>
                  <w:noWrap w:val="0"/>
                  <w:vAlign w:val="center"/>
                </w:tcPr>
                <w:p w14:paraId="575863AE">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b w:val="0"/>
                      <w:bCs w:val="0"/>
                      <w:color w:val="auto"/>
                      <w:szCs w:val="21"/>
                    </w:rPr>
                  </w:pPr>
                  <w:r>
                    <w:rPr>
                      <w:rFonts w:hint="eastAsia" w:cs="Times New Roman"/>
                      <w:b w:val="0"/>
                      <w:bCs w:val="0"/>
                      <w:i w:val="0"/>
                      <w:iCs w:val="0"/>
                      <w:color w:val="auto"/>
                      <w:kern w:val="0"/>
                      <w:sz w:val="21"/>
                      <w:szCs w:val="21"/>
                      <w:highlight w:val="none"/>
                      <w:u w:val="none"/>
                      <w:lang w:val="en-US" w:eastAsia="zh-CN" w:bidi="ar"/>
                    </w:rPr>
                    <w:t>0.208</w:t>
                  </w:r>
                </w:p>
              </w:tc>
              <w:tc>
                <w:tcPr>
                  <w:tcW w:w="1008" w:type="dxa"/>
                  <w:tcBorders>
                    <w:tl2br w:val="nil"/>
                    <w:tr2bl w:val="nil"/>
                  </w:tcBorders>
                  <w:noWrap w:val="0"/>
                  <w:vAlign w:val="center"/>
                </w:tcPr>
                <w:p w14:paraId="708999EB">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b w:val="0"/>
                      <w:bCs w:val="0"/>
                      <w:color w:val="auto"/>
                      <w:szCs w:val="21"/>
                      <w:lang w:val="en-US"/>
                    </w:rPr>
                  </w:pPr>
                  <w:r>
                    <w:rPr>
                      <w:rFonts w:hint="eastAsia" w:cs="Times New Roman"/>
                      <w:b w:val="0"/>
                      <w:bCs w:val="0"/>
                      <w:i w:val="0"/>
                      <w:iCs w:val="0"/>
                      <w:color w:val="auto"/>
                      <w:kern w:val="0"/>
                      <w:sz w:val="21"/>
                      <w:szCs w:val="21"/>
                      <w:highlight w:val="none"/>
                      <w:u w:val="none"/>
                      <w:lang w:val="en-US" w:eastAsia="zh-CN" w:bidi="ar"/>
                    </w:rPr>
                    <w:t>0.208</w:t>
                  </w:r>
                </w:p>
              </w:tc>
              <w:tc>
                <w:tcPr>
                  <w:tcW w:w="463" w:type="pct"/>
                  <w:tcBorders>
                    <w:tl2br w:val="nil"/>
                    <w:tr2bl w:val="nil"/>
                  </w:tcBorders>
                  <w:noWrap w:val="0"/>
                  <w:vAlign w:val="center"/>
                </w:tcPr>
                <w:p w14:paraId="213C388E">
                  <w:pPr>
                    <w:adjustRightInd w:val="0"/>
                    <w:snapToGrid w:val="0"/>
                    <w:jc w:val="center"/>
                    <w:rPr>
                      <w:rFonts w:hint="eastAsia" w:eastAsia="宋体"/>
                      <w:b w:val="0"/>
                      <w:bCs w:val="0"/>
                      <w:color w:val="auto"/>
                      <w:szCs w:val="21"/>
                      <w:lang w:eastAsia="zh-CN"/>
                    </w:rPr>
                  </w:pPr>
                  <w:r>
                    <w:rPr>
                      <w:rFonts w:hint="eastAsia"/>
                      <w:b w:val="0"/>
                      <w:bCs w:val="0"/>
                      <w:color w:val="auto"/>
                      <w:szCs w:val="21"/>
                      <w:lang w:val="en-US" w:eastAsia="zh-CN"/>
                    </w:rPr>
                    <w:t>1</w:t>
                  </w:r>
                </w:p>
              </w:tc>
              <w:tc>
                <w:tcPr>
                  <w:tcW w:w="483" w:type="pct"/>
                  <w:tcBorders>
                    <w:tl2br w:val="nil"/>
                    <w:tr2bl w:val="nil"/>
                  </w:tcBorders>
                  <w:noWrap w:val="0"/>
                  <w:vAlign w:val="center"/>
                </w:tcPr>
                <w:p w14:paraId="3EA80354">
                  <w:pPr>
                    <w:adjustRightInd w:val="0"/>
                    <w:snapToGrid w:val="0"/>
                    <w:jc w:val="center"/>
                    <w:rPr>
                      <w:b w:val="0"/>
                      <w:bCs w:val="0"/>
                      <w:color w:val="auto"/>
                      <w:szCs w:val="21"/>
                    </w:rPr>
                  </w:pPr>
                  <w:r>
                    <w:rPr>
                      <w:b w:val="0"/>
                      <w:bCs w:val="0"/>
                      <w:color w:val="auto"/>
                      <w:szCs w:val="21"/>
                    </w:rPr>
                    <w:t>1</w:t>
                  </w:r>
                </w:p>
              </w:tc>
              <w:tc>
                <w:tcPr>
                  <w:tcW w:w="448" w:type="pct"/>
                  <w:vMerge w:val="restart"/>
                  <w:tcBorders>
                    <w:tl2br w:val="nil"/>
                    <w:tr2bl w:val="nil"/>
                  </w:tcBorders>
                  <w:noWrap w:val="0"/>
                  <w:vAlign w:val="center"/>
                </w:tcPr>
                <w:p w14:paraId="506C61B8">
                  <w:pPr>
                    <w:adjustRightInd w:val="0"/>
                    <w:snapToGrid w:val="0"/>
                    <w:jc w:val="center"/>
                    <w:rPr>
                      <w:rFonts w:hint="default" w:eastAsia="宋体"/>
                      <w:b w:val="0"/>
                      <w:bCs w:val="0"/>
                      <w:color w:val="auto"/>
                      <w:szCs w:val="21"/>
                      <w:lang w:val="en-US" w:eastAsia="zh-CN"/>
                    </w:rPr>
                  </w:pPr>
                  <w:r>
                    <w:rPr>
                      <w:rFonts w:hint="eastAsia"/>
                      <w:b w:val="0"/>
                      <w:bCs w:val="0"/>
                      <w:color w:val="auto"/>
                      <w:szCs w:val="21"/>
                      <w:lang w:val="en-US" w:eastAsia="zh-CN"/>
                    </w:rPr>
                    <w:t>及时更换活性炭</w:t>
                  </w:r>
                </w:p>
              </w:tc>
            </w:tr>
            <w:tr w14:paraId="16C4427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57" w:type="dxa"/>
                  <w:bottom w:w="0" w:type="dxa"/>
                  <w:right w:w="57" w:type="dxa"/>
                </w:tblCellMar>
              </w:tblPrEx>
              <w:trPr>
                <w:trHeight w:val="375" w:hRule="atLeast"/>
              </w:trPr>
              <w:tc>
                <w:tcPr>
                  <w:tcW w:w="297" w:type="pct"/>
                  <w:tcBorders>
                    <w:tl2br w:val="nil"/>
                    <w:tr2bl w:val="nil"/>
                  </w:tcBorders>
                  <w:noWrap w:val="0"/>
                  <w:vAlign w:val="center"/>
                </w:tcPr>
                <w:p w14:paraId="7E9AAFB3">
                  <w:pPr>
                    <w:pStyle w:val="21"/>
                    <w:jc w:val="center"/>
                    <w:rPr>
                      <w:rFonts w:ascii="Times New Roman" w:hAnsi="Times New Roman" w:cs="Times New Roman"/>
                      <w:b w:val="0"/>
                      <w:bCs w:val="0"/>
                      <w:color w:val="auto"/>
                    </w:rPr>
                  </w:pPr>
                  <w:r>
                    <w:rPr>
                      <w:rFonts w:ascii="Times New Roman" w:hAnsi="Times New Roman" w:cs="Times New Roman"/>
                      <w:b w:val="0"/>
                      <w:bCs w:val="0"/>
                      <w:color w:val="auto"/>
                    </w:rPr>
                    <w:t>2</w:t>
                  </w:r>
                </w:p>
              </w:tc>
              <w:tc>
                <w:tcPr>
                  <w:tcW w:w="657" w:type="pct"/>
                  <w:tcBorders>
                    <w:tl2br w:val="nil"/>
                    <w:tr2bl w:val="nil"/>
                  </w:tcBorders>
                  <w:noWrap w:val="0"/>
                  <w:vAlign w:val="center"/>
                </w:tcPr>
                <w:p w14:paraId="3C2111AE">
                  <w:pPr>
                    <w:pStyle w:val="16"/>
                    <w:keepNext w:val="0"/>
                    <w:keepLines w:val="0"/>
                    <w:pageBreakBefore w:val="0"/>
                    <w:kinsoku/>
                    <w:wordWrap/>
                    <w:overflowPunct/>
                    <w:topLinePunct w:val="0"/>
                    <w:autoSpaceDE/>
                    <w:autoSpaceDN/>
                    <w:bidi w:val="0"/>
                    <w:adjustRightInd w:val="0"/>
                    <w:snapToGrid w:val="0"/>
                    <w:ind w:left="0" w:leftChars="0" w:firstLine="0" w:firstLineChars="0"/>
                    <w:jc w:val="center"/>
                    <w:rPr>
                      <w:b w:val="0"/>
                      <w:bCs w:val="0"/>
                      <w:color w:val="auto"/>
                      <w:szCs w:val="21"/>
                    </w:rPr>
                  </w:pPr>
                  <w:r>
                    <w:rPr>
                      <w:rFonts w:hint="eastAsia" w:ascii="Times New Roman" w:hAnsi="Times New Roman" w:eastAsia="宋体" w:cs="Times New Roman"/>
                      <w:bCs/>
                      <w:snapToGrid w:val="0"/>
                      <w:color w:val="auto"/>
                      <w:kern w:val="0"/>
                      <w:sz w:val="21"/>
                      <w:szCs w:val="21"/>
                      <w:lang w:val="en-US" w:eastAsia="zh-CN" w:bidi="ar-SA"/>
                    </w:rPr>
                    <w:t>中空玻璃生产过程涂胶固化工序</w:t>
                  </w:r>
                </w:p>
              </w:tc>
              <w:tc>
                <w:tcPr>
                  <w:tcW w:w="500" w:type="pct"/>
                  <w:tcBorders>
                    <w:tl2br w:val="nil"/>
                    <w:tr2bl w:val="nil"/>
                  </w:tcBorders>
                  <w:noWrap w:val="0"/>
                  <w:vAlign w:val="center"/>
                </w:tcPr>
                <w:p w14:paraId="20CED792">
                  <w:pPr>
                    <w:jc w:val="center"/>
                    <w:rPr>
                      <w:b w:val="0"/>
                      <w:bCs w:val="0"/>
                      <w:color w:val="auto"/>
                      <w:szCs w:val="21"/>
                    </w:rPr>
                  </w:pPr>
                  <w:r>
                    <w:rPr>
                      <w:rFonts w:hint="default" w:ascii="Times New Roman" w:hAnsi="Times New Roman" w:eastAsia="宋体" w:cs="Times New Roman"/>
                      <w:b w:val="0"/>
                      <w:bCs w:val="0"/>
                      <w:snapToGrid w:val="0"/>
                      <w:color w:val="auto"/>
                      <w:kern w:val="0"/>
                      <w:sz w:val="21"/>
                      <w:szCs w:val="21"/>
                      <w:u w:val="none"/>
                      <w:lang w:val="en-US" w:eastAsia="zh-CN"/>
                    </w:rPr>
                    <w:t>非甲烷总烃</w:t>
                  </w:r>
                </w:p>
              </w:tc>
              <w:tc>
                <w:tcPr>
                  <w:tcW w:w="1377" w:type="dxa"/>
                  <w:tcBorders>
                    <w:tl2br w:val="nil"/>
                    <w:tr2bl w:val="nil"/>
                  </w:tcBorders>
                  <w:noWrap w:val="0"/>
                  <w:vAlign w:val="center"/>
                </w:tcPr>
                <w:p w14:paraId="1680C23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eastAsia="宋体"/>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30.3</w:t>
                  </w:r>
                </w:p>
              </w:tc>
              <w:tc>
                <w:tcPr>
                  <w:tcW w:w="1164" w:type="dxa"/>
                  <w:tcBorders>
                    <w:tl2br w:val="nil"/>
                    <w:tr2bl w:val="nil"/>
                  </w:tcBorders>
                  <w:noWrap w:val="0"/>
                  <w:vAlign w:val="center"/>
                </w:tcPr>
                <w:p w14:paraId="28F28BFF">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eastAsia="宋体"/>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1008" w:type="dxa"/>
                  <w:tcBorders>
                    <w:tl2br w:val="nil"/>
                    <w:tr2bl w:val="nil"/>
                  </w:tcBorders>
                  <w:noWrap w:val="0"/>
                  <w:vAlign w:val="center"/>
                </w:tcPr>
                <w:p w14:paraId="30BDA859">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default" w:eastAsia="宋体"/>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463" w:type="pct"/>
                  <w:tcBorders>
                    <w:tl2br w:val="nil"/>
                    <w:tr2bl w:val="nil"/>
                  </w:tcBorders>
                  <w:noWrap w:val="0"/>
                  <w:vAlign w:val="center"/>
                </w:tcPr>
                <w:p w14:paraId="6B868CB8">
                  <w:pPr>
                    <w:adjustRightInd w:val="0"/>
                    <w:snapToGrid w:val="0"/>
                    <w:jc w:val="center"/>
                    <w:rPr>
                      <w:rFonts w:hint="eastAsia" w:eastAsia="宋体"/>
                      <w:b w:val="0"/>
                      <w:bCs w:val="0"/>
                      <w:color w:val="auto"/>
                      <w:szCs w:val="21"/>
                      <w:lang w:eastAsia="zh-CN"/>
                    </w:rPr>
                  </w:pPr>
                  <w:r>
                    <w:rPr>
                      <w:rFonts w:hint="eastAsia"/>
                      <w:b w:val="0"/>
                      <w:bCs w:val="0"/>
                      <w:color w:val="auto"/>
                      <w:szCs w:val="21"/>
                      <w:lang w:val="en-US" w:eastAsia="zh-CN"/>
                    </w:rPr>
                    <w:t>1</w:t>
                  </w:r>
                </w:p>
              </w:tc>
              <w:tc>
                <w:tcPr>
                  <w:tcW w:w="483" w:type="pct"/>
                  <w:tcBorders>
                    <w:tl2br w:val="nil"/>
                    <w:tr2bl w:val="nil"/>
                  </w:tcBorders>
                  <w:noWrap w:val="0"/>
                  <w:vAlign w:val="center"/>
                </w:tcPr>
                <w:p w14:paraId="1A7DD4B7">
                  <w:pPr>
                    <w:adjustRightInd w:val="0"/>
                    <w:snapToGrid w:val="0"/>
                    <w:jc w:val="center"/>
                    <w:rPr>
                      <w:b w:val="0"/>
                      <w:bCs w:val="0"/>
                      <w:color w:val="auto"/>
                      <w:szCs w:val="21"/>
                    </w:rPr>
                  </w:pPr>
                  <w:r>
                    <w:rPr>
                      <w:b w:val="0"/>
                      <w:bCs w:val="0"/>
                      <w:color w:val="auto"/>
                      <w:szCs w:val="21"/>
                    </w:rPr>
                    <w:t>1</w:t>
                  </w:r>
                </w:p>
              </w:tc>
              <w:tc>
                <w:tcPr>
                  <w:tcW w:w="448" w:type="pct"/>
                  <w:vMerge w:val="continue"/>
                  <w:tcBorders>
                    <w:tl2br w:val="nil"/>
                    <w:tr2bl w:val="nil"/>
                  </w:tcBorders>
                  <w:noWrap w:val="0"/>
                  <w:vAlign w:val="center"/>
                </w:tcPr>
                <w:p w14:paraId="1011BC89">
                  <w:pPr>
                    <w:adjustRightInd w:val="0"/>
                    <w:snapToGrid w:val="0"/>
                    <w:jc w:val="center"/>
                    <w:rPr>
                      <w:b w:val="0"/>
                      <w:bCs w:val="0"/>
                      <w:color w:val="auto"/>
                      <w:szCs w:val="21"/>
                    </w:rPr>
                  </w:pPr>
                </w:p>
              </w:tc>
            </w:tr>
            <w:tr w14:paraId="1044A58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57" w:type="dxa"/>
                  <w:bottom w:w="0" w:type="dxa"/>
                  <w:right w:w="57" w:type="dxa"/>
                </w:tblCellMar>
              </w:tblPrEx>
              <w:trPr>
                <w:trHeight w:val="375" w:hRule="atLeast"/>
              </w:trPr>
              <w:tc>
                <w:tcPr>
                  <w:tcW w:w="297" w:type="pct"/>
                  <w:tcBorders>
                    <w:tl2br w:val="nil"/>
                    <w:tr2bl w:val="nil"/>
                  </w:tcBorders>
                  <w:noWrap w:val="0"/>
                  <w:vAlign w:val="center"/>
                </w:tcPr>
                <w:p w14:paraId="27853E4E">
                  <w:pPr>
                    <w:pStyle w:val="21"/>
                    <w:jc w:val="center"/>
                    <w:rPr>
                      <w:rFonts w:hint="eastAsia"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3</w:t>
                  </w:r>
                </w:p>
              </w:tc>
              <w:tc>
                <w:tcPr>
                  <w:tcW w:w="657" w:type="pct"/>
                  <w:tcBorders>
                    <w:tl2br w:val="nil"/>
                    <w:tr2bl w:val="nil"/>
                  </w:tcBorders>
                  <w:noWrap w:val="0"/>
                  <w:vAlign w:val="center"/>
                </w:tcPr>
                <w:p w14:paraId="38461F61">
                  <w:pPr>
                    <w:keepNext w:val="0"/>
                    <w:keepLines w:val="0"/>
                    <w:pageBreakBefore w:val="0"/>
                    <w:kinsoku/>
                    <w:wordWrap/>
                    <w:overflowPunct/>
                    <w:topLinePunct w:val="0"/>
                    <w:autoSpaceDE/>
                    <w:autoSpaceDN/>
                    <w:bidi w:val="0"/>
                    <w:adjustRightInd w:val="0"/>
                    <w:snapToGrid w:val="0"/>
                    <w:jc w:val="center"/>
                    <w:rPr>
                      <w:rFonts w:hint="eastAsia"/>
                      <w:b w:val="0"/>
                      <w:bCs w:val="0"/>
                      <w:color w:val="auto"/>
                      <w:kern w:val="0"/>
                      <w:szCs w:val="21"/>
                      <w:lang w:eastAsia="zh-CN"/>
                    </w:rPr>
                  </w:pPr>
                  <w:r>
                    <w:rPr>
                      <w:rFonts w:hint="eastAsia" w:ascii="Times New Roman" w:hAnsi="Times New Roman" w:eastAsia="宋体" w:cs="Times New Roman"/>
                      <w:bCs/>
                      <w:snapToGrid w:val="0"/>
                      <w:color w:val="auto"/>
                      <w:kern w:val="0"/>
                      <w:sz w:val="21"/>
                      <w:szCs w:val="21"/>
                      <w:lang w:val="en-US" w:eastAsia="zh-CN" w:bidi="ar-SA"/>
                    </w:rPr>
                    <w:t>中空玻璃生产过程涂胶固化工序</w:t>
                  </w:r>
                </w:p>
              </w:tc>
              <w:tc>
                <w:tcPr>
                  <w:tcW w:w="500" w:type="pct"/>
                  <w:tcBorders>
                    <w:tl2br w:val="nil"/>
                    <w:tr2bl w:val="nil"/>
                  </w:tcBorders>
                  <w:noWrap w:val="0"/>
                  <w:vAlign w:val="center"/>
                </w:tcPr>
                <w:p w14:paraId="3E1121E9">
                  <w:pPr>
                    <w:jc w:val="center"/>
                    <w:rPr>
                      <w:b w:val="0"/>
                      <w:bCs w:val="0"/>
                      <w:color w:val="auto"/>
                      <w:szCs w:val="21"/>
                    </w:rPr>
                  </w:pPr>
                  <w:r>
                    <w:rPr>
                      <w:rFonts w:hint="default" w:ascii="Times New Roman" w:hAnsi="Times New Roman" w:eastAsia="宋体" w:cs="Times New Roman"/>
                      <w:b w:val="0"/>
                      <w:bCs w:val="0"/>
                      <w:snapToGrid w:val="0"/>
                      <w:color w:val="auto"/>
                      <w:kern w:val="0"/>
                      <w:sz w:val="21"/>
                      <w:szCs w:val="21"/>
                      <w:u w:val="none"/>
                      <w:lang w:val="en-US" w:eastAsia="zh-CN"/>
                    </w:rPr>
                    <w:t>非甲烷总烃</w:t>
                  </w:r>
                </w:p>
              </w:tc>
              <w:tc>
                <w:tcPr>
                  <w:tcW w:w="1377" w:type="dxa"/>
                  <w:tcBorders>
                    <w:tl2br w:val="nil"/>
                    <w:tr2bl w:val="nil"/>
                  </w:tcBorders>
                  <w:noWrap w:val="0"/>
                  <w:vAlign w:val="center"/>
                </w:tcPr>
                <w:p w14:paraId="6ACC3C0D">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30.3</w:t>
                  </w:r>
                </w:p>
              </w:tc>
              <w:tc>
                <w:tcPr>
                  <w:tcW w:w="1164" w:type="dxa"/>
                  <w:tcBorders>
                    <w:tl2br w:val="nil"/>
                    <w:tr2bl w:val="nil"/>
                  </w:tcBorders>
                  <w:noWrap w:val="0"/>
                  <w:vAlign w:val="center"/>
                </w:tcPr>
                <w:p w14:paraId="08CF3A02">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1008" w:type="dxa"/>
                  <w:tcBorders>
                    <w:tl2br w:val="nil"/>
                    <w:tr2bl w:val="nil"/>
                  </w:tcBorders>
                  <w:noWrap w:val="0"/>
                  <w:vAlign w:val="center"/>
                </w:tcPr>
                <w:p w14:paraId="774A3B63">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463" w:type="pct"/>
                  <w:tcBorders>
                    <w:tl2br w:val="nil"/>
                    <w:tr2bl w:val="nil"/>
                  </w:tcBorders>
                  <w:noWrap w:val="0"/>
                  <w:vAlign w:val="center"/>
                </w:tcPr>
                <w:p w14:paraId="4A274D22">
                  <w:pPr>
                    <w:adjustRightInd w:val="0"/>
                    <w:snapToGrid w:val="0"/>
                    <w:jc w:val="center"/>
                    <w:rPr>
                      <w:rFonts w:hint="eastAsia" w:eastAsia="宋体"/>
                      <w:b w:val="0"/>
                      <w:bCs w:val="0"/>
                      <w:color w:val="auto"/>
                      <w:szCs w:val="21"/>
                      <w:lang w:val="en-US" w:eastAsia="zh-CN"/>
                    </w:rPr>
                  </w:pPr>
                  <w:r>
                    <w:rPr>
                      <w:rFonts w:hint="eastAsia"/>
                      <w:b w:val="0"/>
                      <w:bCs w:val="0"/>
                      <w:color w:val="auto"/>
                      <w:szCs w:val="21"/>
                      <w:lang w:val="en-US" w:eastAsia="zh-CN"/>
                    </w:rPr>
                    <w:t>1</w:t>
                  </w:r>
                </w:p>
              </w:tc>
              <w:tc>
                <w:tcPr>
                  <w:tcW w:w="483" w:type="pct"/>
                  <w:tcBorders>
                    <w:tl2br w:val="nil"/>
                    <w:tr2bl w:val="nil"/>
                  </w:tcBorders>
                  <w:noWrap w:val="0"/>
                  <w:vAlign w:val="center"/>
                </w:tcPr>
                <w:p w14:paraId="42997C18">
                  <w:pPr>
                    <w:adjustRightInd w:val="0"/>
                    <w:snapToGrid w:val="0"/>
                    <w:jc w:val="center"/>
                    <w:rPr>
                      <w:rFonts w:hint="eastAsia" w:eastAsia="宋体"/>
                      <w:b w:val="0"/>
                      <w:bCs w:val="0"/>
                      <w:color w:val="auto"/>
                      <w:szCs w:val="21"/>
                      <w:lang w:val="en-US" w:eastAsia="zh-CN"/>
                    </w:rPr>
                  </w:pPr>
                  <w:r>
                    <w:rPr>
                      <w:rFonts w:hint="eastAsia"/>
                      <w:b w:val="0"/>
                      <w:bCs w:val="0"/>
                      <w:color w:val="auto"/>
                      <w:szCs w:val="21"/>
                      <w:lang w:val="en-US" w:eastAsia="zh-CN"/>
                    </w:rPr>
                    <w:t>1</w:t>
                  </w:r>
                </w:p>
              </w:tc>
              <w:tc>
                <w:tcPr>
                  <w:tcW w:w="448" w:type="pct"/>
                  <w:vMerge w:val="continue"/>
                  <w:tcBorders>
                    <w:tl2br w:val="nil"/>
                    <w:tr2bl w:val="nil"/>
                  </w:tcBorders>
                  <w:noWrap w:val="0"/>
                  <w:vAlign w:val="center"/>
                </w:tcPr>
                <w:p w14:paraId="6EB13B7E">
                  <w:pPr>
                    <w:adjustRightInd w:val="0"/>
                    <w:snapToGrid w:val="0"/>
                    <w:jc w:val="center"/>
                    <w:rPr>
                      <w:b w:val="0"/>
                      <w:bCs w:val="0"/>
                      <w:color w:val="auto"/>
                      <w:szCs w:val="21"/>
                    </w:rPr>
                  </w:pPr>
                </w:p>
              </w:tc>
            </w:tr>
            <w:tr w14:paraId="6DAAA79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57" w:type="dxa"/>
                  <w:bottom w:w="0" w:type="dxa"/>
                  <w:right w:w="57" w:type="dxa"/>
                </w:tblCellMar>
              </w:tblPrEx>
              <w:trPr>
                <w:trHeight w:val="375" w:hRule="atLeast"/>
              </w:trPr>
              <w:tc>
                <w:tcPr>
                  <w:tcW w:w="297" w:type="pct"/>
                  <w:tcBorders>
                    <w:tl2br w:val="nil"/>
                    <w:tr2bl w:val="nil"/>
                  </w:tcBorders>
                  <w:noWrap w:val="0"/>
                  <w:vAlign w:val="center"/>
                </w:tcPr>
                <w:p w14:paraId="5F62ECF1">
                  <w:pPr>
                    <w:pStyle w:val="21"/>
                    <w:jc w:val="center"/>
                    <w:rPr>
                      <w:rFonts w:hint="eastAsia"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4</w:t>
                  </w:r>
                </w:p>
              </w:tc>
              <w:tc>
                <w:tcPr>
                  <w:tcW w:w="657" w:type="pct"/>
                  <w:tcBorders>
                    <w:tl2br w:val="nil"/>
                    <w:tr2bl w:val="nil"/>
                  </w:tcBorders>
                  <w:noWrap w:val="0"/>
                  <w:vAlign w:val="center"/>
                </w:tcPr>
                <w:p w14:paraId="7EA0FA97">
                  <w:pPr>
                    <w:keepNext w:val="0"/>
                    <w:keepLines w:val="0"/>
                    <w:pageBreakBefore w:val="0"/>
                    <w:kinsoku/>
                    <w:wordWrap/>
                    <w:overflowPunct/>
                    <w:topLinePunct w:val="0"/>
                    <w:autoSpaceDE/>
                    <w:autoSpaceDN/>
                    <w:bidi w:val="0"/>
                    <w:adjustRightInd w:val="0"/>
                    <w:snapToGrid w:val="0"/>
                    <w:jc w:val="center"/>
                    <w:rPr>
                      <w:rFonts w:hint="eastAsia"/>
                      <w:b w:val="0"/>
                      <w:bCs w:val="0"/>
                      <w:color w:val="auto"/>
                      <w:kern w:val="0"/>
                      <w:szCs w:val="21"/>
                      <w:lang w:eastAsia="zh-CN"/>
                    </w:rPr>
                  </w:pPr>
                  <w:r>
                    <w:rPr>
                      <w:rFonts w:hint="eastAsia" w:ascii="Times New Roman" w:hAnsi="Times New Roman" w:eastAsia="宋体" w:cs="Times New Roman"/>
                      <w:bCs/>
                      <w:snapToGrid w:val="0"/>
                      <w:color w:val="auto"/>
                      <w:kern w:val="0"/>
                      <w:sz w:val="21"/>
                      <w:szCs w:val="21"/>
                      <w:lang w:val="en-US" w:eastAsia="zh-CN" w:bidi="ar-SA"/>
                    </w:rPr>
                    <w:t>中空玻璃生产过程涂胶固化工序</w:t>
                  </w:r>
                </w:p>
              </w:tc>
              <w:tc>
                <w:tcPr>
                  <w:tcW w:w="500" w:type="pct"/>
                  <w:tcBorders>
                    <w:tl2br w:val="nil"/>
                    <w:tr2bl w:val="nil"/>
                  </w:tcBorders>
                  <w:noWrap w:val="0"/>
                  <w:vAlign w:val="center"/>
                </w:tcPr>
                <w:p w14:paraId="6FF8F114">
                  <w:pPr>
                    <w:jc w:val="center"/>
                    <w:rPr>
                      <w:b w:val="0"/>
                      <w:bCs w:val="0"/>
                      <w:color w:val="auto"/>
                      <w:szCs w:val="21"/>
                    </w:rPr>
                  </w:pPr>
                  <w:r>
                    <w:rPr>
                      <w:rFonts w:hint="default" w:ascii="Times New Roman" w:hAnsi="Times New Roman" w:eastAsia="宋体" w:cs="Times New Roman"/>
                      <w:b w:val="0"/>
                      <w:bCs w:val="0"/>
                      <w:snapToGrid w:val="0"/>
                      <w:color w:val="auto"/>
                      <w:kern w:val="0"/>
                      <w:sz w:val="21"/>
                      <w:szCs w:val="21"/>
                      <w:u w:val="none"/>
                      <w:lang w:val="en-US" w:eastAsia="zh-CN"/>
                    </w:rPr>
                    <w:t>非甲烷总烃</w:t>
                  </w:r>
                </w:p>
              </w:tc>
              <w:tc>
                <w:tcPr>
                  <w:tcW w:w="1377" w:type="dxa"/>
                  <w:tcBorders>
                    <w:tl2br w:val="nil"/>
                    <w:tr2bl w:val="nil"/>
                  </w:tcBorders>
                  <w:noWrap w:val="0"/>
                  <w:vAlign w:val="center"/>
                </w:tcPr>
                <w:p w14:paraId="4CD6DD2B">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30.3</w:t>
                  </w:r>
                </w:p>
              </w:tc>
              <w:tc>
                <w:tcPr>
                  <w:tcW w:w="1164" w:type="dxa"/>
                  <w:tcBorders>
                    <w:tl2br w:val="nil"/>
                    <w:tr2bl w:val="nil"/>
                  </w:tcBorders>
                  <w:noWrap w:val="0"/>
                  <w:vAlign w:val="center"/>
                </w:tcPr>
                <w:p w14:paraId="073262C5">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1008" w:type="dxa"/>
                  <w:tcBorders>
                    <w:tl2br w:val="nil"/>
                    <w:tr2bl w:val="nil"/>
                  </w:tcBorders>
                  <w:noWrap w:val="0"/>
                  <w:vAlign w:val="center"/>
                </w:tcPr>
                <w:p w14:paraId="7E12C020">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463" w:type="pct"/>
                  <w:tcBorders>
                    <w:tl2br w:val="nil"/>
                    <w:tr2bl w:val="nil"/>
                  </w:tcBorders>
                  <w:noWrap w:val="0"/>
                  <w:vAlign w:val="center"/>
                </w:tcPr>
                <w:p w14:paraId="03361DEB">
                  <w:pPr>
                    <w:adjustRightInd w:val="0"/>
                    <w:snapToGrid w:val="0"/>
                    <w:jc w:val="center"/>
                    <w:rPr>
                      <w:rFonts w:hint="eastAsia" w:eastAsia="宋体"/>
                      <w:b w:val="0"/>
                      <w:bCs w:val="0"/>
                      <w:color w:val="auto"/>
                      <w:szCs w:val="21"/>
                      <w:lang w:val="en-US" w:eastAsia="zh-CN"/>
                    </w:rPr>
                  </w:pPr>
                  <w:r>
                    <w:rPr>
                      <w:rFonts w:hint="eastAsia"/>
                      <w:b w:val="0"/>
                      <w:bCs w:val="0"/>
                      <w:color w:val="auto"/>
                      <w:szCs w:val="21"/>
                      <w:lang w:val="en-US" w:eastAsia="zh-CN"/>
                    </w:rPr>
                    <w:t>1</w:t>
                  </w:r>
                </w:p>
              </w:tc>
              <w:tc>
                <w:tcPr>
                  <w:tcW w:w="483" w:type="pct"/>
                  <w:tcBorders>
                    <w:tl2br w:val="nil"/>
                    <w:tr2bl w:val="nil"/>
                  </w:tcBorders>
                  <w:noWrap w:val="0"/>
                  <w:vAlign w:val="center"/>
                </w:tcPr>
                <w:p w14:paraId="265A9F19">
                  <w:pPr>
                    <w:adjustRightInd w:val="0"/>
                    <w:snapToGrid w:val="0"/>
                    <w:jc w:val="center"/>
                    <w:rPr>
                      <w:rFonts w:hint="eastAsia" w:eastAsia="宋体"/>
                      <w:b w:val="0"/>
                      <w:bCs w:val="0"/>
                      <w:color w:val="auto"/>
                      <w:szCs w:val="21"/>
                      <w:lang w:val="en-US" w:eastAsia="zh-CN"/>
                    </w:rPr>
                  </w:pPr>
                  <w:r>
                    <w:rPr>
                      <w:rFonts w:hint="eastAsia"/>
                      <w:b w:val="0"/>
                      <w:bCs w:val="0"/>
                      <w:color w:val="auto"/>
                      <w:szCs w:val="21"/>
                      <w:lang w:val="en-US" w:eastAsia="zh-CN"/>
                    </w:rPr>
                    <w:t>1</w:t>
                  </w:r>
                </w:p>
              </w:tc>
              <w:tc>
                <w:tcPr>
                  <w:tcW w:w="448" w:type="pct"/>
                  <w:vMerge w:val="continue"/>
                  <w:tcBorders>
                    <w:tl2br w:val="nil"/>
                    <w:tr2bl w:val="nil"/>
                  </w:tcBorders>
                  <w:noWrap w:val="0"/>
                  <w:vAlign w:val="center"/>
                </w:tcPr>
                <w:p w14:paraId="4F8B1763">
                  <w:pPr>
                    <w:adjustRightInd w:val="0"/>
                    <w:snapToGrid w:val="0"/>
                    <w:jc w:val="center"/>
                    <w:rPr>
                      <w:b w:val="0"/>
                      <w:bCs w:val="0"/>
                      <w:color w:val="auto"/>
                      <w:szCs w:val="21"/>
                    </w:rPr>
                  </w:pPr>
                </w:p>
              </w:tc>
            </w:tr>
            <w:tr w14:paraId="5A16842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57" w:type="dxa"/>
                  <w:bottom w:w="0" w:type="dxa"/>
                  <w:right w:w="57" w:type="dxa"/>
                </w:tblCellMar>
              </w:tblPrEx>
              <w:trPr>
                <w:trHeight w:val="375" w:hRule="atLeast"/>
              </w:trPr>
              <w:tc>
                <w:tcPr>
                  <w:tcW w:w="297" w:type="pct"/>
                  <w:tcBorders>
                    <w:tl2br w:val="nil"/>
                    <w:tr2bl w:val="nil"/>
                  </w:tcBorders>
                  <w:noWrap w:val="0"/>
                  <w:vAlign w:val="center"/>
                </w:tcPr>
                <w:p w14:paraId="1EA2F6E1">
                  <w:pPr>
                    <w:pStyle w:val="21"/>
                    <w:jc w:val="center"/>
                    <w:rPr>
                      <w:rFonts w:hint="eastAsia" w:ascii="Times New Roman" w:hAnsi="Times New Roman" w:eastAsia="宋体" w:cs="Times New Roman"/>
                      <w:b w:val="0"/>
                      <w:bCs w:val="0"/>
                      <w:color w:val="auto"/>
                      <w:lang w:val="en-US" w:eastAsia="zh-CN"/>
                    </w:rPr>
                  </w:pPr>
                  <w:r>
                    <w:rPr>
                      <w:rFonts w:hint="eastAsia" w:ascii="Times New Roman" w:hAnsi="Times New Roman" w:cs="Times New Roman"/>
                      <w:b w:val="0"/>
                      <w:bCs w:val="0"/>
                      <w:color w:val="auto"/>
                      <w:lang w:val="en-US" w:eastAsia="zh-CN"/>
                    </w:rPr>
                    <w:t>5</w:t>
                  </w:r>
                </w:p>
              </w:tc>
              <w:tc>
                <w:tcPr>
                  <w:tcW w:w="657" w:type="pct"/>
                  <w:tcBorders>
                    <w:tl2br w:val="nil"/>
                    <w:tr2bl w:val="nil"/>
                  </w:tcBorders>
                  <w:noWrap w:val="0"/>
                  <w:vAlign w:val="center"/>
                </w:tcPr>
                <w:p w14:paraId="629E1CAD">
                  <w:pPr>
                    <w:keepNext w:val="0"/>
                    <w:keepLines w:val="0"/>
                    <w:pageBreakBefore w:val="0"/>
                    <w:kinsoku/>
                    <w:wordWrap/>
                    <w:overflowPunct/>
                    <w:topLinePunct w:val="0"/>
                    <w:autoSpaceDE/>
                    <w:autoSpaceDN/>
                    <w:bidi w:val="0"/>
                    <w:adjustRightInd w:val="0"/>
                    <w:snapToGrid w:val="0"/>
                    <w:jc w:val="center"/>
                    <w:rPr>
                      <w:rFonts w:hint="eastAsia"/>
                      <w:b w:val="0"/>
                      <w:bCs w:val="0"/>
                      <w:color w:val="auto"/>
                      <w:kern w:val="0"/>
                      <w:szCs w:val="21"/>
                      <w:lang w:eastAsia="zh-CN"/>
                    </w:rPr>
                  </w:pPr>
                  <w:r>
                    <w:rPr>
                      <w:rFonts w:hint="eastAsia" w:ascii="Times New Roman" w:hAnsi="Times New Roman" w:eastAsia="宋体" w:cs="Times New Roman"/>
                      <w:bCs/>
                      <w:snapToGrid w:val="0"/>
                      <w:color w:val="auto"/>
                      <w:kern w:val="0"/>
                      <w:sz w:val="21"/>
                      <w:szCs w:val="21"/>
                      <w:lang w:val="en-US" w:eastAsia="zh-CN" w:bidi="ar-SA"/>
                    </w:rPr>
                    <w:t>中空玻璃生产过程涂胶固化工序</w:t>
                  </w:r>
                </w:p>
              </w:tc>
              <w:tc>
                <w:tcPr>
                  <w:tcW w:w="500" w:type="pct"/>
                  <w:tcBorders>
                    <w:tl2br w:val="nil"/>
                    <w:tr2bl w:val="nil"/>
                  </w:tcBorders>
                  <w:noWrap w:val="0"/>
                  <w:vAlign w:val="center"/>
                </w:tcPr>
                <w:p w14:paraId="4980A4D5">
                  <w:pPr>
                    <w:jc w:val="center"/>
                    <w:rPr>
                      <w:b w:val="0"/>
                      <w:bCs w:val="0"/>
                      <w:color w:val="auto"/>
                      <w:szCs w:val="21"/>
                    </w:rPr>
                  </w:pPr>
                  <w:r>
                    <w:rPr>
                      <w:rFonts w:hint="default" w:ascii="Times New Roman" w:hAnsi="Times New Roman" w:eastAsia="宋体" w:cs="Times New Roman"/>
                      <w:b w:val="0"/>
                      <w:bCs w:val="0"/>
                      <w:snapToGrid w:val="0"/>
                      <w:color w:val="auto"/>
                      <w:kern w:val="0"/>
                      <w:sz w:val="21"/>
                      <w:szCs w:val="21"/>
                      <w:u w:val="none"/>
                      <w:lang w:val="en-US" w:eastAsia="zh-CN"/>
                    </w:rPr>
                    <w:t>非甲烷总烃</w:t>
                  </w:r>
                </w:p>
              </w:tc>
              <w:tc>
                <w:tcPr>
                  <w:tcW w:w="1377" w:type="dxa"/>
                  <w:tcBorders>
                    <w:tl2br w:val="nil"/>
                    <w:tr2bl w:val="nil"/>
                  </w:tcBorders>
                  <w:noWrap w:val="0"/>
                  <w:vAlign w:val="center"/>
                </w:tcPr>
                <w:p w14:paraId="3FD87521">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30.3</w:t>
                  </w:r>
                </w:p>
              </w:tc>
              <w:tc>
                <w:tcPr>
                  <w:tcW w:w="1164" w:type="dxa"/>
                  <w:tcBorders>
                    <w:tl2br w:val="nil"/>
                    <w:tr2bl w:val="nil"/>
                  </w:tcBorders>
                  <w:noWrap w:val="0"/>
                  <w:vAlign w:val="center"/>
                </w:tcPr>
                <w:p w14:paraId="6FA9F91B">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1008" w:type="dxa"/>
                  <w:tcBorders>
                    <w:tl2br w:val="nil"/>
                    <w:tr2bl w:val="nil"/>
                  </w:tcBorders>
                  <w:noWrap w:val="0"/>
                  <w:vAlign w:val="center"/>
                </w:tcPr>
                <w:p w14:paraId="541276DF">
                  <w:pPr>
                    <w:keepNext w:val="0"/>
                    <w:keepLines w:val="0"/>
                    <w:pageBreakBefore w:val="0"/>
                    <w:widowControl w:val="0"/>
                    <w:kinsoku/>
                    <w:wordWrap/>
                    <w:overflowPunct/>
                    <w:topLinePunct w:val="0"/>
                    <w:autoSpaceDE/>
                    <w:autoSpaceDN/>
                    <w:bidi w:val="0"/>
                    <w:adjustRightInd w:val="0"/>
                    <w:snapToGrid w:val="0"/>
                    <w:spacing w:line="240" w:lineRule="auto"/>
                    <w:ind w:left="-113" w:leftChars="0" w:right="-113" w:rightChars="0"/>
                    <w:jc w:val="center"/>
                    <w:textAlignment w:val="auto"/>
                    <w:rPr>
                      <w:rFonts w:hint="eastAsia"/>
                      <w:b w:val="0"/>
                      <w:bCs w:val="0"/>
                      <w:color w:val="auto"/>
                      <w:szCs w:val="21"/>
                      <w:lang w:val="en-US" w:eastAsia="zh-CN"/>
                    </w:rPr>
                  </w:pPr>
                  <w:r>
                    <w:rPr>
                      <w:rFonts w:hint="eastAsia" w:cs="Times New Roman"/>
                      <w:b w:val="0"/>
                      <w:bCs/>
                      <w:color w:val="auto"/>
                      <w:spacing w:val="-7"/>
                      <w:kern w:val="2"/>
                      <w:sz w:val="21"/>
                      <w:szCs w:val="21"/>
                      <w:u w:val="none"/>
                      <w:vertAlign w:val="baseline"/>
                      <w:lang w:val="en-US" w:eastAsia="zh-CN" w:bidi="ar-SA"/>
                    </w:rPr>
                    <w:t>0.37</w:t>
                  </w:r>
                </w:p>
              </w:tc>
              <w:tc>
                <w:tcPr>
                  <w:tcW w:w="463" w:type="pct"/>
                  <w:tcBorders>
                    <w:tl2br w:val="nil"/>
                    <w:tr2bl w:val="nil"/>
                  </w:tcBorders>
                  <w:noWrap w:val="0"/>
                  <w:vAlign w:val="center"/>
                </w:tcPr>
                <w:p w14:paraId="5561D1E5">
                  <w:pPr>
                    <w:adjustRightInd w:val="0"/>
                    <w:snapToGrid w:val="0"/>
                    <w:jc w:val="center"/>
                    <w:rPr>
                      <w:rFonts w:hint="eastAsia" w:eastAsia="宋体"/>
                      <w:b w:val="0"/>
                      <w:bCs w:val="0"/>
                      <w:color w:val="auto"/>
                      <w:szCs w:val="21"/>
                      <w:lang w:val="en-US" w:eastAsia="zh-CN"/>
                    </w:rPr>
                  </w:pPr>
                  <w:r>
                    <w:rPr>
                      <w:rFonts w:hint="eastAsia"/>
                      <w:b w:val="0"/>
                      <w:bCs w:val="0"/>
                      <w:color w:val="auto"/>
                      <w:szCs w:val="21"/>
                      <w:lang w:val="en-US" w:eastAsia="zh-CN"/>
                    </w:rPr>
                    <w:t>1</w:t>
                  </w:r>
                </w:p>
              </w:tc>
              <w:tc>
                <w:tcPr>
                  <w:tcW w:w="483" w:type="pct"/>
                  <w:tcBorders>
                    <w:tl2br w:val="nil"/>
                    <w:tr2bl w:val="nil"/>
                  </w:tcBorders>
                  <w:noWrap w:val="0"/>
                  <w:vAlign w:val="center"/>
                </w:tcPr>
                <w:p w14:paraId="30EBD4B9">
                  <w:pPr>
                    <w:adjustRightInd w:val="0"/>
                    <w:snapToGrid w:val="0"/>
                    <w:jc w:val="center"/>
                    <w:rPr>
                      <w:rFonts w:hint="eastAsia" w:eastAsia="宋体"/>
                      <w:b w:val="0"/>
                      <w:bCs w:val="0"/>
                      <w:color w:val="auto"/>
                      <w:szCs w:val="21"/>
                      <w:lang w:val="en-US" w:eastAsia="zh-CN"/>
                    </w:rPr>
                  </w:pPr>
                  <w:r>
                    <w:rPr>
                      <w:rFonts w:hint="eastAsia"/>
                      <w:b w:val="0"/>
                      <w:bCs w:val="0"/>
                      <w:color w:val="auto"/>
                      <w:szCs w:val="21"/>
                      <w:lang w:val="en-US" w:eastAsia="zh-CN"/>
                    </w:rPr>
                    <w:t>1</w:t>
                  </w:r>
                </w:p>
              </w:tc>
              <w:tc>
                <w:tcPr>
                  <w:tcW w:w="448" w:type="pct"/>
                  <w:vMerge w:val="continue"/>
                  <w:tcBorders>
                    <w:tl2br w:val="nil"/>
                    <w:tr2bl w:val="nil"/>
                  </w:tcBorders>
                  <w:noWrap w:val="0"/>
                  <w:vAlign w:val="center"/>
                </w:tcPr>
                <w:p w14:paraId="63E13577">
                  <w:pPr>
                    <w:adjustRightInd w:val="0"/>
                    <w:snapToGrid w:val="0"/>
                    <w:jc w:val="center"/>
                    <w:rPr>
                      <w:b w:val="0"/>
                      <w:bCs w:val="0"/>
                      <w:color w:val="auto"/>
                      <w:szCs w:val="21"/>
                    </w:rPr>
                  </w:pPr>
                </w:p>
              </w:tc>
            </w:tr>
          </w:tbl>
          <w:p w14:paraId="534EA7F5">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52" w:firstLineChars="200"/>
              <w:textAlignment w:val="auto"/>
              <w:rPr>
                <w:rFonts w:hint="default" w:ascii="Times New Roman" w:hAnsi="Times New Roman" w:eastAsia="宋体" w:cs="Times New Roman"/>
                <w:bCs/>
                <w:spacing w:val="-7"/>
                <w:kern w:val="2"/>
                <w:sz w:val="24"/>
                <w:szCs w:val="24"/>
                <w:lang w:val="en-US" w:eastAsia="zh-CN" w:bidi="ar-SA"/>
              </w:rPr>
            </w:pPr>
            <w:r>
              <w:rPr>
                <w:rFonts w:hint="eastAsia" w:ascii="Times New Roman" w:hAnsi="Times New Roman" w:eastAsia="宋体" w:cs="Times New Roman"/>
                <w:bCs/>
                <w:spacing w:val="-7"/>
                <w:kern w:val="2"/>
                <w:sz w:val="24"/>
                <w:szCs w:val="24"/>
                <w:lang w:val="en-US" w:eastAsia="zh-CN" w:bidi="ar-SA"/>
              </w:rPr>
              <w:t>由上表可知，非正常工况下，废气</w:t>
            </w:r>
            <w:r>
              <w:rPr>
                <w:rFonts w:hint="eastAsia" w:cs="Times New Roman"/>
                <w:bCs/>
                <w:spacing w:val="-7"/>
                <w:kern w:val="2"/>
                <w:sz w:val="24"/>
                <w:szCs w:val="24"/>
                <w:lang w:val="en-US" w:eastAsia="zh-CN" w:bidi="ar-SA"/>
              </w:rPr>
              <w:t>排放量较正常工况下排放量有所增加</w:t>
            </w:r>
            <w:r>
              <w:rPr>
                <w:rFonts w:hint="eastAsia" w:ascii="Times New Roman" w:hAnsi="Times New Roman" w:eastAsia="宋体" w:cs="Times New Roman"/>
                <w:bCs/>
                <w:spacing w:val="-7"/>
                <w:kern w:val="2"/>
                <w:sz w:val="24"/>
                <w:szCs w:val="24"/>
                <w:lang w:val="en-US" w:eastAsia="zh-CN" w:bidi="ar-SA"/>
              </w:rPr>
              <w:t>。</w:t>
            </w:r>
            <w:r>
              <w:rPr>
                <w:rFonts w:hint="default" w:ascii="Times New Roman" w:hAnsi="Times New Roman" w:eastAsia="宋体" w:cs="Times New Roman"/>
                <w:bCs/>
                <w:spacing w:val="-7"/>
                <w:kern w:val="2"/>
                <w:sz w:val="24"/>
                <w:szCs w:val="24"/>
                <w:lang w:val="en-US" w:eastAsia="zh-CN" w:bidi="ar-SA"/>
              </w:rPr>
              <w:t xml:space="preserve">为杜绝废气非正常排放，应采取以下措施确保废气达标排放： </w:t>
            </w:r>
          </w:p>
          <w:p w14:paraId="084323AF">
            <w:pPr>
              <w:keepNext w:val="0"/>
              <w:keepLines w:val="0"/>
              <w:pageBreakBefore w:val="0"/>
              <w:widowControl w:val="0"/>
              <w:kinsoku/>
              <w:wordWrap/>
              <w:overflowPunct/>
              <w:topLinePunct w:val="0"/>
              <w:autoSpaceDE/>
              <w:autoSpaceDN/>
              <w:bidi w:val="0"/>
              <w:adjustRightInd/>
              <w:snapToGrid/>
              <w:spacing w:line="360" w:lineRule="auto"/>
              <w:ind w:firstLine="452" w:firstLineChars="200"/>
              <w:textAlignment w:val="auto"/>
              <w:rPr>
                <w:rFonts w:hint="default" w:ascii="Times New Roman" w:hAnsi="Times New Roman" w:eastAsia="宋体" w:cs="Times New Roman"/>
                <w:bCs/>
                <w:spacing w:val="-7"/>
                <w:kern w:val="2"/>
                <w:sz w:val="24"/>
                <w:szCs w:val="24"/>
                <w:lang w:val="en-US" w:eastAsia="zh-CN" w:bidi="ar-SA"/>
              </w:rPr>
            </w:pPr>
            <w:r>
              <w:rPr>
                <w:rFonts w:hint="default" w:ascii="Times New Roman" w:hAnsi="Times New Roman" w:eastAsia="宋体" w:cs="Times New Roman"/>
                <w:bCs/>
                <w:spacing w:val="-7"/>
                <w:kern w:val="2"/>
                <w:sz w:val="24"/>
                <w:szCs w:val="24"/>
                <w:lang w:val="en-US" w:eastAsia="zh-CN" w:bidi="ar-SA"/>
              </w:rPr>
              <w:t xml:space="preserve">①安排专人负责环保设备的日常维护和管理，每隔固定时间检测、汇报情况，及时发现废气处理设备的隐患，确保废气处理系统正常运行； </w:t>
            </w:r>
          </w:p>
          <w:p w14:paraId="77AF9FF6">
            <w:pPr>
              <w:keepNext w:val="0"/>
              <w:keepLines w:val="0"/>
              <w:pageBreakBefore w:val="0"/>
              <w:widowControl w:val="0"/>
              <w:kinsoku/>
              <w:wordWrap/>
              <w:overflowPunct/>
              <w:topLinePunct w:val="0"/>
              <w:autoSpaceDE/>
              <w:autoSpaceDN/>
              <w:bidi w:val="0"/>
              <w:adjustRightInd/>
              <w:snapToGrid/>
              <w:spacing w:line="360" w:lineRule="auto"/>
              <w:ind w:firstLine="452" w:firstLineChars="200"/>
              <w:textAlignment w:val="auto"/>
              <w:rPr>
                <w:rFonts w:hint="default" w:ascii="Times New Roman" w:hAnsi="Times New Roman" w:eastAsia="宋体" w:cs="Times New Roman"/>
                <w:bCs/>
                <w:spacing w:val="-7"/>
                <w:kern w:val="2"/>
                <w:sz w:val="24"/>
                <w:szCs w:val="24"/>
                <w:lang w:val="en-US" w:eastAsia="zh-CN" w:bidi="ar-SA"/>
              </w:rPr>
            </w:pPr>
            <w:r>
              <w:rPr>
                <w:rFonts w:hint="default" w:ascii="Times New Roman" w:hAnsi="Times New Roman" w:eastAsia="宋体" w:cs="Times New Roman"/>
                <w:bCs/>
                <w:spacing w:val="-7"/>
                <w:kern w:val="2"/>
                <w:sz w:val="24"/>
                <w:szCs w:val="24"/>
                <w:lang w:val="en-US" w:eastAsia="zh-CN" w:bidi="ar-SA"/>
              </w:rPr>
              <w:t>②建立健全的环保管理机构，对环保管理的技术人员进行岗位培训，委托具有专业资质的环境监测单位对项目排放的各类污染物进行定期检测；</w:t>
            </w:r>
          </w:p>
          <w:p w14:paraId="7627F80D">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2"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default" w:ascii="Times New Roman" w:hAnsi="Times New Roman" w:eastAsia="宋体" w:cs="Times New Roman"/>
                <w:bCs/>
                <w:spacing w:val="-7"/>
                <w:kern w:val="2"/>
                <w:sz w:val="24"/>
                <w:szCs w:val="24"/>
                <w:lang w:val="en-US" w:eastAsia="zh-CN" w:bidi="ar-SA"/>
              </w:rPr>
              <w:t>③定期维护、检修废气净化装置，以保持废气处理装置的净化能力和净化容量，定</w:t>
            </w:r>
            <w:r>
              <w:rPr>
                <w:rFonts w:hint="default" w:ascii="Times New Roman" w:hAnsi="Times New Roman" w:eastAsia="宋体" w:cs="Times New Roman"/>
                <w:bCs/>
                <w:color w:val="auto"/>
                <w:spacing w:val="-7"/>
                <w:kern w:val="2"/>
                <w:sz w:val="24"/>
                <w:szCs w:val="24"/>
                <w:lang w:val="en-US" w:eastAsia="zh-CN" w:bidi="ar-SA"/>
              </w:rPr>
              <w:t>期对</w:t>
            </w:r>
            <w:r>
              <w:rPr>
                <w:rFonts w:hint="eastAsia" w:ascii="Times New Roman" w:hAnsi="Times New Roman" w:eastAsia="宋体" w:cs="Times New Roman"/>
                <w:bCs/>
                <w:color w:val="auto"/>
                <w:spacing w:val="-7"/>
                <w:kern w:val="2"/>
                <w:sz w:val="24"/>
                <w:szCs w:val="24"/>
                <w:lang w:val="en-US" w:eastAsia="zh-CN" w:bidi="ar-SA"/>
              </w:rPr>
              <w:t>活性炭</w:t>
            </w:r>
            <w:r>
              <w:rPr>
                <w:rFonts w:hint="default" w:ascii="Times New Roman" w:hAnsi="Times New Roman" w:eastAsia="宋体" w:cs="Times New Roman"/>
                <w:bCs/>
                <w:color w:val="auto"/>
                <w:spacing w:val="-7"/>
                <w:kern w:val="2"/>
                <w:sz w:val="24"/>
                <w:szCs w:val="24"/>
                <w:lang w:val="en-US" w:eastAsia="zh-CN" w:bidi="ar-SA"/>
              </w:rPr>
              <w:t>进行</w:t>
            </w:r>
            <w:r>
              <w:rPr>
                <w:rFonts w:hint="default" w:ascii="Times New Roman" w:hAnsi="Times New Roman" w:eastAsia="宋体" w:cs="Times New Roman"/>
                <w:bCs/>
                <w:spacing w:val="-7"/>
                <w:kern w:val="2"/>
                <w:sz w:val="24"/>
                <w:szCs w:val="24"/>
                <w:lang w:val="en-US" w:eastAsia="zh-CN" w:bidi="ar-SA"/>
              </w:rPr>
              <w:t>更换</w:t>
            </w:r>
            <w:r>
              <w:rPr>
                <w:rFonts w:hint="eastAsia" w:ascii="Times New Roman" w:hAnsi="Times New Roman" w:eastAsia="宋体" w:cs="Times New Roman"/>
                <w:bCs/>
                <w:spacing w:val="-7"/>
                <w:kern w:val="2"/>
                <w:sz w:val="24"/>
                <w:szCs w:val="24"/>
                <w:lang w:val="en-US" w:eastAsia="zh-CN" w:bidi="ar-SA"/>
              </w:rPr>
              <w:t>。</w:t>
            </w:r>
          </w:p>
          <w:p w14:paraId="060FD46C">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（6）大气环境影响分析</w:t>
            </w:r>
          </w:p>
          <w:p w14:paraId="4089C1D2">
            <w:pPr>
              <w:snapToGrid w:val="0"/>
              <w:spacing w:line="360" w:lineRule="auto"/>
              <w:ind w:firstLine="480" w:firstLineChars="200"/>
              <w:rPr>
                <w:rFonts w:hint="default" w:ascii="Times New Roman" w:hAnsi="Times New Roman" w:eastAsia="宋体" w:cs="Times New Roman"/>
                <w:b w:val="0"/>
                <w:bCs w:val="0"/>
                <w:color w:val="auto"/>
                <w:sz w:val="24"/>
                <w:szCs w:val="24"/>
                <w:highlight w:val="none"/>
                <w:u w:val="none"/>
                <w:lang w:val="en-US" w:eastAsia="zh-CN"/>
              </w:rPr>
            </w:pPr>
            <w:r>
              <w:rPr>
                <w:rFonts w:hint="default" w:ascii="Times New Roman" w:hAnsi="Times New Roman" w:eastAsia="宋体" w:cs="Times New Roman"/>
                <w:b w:val="0"/>
                <w:bCs w:val="0"/>
                <w:snapToGrid w:val="0"/>
                <w:color w:val="auto"/>
                <w:kern w:val="0"/>
                <w:sz w:val="24"/>
                <w:szCs w:val="24"/>
                <w:highlight w:val="none"/>
                <w:u w:val="none"/>
              </w:rPr>
              <w:t>根据大气质量调查结果，项目区为不达标区，超标因子包含PM</w:t>
            </w:r>
            <w:r>
              <w:rPr>
                <w:rFonts w:hint="default" w:ascii="Times New Roman" w:hAnsi="Times New Roman" w:eastAsia="宋体" w:cs="Times New Roman"/>
                <w:b w:val="0"/>
                <w:bCs w:val="0"/>
                <w:snapToGrid w:val="0"/>
                <w:color w:val="auto"/>
                <w:kern w:val="0"/>
                <w:sz w:val="24"/>
                <w:szCs w:val="24"/>
                <w:highlight w:val="none"/>
                <w:u w:val="none"/>
                <w:vertAlign w:val="subscript"/>
              </w:rPr>
              <w:t>10</w:t>
            </w:r>
            <w:r>
              <w:rPr>
                <w:rFonts w:hint="default" w:ascii="Times New Roman" w:hAnsi="Times New Roman" w:eastAsia="宋体" w:cs="Times New Roman"/>
                <w:b w:val="0"/>
                <w:bCs w:val="0"/>
                <w:snapToGrid w:val="0"/>
                <w:color w:val="auto"/>
                <w:kern w:val="0"/>
                <w:sz w:val="24"/>
                <w:szCs w:val="24"/>
                <w:highlight w:val="none"/>
                <w:u w:val="none"/>
              </w:rPr>
              <w:t>、PM</w:t>
            </w:r>
            <w:r>
              <w:rPr>
                <w:rFonts w:hint="default" w:ascii="Times New Roman" w:hAnsi="Times New Roman" w:eastAsia="宋体" w:cs="Times New Roman"/>
                <w:b w:val="0"/>
                <w:bCs w:val="0"/>
                <w:snapToGrid w:val="0"/>
                <w:color w:val="auto"/>
                <w:kern w:val="0"/>
                <w:sz w:val="24"/>
                <w:szCs w:val="24"/>
                <w:highlight w:val="none"/>
                <w:u w:val="none"/>
                <w:vertAlign w:val="subscript"/>
              </w:rPr>
              <w:t>2.5</w:t>
            </w:r>
            <w:r>
              <w:rPr>
                <w:rFonts w:hint="default" w:ascii="Times New Roman" w:hAnsi="Times New Roman" w:eastAsia="宋体" w:cs="Times New Roman"/>
                <w:b w:val="0"/>
                <w:bCs w:val="0"/>
                <w:snapToGrid w:val="0"/>
                <w:color w:val="auto"/>
                <w:kern w:val="0"/>
                <w:sz w:val="24"/>
                <w:szCs w:val="24"/>
                <w:highlight w:val="none"/>
                <w:u w:val="none"/>
              </w:rPr>
              <w:t>、O</w:t>
            </w:r>
            <w:r>
              <w:rPr>
                <w:rFonts w:hint="default" w:ascii="Times New Roman" w:hAnsi="Times New Roman" w:eastAsia="宋体" w:cs="Times New Roman"/>
                <w:b w:val="0"/>
                <w:bCs w:val="0"/>
                <w:snapToGrid w:val="0"/>
                <w:color w:val="auto"/>
                <w:kern w:val="0"/>
                <w:sz w:val="24"/>
                <w:szCs w:val="24"/>
                <w:highlight w:val="none"/>
                <w:u w:val="none"/>
                <w:vertAlign w:val="subscript"/>
              </w:rPr>
              <w:t>3</w:t>
            </w:r>
            <w:r>
              <w:rPr>
                <w:rFonts w:hint="default" w:ascii="Times New Roman" w:hAnsi="Times New Roman" w:eastAsia="宋体" w:cs="Times New Roman"/>
                <w:b w:val="0"/>
                <w:bCs w:val="0"/>
                <w:snapToGrid w:val="0"/>
                <w:color w:val="auto"/>
                <w:kern w:val="0"/>
                <w:sz w:val="24"/>
                <w:szCs w:val="24"/>
                <w:highlight w:val="none"/>
                <w:u w:val="none"/>
              </w:rPr>
              <w:t>。随着</w:t>
            </w:r>
            <w:r>
              <w:rPr>
                <w:rFonts w:hint="default" w:ascii="Times New Roman" w:hAnsi="Times New Roman" w:eastAsia="宋体" w:cs="Times New Roman"/>
                <w:b w:val="0"/>
                <w:bCs w:val="0"/>
                <w:snapToGrid w:val="0"/>
                <w:color w:val="auto"/>
                <w:kern w:val="0"/>
                <w:sz w:val="24"/>
                <w:szCs w:val="24"/>
                <w:highlight w:val="none"/>
                <w:u w:val="none"/>
                <w:lang w:eastAsia="zh-CN"/>
              </w:rPr>
              <w:t>周口市</w:t>
            </w:r>
            <w:r>
              <w:rPr>
                <w:rFonts w:hint="eastAsia" w:cs="Times New Roman"/>
                <w:b w:val="0"/>
                <w:bCs w:val="0"/>
                <w:snapToGrid w:val="0"/>
                <w:color w:val="auto"/>
                <w:kern w:val="0"/>
                <w:sz w:val="24"/>
                <w:szCs w:val="24"/>
                <w:highlight w:val="none"/>
                <w:u w:val="none"/>
                <w:lang w:val="en-US" w:eastAsia="zh-CN"/>
              </w:rPr>
              <w:t>蓝天保卫战实施方案</w:t>
            </w:r>
            <w:r>
              <w:rPr>
                <w:rFonts w:hint="default" w:ascii="Times New Roman" w:hAnsi="Times New Roman" w:eastAsia="宋体" w:cs="Times New Roman"/>
                <w:b w:val="0"/>
                <w:bCs w:val="0"/>
                <w:snapToGrid w:val="0"/>
                <w:color w:val="auto"/>
                <w:kern w:val="0"/>
                <w:sz w:val="24"/>
                <w:szCs w:val="24"/>
                <w:highlight w:val="none"/>
                <w:u w:val="none"/>
              </w:rPr>
              <w:t>的实施，通过采取减污降碳协同增效行动、工业污染治理减排行动、移动源污染排放控制行动、面源污染综合防治攻坚行动、重污染天气联合应对行动、科技支撑能力建设提升行动以上措施，项目所在地环境空气质量将有所改善</w:t>
            </w:r>
            <w:r>
              <w:rPr>
                <w:rFonts w:hint="default" w:ascii="Times New Roman" w:hAnsi="Times New Roman" w:eastAsia="宋体" w:cs="Times New Roman"/>
                <w:b w:val="0"/>
                <w:bCs w:val="0"/>
                <w:snapToGrid w:val="0"/>
                <w:color w:val="auto"/>
                <w:kern w:val="0"/>
                <w:sz w:val="24"/>
                <w:szCs w:val="24"/>
                <w:highlight w:val="none"/>
                <w:u w:val="none"/>
                <w:lang w:eastAsia="zh-CN"/>
              </w:rPr>
              <w:t>。</w:t>
            </w:r>
            <w:r>
              <w:rPr>
                <w:rFonts w:hint="default" w:ascii="Times New Roman" w:hAnsi="Times New Roman" w:eastAsia="宋体" w:cs="Times New Roman"/>
                <w:b w:val="0"/>
                <w:bCs w:val="0"/>
                <w:color w:val="auto"/>
                <w:sz w:val="24"/>
                <w:szCs w:val="24"/>
                <w:highlight w:val="none"/>
                <w:u w:val="none"/>
                <w:lang w:val="en-US" w:eastAsia="zh-CN"/>
              </w:rPr>
              <w:t>本项目废气经采取本次评价提出的各项措施处理装置处理后均能达标排放。</w:t>
            </w:r>
          </w:p>
          <w:p w14:paraId="3CD23E72">
            <w:pPr>
              <w:pStyle w:val="121"/>
              <w:ind w:firstLine="562"/>
              <w:rPr>
                <w:rFonts w:hint="eastAsia" w:ascii="Times New Roman" w:hAnsi="Times New Roman" w:eastAsia="宋体" w:cs="Times New Roman"/>
                <w:b w:val="0"/>
                <w:bCs w:val="0"/>
                <w:color w:val="auto"/>
                <w:sz w:val="24"/>
                <w:szCs w:val="24"/>
                <w:highlight w:val="none"/>
                <w:u w:val="none"/>
                <w:lang w:val="en-US" w:eastAsia="zh-CN"/>
              </w:rPr>
            </w:pPr>
            <w:r>
              <w:rPr>
                <w:rFonts w:hint="default" w:ascii="Times New Roman" w:hAnsi="Times New Roman" w:eastAsia="宋体" w:cs="Times New Roman"/>
                <w:b w:val="0"/>
                <w:bCs w:val="0"/>
                <w:color w:val="auto"/>
                <w:sz w:val="24"/>
                <w:szCs w:val="24"/>
                <w:highlight w:val="none"/>
                <w:u w:val="none"/>
                <w:lang w:val="en-US" w:eastAsia="zh-CN"/>
              </w:rPr>
              <w:t>综上</w:t>
            </w:r>
            <w:r>
              <w:rPr>
                <w:rFonts w:hint="eastAsia" w:ascii="Times New Roman" w:hAnsi="Times New Roman" w:eastAsia="宋体" w:cs="Times New Roman"/>
                <w:b w:val="0"/>
                <w:bCs w:val="0"/>
                <w:color w:val="auto"/>
                <w:sz w:val="24"/>
                <w:szCs w:val="24"/>
                <w:highlight w:val="none"/>
                <w:u w:val="none"/>
                <w:lang w:val="en-US" w:eastAsia="zh-CN"/>
              </w:rPr>
              <w:t>分析</w:t>
            </w:r>
            <w:r>
              <w:rPr>
                <w:rFonts w:hint="default" w:ascii="Times New Roman" w:hAnsi="Times New Roman" w:eastAsia="宋体" w:cs="Times New Roman"/>
                <w:b w:val="0"/>
                <w:bCs w:val="0"/>
                <w:color w:val="auto"/>
                <w:sz w:val="24"/>
                <w:szCs w:val="24"/>
                <w:highlight w:val="none"/>
                <w:u w:val="none"/>
                <w:lang w:val="en-US" w:eastAsia="zh-CN"/>
              </w:rPr>
              <w:t>，评价认为项目废气排放对环境的影响可接受</w:t>
            </w:r>
            <w:r>
              <w:rPr>
                <w:rFonts w:hint="eastAsia" w:ascii="Times New Roman" w:hAnsi="Times New Roman" w:eastAsia="宋体" w:cs="Times New Roman"/>
                <w:b w:val="0"/>
                <w:bCs w:val="0"/>
                <w:color w:val="auto"/>
                <w:sz w:val="24"/>
                <w:szCs w:val="24"/>
                <w:highlight w:val="none"/>
                <w:u w:val="none"/>
                <w:lang w:val="en-US" w:eastAsia="zh-CN"/>
              </w:rPr>
              <w:t>。</w:t>
            </w:r>
          </w:p>
          <w:p w14:paraId="15563432">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（7）本项目废气监测计划</w:t>
            </w:r>
          </w:p>
          <w:p w14:paraId="6BCB891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 w:val="0"/>
                <w:bCs/>
                <w:snapToGrid w:val="0"/>
                <w:color w:val="auto"/>
                <w:kern w:val="0"/>
                <w:sz w:val="24"/>
                <w:szCs w:val="24"/>
                <w:u w:val="none"/>
                <w:lang w:val="en-US" w:eastAsia="zh-CN" w:bidi="ar-SA"/>
              </w:rPr>
            </w:pPr>
            <w:r>
              <w:rPr>
                <w:rFonts w:hint="eastAsia"/>
                <w:b w:val="0"/>
                <w:bCs w:val="0"/>
                <w:sz w:val="24"/>
                <w:szCs w:val="24"/>
                <w:u w:val="none"/>
                <w:lang w:bidi="ar"/>
              </w:rPr>
              <w:t>根据</w:t>
            </w:r>
            <w:r>
              <w:rPr>
                <w:rFonts w:hint="eastAsia"/>
                <w:b w:val="0"/>
                <w:bCs w:val="0"/>
                <w:sz w:val="24"/>
                <w:szCs w:val="24"/>
                <w:u w:val="none"/>
                <w:lang w:eastAsia="zh-CN" w:bidi="ar"/>
              </w:rPr>
              <w:t>《排污单位自行监测技术指南 印刷工业》（HJ 1246—2022）</w:t>
            </w:r>
            <w:r>
              <w:rPr>
                <w:rFonts w:hint="eastAsia"/>
                <w:b w:val="0"/>
                <w:bCs w:val="0"/>
                <w:sz w:val="24"/>
                <w:szCs w:val="24"/>
                <w:u w:val="none"/>
                <w:lang w:val="en-US" w:eastAsia="zh-CN" w:bidi="ar"/>
              </w:rPr>
              <w:t>和</w:t>
            </w:r>
            <w:r>
              <w:rPr>
                <w:rFonts w:hint="eastAsia"/>
                <w:b w:val="0"/>
                <w:bCs w:val="0"/>
                <w:sz w:val="24"/>
                <w:szCs w:val="24"/>
                <w:u w:val="none"/>
                <w:lang w:bidi="ar"/>
              </w:rPr>
              <w:t>《排污单位自行监测技术指南 总则》</w:t>
            </w:r>
            <w:r>
              <w:rPr>
                <w:rFonts w:hint="eastAsia"/>
                <w:b w:val="0"/>
                <w:bCs w:val="0"/>
                <w:sz w:val="24"/>
                <w:szCs w:val="24"/>
                <w:u w:val="none"/>
                <w:lang w:eastAsia="zh-CN" w:bidi="ar"/>
              </w:rPr>
              <w:t>（</w:t>
            </w:r>
            <w:r>
              <w:rPr>
                <w:rFonts w:hint="eastAsia"/>
                <w:b w:val="0"/>
                <w:bCs w:val="0"/>
                <w:color w:val="000000"/>
                <w:sz w:val="24"/>
                <w:szCs w:val="24"/>
                <w:u w:val="none"/>
                <w:lang w:bidi="ar"/>
              </w:rPr>
              <w:t>HJ 819-2017</w:t>
            </w:r>
            <w:r>
              <w:rPr>
                <w:rFonts w:hint="eastAsia"/>
                <w:b w:val="0"/>
                <w:bCs w:val="0"/>
                <w:color w:val="000000"/>
                <w:sz w:val="24"/>
                <w:szCs w:val="24"/>
                <w:u w:val="none"/>
                <w:lang w:eastAsia="zh-CN" w:bidi="ar"/>
              </w:rPr>
              <w:t>）、《挥发性有机物无</w:t>
            </w:r>
            <w:r>
              <w:rPr>
                <w:rFonts w:hint="eastAsia"/>
                <w:b w:val="0"/>
                <w:bCs w:val="0"/>
                <w:color w:val="000000"/>
                <w:sz w:val="24"/>
                <w:szCs w:val="24"/>
                <w:u w:val="none"/>
                <w:lang w:val="en-US" w:eastAsia="zh-CN" w:bidi="ar"/>
              </w:rPr>
              <w:t>组</w:t>
            </w:r>
            <w:r>
              <w:rPr>
                <w:rFonts w:hint="eastAsia"/>
                <w:b w:val="0"/>
                <w:bCs w:val="0"/>
                <w:color w:val="000000"/>
                <w:sz w:val="24"/>
                <w:szCs w:val="24"/>
                <w:u w:val="none"/>
                <w:lang w:eastAsia="zh-CN" w:bidi="ar"/>
              </w:rPr>
              <w:t>织</w:t>
            </w:r>
            <w:r>
              <w:rPr>
                <w:rFonts w:hint="eastAsia"/>
                <w:b w:val="0"/>
                <w:bCs w:val="0"/>
                <w:color w:val="000000"/>
                <w:sz w:val="24"/>
                <w:szCs w:val="24"/>
                <w:u w:val="none"/>
                <w:lang w:val="en-US" w:eastAsia="zh-CN" w:bidi="ar"/>
              </w:rPr>
              <w:t>排放</w:t>
            </w:r>
            <w:r>
              <w:rPr>
                <w:rFonts w:hint="eastAsia"/>
                <w:b w:val="0"/>
                <w:bCs w:val="0"/>
                <w:color w:val="000000"/>
                <w:sz w:val="24"/>
                <w:szCs w:val="24"/>
                <w:u w:val="none"/>
                <w:lang w:eastAsia="zh-CN" w:bidi="ar"/>
              </w:rPr>
              <w:t>控制标准》（GB37822-2019）</w:t>
            </w:r>
            <w:r>
              <w:rPr>
                <w:rFonts w:hint="eastAsia" w:ascii="Times New Roman" w:hAnsi="Times New Roman" w:eastAsia="宋体" w:cs="Times New Roman"/>
                <w:b w:val="0"/>
                <w:bCs w:val="0"/>
                <w:color w:val="000000"/>
                <w:sz w:val="24"/>
                <w:szCs w:val="24"/>
                <w:u w:val="none"/>
                <w:lang w:val="en-US" w:eastAsia="zh-CN" w:bidi="ar"/>
              </w:rPr>
              <w:t>等</w:t>
            </w:r>
            <w:r>
              <w:rPr>
                <w:rFonts w:hint="eastAsia" w:ascii="Times New Roman" w:hAnsi="Times New Roman" w:eastAsia="宋体" w:cs="Times New Roman"/>
                <w:b w:val="0"/>
                <w:bCs w:val="0"/>
                <w:color w:val="000000"/>
                <w:sz w:val="24"/>
                <w:szCs w:val="24"/>
                <w:u w:val="none"/>
                <w:lang w:eastAsia="zh-CN" w:bidi="ar"/>
              </w:rPr>
              <w:t>相关要求，</w:t>
            </w:r>
            <w:r>
              <w:rPr>
                <w:rFonts w:hint="eastAsia" w:ascii="Times New Roman" w:hAnsi="Times New Roman" w:eastAsia="宋体" w:cs="Times New Roman"/>
                <w:b w:val="0"/>
                <w:bCs/>
                <w:snapToGrid w:val="0"/>
                <w:color w:val="auto"/>
                <w:kern w:val="0"/>
                <w:sz w:val="24"/>
                <w:szCs w:val="24"/>
                <w:u w:val="none"/>
                <w:lang w:val="en-US" w:eastAsia="zh-CN" w:bidi="ar-SA"/>
              </w:rPr>
              <w:t>本项目废气监测计划见下表。</w:t>
            </w:r>
          </w:p>
          <w:p w14:paraId="562926D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val="0"/>
                <w:snapToGrid w:val="0"/>
                <w:color w:val="auto"/>
                <w:kern w:val="0"/>
                <w:sz w:val="24"/>
                <w:szCs w:val="24"/>
                <w:u w:val="single"/>
                <w:lang w:val="en-US" w:eastAsia="zh-CN" w:bidi="ar-SA"/>
              </w:rPr>
            </w:pPr>
            <w:r>
              <w:rPr>
                <w:rFonts w:hint="default" w:ascii="Times New Roman" w:hAnsi="Times New Roman" w:eastAsia="宋体" w:cs="Times New Roman"/>
                <w:b/>
                <w:bCs w:val="0"/>
                <w:snapToGrid w:val="0"/>
                <w:color w:val="auto"/>
                <w:kern w:val="0"/>
                <w:sz w:val="24"/>
                <w:szCs w:val="24"/>
                <w:u w:val="single"/>
                <w:lang w:val="en-US" w:eastAsia="zh-CN" w:bidi="ar-SA"/>
              </w:rPr>
              <w:t>表4-</w:t>
            </w:r>
            <w:r>
              <w:rPr>
                <w:rFonts w:hint="eastAsia" w:ascii="Times New Roman" w:hAnsi="Times New Roman" w:eastAsia="宋体" w:cs="Times New Roman"/>
                <w:b/>
                <w:bCs w:val="0"/>
                <w:snapToGrid w:val="0"/>
                <w:color w:val="auto"/>
                <w:kern w:val="0"/>
                <w:sz w:val="24"/>
                <w:szCs w:val="24"/>
                <w:u w:val="single"/>
                <w:lang w:val="en-US" w:eastAsia="zh-CN" w:bidi="ar-SA"/>
              </w:rPr>
              <w:t xml:space="preserve">6   </w:t>
            </w:r>
            <w:r>
              <w:rPr>
                <w:rFonts w:hint="eastAsia" w:cs="Times New Roman"/>
                <w:b/>
                <w:bCs w:val="0"/>
                <w:snapToGrid w:val="0"/>
                <w:color w:val="auto"/>
                <w:kern w:val="0"/>
                <w:sz w:val="24"/>
                <w:szCs w:val="24"/>
                <w:u w:val="single"/>
                <w:lang w:val="en-US" w:eastAsia="zh-CN" w:bidi="ar-SA"/>
              </w:rPr>
              <w:t xml:space="preserve">  </w:t>
            </w:r>
            <w:r>
              <w:rPr>
                <w:rFonts w:hint="eastAsia" w:ascii="Times New Roman" w:hAnsi="Times New Roman" w:eastAsia="宋体" w:cs="Times New Roman"/>
                <w:b/>
                <w:bCs w:val="0"/>
                <w:snapToGrid w:val="0"/>
                <w:color w:val="auto"/>
                <w:kern w:val="0"/>
                <w:sz w:val="24"/>
                <w:szCs w:val="24"/>
                <w:u w:val="single"/>
                <w:lang w:val="en-US" w:eastAsia="zh-CN" w:bidi="ar-SA"/>
              </w:rPr>
              <w:t xml:space="preserve">  </w:t>
            </w:r>
            <w:r>
              <w:rPr>
                <w:rFonts w:hint="default" w:ascii="Times New Roman" w:hAnsi="Times New Roman" w:eastAsia="宋体" w:cs="Times New Roman"/>
                <w:b/>
                <w:bCs w:val="0"/>
                <w:snapToGrid w:val="0"/>
                <w:color w:val="auto"/>
                <w:kern w:val="0"/>
                <w:sz w:val="24"/>
                <w:szCs w:val="24"/>
                <w:u w:val="single"/>
                <w:lang w:val="en-US" w:eastAsia="zh-CN" w:bidi="ar-SA"/>
              </w:rPr>
              <w:t>废气自行监测计划一览表</w:t>
            </w:r>
          </w:p>
          <w:tbl>
            <w:tblPr>
              <w:tblStyle w:val="3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815"/>
              <w:gridCol w:w="1109"/>
              <w:gridCol w:w="956"/>
              <w:gridCol w:w="1205"/>
              <w:gridCol w:w="4459"/>
            </w:tblGrid>
            <w:tr w14:paraId="558566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cantSplit/>
                <w:trHeight w:val="397" w:hRule="exact"/>
                <w:jc w:val="center"/>
              </w:trPr>
              <w:tc>
                <w:tcPr>
                  <w:tcW w:w="477" w:type="pct"/>
                  <w:tcBorders>
                    <w:tl2br w:val="nil"/>
                    <w:tr2bl w:val="nil"/>
                  </w:tcBorders>
                  <w:noWrap w:val="0"/>
                  <w:vAlign w:val="center"/>
                </w:tcPr>
                <w:p w14:paraId="04043CF8">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项目</w:t>
                  </w:r>
                </w:p>
              </w:tc>
              <w:tc>
                <w:tcPr>
                  <w:tcW w:w="649" w:type="pct"/>
                  <w:tcBorders>
                    <w:tl2br w:val="nil"/>
                    <w:tr2bl w:val="nil"/>
                  </w:tcBorders>
                  <w:noWrap w:val="0"/>
                  <w:vAlign w:val="center"/>
                </w:tcPr>
                <w:p w14:paraId="75B2F18E">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监测点位</w:t>
                  </w:r>
                </w:p>
              </w:tc>
              <w:tc>
                <w:tcPr>
                  <w:tcW w:w="559" w:type="pct"/>
                  <w:tcBorders>
                    <w:tl2br w:val="nil"/>
                    <w:tr2bl w:val="nil"/>
                  </w:tcBorders>
                  <w:noWrap w:val="0"/>
                  <w:vAlign w:val="center"/>
                </w:tcPr>
                <w:p w14:paraId="25B88079">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监测因子</w:t>
                  </w:r>
                </w:p>
              </w:tc>
              <w:tc>
                <w:tcPr>
                  <w:tcW w:w="705" w:type="pct"/>
                  <w:tcBorders>
                    <w:tl2br w:val="nil"/>
                    <w:tr2bl w:val="nil"/>
                  </w:tcBorders>
                  <w:noWrap w:val="0"/>
                  <w:vAlign w:val="center"/>
                </w:tcPr>
                <w:p w14:paraId="37BF6DBA">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监测频次</w:t>
                  </w:r>
                </w:p>
              </w:tc>
              <w:tc>
                <w:tcPr>
                  <w:tcW w:w="2608" w:type="pct"/>
                  <w:tcBorders>
                    <w:tl2br w:val="nil"/>
                    <w:tr2bl w:val="nil"/>
                  </w:tcBorders>
                  <w:noWrap w:val="0"/>
                  <w:vAlign w:val="center"/>
                </w:tcPr>
                <w:p w14:paraId="2CF49F80">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排放标准</w:t>
                  </w:r>
                </w:p>
              </w:tc>
            </w:tr>
            <w:tr w14:paraId="7DA4C1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cantSplit/>
                <w:trHeight w:val="2655" w:hRule="exact"/>
                <w:jc w:val="center"/>
              </w:trPr>
              <w:tc>
                <w:tcPr>
                  <w:tcW w:w="477" w:type="pct"/>
                  <w:vMerge w:val="restart"/>
                  <w:tcBorders>
                    <w:tl2br w:val="nil"/>
                    <w:tr2bl w:val="nil"/>
                  </w:tcBorders>
                  <w:noWrap w:val="0"/>
                  <w:vAlign w:val="center"/>
                </w:tcPr>
                <w:p w14:paraId="71167867">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有组织</w:t>
                  </w:r>
                </w:p>
              </w:tc>
              <w:tc>
                <w:tcPr>
                  <w:tcW w:w="649" w:type="pct"/>
                  <w:tcBorders>
                    <w:tl2br w:val="nil"/>
                    <w:tr2bl w:val="nil"/>
                  </w:tcBorders>
                  <w:noWrap w:val="0"/>
                  <w:vAlign w:val="center"/>
                </w:tcPr>
                <w:p w14:paraId="2C30FB53">
                  <w:pPr>
                    <w:adjustRightInd w:val="0"/>
                    <w:snapToGrid w:val="0"/>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DA001</w:t>
                  </w:r>
                </w:p>
              </w:tc>
              <w:tc>
                <w:tcPr>
                  <w:tcW w:w="559" w:type="pct"/>
                  <w:tcBorders>
                    <w:tl2br w:val="nil"/>
                    <w:tr2bl w:val="nil"/>
                  </w:tcBorders>
                  <w:noWrap w:val="0"/>
                  <w:vAlign w:val="center"/>
                </w:tcPr>
                <w:p w14:paraId="73CF0271">
                  <w:pPr>
                    <w:pStyle w:val="113"/>
                    <w:adjustRightInd w:val="0"/>
                    <w:snapToGrid w:val="0"/>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snapToGrid w:val="0"/>
                      <w:color w:val="auto"/>
                      <w:kern w:val="0"/>
                      <w:sz w:val="21"/>
                      <w:szCs w:val="21"/>
                      <w:u w:val="none"/>
                      <w:lang w:val="en-US" w:eastAsia="zh-CN"/>
                    </w:rPr>
                    <w:t>非甲烷总烃</w:t>
                  </w:r>
                </w:p>
              </w:tc>
              <w:tc>
                <w:tcPr>
                  <w:tcW w:w="705" w:type="pct"/>
                  <w:tcBorders>
                    <w:tl2br w:val="nil"/>
                    <w:tr2bl w:val="nil"/>
                  </w:tcBorders>
                  <w:noWrap w:val="0"/>
                  <w:vAlign w:val="center"/>
                </w:tcPr>
                <w:p w14:paraId="11534687">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1次/</w:t>
                  </w:r>
                  <w:r>
                    <w:rPr>
                      <w:rFonts w:hint="eastAsia" w:cs="Times New Roman"/>
                      <w:b/>
                      <w:bCs w:val="0"/>
                      <w:color w:val="auto"/>
                      <w:sz w:val="21"/>
                      <w:szCs w:val="21"/>
                      <w:u w:val="none"/>
                      <w:lang w:val="en-US" w:eastAsia="zh-CN"/>
                    </w:rPr>
                    <w:t>半</w:t>
                  </w:r>
                  <w:r>
                    <w:rPr>
                      <w:rFonts w:hint="default" w:ascii="Times New Roman" w:hAnsi="Times New Roman" w:eastAsia="宋体" w:cs="Times New Roman"/>
                      <w:b/>
                      <w:bCs w:val="0"/>
                      <w:color w:val="auto"/>
                      <w:sz w:val="21"/>
                      <w:szCs w:val="21"/>
                      <w:u w:val="none"/>
                    </w:rPr>
                    <w:t>年</w:t>
                  </w:r>
                </w:p>
              </w:tc>
              <w:tc>
                <w:tcPr>
                  <w:tcW w:w="2608" w:type="pct"/>
                  <w:tcBorders>
                    <w:tl2br w:val="nil"/>
                    <w:tr2bl w:val="nil"/>
                  </w:tcBorders>
                  <w:noWrap w:val="0"/>
                  <w:vAlign w:val="center"/>
                </w:tcPr>
                <w:p w14:paraId="121291B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val="0"/>
                      <w:color w:val="FF0000"/>
                      <w:sz w:val="21"/>
                      <w:szCs w:val="21"/>
                      <w:u w:val="none"/>
                    </w:rPr>
                  </w:pPr>
                  <w:r>
                    <w:rPr>
                      <w:rFonts w:hint="eastAsia" w:cs="Times New Roman"/>
                      <w:b/>
                      <w:bCs w:val="0"/>
                      <w:color w:val="auto"/>
                      <w:kern w:val="2"/>
                      <w:sz w:val="21"/>
                      <w:szCs w:val="21"/>
                      <w:u w:val="none" w:color="auto"/>
                      <w:lang w:val="en-US" w:eastAsia="zh-CN" w:bidi="ar-SA"/>
                    </w:rPr>
                    <w:t>《</w:t>
                  </w:r>
                  <w:r>
                    <w:rPr>
                      <w:rFonts w:hint="default" w:ascii="Times New Roman" w:hAnsi="Times New Roman" w:eastAsia="宋体" w:cs="Times New Roman"/>
                      <w:b/>
                      <w:bCs w:val="0"/>
                      <w:color w:val="auto"/>
                      <w:kern w:val="2"/>
                      <w:sz w:val="21"/>
                      <w:szCs w:val="21"/>
                      <w:u w:val="none" w:color="auto"/>
                      <w:lang w:val="en-US" w:eastAsia="zh-CN" w:bidi="ar-SA"/>
                    </w:rPr>
                    <w:t>玻璃工业大气污染物排放标准》（GB 26453—2022）表1标准、《印刷工业挥发性有机物排放标准》（DB41/1956-2020）表1标准、《关于全省开展工业企业挥发性有机物专项治理工作中排放建议值的通知》（豫环攻坚办﹝2017﹞162号）印刷行业标准及《重污染天气重点行业应急减排措施制定技术指南》玻璃行业中玻璃后加工企业引领性指标及包装印刷行业A级企业指标</w:t>
                  </w:r>
                </w:p>
              </w:tc>
            </w:tr>
            <w:tr w14:paraId="0E1179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cantSplit/>
                <w:trHeight w:val="2259" w:hRule="exact"/>
                <w:jc w:val="center"/>
              </w:trPr>
              <w:tc>
                <w:tcPr>
                  <w:tcW w:w="477" w:type="pct"/>
                  <w:vMerge w:val="continue"/>
                  <w:tcBorders>
                    <w:tl2br w:val="nil"/>
                    <w:tr2bl w:val="nil"/>
                  </w:tcBorders>
                  <w:noWrap w:val="0"/>
                  <w:vAlign w:val="center"/>
                </w:tcPr>
                <w:p w14:paraId="7CBDEFB3">
                  <w:pPr>
                    <w:jc w:val="center"/>
                    <w:rPr>
                      <w:rFonts w:hint="default" w:ascii="Times New Roman" w:hAnsi="Times New Roman" w:eastAsia="宋体" w:cs="Times New Roman"/>
                      <w:b/>
                      <w:bCs w:val="0"/>
                      <w:color w:val="auto"/>
                      <w:sz w:val="21"/>
                      <w:szCs w:val="21"/>
                      <w:u w:val="none"/>
                    </w:rPr>
                  </w:pPr>
                </w:p>
              </w:tc>
              <w:tc>
                <w:tcPr>
                  <w:tcW w:w="649" w:type="pct"/>
                  <w:tcBorders>
                    <w:tl2br w:val="nil"/>
                    <w:tr2bl w:val="nil"/>
                  </w:tcBorders>
                  <w:noWrap w:val="0"/>
                  <w:vAlign w:val="center"/>
                </w:tcPr>
                <w:p w14:paraId="223C02AF">
                  <w:pPr>
                    <w:adjustRightInd w:val="0"/>
                    <w:snapToGrid w:val="0"/>
                    <w:jc w:val="center"/>
                    <w:rPr>
                      <w:rFonts w:hint="default" w:ascii="Times New Roman" w:hAnsi="Times New Roman" w:eastAsia="宋体" w:cs="Times New Roman"/>
                      <w:b/>
                      <w:bCs w:val="0"/>
                      <w:color w:val="auto"/>
                      <w:sz w:val="21"/>
                      <w:szCs w:val="21"/>
                      <w:u w:val="none"/>
                      <w:lang w:val="en-US" w:eastAsia="zh-CN"/>
                    </w:rPr>
                  </w:pPr>
                  <w:r>
                    <w:rPr>
                      <w:rFonts w:hint="default" w:ascii="Times New Roman" w:hAnsi="Times New Roman" w:eastAsia="宋体" w:cs="Times New Roman"/>
                      <w:b/>
                      <w:bCs w:val="0"/>
                      <w:color w:val="auto"/>
                      <w:sz w:val="21"/>
                      <w:szCs w:val="21"/>
                      <w:u w:val="none"/>
                    </w:rPr>
                    <w:t>DA002</w:t>
                  </w:r>
                  <w:r>
                    <w:rPr>
                      <w:rFonts w:hint="eastAsia" w:ascii="Times New Roman" w:hAnsi="Times New Roman" w:eastAsia="宋体" w:cs="Times New Roman"/>
                      <w:b/>
                      <w:bCs w:val="0"/>
                      <w:color w:val="auto"/>
                      <w:sz w:val="21"/>
                      <w:szCs w:val="21"/>
                      <w:u w:val="none"/>
                      <w:lang w:eastAsia="zh-CN"/>
                    </w:rPr>
                    <w:t>、</w:t>
                  </w:r>
                  <w:r>
                    <w:rPr>
                      <w:rFonts w:hint="eastAsia" w:ascii="Times New Roman" w:hAnsi="Times New Roman" w:eastAsia="宋体" w:cs="Times New Roman"/>
                      <w:b/>
                      <w:bCs w:val="0"/>
                      <w:color w:val="auto"/>
                      <w:sz w:val="21"/>
                      <w:szCs w:val="21"/>
                      <w:u w:val="none"/>
                      <w:lang w:val="en-US" w:eastAsia="zh-CN"/>
                    </w:rPr>
                    <w:t>DA003、DA004、DA005</w:t>
                  </w:r>
                </w:p>
              </w:tc>
              <w:tc>
                <w:tcPr>
                  <w:tcW w:w="559" w:type="pct"/>
                  <w:tcBorders>
                    <w:tl2br w:val="nil"/>
                    <w:tr2bl w:val="nil"/>
                  </w:tcBorders>
                  <w:noWrap w:val="0"/>
                  <w:vAlign w:val="center"/>
                </w:tcPr>
                <w:p w14:paraId="3DA62243">
                  <w:pPr>
                    <w:adjustRightInd w:val="0"/>
                    <w:snapToGrid w:val="0"/>
                    <w:jc w:val="center"/>
                    <w:rPr>
                      <w:rFonts w:hint="default" w:ascii="Times New Roman" w:hAnsi="Times New Roman" w:eastAsia="宋体" w:cs="Times New Roman"/>
                      <w:b/>
                      <w:bCs w:val="0"/>
                      <w:color w:val="auto"/>
                      <w:sz w:val="21"/>
                      <w:szCs w:val="21"/>
                      <w:u w:val="none"/>
                      <w:lang w:val="en-US"/>
                    </w:rPr>
                  </w:pPr>
                  <w:r>
                    <w:rPr>
                      <w:rFonts w:hint="default" w:ascii="Times New Roman" w:hAnsi="Times New Roman" w:eastAsia="宋体" w:cs="Times New Roman"/>
                      <w:b/>
                      <w:bCs w:val="0"/>
                      <w:snapToGrid w:val="0"/>
                      <w:color w:val="auto"/>
                      <w:kern w:val="0"/>
                      <w:sz w:val="21"/>
                      <w:szCs w:val="21"/>
                      <w:u w:val="none"/>
                      <w:lang w:val="en-US" w:eastAsia="zh-CN"/>
                    </w:rPr>
                    <w:t>非甲烷总烃</w:t>
                  </w:r>
                  <w:r>
                    <w:rPr>
                      <w:rFonts w:hint="eastAsia" w:cs="Times New Roman"/>
                      <w:b/>
                      <w:bCs w:val="0"/>
                      <w:snapToGrid w:val="0"/>
                      <w:color w:val="auto"/>
                      <w:kern w:val="0"/>
                      <w:sz w:val="21"/>
                      <w:szCs w:val="21"/>
                      <w:u w:val="none"/>
                      <w:lang w:val="en-US" w:eastAsia="zh-CN"/>
                    </w:rPr>
                    <w:t>、颗粒物</w:t>
                  </w:r>
                </w:p>
              </w:tc>
              <w:tc>
                <w:tcPr>
                  <w:tcW w:w="705" w:type="pct"/>
                  <w:tcBorders>
                    <w:tl2br w:val="nil"/>
                    <w:tr2bl w:val="nil"/>
                  </w:tcBorders>
                  <w:noWrap w:val="0"/>
                  <w:vAlign w:val="center"/>
                </w:tcPr>
                <w:p w14:paraId="114C982D">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1次/年</w:t>
                  </w:r>
                </w:p>
              </w:tc>
              <w:tc>
                <w:tcPr>
                  <w:tcW w:w="2608" w:type="pct"/>
                  <w:tcBorders>
                    <w:tl2br w:val="nil"/>
                    <w:tr2bl w:val="nil"/>
                  </w:tcBorders>
                  <w:noWrap w:val="0"/>
                  <w:vAlign w:val="center"/>
                </w:tcPr>
                <w:p w14:paraId="1B6DD764">
                  <w:pPr>
                    <w:jc w:val="center"/>
                    <w:rPr>
                      <w:rFonts w:hint="default" w:ascii="Times New Roman" w:hAnsi="Times New Roman" w:eastAsia="宋体" w:cs="Times New Roman"/>
                      <w:b/>
                      <w:bCs w:val="0"/>
                      <w:color w:val="FF0000"/>
                      <w:sz w:val="21"/>
                      <w:szCs w:val="21"/>
                      <w:u w:val="none"/>
                    </w:rPr>
                  </w:pPr>
                  <w:r>
                    <w:rPr>
                      <w:rFonts w:hint="default" w:ascii="Times New Roman" w:hAnsi="Times New Roman" w:eastAsia="宋体" w:cs="Times New Roman"/>
                      <w:b/>
                      <w:bCs w:val="0"/>
                      <w:snapToGrid w:val="0"/>
                      <w:color w:val="auto"/>
                      <w:kern w:val="0"/>
                      <w:sz w:val="21"/>
                      <w:szCs w:val="21"/>
                      <w:highlight w:val="none"/>
                      <w:u w:val="none" w:color="auto"/>
                      <w:lang w:val="en-US" w:eastAsia="zh-CN"/>
                    </w:rPr>
                    <w:t>《玻璃工业大气污染物排放标准》（GB 26453—2022）表1标准</w:t>
                  </w:r>
                  <w:r>
                    <w:rPr>
                      <w:rFonts w:hint="eastAsia" w:cs="Times New Roman"/>
                      <w:b/>
                      <w:bCs w:val="0"/>
                      <w:snapToGrid w:val="0"/>
                      <w:color w:val="auto"/>
                      <w:kern w:val="0"/>
                      <w:sz w:val="21"/>
                      <w:szCs w:val="21"/>
                      <w:highlight w:val="none"/>
                      <w:u w:val="none" w:color="auto"/>
                      <w:lang w:val="en-US" w:eastAsia="zh-CN"/>
                    </w:rPr>
                    <w:t>、</w:t>
                  </w:r>
                  <w:r>
                    <w:rPr>
                      <w:rFonts w:hint="default" w:ascii="Times New Roman" w:hAnsi="Times New Roman" w:eastAsia="宋体" w:cs="Times New Roman"/>
                      <w:b/>
                      <w:bCs w:val="0"/>
                      <w:color w:val="auto"/>
                      <w:kern w:val="2"/>
                      <w:sz w:val="21"/>
                      <w:szCs w:val="21"/>
                      <w:u w:val="none" w:color="auto"/>
                      <w:lang w:val="en-US" w:eastAsia="zh-CN" w:bidi="ar-SA"/>
                    </w:rPr>
                    <w:t>《关于全省开展工业企业挥发性有机物专项治理工作中排放建议值的通知》（豫环攻坚办﹝2017﹞162号）</w:t>
                  </w:r>
                  <w:r>
                    <w:rPr>
                      <w:rFonts w:hint="eastAsia" w:ascii="Times New Roman" w:hAnsi="Times New Roman" w:eastAsia="宋体" w:cs="Times New Roman"/>
                      <w:b/>
                      <w:bCs w:val="0"/>
                      <w:color w:val="auto"/>
                      <w:kern w:val="2"/>
                      <w:sz w:val="21"/>
                      <w:szCs w:val="21"/>
                      <w:u w:val="none" w:color="auto"/>
                      <w:lang w:val="en-US" w:eastAsia="zh-CN" w:bidi="ar-SA"/>
                    </w:rPr>
                    <w:t>其他行业</w:t>
                  </w:r>
                  <w:r>
                    <w:rPr>
                      <w:rFonts w:hint="default" w:ascii="Times New Roman" w:hAnsi="Times New Roman" w:eastAsia="宋体" w:cs="Times New Roman"/>
                      <w:b/>
                      <w:bCs w:val="0"/>
                      <w:color w:val="auto"/>
                      <w:kern w:val="2"/>
                      <w:sz w:val="21"/>
                      <w:szCs w:val="21"/>
                      <w:u w:val="none" w:color="auto"/>
                      <w:lang w:val="en-US" w:eastAsia="zh-CN" w:bidi="ar-SA"/>
                    </w:rPr>
                    <w:t>标准</w:t>
                  </w:r>
                  <w:r>
                    <w:rPr>
                      <w:rFonts w:hint="eastAsia" w:ascii="Times New Roman" w:hAnsi="Times New Roman" w:eastAsia="宋体" w:cs="Times New Roman"/>
                      <w:b/>
                      <w:bCs w:val="0"/>
                      <w:snapToGrid w:val="0"/>
                      <w:color w:val="auto"/>
                      <w:kern w:val="0"/>
                      <w:sz w:val="21"/>
                      <w:szCs w:val="21"/>
                      <w:highlight w:val="none"/>
                      <w:u w:val="none" w:color="auto"/>
                      <w:lang w:val="en-US" w:eastAsia="zh-CN"/>
                    </w:rPr>
                    <w:t>及</w:t>
                  </w:r>
                  <w:r>
                    <w:rPr>
                      <w:rFonts w:hint="eastAsia"/>
                      <w:b/>
                      <w:bCs w:val="0"/>
                      <w:sz w:val="21"/>
                      <w:szCs w:val="21"/>
                      <w:vertAlign w:val="baseline"/>
                      <w:lang w:val="en-US" w:eastAsia="zh-CN"/>
                    </w:rPr>
                    <w:t>《重污染天气重点行业应急减排措施制定技术指南》玻璃行业中玻璃后加工企业引领性指标</w:t>
                  </w:r>
                </w:p>
              </w:tc>
            </w:tr>
            <w:tr w14:paraId="2301ED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cantSplit/>
                <w:trHeight w:val="1166" w:hRule="exact"/>
                <w:jc w:val="center"/>
              </w:trPr>
              <w:tc>
                <w:tcPr>
                  <w:tcW w:w="477" w:type="pct"/>
                  <w:vMerge w:val="restart"/>
                  <w:tcBorders>
                    <w:tl2br w:val="nil"/>
                    <w:tr2bl w:val="nil"/>
                  </w:tcBorders>
                  <w:noWrap w:val="0"/>
                  <w:vAlign w:val="center"/>
                </w:tcPr>
                <w:p w14:paraId="44A0C522">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无组织</w:t>
                  </w:r>
                </w:p>
              </w:tc>
              <w:tc>
                <w:tcPr>
                  <w:tcW w:w="649" w:type="pct"/>
                  <w:tcBorders>
                    <w:tl2br w:val="nil"/>
                    <w:tr2bl w:val="nil"/>
                  </w:tcBorders>
                  <w:noWrap w:val="0"/>
                  <w:vAlign w:val="center"/>
                </w:tcPr>
                <w:p w14:paraId="7C5D5989">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厂界</w:t>
                  </w:r>
                </w:p>
              </w:tc>
              <w:tc>
                <w:tcPr>
                  <w:tcW w:w="559" w:type="pct"/>
                  <w:tcBorders>
                    <w:tl2br w:val="nil"/>
                    <w:tr2bl w:val="nil"/>
                  </w:tcBorders>
                  <w:noWrap w:val="0"/>
                  <w:vAlign w:val="center"/>
                </w:tcPr>
                <w:p w14:paraId="6746E700">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snapToGrid w:val="0"/>
                      <w:color w:val="auto"/>
                      <w:kern w:val="0"/>
                      <w:sz w:val="21"/>
                      <w:szCs w:val="21"/>
                      <w:u w:val="none"/>
                      <w:lang w:val="en-US" w:eastAsia="zh-CN"/>
                    </w:rPr>
                    <w:t>非甲烷总烃</w:t>
                  </w:r>
                </w:p>
              </w:tc>
              <w:tc>
                <w:tcPr>
                  <w:tcW w:w="705" w:type="pct"/>
                  <w:tcBorders>
                    <w:tl2br w:val="nil"/>
                    <w:tr2bl w:val="nil"/>
                  </w:tcBorders>
                  <w:noWrap w:val="0"/>
                  <w:vAlign w:val="center"/>
                </w:tcPr>
                <w:p w14:paraId="5FBADB77">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1次/年</w:t>
                  </w:r>
                </w:p>
              </w:tc>
              <w:tc>
                <w:tcPr>
                  <w:tcW w:w="2608" w:type="pct"/>
                  <w:vMerge w:val="restart"/>
                  <w:tcBorders>
                    <w:tl2br w:val="nil"/>
                    <w:tr2bl w:val="nil"/>
                  </w:tcBorders>
                  <w:noWrap w:val="0"/>
                  <w:vAlign w:val="center"/>
                </w:tcPr>
                <w:p w14:paraId="6FB0F9E2">
                  <w:pPr>
                    <w:jc w:val="center"/>
                    <w:rPr>
                      <w:rFonts w:hint="default" w:ascii="Times New Roman" w:hAnsi="Times New Roman" w:eastAsia="宋体" w:cs="Times New Roman"/>
                      <w:b/>
                      <w:bCs w:val="0"/>
                      <w:color w:val="FF0000"/>
                      <w:sz w:val="21"/>
                      <w:szCs w:val="21"/>
                      <w:u w:val="none"/>
                    </w:rPr>
                  </w:pPr>
                  <w:r>
                    <w:rPr>
                      <w:rFonts w:hint="default"/>
                      <w:b/>
                      <w:bCs w:val="0"/>
                      <w:kern w:val="2"/>
                      <w:sz w:val="21"/>
                      <w:lang w:val="en-US" w:eastAsia="zh-CN" w:bidi="ar-SA"/>
                    </w:rPr>
                    <w:t>《印刷工业挥发性有机物排放标准》（DB41/1956-2020）</w:t>
                  </w:r>
                  <w:r>
                    <w:rPr>
                      <w:rFonts w:hint="eastAsia"/>
                      <w:b/>
                      <w:bCs w:val="0"/>
                      <w:kern w:val="2"/>
                      <w:sz w:val="21"/>
                      <w:lang w:val="en-US" w:eastAsia="zh-CN" w:bidi="ar-SA"/>
                    </w:rPr>
                    <w:t>表1</w:t>
                  </w:r>
                  <w:r>
                    <w:rPr>
                      <w:rFonts w:hint="eastAsia" w:ascii="Times New Roman" w:hAnsi="Times New Roman" w:cs="Times New Roman"/>
                      <w:b/>
                      <w:bCs w:val="0"/>
                      <w:sz w:val="21"/>
                      <w:szCs w:val="21"/>
                      <w:u w:val="none"/>
                      <w:lang w:val="en-US" w:eastAsia="zh-CN"/>
                    </w:rPr>
                    <w:t>标准</w:t>
                  </w:r>
                  <w:r>
                    <w:rPr>
                      <w:rFonts w:hint="eastAsia" w:cs="Times New Roman"/>
                      <w:b/>
                      <w:bCs w:val="0"/>
                      <w:sz w:val="21"/>
                      <w:szCs w:val="21"/>
                      <w:u w:val="none"/>
                      <w:lang w:val="en-US" w:eastAsia="zh-CN"/>
                    </w:rPr>
                    <w:t>、《关于全省开展工业企业挥发性有机物专项治理工作中排放建议值的通知》（豫环攻坚办﹝2017﹞162号）限值要求</w:t>
                  </w:r>
                  <w:r>
                    <w:rPr>
                      <w:rFonts w:hint="eastAsia" w:ascii="Times New Roman" w:hAnsi="Times New Roman" w:cs="Times New Roman"/>
                      <w:b/>
                      <w:bCs w:val="0"/>
                      <w:sz w:val="21"/>
                      <w:szCs w:val="21"/>
                      <w:u w:val="none"/>
                      <w:lang w:val="en-US" w:eastAsia="zh-CN"/>
                    </w:rPr>
                    <w:t>及</w:t>
                  </w:r>
                  <w:r>
                    <w:rPr>
                      <w:rFonts w:hint="eastAsia"/>
                      <w:b/>
                      <w:bCs w:val="0"/>
                      <w:sz w:val="21"/>
                      <w:szCs w:val="21"/>
                      <w:lang w:eastAsia="zh-CN"/>
                    </w:rPr>
                    <w:t>《挥发性有机物无</w:t>
                  </w:r>
                  <w:r>
                    <w:rPr>
                      <w:rFonts w:hint="eastAsia"/>
                      <w:b/>
                      <w:bCs w:val="0"/>
                      <w:sz w:val="21"/>
                      <w:szCs w:val="21"/>
                      <w:lang w:val="en-US" w:eastAsia="zh-CN"/>
                    </w:rPr>
                    <w:t>组</w:t>
                  </w:r>
                  <w:r>
                    <w:rPr>
                      <w:rFonts w:hint="eastAsia"/>
                      <w:b/>
                      <w:bCs w:val="0"/>
                      <w:sz w:val="21"/>
                      <w:szCs w:val="21"/>
                      <w:lang w:eastAsia="zh-CN"/>
                    </w:rPr>
                    <w:t>织</w:t>
                  </w:r>
                  <w:r>
                    <w:rPr>
                      <w:rFonts w:hint="eastAsia"/>
                      <w:b/>
                      <w:bCs w:val="0"/>
                      <w:sz w:val="21"/>
                      <w:szCs w:val="21"/>
                      <w:lang w:val="en-US" w:eastAsia="zh-CN"/>
                    </w:rPr>
                    <w:t>排放</w:t>
                  </w:r>
                  <w:r>
                    <w:rPr>
                      <w:rFonts w:hint="eastAsia"/>
                      <w:b/>
                      <w:bCs w:val="0"/>
                      <w:sz w:val="21"/>
                      <w:szCs w:val="21"/>
                      <w:lang w:eastAsia="zh-CN"/>
                    </w:rPr>
                    <w:t>控制标准》（GB37822-2019）</w:t>
                  </w:r>
                </w:p>
              </w:tc>
            </w:tr>
            <w:tr w14:paraId="0F5AB3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cantSplit/>
                <w:trHeight w:val="1166" w:hRule="exact"/>
                <w:jc w:val="center"/>
              </w:trPr>
              <w:tc>
                <w:tcPr>
                  <w:tcW w:w="477" w:type="pct"/>
                  <w:vMerge w:val="continue"/>
                  <w:tcBorders>
                    <w:tl2br w:val="nil"/>
                    <w:tr2bl w:val="nil"/>
                  </w:tcBorders>
                  <w:noWrap w:val="0"/>
                  <w:vAlign w:val="center"/>
                </w:tcPr>
                <w:p w14:paraId="21D72C15">
                  <w:pPr>
                    <w:jc w:val="center"/>
                    <w:rPr>
                      <w:rFonts w:hint="default" w:ascii="Times New Roman" w:hAnsi="Times New Roman" w:eastAsia="宋体" w:cs="Times New Roman"/>
                      <w:b/>
                      <w:bCs w:val="0"/>
                      <w:color w:val="auto"/>
                      <w:sz w:val="21"/>
                      <w:szCs w:val="21"/>
                      <w:u w:val="none"/>
                    </w:rPr>
                  </w:pPr>
                </w:p>
              </w:tc>
              <w:tc>
                <w:tcPr>
                  <w:tcW w:w="649" w:type="pct"/>
                  <w:tcBorders>
                    <w:tl2br w:val="nil"/>
                    <w:tr2bl w:val="nil"/>
                  </w:tcBorders>
                  <w:noWrap w:val="0"/>
                  <w:vAlign w:val="center"/>
                </w:tcPr>
                <w:p w14:paraId="32FA187D">
                  <w:pPr>
                    <w:jc w:val="center"/>
                    <w:rPr>
                      <w:rFonts w:hint="default" w:ascii="Times New Roman" w:hAnsi="Times New Roman" w:eastAsia="宋体" w:cs="Times New Roman"/>
                      <w:b/>
                      <w:bCs w:val="0"/>
                      <w:color w:val="auto"/>
                      <w:sz w:val="21"/>
                      <w:szCs w:val="21"/>
                      <w:u w:val="none"/>
                      <w:lang w:val="en-US" w:eastAsia="zh-CN"/>
                    </w:rPr>
                  </w:pPr>
                  <w:r>
                    <w:rPr>
                      <w:rFonts w:hint="eastAsia" w:cs="Times New Roman"/>
                      <w:b/>
                      <w:bCs w:val="0"/>
                      <w:color w:val="auto"/>
                      <w:sz w:val="21"/>
                      <w:szCs w:val="21"/>
                      <w:u w:val="none"/>
                      <w:lang w:val="en-US" w:eastAsia="zh-CN"/>
                    </w:rPr>
                    <w:t>车间外</w:t>
                  </w:r>
                </w:p>
              </w:tc>
              <w:tc>
                <w:tcPr>
                  <w:tcW w:w="559" w:type="pct"/>
                  <w:tcBorders>
                    <w:tl2br w:val="nil"/>
                    <w:tr2bl w:val="nil"/>
                  </w:tcBorders>
                  <w:noWrap w:val="0"/>
                  <w:vAlign w:val="center"/>
                </w:tcPr>
                <w:p w14:paraId="48ECCF48">
                  <w:pPr>
                    <w:jc w:val="center"/>
                    <w:rPr>
                      <w:rFonts w:hint="default" w:ascii="Times New Roman" w:hAnsi="Times New Roman" w:eastAsia="宋体" w:cs="Times New Roman"/>
                      <w:b/>
                      <w:bCs w:val="0"/>
                      <w:snapToGrid w:val="0"/>
                      <w:color w:val="auto"/>
                      <w:kern w:val="0"/>
                      <w:sz w:val="21"/>
                      <w:szCs w:val="21"/>
                      <w:u w:val="none"/>
                      <w:lang w:val="en-US" w:eastAsia="zh-CN"/>
                    </w:rPr>
                  </w:pPr>
                  <w:r>
                    <w:rPr>
                      <w:rFonts w:hint="default" w:ascii="Times New Roman" w:hAnsi="Times New Roman" w:eastAsia="宋体" w:cs="Times New Roman"/>
                      <w:b/>
                      <w:bCs w:val="0"/>
                      <w:snapToGrid w:val="0"/>
                      <w:color w:val="auto"/>
                      <w:kern w:val="0"/>
                      <w:sz w:val="21"/>
                      <w:szCs w:val="21"/>
                      <w:u w:val="none"/>
                      <w:lang w:val="en-US" w:eastAsia="zh-CN"/>
                    </w:rPr>
                    <w:t>非甲烷总烃</w:t>
                  </w:r>
                </w:p>
              </w:tc>
              <w:tc>
                <w:tcPr>
                  <w:tcW w:w="705" w:type="pct"/>
                  <w:tcBorders>
                    <w:tl2br w:val="nil"/>
                    <w:tr2bl w:val="nil"/>
                  </w:tcBorders>
                  <w:noWrap w:val="0"/>
                  <w:vAlign w:val="center"/>
                </w:tcPr>
                <w:p w14:paraId="600AFF47">
                  <w:pPr>
                    <w:jc w:val="center"/>
                    <w:rPr>
                      <w:rFonts w:hint="default" w:ascii="Times New Roman" w:hAnsi="Times New Roman" w:eastAsia="宋体" w:cs="Times New Roman"/>
                      <w:b/>
                      <w:bCs w:val="0"/>
                      <w:color w:val="auto"/>
                      <w:sz w:val="21"/>
                      <w:szCs w:val="21"/>
                      <w:u w:val="none"/>
                    </w:rPr>
                  </w:pPr>
                  <w:r>
                    <w:rPr>
                      <w:rFonts w:hint="default" w:ascii="Times New Roman" w:hAnsi="Times New Roman" w:eastAsia="宋体" w:cs="Times New Roman"/>
                      <w:b/>
                      <w:bCs w:val="0"/>
                      <w:color w:val="auto"/>
                      <w:sz w:val="21"/>
                      <w:szCs w:val="21"/>
                      <w:u w:val="none"/>
                    </w:rPr>
                    <w:t>1次/年</w:t>
                  </w:r>
                </w:p>
              </w:tc>
              <w:tc>
                <w:tcPr>
                  <w:tcW w:w="2608" w:type="pct"/>
                  <w:vMerge w:val="continue"/>
                  <w:tcBorders>
                    <w:tl2br w:val="nil"/>
                    <w:tr2bl w:val="nil"/>
                  </w:tcBorders>
                  <w:noWrap w:val="0"/>
                  <w:vAlign w:val="center"/>
                </w:tcPr>
                <w:p w14:paraId="4B3F4B35">
                  <w:pPr>
                    <w:jc w:val="center"/>
                    <w:rPr>
                      <w:rFonts w:hint="default"/>
                      <w:b/>
                      <w:bCs w:val="0"/>
                      <w:kern w:val="2"/>
                      <w:sz w:val="21"/>
                      <w:lang w:val="en-US" w:eastAsia="zh-CN" w:bidi="ar-SA"/>
                    </w:rPr>
                  </w:pPr>
                </w:p>
              </w:tc>
            </w:tr>
          </w:tbl>
          <w:p w14:paraId="5CA66432">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360" w:lineRule="auto"/>
              <w:textAlignment w:val="auto"/>
              <w:rPr>
                <w:rFonts w:hint="eastAsia" w:ascii="Times New Roman" w:hAnsi="Times New Roman" w:eastAsia="宋体" w:cs="Times New Roman"/>
                <w:b/>
                <w:bCs/>
                <w:color w:val="auto"/>
                <w:sz w:val="24"/>
                <w:szCs w:val="24"/>
                <w:lang w:val="en-US" w:eastAsia="zh-CN"/>
              </w:rPr>
            </w:pPr>
            <w:bookmarkStart w:id="94" w:name="_Toc13368"/>
            <w:bookmarkStart w:id="95" w:name="_Toc12164"/>
            <w:r>
              <w:rPr>
                <w:rFonts w:hint="eastAsia" w:ascii="Times New Roman" w:hAnsi="Times New Roman" w:eastAsia="宋体" w:cs="Times New Roman"/>
                <w:b/>
                <w:bCs/>
                <w:color w:val="auto"/>
                <w:sz w:val="24"/>
                <w:szCs w:val="24"/>
                <w:lang w:val="en-US" w:eastAsia="zh-CN"/>
              </w:rPr>
              <w:t>废水</w:t>
            </w:r>
            <w:bookmarkEnd w:id="94"/>
            <w:bookmarkEnd w:id="95"/>
          </w:p>
          <w:p w14:paraId="7A3906FD">
            <w:pPr>
              <w:keepNext w:val="0"/>
              <w:keepLines w:val="0"/>
              <w:widowControl/>
              <w:suppressLineNumbers w:val="0"/>
              <w:spacing w:line="360" w:lineRule="auto"/>
              <w:ind w:firstLine="482" w:firstLineChars="200"/>
              <w:jc w:val="left"/>
              <w:rPr>
                <w:rFonts w:hint="default"/>
                <w:b/>
                <w:bCs/>
                <w:snapToGrid w:val="0"/>
                <w:kern w:val="0"/>
                <w:sz w:val="24"/>
                <w:lang w:val="en-US" w:eastAsia="zh-CN"/>
              </w:rPr>
            </w:pPr>
            <w:r>
              <w:rPr>
                <w:rFonts w:hint="eastAsia"/>
                <w:b/>
                <w:bCs/>
                <w:snapToGrid w:val="0"/>
                <w:kern w:val="0"/>
                <w:sz w:val="24"/>
                <w:lang w:val="en-US" w:eastAsia="zh-CN"/>
              </w:rPr>
              <w:t>2.1废水产排情况</w:t>
            </w:r>
          </w:p>
          <w:p w14:paraId="5F2E63C5">
            <w:pPr>
              <w:keepNext w:val="0"/>
              <w:keepLines w:val="0"/>
              <w:widowControl/>
              <w:suppressLineNumbers w:val="0"/>
              <w:spacing w:line="360" w:lineRule="auto"/>
              <w:ind w:firstLine="480" w:firstLineChars="200"/>
              <w:jc w:val="left"/>
              <w:rPr>
                <w:rFonts w:hint="default"/>
                <w:lang w:val="en-US"/>
              </w:rPr>
            </w:pPr>
            <w:r>
              <w:rPr>
                <w:rFonts w:hint="eastAsia"/>
                <w:snapToGrid w:val="0"/>
                <w:kern w:val="0"/>
                <w:sz w:val="24"/>
                <w:lang w:val="en-US" w:eastAsia="zh-CN"/>
              </w:rPr>
              <w:t>本</w:t>
            </w:r>
            <w:r>
              <w:rPr>
                <w:rFonts w:hint="eastAsia"/>
                <w:snapToGrid w:val="0"/>
                <w:kern w:val="0"/>
                <w:sz w:val="24"/>
              </w:rPr>
              <w:t>项目废水主要有生产废水和生活污水，</w:t>
            </w:r>
            <w:r>
              <w:rPr>
                <w:rFonts w:hint="eastAsia" w:ascii="宋体" w:hAnsi="宋体" w:eastAsia="宋体" w:cs="宋体"/>
                <w:color w:val="000000"/>
                <w:kern w:val="0"/>
                <w:sz w:val="24"/>
                <w:szCs w:val="24"/>
                <w:lang w:val="en-US" w:eastAsia="zh-CN" w:bidi="ar"/>
              </w:rPr>
              <w:t>生产废水主要为玻璃原片清洗废水</w:t>
            </w:r>
            <w:r>
              <w:rPr>
                <w:rFonts w:hint="eastAsia" w:ascii="宋体" w:hAnsi="宋体" w:cs="宋体"/>
                <w:color w:val="000000"/>
                <w:kern w:val="0"/>
                <w:sz w:val="24"/>
                <w:szCs w:val="24"/>
                <w:lang w:val="en-US" w:eastAsia="zh-CN" w:bidi="ar"/>
              </w:rPr>
              <w:t>；</w:t>
            </w:r>
            <w:r>
              <w:rPr>
                <w:rFonts w:hint="eastAsia" w:cs="Times New Roman"/>
                <w:b w:val="0"/>
                <w:bCs w:val="0"/>
                <w:color w:val="auto"/>
                <w:sz w:val="24"/>
                <w:szCs w:val="24"/>
                <w:highlight w:val="none"/>
                <w:u w:val="none" w:color="auto"/>
                <w:lang w:val="en-US" w:eastAsia="zh-CN"/>
              </w:rPr>
              <w:t>镀膜及</w:t>
            </w:r>
            <w:r>
              <w:rPr>
                <w:rFonts w:hint="eastAsia" w:ascii="Times New Roman" w:hAnsi="Times New Roman" w:eastAsia="宋体" w:cs="Times New Roman"/>
                <w:b w:val="0"/>
                <w:bCs w:val="0"/>
                <w:color w:val="auto"/>
                <w:sz w:val="24"/>
                <w:szCs w:val="24"/>
                <w:highlight w:val="none"/>
                <w:u w:val="none" w:color="auto"/>
                <w:lang w:val="en-US" w:eastAsia="zh-CN"/>
              </w:rPr>
              <w:t>夹胶</w:t>
            </w:r>
            <w:r>
              <w:rPr>
                <w:rFonts w:hint="eastAsia" w:cs="Times New Roman"/>
                <w:b w:val="0"/>
                <w:bCs w:val="0"/>
                <w:color w:val="auto"/>
                <w:sz w:val="24"/>
                <w:szCs w:val="24"/>
                <w:highlight w:val="none"/>
                <w:u w:val="none" w:color="auto"/>
                <w:lang w:val="en-US" w:eastAsia="zh-CN"/>
              </w:rPr>
              <w:t>、中空</w:t>
            </w:r>
            <w:r>
              <w:rPr>
                <w:rFonts w:hint="eastAsia" w:ascii="Times New Roman" w:hAnsi="Times New Roman" w:eastAsia="宋体" w:cs="Times New Roman"/>
                <w:b w:val="0"/>
                <w:bCs w:val="0"/>
                <w:color w:val="auto"/>
                <w:sz w:val="24"/>
                <w:szCs w:val="24"/>
                <w:highlight w:val="none"/>
                <w:u w:val="none" w:color="auto"/>
                <w:lang w:val="en-US" w:eastAsia="zh-CN"/>
              </w:rPr>
              <w:t>工序对应</w:t>
            </w:r>
            <w:r>
              <w:rPr>
                <w:rFonts w:hint="eastAsia" w:ascii="宋体" w:hAnsi="宋体" w:eastAsia="宋体" w:cs="宋体"/>
                <w:color w:val="000000"/>
                <w:kern w:val="0"/>
                <w:sz w:val="24"/>
                <w:szCs w:val="24"/>
                <w:lang w:val="en-US" w:eastAsia="zh-CN" w:bidi="ar"/>
              </w:rPr>
              <w:t>玻璃清洗废水</w:t>
            </w:r>
            <w:r>
              <w:rPr>
                <w:rFonts w:hint="eastAsia" w:ascii="宋体" w:hAnsi="宋体" w:cs="宋体"/>
                <w:color w:val="000000"/>
                <w:kern w:val="0"/>
                <w:sz w:val="24"/>
                <w:szCs w:val="24"/>
                <w:lang w:val="en-US" w:eastAsia="zh-CN" w:bidi="ar"/>
              </w:rPr>
              <w:t>；</w:t>
            </w:r>
            <w:r>
              <w:rPr>
                <w:rFonts w:hint="eastAsia" w:ascii="宋体" w:hAnsi="宋体" w:eastAsia="宋体" w:cs="宋体"/>
                <w:color w:val="000000"/>
                <w:kern w:val="0"/>
                <w:sz w:val="24"/>
                <w:szCs w:val="24"/>
                <w:lang w:val="en-US" w:eastAsia="zh-CN" w:bidi="ar"/>
              </w:rPr>
              <w:t>纯水制备</w:t>
            </w:r>
            <w:r>
              <w:rPr>
                <w:rFonts w:hint="eastAsia" w:ascii="宋体" w:hAnsi="宋体" w:cs="宋体"/>
                <w:color w:val="000000"/>
                <w:kern w:val="0"/>
                <w:sz w:val="24"/>
                <w:szCs w:val="24"/>
                <w:lang w:val="en-US" w:eastAsia="zh-CN" w:bidi="ar"/>
              </w:rPr>
              <w:t>系统排水</w:t>
            </w:r>
            <w:r>
              <w:rPr>
                <w:rFonts w:hint="eastAsia" w:ascii="宋体" w:hAnsi="宋体" w:eastAsia="宋体" w:cs="宋体"/>
                <w:color w:val="000000"/>
                <w:kern w:val="0"/>
                <w:sz w:val="24"/>
                <w:szCs w:val="24"/>
                <w:lang w:val="en-US" w:eastAsia="zh-CN" w:bidi="ar"/>
              </w:rPr>
              <w:t>及磨边废水。</w:t>
            </w:r>
            <w:r>
              <w:rPr>
                <w:rFonts w:hint="eastAsia" w:ascii="宋体" w:hAnsi="宋体" w:cs="宋体"/>
                <w:color w:val="000000"/>
                <w:kern w:val="0"/>
                <w:sz w:val="24"/>
                <w:szCs w:val="24"/>
                <w:lang w:val="en-US" w:eastAsia="zh-CN" w:bidi="ar"/>
              </w:rPr>
              <w:t>其中生活污水经化粪池后排入淮阳区第二污水处理厂进行处理。生产废水循环利用或回用，不外排；</w:t>
            </w:r>
            <w:r>
              <w:rPr>
                <w:rFonts w:hint="eastAsia" w:ascii="宋体" w:hAnsi="宋体" w:eastAsia="宋体" w:cs="宋体"/>
                <w:color w:val="000000"/>
                <w:kern w:val="0"/>
                <w:sz w:val="24"/>
                <w:szCs w:val="24"/>
                <w:lang w:val="en-US" w:eastAsia="zh-CN" w:bidi="ar"/>
              </w:rPr>
              <w:t>纯水制备</w:t>
            </w:r>
            <w:r>
              <w:rPr>
                <w:rFonts w:hint="eastAsia" w:ascii="宋体" w:hAnsi="宋体" w:cs="宋体"/>
                <w:color w:val="000000"/>
                <w:kern w:val="0"/>
                <w:sz w:val="24"/>
                <w:szCs w:val="24"/>
                <w:lang w:val="en-US" w:eastAsia="zh-CN" w:bidi="ar"/>
              </w:rPr>
              <w:t>系统排水用于厂区洒水，也不外排。</w:t>
            </w:r>
          </w:p>
          <w:p w14:paraId="227C65ED">
            <w:pPr>
              <w:keepNext w:val="0"/>
              <w:keepLines w:val="0"/>
              <w:widowControl/>
              <w:suppressLineNumbers w:val="0"/>
              <w:spacing w:line="360" w:lineRule="auto"/>
              <w:ind w:firstLine="480" w:firstLineChars="200"/>
              <w:jc w:val="left"/>
            </w:pPr>
            <w:r>
              <w:rPr>
                <w:rFonts w:hint="eastAsia" w:ascii="宋体" w:hAnsi="宋体" w:eastAsia="宋体" w:cs="宋体"/>
                <w:color w:val="000000"/>
                <w:kern w:val="0"/>
                <w:sz w:val="24"/>
                <w:szCs w:val="24"/>
                <w:lang w:val="en-US" w:eastAsia="zh-CN" w:bidi="ar"/>
              </w:rPr>
              <w:t>（</w:t>
            </w:r>
            <w:r>
              <w:rPr>
                <w:rFonts w:hint="default" w:ascii="Times New Roman" w:hAnsi="Times New Roman" w:eastAsia="宋体" w:cs="Times New Roman"/>
                <w:color w:val="000000"/>
                <w:kern w:val="0"/>
                <w:sz w:val="24"/>
                <w:szCs w:val="24"/>
                <w:lang w:val="en-US" w:eastAsia="zh-CN" w:bidi="ar"/>
              </w:rPr>
              <w:t>1</w:t>
            </w:r>
            <w:r>
              <w:rPr>
                <w:rFonts w:hint="eastAsia" w:ascii="宋体" w:hAnsi="宋体" w:eastAsia="宋体" w:cs="宋体"/>
                <w:color w:val="000000"/>
                <w:kern w:val="0"/>
                <w:sz w:val="24"/>
                <w:szCs w:val="24"/>
                <w:lang w:val="en-US" w:eastAsia="zh-CN" w:bidi="ar"/>
              </w:rPr>
              <w:t>）玻璃原片清洗废水。本项目玻璃原片清洗用水量为</w:t>
            </w:r>
            <w:r>
              <w:rPr>
                <w:rFonts w:hint="eastAsia" w:ascii="宋体" w:hAnsi="宋体" w:cs="宋体"/>
                <w:color w:val="000000"/>
                <w:kern w:val="0"/>
                <w:sz w:val="24"/>
                <w:szCs w:val="24"/>
                <w:lang w:val="en-US" w:eastAsia="zh-CN" w:bidi="ar"/>
              </w:rPr>
              <w:t>1</w:t>
            </w:r>
            <w:r>
              <w:rPr>
                <w:rFonts w:hint="default" w:ascii="Times New Roman" w:hAnsi="Times New Roman" w:eastAsia="宋体" w:cs="Times New Roman"/>
                <w:color w:val="000000"/>
                <w:kern w:val="0"/>
                <w:sz w:val="24"/>
                <w:szCs w:val="24"/>
                <w:lang w:val="en-US" w:eastAsia="zh-CN" w:bidi="ar"/>
              </w:rPr>
              <w:t>5m</w:t>
            </w:r>
            <w:r>
              <w:rPr>
                <w:rFonts w:hint="eastAsia" w:cs="Times New Roman"/>
                <w:color w:val="000000"/>
                <w:kern w:val="0"/>
                <w:sz w:val="24"/>
                <w:szCs w:val="24"/>
                <w:vertAlign w:val="superscript"/>
                <w:lang w:val="en-US" w:eastAsia="zh-CN" w:bidi="ar"/>
              </w:rPr>
              <w:t>3</w:t>
            </w:r>
            <w:r>
              <w:rPr>
                <w:rFonts w:hint="default" w:ascii="Times New Roman" w:hAnsi="Times New Roman" w:eastAsia="宋体" w:cs="Times New Roman"/>
                <w:color w:val="000000"/>
                <w:kern w:val="0"/>
                <w:sz w:val="24"/>
                <w:szCs w:val="24"/>
                <w:lang w:val="en-US" w:eastAsia="zh-CN" w:bidi="ar"/>
              </w:rPr>
              <w:t>/d</w:t>
            </w:r>
            <w:r>
              <w:rPr>
                <w:rFonts w:hint="eastAsia" w:ascii="宋体" w:hAnsi="宋体" w:eastAsia="宋体" w:cs="宋体"/>
                <w:color w:val="000000"/>
                <w:kern w:val="0"/>
                <w:sz w:val="24"/>
                <w:szCs w:val="24"/>
                <w:lang w:val="en-US" w:eastAsia="zh-CN" w:bidi="ar"/>
              </w:rPr>
              <w:t>、</w:t>
            </w:r>
            <w:r>
              <w:rPr>
                <w:rFonts w:hint="eastAsia" w:cs="Times New Roman"/>
                <w:color w:val="000000"/>
                <w:kern w:val="0"/>
                <w:sz w:val="24"/>
                <w:szCs w:val="24"/>
                <w:lang w:val="en-US" w:eastAsia="zh-CN" w:bidi="ar"/>
              </w:rPr>
              <w:t>4</w:t>
            </w:r>
            <w:r>
              <w:rPr>
                <w:rFonts w:hint="default" w:ascii="Times New Roman" w:hAnsi="Times New Roman" w:eastAsia="宋体" w:cs="Times New Roman"/>
                <w:color w:val="000000"/>
                <w:kern w:val="0"/>
                <w:sz w:val="24"/>
                <w:szCs w:val="24"/>
                <w:lang w:val="en-US" w:eastAsia="zh-CN" w:bidi="ar"/>
              </w:rPr>
              <w:t>500m</w:t>
            </w:r>
            <w:r>
              <w:rPr>
                <w:rFonts w:hint="eastAsia" w:cs="Times New Roman"/>
                <w:color w:val="000000"/>
                <w:kern w:val="0"/>
                <w:sz w:val="24"/>
                <w:szCs w:val="24"/>
                <w:vertAlign w:val="superscript"/>
                <w:lang w:val="en-US" w:eastAsia="zh-CN" w:bidi="ar"/>
              </w:rPr>
              <w:t>3</w:t>
            </w:r>
            <w:r>
              <w:rPr>
                <w:rFonts w:hint="default" w:ascii="Times New Roman" w:hAnsi="Times New Roman" w:eastAsia="宋体" w:cs="Times New Roman"/>
                <w:color w:val="000000"/>
                <w:kern w:val="0"/>
                <w:sz w:val="24"/>
                <w:szCs w:val="24"/>
                <w:lang w:val="en-US" w:eastAsia="zh-CN" w:bidi="ar"/>
              </w:rPr>
              <w:t>/a</w:t>
            </w:r>
            <w:r>
              <w:rPr>
                <w:rFonts w:hint="eastAsia" w:ascii="宋体" w:hAnsi="宋体" w:eastAsia="宋体" w:cs="宋体"/>
                <w:color w:val="000000"/>
                <w:kern w:val="0"/>
                <w:sz w:val="24"/>
                <w:szCs w:val="24"/>
                <w:lang w:val="en-US" w:eastAsia="zh-CN" w:bidi="ar"/>
              </w:rPr>
              <w:t>，污水产生系数按</w:t>
            </w:r>
            <w:r>
              <w:rPr>
                <w:rFonts w:hint="default" w:ascii="Times New Roman" w:hAnsi="Times New Roman" w:eastAsia="宋体" w:cs="Times New Roman"/>
                <w:color w:val="000000"/>
                <w:kern w:val="0"/>
                <w:sz w:val="24"/>
                <w:szCs w:val="24"/>
                <w:lang w:val="en-US" w:eastAsia="zh-CN" w:bidi="ar"/>
              </w:rPr>
              <w:t xml:space="preserve">0.9 </w:t>
            </w:r>
            <w:r>
              <w:rPr>
                <w:rFonts w:hint="eastAsia" w:ascii="宋体" w:hAnsi="宋体" w:cs="宋体"/>
                <w:color w:val="000000"/>
                <w:kern w:val="0"/>
                <w:sz w:val="24"/>
                <w:szCs w:val="24"/>
                <w:lang w:val="en-US" w:eastAsia="zh-CN" w:bidi="ar"/>
              </w:rPr>
              <w:t>计</w:t>
            </w:r>
            <w:r>
              <w:rPr>
                <w:rFonts w:hint="eastAsia" w:ascii="宋体" w:hAnsi="宋体" w:eastAsia="宋体" w:cs="宋体"/>
                <w:color w:val="000000"/>
                <w:kern w:val="0"/>
                <w:sz w:val="24"/>
                <w:szCs w:val="24"/>
                <w:lang w:val="en-US" w:eastAsia="zh-CN" w:bidi="ar"/>
              </w:rPr>
              <w:t xml:space="preserve">，则本项目玻璃原片清洗废水产生量为 </w:t>
            </w:r>
            <w:r>
              <w:rPr>
                <w:rFonts w:hint="eastAsia" w:cs="Times New Roman"/>
                <w:color w:val="000000"/>
                <w:kern w:val="0"/>
                <w:sz w:val="24"/>
                <w:szCs w:val="24"/>
                <w:lang w:val="en-US" w:eastAsia="zh-CN" w:bidi="ar"/>
              </w:rPr>
              <w:t>13</w:t>
            </w:r>
            <w:r>
              <w:rPr>
                <w:rFonts w:hint="default" w:ascii="Times New Roman" w:hAnsi="Times New Roman" w:eastAsia="宋体" w:cs="Times New Roman"/>
                <w:color w:val="000000"/>
                <w:kern w:val="0"/>
                <w:sz w:val="24"/>
                <w:szCs w:val="24"/>
                <w:lang w:val="en-US" w:eastAsia="zh-CN" w:bidi="ar"/>
              </w:rPr>
              <w:t>.5m</w:t>
            </w:r>
            <w:r>
              <w:rPr>
                <w:rFonts w:hint="eastAsia" w:cs="Times New Roman"/>
                <w:color w:val="000000"/>
                <w:kern w:val="0"/>
                <w:sz w:val="24"/>
                <w:szCs w:val="24"/>
                <w:vertAlign w:val="superscript"/>
                <w:lang w:val="en-US" w:eastAsia="zh-CN" w:bidi="ar"/>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/d</w:t>
            </w:r>
            <w:r>
              <w:rPr>
                <w:rFonts w:hint="eastAsia" w:ascii="宋体" w:hAnsi="宋体" w:eastAsia="宋体" w:cs="宋体"/>
                <w:color w:val="000000"/>
                <w:kern w:val="0"/>
                <w:sz w:val="24"/>
                <w:szCs w:val="24"/>
                <w:lang w:val="en-US" w:eastAsia="zh-CN" w:bidi="ar"/>
              </w:rPr>
              <w:t>、</w:t>
            </w:r>
            <w:r>
              <w:rPr>
                <w:rFonts w:hint="eastAsia" w:cs="Times New Roman"/>
                <w:color w:val="000000"/>
                <w:kern w:val="0"/>
                <w:sz w:val="24"/>
                <w:szCs w:val="24"/>
                <w:lang w:val="en-US" w:eastAsia="zh-CN" w:bidi="ar"/>
              </w:rPr>
              <w:t>40</w:t>
            </w:r>
            <w:r>
              <w:rPr>
                <w:rFonts w:hint="default" w:ascii="Times New Roman" w:hAnsi="Times New Roman" w:eastAsia="宋体" w:cs="Times New Roman"/>
                <w:color w:val="000000"/>
                <w:kern w:val="0"/>
                <w:sz w:val="24"/>
                <w:szCs w:val="24"/>
                <w:lang w:val="en-US" w:eastAsia="zh-CN" w:bidi="ar"/>
              </w:rPr>
              <w:t>50m</w:t>
            </w:r>
            <w:r>
              <w:rPr>
                <w:rFonts w:hint="eastAsia" w:cs="Times New Roman"/>
                <w:color w:val="000000"/>
                <w:kern w:val="0"/>
                <w:sz w:val="24"/>
                <w:szCs w:val="24"/>
                <w:vertAlign w:val="superscript"/>
                <w:lang w:val="en-US" w:eastAsia="zh-CN" w:bidi="ar"/>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/a</w:t>
            </w:r>
            <w:r>
              <w:rPr>
                <w:rFonts w:hint="eastAsia" w:ascii="宋体" w:hAnsi="宋体" w:eastAsia="宋体" w:cs="宋体"/>
                <w:color w:val="000000"/>
                <w:kern w:val="0"/>
                <w:sz w:val="24"/>
                <w:szCs w:val="24"/>
                <w:lang w:val="en-US" w:eastAsia="zh-CN" w:bidi="ar"/>
              </w:rPr>
              <w:t xml:space="preserve">，经循环水箱沉淀后回用于清洗玻璃原片。 </w:t>
            </w:r>
          </w:p>
          <w:p w14:paraId="673C0BAF">
            <w:pPr>
              <w:keepNext w:val="0"/>
              <w:keepLines w:val="0"/>
              <w:widowControl/>
              <w:suppressLineNumbers w:val="0"/>
              <w:spacing w:line="360" w:lineRule="auto"/>
              <w:ind w:firstLine="480" w:firstLineChars="200"/>
              <w:jc w:val="left"/>
            </w:pPr>
            <w:r>
              <w:rPr>
                <w:rFonts w:hint="eastAsia" w:ascii="宋体" w:hAnsi="宋体" w:eastAsia="宋体" w:cs="宋体"/>
                <w:color w:val="000000"/>
                <w:kern w:val="0"/>
                <w:sz w:val="24"/>
                <w:szCs w:val="24"/>
                <w:lang w:val="en-US" w:eastAsia="zh-CN" w:bidi="ar"/>
              </w:rPr>
              <w:t>（</w:t>
            </w:r>
            <w:r>
              <w:rPr>
                <w:rFonts w:hint="default" w:ascii="Times New Roman" w:hAnsi="Times New Roman" w:eastAsia="宋体" w:cs="Times New Roman"/>
                <w:color w:val="000000"/>
                <w:kern w:val="0"/>
                <w:sz w:val="24"/>
                <w:szCs w:val="24"/>
                <w:lang w:val="en-US" w:eastAsia="zh-CN" w:bidi="ar"/>
              </w:rPr>
              <w:t>2</w:t>
            </w:r>
            <w:r>
              <w:rPr>
                <w:rFonts w:hint="eastAsia" w:ascii="宋体" w:hAnsi="宋体" w:eastAsia="宋体" w:cs="宋体"/>
                <w:color w:val="000000"/>
                <w:kern w:val="0"/>
                <w:sz w:val="24"/>
                <w:szCs w:val="24"/>
                <w:lang w:val="en-US" w:eastAsia="zh-CN" w:bidi="ar"/>
              </w:rPr>
              <w:t>）</w:t>
            </w:r>
            <w:r>
              <w:rPr>
                <w:rFonts w:hint="eastAsia" w:cs="Times New Roman"/>
                <w:b w:val="0"/>
                <w:bCs w:val="0"/>
                <w:color w:val="auto"/>
                <w:sz w:val="24"/>
                <w:szCs w:val="24"/>
                <w:highlight w:val="none"/>
                <w:u w:val="none" w:color="auto"/>
                <w:lang w:val="en-US" w:eastAsia="zh-CN"/>
              </w:rPr>
              <w:t>镀膜及</w:t>
            </w:r>
            <w:r>
              <w:rPr>
                <w:rFonts w:hint="eastAsia" w:ascii="Times New Roman" w:hAnsi="Times New Roman" w:eastAsia="宋体" w:cs="Times New Roman"/>
                <w:b w:val="0"/>
                <w:bCs w:val="0"/>
                <w:color w:val="auto"/>
                <w:sz w:val="24"/>
                <w:szCs w:val="24"/>
                <w:highlight w:val="none"/>
                <w:u w:val="none" w:color="auto"/>
                <w:lang w:val="en-US" w:eastAsia="zh-CN"/>
              </w:rPr>
              <w:t>夹胶</w:t>
            </w:r>
            <w:r>
              <w:rPr>
                <w:rFonts w:hint="eastAsia" w:cs="Times New Roman"/>
                <w:b w:val="0"/>
                <w:bCs w:val="0"/>
                <w:color w:val="auto"/>
                <w:sz w:val="24"/>
                <w:szCs w:val="24"/>
                <w:highlight w:val="none"/>
                <w:u w:val="none" w:color="auto"/>
                <w:lang w:val="en-US" w:eastAsia="zh-CN"/>
              </w:rPr>
              <w:t>、中空</w:t>
            </w:r>
            <w:r>
              <w:rPr>
                <w:rFonts w:hint="eastAsia" w:ascii="Times New Roman" w:hAnsi="Times New Roman" w:eastAsia="宋体" w:cs="Times New Roman"/>
                <w:b w:val="0"/>
                <w:bCs w:val="0"/>
                <w:color w:val="auto"/>
                <w:sz w:val="24"/>
                <w:szCs w:val="24"/>
                <w:highlight w:val="none"/>
                <w:u w:val="none" w:color="auto"/>
                <w:lang w:val="en-US" w:eastAsia="zh-CN"/>
              </w:rPr>
              <w:t>工序对应</w:t>
            </w:r>
            <w:r>
              <w:rPr>
                <w:rFonts w:hint="eastAsia" w:ascii="宋体" w:hAnsi="宋体" w:eastAsia="宋体" w:cs="宋体"/>
                <w:color w:val="000000"/>
                <w:kern w:val="0"/>
                <w:sz w:val="24"/>
                <w:szCs w:val="24"/>
                <w:lang w:val="en-US" w:eastAsia="zh-CN" w:bidi="ar"/>
              </w:rPr>
              <w:t>玻璃清洗废水及纯水制备</w:t>
            </w:r>
            <w:r>
              <w:rPr>
                <w:rFonts w:hint="eastAsia" w:ascii="宋体" w:hAnsi="宋体" w:cs="宋体"/>
                <w:color w:val="000000"/>
                <w:kern w:val="0"/>
                <w:sz w:val="24"/>
                <w:szCs w:val="24"/>
                <w:lang w:val="en-US" w:eastAsia="zh-CN" w:bidi="ar"/>
              </w:rPr>
              <w:t>系统排水</w:t>
            </w:r>
            <w:r>
              <w:rPr>
                <w:rFonts w:hint="eastAsia" w:ascii="宋体" w:hAnsi="宋体" w:eastAsia="宋体" w:cs="宋体"/>
                <w:color w:val="000000"/>
                <w:kern w:val="0"/>
                <w:sz w:val="24"/>
                <w:szCs w:val="24"/>
                <w:lang w:val="en-US" w:eastAsia="zh-CN" w:bidi="ar"/>
              </w:rPr>
              <w:t>。本项目纯水制备用水量为</w:t>
            </w:r>
            <w:r>
              <w:rPr>
                <w:rFonts w:hint="eastAsia" w:cs="Times New Roman"/>
                <w:b w:val="0"/>
                <w:bCs w:val="0"/>
                <w:color w:val="auto"/>
                <w:sz w:val="24"/>
                <w:szCs w:val="24"/>
                <w:highlight w:val="none"/>
                <w:u w:val="none" w:color="auto"/>
                <w:lang w:val="en-US" w:eastAsia="zh-CN"/>
              </w:rPr>
              <w:t>4.2</w:t>
            </w:r>
            <w:r>
              <w:rPr>
                <w:rFonts w:hint="eastAsia" w:ascii="Times New Roman" w:hAnsi="Times New Roman" w:eastAsia="宋体" w:cs="Times New Roman"/>
                <w:b w:val="0"/>
                <w:bCs w:val="0"/>
                <w:color w:val="auto"/>
                <w:sz w:val="24"/>
                <w:szCs w:val="24"/>
                <w:highlight w:val="none"/>
                <w:u w:val="none" w:color="auto"/>
                <w:lang w:val="en-US" w:eastAsia="zh-CN"/>
              </w:rPr>
              <w:t>m</w:t>
            </w:r>
            <w:r>
              <w:rPr>
                <w:rFonts w:hint="eastAsia" w:ascii="Times New Roman" w:hAnsi="Times New Roman" w:eastAsia="宋体" w:cs="Times New Roman"/>
                <w:b w:val="0"/>
                <w:bCs w:val="0"/>
                <w:color w:val="auto"/>
                <w:sz w:val="24"/>
                <w:szCs w:val="24"/>
                <w:highlight w:val="none"/>
                <w:u w:val="none" w:color="auto"/>
                <w:vertAlign w:val="superscript"/>
                <w:lang w:val="en-US" w:eastAsia="zh-CN"/>
              </w:rPr>
              <w:t>3</w:t>
            </w:r>
            <w:r>
              <w:rPr>
                <w:rFonts w:hint="eastAsia" w:ascii="Times New Roman" w:hAnsi="Times New Roman" w:eastAsia="宋体" w:cs="Times New Roman"/>
                <w:b w:val="0"/>
                <w:bCs w:val="0"/>
                <w:color w:val="auto"/>
                <w:sz w:val="24"/>
                <w:szCs w:val="24"/>
                <w:highlight w:val="none"/>
                <w:u w:val="none" w:color="auto"/>
                <w:lang w:val="en-US" w:eastAsia="zh-CN"/>
              </w:rPr>
              <w:t>/d，</w:t>
            </w:r>
            <w:r>
              <w:rPr>
                <w:rFonts w:hint="eastAsia" w:cs="Times New Roman"/>
                <w:b w:val="0"/>
                <w:bCs w:val="0"/>
                <w:color w:val="auto"/>
                <w:sz w:val="24"/>
                <w:szCs w:val="24"/>
                <w:highlight w:val="none"/>
                <w:u w:val="none" w:color="auto"/>
                <w:lang w:val="en-US" w:eastAsia="zh-CN"/>
              </w:rPr>
              <w:t>126</w:t>
            </w:r>
            <w:r>
              <w:rPr>
                <w:rFonts w:hint="eastAsia" w:ascii="Times New Roman" w:hAnsi="Times New Roman" w:eastAsia="宋体" w:cs="Times New Roman"/>
                <w:b w:val="0"/>
                <w:bCs w:val="0"/>
                <w:color w:val="auto"/>
                <w:sz w:val="24"/>
                <w:szCs w:val="24"/>
                <w:highlight w:val="none"/>
                <w:u w:val="none" w:color="auto"/>
                <w:lang w:val="en-US" w:eastAsia="zh-CN"/>
              </w:rPr>
              <w:t>0m</w:t>
            </w:r>
            <w:r>
              <w:rPr>
                <w:rFonts w:hint="eastAsia" w:ascii="Times New Roman" w:hAnsi="Times New Roman" w:eastAsia="宋体" w:cs="Times New Roman"/>
                <w:b w:val="0"/>
                <w:bCs w:val="0"/>
                <w:color w:val="auto"/>
                <w:sz w:val="24"/>
                <w:szCs w:val="24"/>
                <w:highlight w:val="none"/>
                <w:u w:val="none" w:color="auto"/>
                <w:vertAlign w:val="superscript"/>
                <w:lang w:val="en-US" w:eastAsia="zh-CN"/>
              </w:rPr>
              <w:t>3</w:t>
            </w:r>
            <w:r>
              <w:rPr>
                <w:rFonts w:hint="eastAsia" w:ascii="Times New Roman" w:hAnsi="Times New Roman" w:eastAsia="宋体" w:cs="Times New Roman"/>
                <w:b w:val="0"/>
                <w:bCs w:val="0"/>
                <w:color w:val="auto"/>
                <w:sz w:val="24"/>
                <w:szCs w:val="24"/>
                <w:highlight w:val="none"/>
                <w:u w:val="none" w:color="auto"/>
                <w:lang w:val="en-US" w:eastAsia="zh-CN"/>
              </w:rPr>
              <w:t>/a</w:t>
            </w:r>
            <w:r>
              <w:rPr>
                <w:rFonts w:hint="eastAsia" w:ascii="宋体" w:hAnsi="宋体" w:eastAsia="宋体" w:cs="宋体"/>
                <w:color w:val="000000"/>
                <w:kern w:val="0"/>
                <w:sz w:val="24"/>
                <w:szCs w:val="24"/>
                <w:lang w:val="en-US" w:eastAsia="zh-CN" w:bidi="ar"/>
              </w:rPr>
              <w:t>，纯水产生量为</w:t>
            </w:r>
            <w:r>
              <w:rPr>
                <w:rFonts w:hint="eastAsia" w:cs="Times New Roman"/>
                <w:color w:val="000000"/>
                <w:kern w:val="0"/>
                <w:sz w:val="24"/>
                <w:szCs w:val="24"/>
                <w:lang w:val="en-US" w:eastAsia="zh-CN" w:bidi="ar"/>
              </w:rPr>
              <w:t>3</w:t>
            </w:r>
            <w:r>
              <w:rPr>
                <w:rFonts w:hint="eastAsia" w:ascii="Times New Roman" w:hAnsi="Times New Roman" w:eastAsia="宋体" w:cs="Times New Roman"/>
                <w:b w:val="0"/>
                <w:bCs w:val="0"/>
                <w:color w:val="auto"/>
                <w:sz w:val="24"/>
                <w:szCs w:val="24"/>
                <w:highlight w:val="none"/>
                <w:u w:val="none" w:color="auto"/>
                <w:lang w:val="en-US" w:eastAsia="zh-CN"/>
              </w:rPr>
              <w:t>m</w:t>
            </w:r>
            <w:r>
              <w:rPr>
                <w:rFonts w:hint="eastAsia"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/d</w:t>
            </w:r>
            <w:r>
              <w:rPr>
                <w:rFonts w:hint="eastAsia" w:ascii="宋体" w:hAnsi="宋体" w:eastAsia="宋体" w:cs="宋体"/>
                <w:color w:val="000000"/>
                <w:kern w:val="0"/>
                <w:sz w:val="24"/>
                <w:szCs w:val="24"/>
                <w:lang w:val="en-US" w:eastAsia="zh-CN" w:bidi="ar"/>
              </w:rPr>
              <w:t>、</w:t>
            </w:r>
            <w:r>
              <w:rPr>
                <w:rFonts w:hint="eastAsia" w:cs="Times New Roman"/>
                <w:color w:val="000000"/>
                <w:kern w:val="0"/>
                <w:sz w:val="24"/>
                <w:szCs w:val="24"/>
                <w:lang w:val="en-US" w:eastAsia="zh-CN" w:bidi="ar"/>
              </w:rPr>
              <w:t>9</w:t>
            </w:r>
            <w:r>
              <w:rPr>
                <w:rFonts w:hint="default" w:ascii="Times New Roman" w:hAnsi="Times New Roman" w:eastAsia="宋体" w:cs="Times New Roman"/>
                <w:color w:val="000000"/>
                <w:kern w:val="0"/>
                <w:sz w:val="24"/>
                <w:szCs w:val="24"/>
                <w:lang w:val="en-US" w:eastAsia="zh-CN" w:bidi="ar"/>
              </w:rPr>
              <w:t>00</w:t>
            </w:r>
            <w:r>
              <w:rPr>
                <w:rFonts w:hint="eastAsia" w:ascii="Times New Roman" w:hAnsi="Times New Roman" w:eastAsia="宋体" w:cs="Times New Roman"/>
                <w:b w:val="0"/>
                <w:bCs w:val="0"/>
                <w:color w:val="auto"/>
                <w:sz w:val="24"/>
                <w:szCs w:val="24"/>
                <w:highlight w:val="none"/>
                <w:u w:val="none" w:color="auto"/>
                <w:lang w:val="en-US" w:eastAsia="zh-CN"/>
              </w:rPr>
              <w:t>m</w:t>
            </w:r>
            <w:r>
              <w:rPr>
                <w:rFonts w:hint="eastAsia"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/a</w:t>
            </w:r>
            <w:r>
              <w:rPr>
                <w:rFonts w:hint="eastAsia" w:ascii="宋体" w:hAnsi="宋体" w:eastAsia="宋体" w:cs="宋体"/>
                <w:color w:val="000000"/>
                <w:kern w:val="0"/>
                <w:sz w:val="24"/>
                <w:szCs w:val="24"/>
                <w:lang w:val="en-US" w:eastAsia="zh-CN" w:bidi="ar"/>
              </w:rPr>
              <w:t>，纯水制备</w:t>
            </w:r>
            <w:r>
              <w:rPr>
                <w:rFonts w:hint="eastAsia" w:ascii="宋体" w:hAnsi="宋体" w:cs="宋体"/>
                <w:color w:val="000000"/>
                <w:kern w:val="0"/>
                <w:sz w:val="24"/>
                <w:szCs w:val="24"/>
                <w:lang w:val="en-US" w:eastAsia="zh-CN" w:bidi="ar"/>
              </w:rPr>
              <w:t>系统排水</w:t>
            </w:r>
            <w:r>
              <w:rPr>
                <w:rFonts w:hint="eastAsia" w:ascii="宋体" w:hAnsi="宋体" w:eastAsia="宋体" w:cs="宋体"/>
                <w:color w:val="000000"/>
                <w:kern w:val="0"/>
                <w:sz w:val="24"/>
                <w:szCs w:val="24"/>
                <w:lang w:val="en-US" w:eastAsia="zh-CN" w:bidi="ar"/>
              </w:rPr>
              <w:t>为</w:t>
            </w:r>
            <w:r>
              <w:rPr>
                <w:rFonts w:hint="eastAsia" w:cs="Times New Roman"/>
                <w:color w:val="000000"/>
                <w:kern w:val="0"/>
                <w:sz w:val="24"/>
                <w:szCs w:val="24"/>
                <w:lang w:val="en-US" w:eastAsia="zh-CN" w:bidi="ar"/>
              </w:rPr>
              <w:t>1.2</w:t>
            </w:r>
            <w:r>
              <w:rPr>
                <w:rFonts w:hint="eastAsia" w:ascii="Times New Roman" w:hAnsi="Times New Roman" w:eastAsia="宋体" w:cs="Times New Roman"/>
                <w:b w:val="0"/>
                <w:bCs w:val="0"/>
                <w:color w:val="auto"/>
                <w:sz w:val="24"/>
                <w:szCs w:val="24"/>
                <w:highlight w:val="none"/>
                <w:u w:val="none" w:color="auto"/>
                <w:lang w:val="en-US" w:eastAsia="zh-CN"/>
              </w:rPr>
              <w:t>m</w:t>
            </w:r>
            <w:r>
              <w:rPr>
                <w:rFonts w:hint="eastAsia"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24"/>
                <w:szCs w:val="24"/>
                <w:lang w:val="en-US" w:eastAsia="zh-CN" w:bidi="ar"/>
              </w:rPr>
              <w:t>/d</w:t>
            </w:r>
            <w:r>
              <w:rPr>
                <w:rFonts w:hint="eastAsia" w:ascii="宋体" w:hAnsi="宋体" w:eastAsia="宋体" w:cs="宋体"/>
                <w:color w:val="000000"/>
                <w:kern w:val="0"/>
                <w:sz w:val="24"/>
                <w:szCs w:val="24"/>
                <w:lang w:val="en-US" w:eastAsia="zh-CN" w:bidi="ar"/>
              </w:rPr>
              <w:t>、</w:t>
            </w:r>
            <w:r>
              <w:rPr>
                <w:rFonts w:hint="eastAsia" w:cs="Times New Roman"/>
                <w:color w:val="000000"/>
                <w:kern w:val="0"/>
                <w:sz w:val="24"/>
                <w:szCs w:val="24"/>
                <w:lang w:val="en-US" w:eastAsia="zh-CN" w:bidi="ar"/>
              </w:rPr>
              <w:t>36</w:t>
            </w:r>
            <w:r>
              <w:rPr>
                <w:rFonts w:hint="default" w:ascii="Times New Roman" w:hAnsi="Times New Roman" w:eastAsia="宋体" w:cs="Times New Roman"/>
                <w:color w:val="000000"/>
                <w:kern w:val="0"/>
                <w:sz w:val="24"/>
                <w:szCs w:val="24"/>
                <w:lang w:val="en-US" w:eastAsia="zh-CN" w:bidi="ar"/>
              </w:rPr>
              <w:t>0</w:t>
            </w:r>
            <w:r>
              <w:rPr>
                <w:rFonts w:hint="eastAsia" w:ascii="Times New Roman" w:hAnsi="Times New Roman" w:eastAsia="宋体" w:cs="Times New Roman"/>
                <w:b w:val="0"/>
                <w:bCs w:val="0"/>
                <w:color w:val="auto"/>
                <w:sz w:val="24"/>
                <w:szCs w:val="24"/>
                <w:highlight w:val="none"/>
                <w:u w:val="none" w:color="auto"/>
                <w:lang w:val="en-US" w:eastAsia="zh-CN"/>
              </w:rPr>
              <w:t>m</w:t>
            </w:r>
            <w:r>
              <w:rPr>
                <w:rFonts w:hint="eastAsia"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/a</w:t>
            </w:r>
            <w:r>
              <w:rPr>
                <w:rFonts w:hint="eastAsia" w:ascii="宋体" w:hAnsi="宋体" w:eastAsia="宋体" w:cs="宋体"/>
                <w:color w:val="000000"/>
                <w:kern w:val="0"/>
                <w:sz w:val="24"/>
                <w:szCs w:val="24"/>
                <w:lang w:val="en-US" w:eastAsia="zh-CN" w:bidi="ar"/>
              </w:rPr>
              <w:t>，收集后用于厂区洒水；</w:t>
            </w:r>
            <w:r>
              <w:rPr>
                <w:rFonts w:hint="eastAsia" w:cs="Times New Roman"/>
                <w:b w:val="0"/>
                <w:bCs w:val="0"/>
                <w:color w:val="auto"/>
                <w:sz w:val="24"/>
                <w:szCs w:val="24"/>
                <w:highlight w:val="none"/>
                <w:u w:val="none" w:color="auto"/>
                <w:lang w:val="en-US" w:eastAsia="zh-CN"/>
              </w:rPr>
              <w:t>镀膜及</w:t>
            </w:r>
            <w:r>
              <w:rPr>
                <w:rFonts w:hint="eastAsia" w:ascii="Times New Roman" w:hAnsi="Times New Roman" w:eastAsia="宋体" w:cs="Times New Roman"/>
                <w:b w:val="0"/>
                <w:bCs w:val="0"/>
                <w:color w:val="auto"/>
                <w:sz w:val="24"/>
                <w:szCs w:val="24"/>
                <w:highlight w:val="none"/>
                <w:u w:val="none" w:color="auto"/>
                <w:lang w:val="en-US" w:eastAsia="zh-CN"/>
              </w:rPr>
              <w:t>夹胶</w:t>
            </w:r>
            <w:r>
              <w:rPr>
                <w:rFonts w:hint="eastAsia" w:cs="Times New Roman"/>
                <w:b w:val="0"/>
                <w:bCs w:val="0"/>
                <w:color w:val="auto"/>
                <w:sz w:val="24"/>
                <w:szCs w:val="24"/>
                <w:highlight w:val="none"/>
                <w:u w:val="none" w:color="auto"/>
                <w:lang w:val="en-US" w:eastAsia="zh-CN"/>
              </w:rPr>
              <w:t>、中空</w:t>
            </w:r>
            <w:r>
              <w:rPr>
                <w:rFonts w:hint="eastAsia" w:ascii="Times New Roman" w:hAnsi="Times New Roman" w:eastAsia="宋体" w:cs="Times New Roman"/>
                <w:b w:val="0"/>
                <w:bCs w:val="0"/>
                <w:color w:val="auto"/>
                <w:sz w:val="24"/>
                <w:szCs w:val="24"/>
                <w:highlight w:val="none"/>
                <w:u w:val="none" w:color="auto"/>
                <w:lang w:val="en-US" w:eastAsia="zh-CN"/>
              </w:rPr>
              <w:t>工序对应</w:t>
            </w:r>
            <w:r>
              <w:rPr>
                <w:rFonts w:hint="eastAsia" w:ascii="宋体" w:hAnsi="宋体" w:eastAsia="宋体" w:cs="宋体"/>
                <w:color w:val="000000"/>
                <w:kern w:val="0"/>
                <w:sz w:val="24"/>
                <w:szCs w:val="24"/>
                <w:lang w:val="en-US" w:eastAsia="zh-CN" w:bidi="ar"/>
              </w:rPr>
              <w:t>玻璃清洗废水产生系数按</w:t>
            </w:r>
            <w:r>
              <w:rPr>
                <w:rFonts w:hint="default" w:ascii="Times New Roman" w:hAnsi="Times New Roman" w:eastAsia="宋体" w:cs="Times New Roman"/>
                <w:color w:val="000000"/>
                <w:kern w:val="0"/>
                <w:sz w:val="24"/>
                <w:szCs w:val="24"/>
                <w:lang w:val="en-US" w:eastAsia="zh-CN" w:bidi="ar"/>
              </w:rPr>
              <w:t xml:space="preserve">0.9 </w:t>
            </w:r>
            <w:r>
              <w:rPr>
                <w:rFonts w:hint="eastAsia" w:ascii="宋体" w:hAnsi="宋体" w:cs="宋体"/>
                <w:color w:val="000000"/>
                <w:kern w:val="0"/>
                <w:sz w:val="24"/>
                <w:szCs w:val="24"/>
                <w:lang w:val="en-US" w:eastAsia="zh-CN" w:bidi="ar"/>
              </w:rPr>
              <w:t>计</w:t>
            </w:r>
            <w:r>
              <w:rPr>
                <w:rFonts w:hint="eastAsia" w:ascii="宋体" w:hAnsi="宋体" w:eastAsia="宋体" w:cs="宋体"/>
                <w:color w:val="000000"/>
                <w:kern w:val="0"/>
                <w:sz w:val="24"/>
                <w:szCs w:val="24"/>
                <w:lang w:val="en-US" w:eastAsia="zh-CN" w:bidi="ar"/>
              </w:rPr>
              <w:t>，</w:t>
            </w:r>
            <w:r>
              <w:rPr>
                <w:rFonts w:hint="default" w:ascii="Times New Roman" w:hAnsi="Times New Roman" w:eastAsia="宋体" w:cs="Times New Roman"/>
                <w:color w:val="000000"/>
                <w:kern w:val="0"/>
                <w:sz w:val="24"/>
                <w:szCs w:val="24"/>
                <w:lang w:val="en-US" w:eastAsia="zh-CN" w:bidi="ar"/>
              </w:rPr>
              <w:t>则本项目</w:t>
            </w:r>
            <w:r>
              <w:rPr>
                <w:rFonts w:hint="eastAsia" w:cs="Times New Roman"/>
                <w:b w:val="0"/>
                <w:bCs w:val="0"/>
                <w:color w:val="auto"/>
                <w:sz w:val="24"/>
                <w:szCs w:val="24"/>
                <w:highlight w:val="none"/>
                <w:u w:val="none" w:color="auto"/>
                <w:lang w:val="en-US" w:eastAsia="zh-CN"/>
              </w:rPr>
              <w:t>镀膜及</w:t>
            </w:r>
            <w:r>
              <w:rPr>
                <w:rFonts w:hint="eastAsia" w:ascii="Times New Roman" w:hAnsi="Times New Roman" w:eastAsia="宋体" w:cs="Times New Roman"/>
                <w:b w:val="0"/>
                <w:bCs w:val="0"/>
                <w:color w:val="auto"/>
                <w:sz w:val="24"/>
                <w:szCs w:val="24"/>
                <w:highlight w:val="none"/>
                <w:u w:val="none" w:color="auto"/>
                <w:lang w:val="en-US" w:eastAsia="zh-CN"/>
              </w:rPr>
              <w:t>夹胶</w:t>
            </w:r>
            <w:r>
              <w:rPr>
                <w:rFonts w:hint="eastAsia" w:cs="Times New Roman"/>
                <w:b w:val="0"/>
                <w:bCs w:val="0"/>
                <w:color w:val="auto"/>
                <w:sz w:val="24"/>
                <w:szCs w:val="24"/>
                <w:highlight w:val="none"/>
                <w:u w:val="none" w:color="auto"/>
                <w:lang w:val="en-US" w:eastAsia="zh-CN"/>
              </w:rPr>
              <w:t>、中空</w:t>
            </w:r>
            <w:r>
              <w:rPr>
                <w:rFonts w:hint="eastAsia" w:ascii="Times New Roman" w:hAnsi="Times New Roman" w:eastAsia="宋体" w:cs="Times New Roman"/>
                <w:b w:val="0"/>
                <w:bCs w:val="0"/>
                <w:color w:val="auto"/>
                <w:sz w:val="24"/>
                <w:szCs w:val="24"/>
                <w:highlight w:val="none"/>
                <w:u w:val="none" w:color="auto"/>
                <w:lang w:val="en-US" w:eastAsia="zh-CN"/>
              </w:rPr>
              <w:t>工序对应</w:t>
            </w:r>
            <w:r>
              <w:rPr>
                <w:rFonts w:hint="eastAsia" w:ascii="宋体" w:hAnsi="宋体" w:eastAsia="宋体" w:cs="宋体"/>
                <w:color w:val="000000"/>
                <w:kern w:val="0"/>
                <w:sz w:val="24"/>
                <w:szCs w:val="24"/>
                <w:lang w:val="en-US" w:eastAsia="zh-CN" w:bidi="ar"/>
              </w:rPr>
              <w:t>玻璃清洗废水</w:t>
            </w:r>
            <w:r>
              <w:rPr>
                <w:rFonts w:hint="default" w:ascii="Times New Roman" w:hAnsi="Times New Roman" w:eastAsia="宋体" w:cs="Times New Roman"/>
                <w:color w:val="000000"/>
                <w:kern w:val="0"/>
                <w:sz w:val="24"/>
                <w:szCs w:val="24"/>
                <w:lang w:val="en-US" w:eastAsia="zh-CN" w:bidi="ar"/>
              </w:rPr>
              <w:t>产生量为</w:t>
            </w:r>
            <w:r>
              <w:rPr>
                <w:rFonts w:hint="default" w:ascii="Times New Roman" w:hAnsi="Times New Roman" w:cs="Times New Roman"/>
                <w:color w:val="000000"/>
                <w:kern w:val="0"/>
                <w:sz w:val="24"/>
                <w:szCs w:val="24"/>
                <w:lang w:val="en-US" w:eastAsia="zh-CN" w:bidi="ar"/>
              </w:rPr>
              <w:t>2.7</w:t>
            </w:r>
            <w:r>
              <w:rPr>
                <w:rFonts w:hint="default" w:ascii="Times New Roman" w:hAnsi="Times New Roman" w:eastAsia="宋体" w:cs="Times New Roman"/>
                <w:b w:val="0"/>
                <w:bCs w:val="0"/>
                <w:color w:val="auto"/>
                <w:sz w:val="24"/>
                <w:szCs w:val="24"/>
                <w:highlight w:val="none"/>
                <w:u w:val="none" w:color="auto"/>
                <w:lang w:val="en-US" w:eastAsia="zh-CN"/>
              </w:rPr>
              <w:t>m</w:t>
            </w:r>
            <w:r>
              <w:rPr>
                <w:rFonts w:hint="default"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/d、</w:t>
            </w:r>
            <w:r>
              <w:rPr>
                <w:rFonts w:hint="default" w:ascii="Times New Roman" w:hAnsi="Times New Roman" w:cs="Times New Roman"/>
                <w:color w:val="000000"/>
                <w:kern w:val="0"/>
                <w:sz w:val="24"/>
                <w:szCs w:val="24"/>
                <w:lang w:val="en-US" w:eastAsia="zh-CN" w:bidi="ar"/>
              </w:rPr>
              <w:t>810</w:t>
            </w:r>
            <w:r>
              <w:rPr>
                <w:rFonts w:hint="default" w:ascii="Times New Roman" w:hAnsi="Times New Roman" w:eastAsia="宋体" w:cs="Times New Roman"/>
                <w:b w:val="0"/>
                <w:bCs w:val="0"/>
                <w:color w:val="auto"/>
                <w:sz w:val="24"/>
                <w:szCs w:val="24"/>
                <w:highlight w:val="none"/>
                <w:u w:val="none" w:color="auto"/>
                <w:lang w:val="en-US" w:eastAsia="zh-CN"/>
              </w:rPr>
              <w:t>m</w:t>
            </w:r>
            <w:r>
              <w:rPr>
                <w:rFonts w:hint="default"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24"/>
                <w:szCs w:val="24"/>
                <w:lang w:val="en-US" w:eastAsia="zh-CN" w:bidi="ar"/>
              </w:rPr>
              <w:t xml:space="preserve">/a，经收集后回用于玻璃原片清洗用水及磨边用水。 </w:t>
            </w:r>
          </w:p>
          <w:p w14:paraId="7BA74930">
            <w:pPr>
              <w:keepNext w:val="0"/>
              <w:keepLines w:val="0"/>
              <w:widowControl/>
              <w:suppressLineNumbers w:val="0"/>
              <w:spacing w:line="360" w:lineRule="auto"/>
              <w:ind w:firstLine="480" w:firstLineChars="200"/>
              <w:jc w:val="left"/>
              <w:rPr>
                <w:rFonts w:hint="default" w:ascii="Times New Roman" w:hAnsi="Times New Roman" w:eastAsia="宋体" w:cs="Times New Roman"/>
                <w:color w:val="000000"/>
                <w:kern w:val="0"/>
                <w:sz w:val="24"/>
                <w:szCs w:val="24"/>
                <w:lang w:val="en-US" w:eastAsia="zh-CN" w:bidi="ar"/>
              </w:rPr>
            </w:pPr>
            <w:r>
              <w:rPr>
                <w:rFonts w:hint="default" w:ascii="Times New Roman" w:hAnsi="Times New Roman" w:eastAsia="宋体" w:cs="Times New Roman"/>
                <w:color w:val="000000"/>
                <w:kern w:val="0"/>
                <w:sz w:val="24"/>
                <w:szCs w:val="24"/>
                <w:lang w:val="en-US" w:eastAsia="zh-CN" w:bidi="ar"/>
              </w:rPr>
              <w:t>（3）磨边废水。本项目磨边用水量为</w:t>
            </w:r>
            <w:r>
              <w:rPr>
                <w:rFonts w:hint="default" w:ascii="Times New Roman" w:hAnsi="Times New Roman" w:cs="Times New Roman"/>
                <w:color w:val="000000"/>
                <w:kern w:val="0"/>
                <w:sz w:val="24"/>
                <w:szCs w:val="24"/>
                <w:lang w:val="en-US" w:eastAsia="zh-CN" w:bidi="ar"/>
              </w:rPr>
              <w:t>6</w:t>
            </w:r>
            <w:r>
              <w:rPr>
                <w:rFonts w:hint="default" w:ascii="Times New Roman" w:hAnsi="Times New Roman" w:eastAsia="宋体" w:cs="Times New Roman"/>
                <w:b w:val="0"/>
                <w:bCs w:val="0"/>
                <w:color w:val="auto"/>
                <w:sz w:val="24"/>
                <w:szCs w:val="24"/>
                <w:highlight w:val="none"/>
                <w:u w:val="none" w:color="auto"/>
                <w:lang w:val="en-US" w:eastAsia="zh-CN"/>
              </w:rPr>
              <w:t>m</w:t>
            </w:r>
            <w:r>
              <w:rPr>
                <w:rFonts w:hint="default"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/d、</w:t>
            </w:r>
            <w:r>
              <w:rPr>
                <w:rFonts w:hint="default" w:ascii="Times New Roman" w:hAnsi="Times New Roman" w:cs="Times New Roman"/>
                <w:color w:val="000000"/>
                <w:kern w:val="0"/>
                <w:sz w:val="24"/>
                <w:szCs w:val="24"/>
                <w:lang w:val="en-US" w:eastAsia="zh-CN" w:bidi="ar"/>
              </w:rPr>
              <w:t>18</w:t>
            </w:r>
            <w:r>
              <w:rPr>
                <w:rFonts w:hint="default" w:ascii="Times New Roman" w:hAnsi="Times New Roman" w:eastAsia="宋体" w:cs="Times New Roman"/>
                <w:color w:val="000000"/>
                <w:kern w:val="0"/>
                <w:sz w:val="24"/>
                <w:szCs w:val="24"/>
                <w:lang w:val="en-US" w:eastAsia="zh-CN" w:bidi="ar"/>
              </w:rPr>
              <w:t>00</w:t>
            </w:r>
            <w:r>
              <w:rPr>
                <w:rFonts w:hint="default" w:ascii="Times New Roman" w:hAnsi="Times New Roman" w:eastAsia="宋体" w:cs="Times New Roman"/>
                <w:b w:val="0"/>
                <w:bCs w:val="0"/>
                <w:color w:val="auto"/>
                <w:sz w:val="24"/>
                <w:szCs w:val="24"/>
                <w:highlight w:val="none"/>
                <w:u w:val="none" w:color="auto"/>
                <w:lang w:val="en-US" w:eastAsia="zh-CN"/>
              </w:rPr>
              <w:t>m</w:t>
            </w:r>
            <w:r>
              <w:rPr>
                <w:rFonts w:hint="default"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 xml:space="preserve">/a，磨边废水产生系数按 0.8 </w:t>
            </w:r>
            <w:r>
              <w:rPr>
                <w:rFonts w:hint="default" w:ascii="Times New Roman" w:hAnsi="Times New Roman" w:cs="Times New Roman"/>
                <w:color w:val="000000"/>
                <w:kern w:val="0"/>
                <w:sz w:val="24"/>
                <w:szCs w:val="24"/>
                <w:lang w:val="en-US" w:eastAsia="zh-CN" w:bidi="ar"/>
              </w:rPr>
              <w:t>计</w:t>
            </w:r>
            <w:r>
              <w:rPr>
                <w:rFonts w:hint="default" w:ascii="Times New Roman" w:hAnsi="Times New Roman" w:eastAsia="宋体" w:cs="Times New Roman"/>
                <w:color w:val="000000"/>
                <w:kern w:val="0"/>
                <w:sz w:val="24"/>
                <w:szCs w:val="24"/>
                <w:lang w:val="en-US" w:eastAsia="zh-CN" w:bidi="ar"/>
              </w:rPr>
              <w:t>，则本项目磨边废水产生量为</w:t>
            </w:r>
            <w:r>
              <w:rPr>
                <w:rFonts w:hint="default" w:ascii="Times New Roman" w:hAnsi="Times New Roman" w:cs="Times New Roman"/>
                <w:color w:val="000000"/>
                <w:kern w:val="0"/>
                <w:sz w:val="24"/>
                <w:szCs w:val="24"/>
                <w:lang w:val="en-US" w:eastAsia="zh-CN" w:bidi="ar"/>
              </w:rPr>
              <w:t>4.8</w:t>
            </w:r>
            <w:r>
              <w:rPr>
                <w:rFonts w:hint="default" w:ascii="Times New Roman" w:hAnsi="Times New Roman" w:eastAsia="宋体" w:cs="Times New Roman"/>
                <w:b w:val="0"/>
                <w:bCs w:val="0"/>
                <w:color w:val="auto"/>
                <w:sz w:val="24"/>
                <w:szCs w:val="24"/>
                <w:highlight w:val="none"/>
                <w:u w:val="none" w:color="auto"/>
                <w:lang w:val="en-US" w:eastAsia="zh-CN"/>
              </w:rPr>
              <w:t>m</w:t>
            </w:r>
            <w:r>
              <w:rPr>
                <w:rFonts w:hint="default"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15"/>
                <w:szCs w:val="15"/>
                <w:lang w:val="en-US" w:eastAsia="zh-CN" w:bidi="ar"/>
              </w:rPr>
              <w:t xml:space="preserve"> </w:t>
            </w:r>
            <w:r>
              <w:rPr>
                <w:rFonts w:hint="default" w:ascii="Times New Roman" w:hAnsi="Times New Roman" w:eastAsia="宋体" w:cs="Times New Roman"/>
                <w:color w:val="000000"/>
                <w:kern w:val="0"/>
                <w:sz w:val="24"/>
                <w:szCs w:val="24"/>
                <w:lang w:val="en-US" w:eastAsia="zh-CN" w:bidi="ar"/>
              </w:rPr>
              <w:t>/d、</w:t>
            </w:r>
            <w:r>
              <w:rPr>
                <w:rFonts w:hint="default" w:ascii="Times New Roman" w:hAnsi="Times New Roman" w:cs="Times New Roman"/>
                <w:color w:val="000000"/>
                <w:kern w:val="0"/>
                <w:sz w:val="24"/>
                <w:szCs w:val="24"/>
                <w:lang w:val="en-US" w:eastAsia="zh-CN" w:bidi="ar"/>
              </w:rPr>
              <w:t>1440</w:t>
            </w:r>
            <w:r>
              <w:rPr>
                <w:rFonts w:hint="default" w:ascii="Times New Roman" w:hAnsi="Times New Roman" w:eastAsia="宋体" w:cs="Times New Roman"/>
                <w:b w:val="0"/>
                <w:bCs w:val="0"/>
                <w:color w:val="auto"/>
                <w:sz w:val="24"/>
                <w:szCs w:val="24"/>
                <w:highlight w:val="none"/>
                <w:u w:val="none" w:color="auto"/>
                <w:lang w:val="en-US" w:eastAsia="zh-CN"/>
              </w:rPr>
              <w:t>m</w:t>
            </w:r>
            <w:r>
              <w:rPr>
                <w:rFonts w:hint="default" w:ascii="Times New Roman" w:hAnsi="Times New Roman" w:eastAsia="宋体" w:cs="Times New Roman"/>
                <w:b w:val="0"/>
                <w:bCs w:val="0"/>
                <w:color w:val="auto"/>
                <w:sz w:val="24"/>
                <w:szCs w:val="24"/>
                <w:highlight w:val="none"/>
                <w:u w:val="none" w:color="auto"/>
                <w:vertAlign w:val="superscript"/>
                <w:lang w:val="en-US" w:eastAsia="zh-CN"/>
              </w:rPr>
              <w:t>3</w:t>
            </w:r>
            <w:r>
              <w:rPr>
                <w:rFonts w:hint="default" w:ascii="Times New Roman" w:hAnsi="Times New Roman" w:eastAsia="宋体" w:cs="Times New Roman"/>
                <w:color w:val="000000"/>
                <w:kern w:val="0"/>
                <w:sz w:val="24"/>
                <w:szCs w:val="24"/>
                <w:lang w:val="en-US" w:eastAsia="zh-CN" w:bidi="ar"/>
              </w:rPr>
              <w:t>/a，此部分水经沉淀及过滤处理后回用于磨边。</w:t>
            </w:r>
          </w:p>
          <w:p w14:paraId="5DE84119">
            <w:pPr>
              <w:keepNext w:val="0"/>
              <w:keepLines w:val="0"/>
              <w:pageBreakBefore w:val="0"/>
              <w:widowControl w:val="0"/>
              <w:numPr>
                <w:ilvl w:val="0"/>
                <w:numId w:val="0"/>
              </w:numPr>
              <w:kinsoku/>
              <w:wordWrap/>
              <w:overflowPunct/>
              <w:topLinePunct w:val="0"/>
              <w:bidi w:val="0"/>
              <w:adjustRightInd w:val="0"/>
              <w:snapToGrid w:val="0"/>
              <w:spacing w:line="348" w:lineRule="auto"/>
              <w:ind w:firstLine="480" w:firstLineChars="200"/>
              <w:jc w:val="left"/>
              <w:textAlignment w:val="auto"/>
              <w:rPr>
                <w:rFonts w:hint="eastAsia"/>
                <w:b w:val="0"/>
                <w:bCs w:val="0"/>
                <w:color w:val="auto"/>
                <w:sz w:val="24"/>
                <w:szCs w:val="24"/>
                <w:lang w:eastAsia="zh-CN"/>
              </w:rPr>
            </w:pPr>
            <w:r>
              <w:rPr>
                <w:rFonts w:hint="eastAsia" w:ascii="Times New Roman" w:hAnsi="Times New Roman" w:cs="Times New Roman"/>
                <w:color w:val="000000"/>
                <w:kern w:val="0"/>
                <w:sz w:val="24"/>
                <w:szCs w:val="24"/>
                <w:lang w:val="en-US" w:eastAsia="zh-CN" w:bidi="ar"/>
              </w:rPr>
              <w:t>（4）生活污水：本项目</w:t>
            </w:r>
            <w:r>
              <w:rPr>
                <w:rFonts w:hint="default" w:ascii="Times New Roman" w:hAnsi="Times New Roman" w:eastAsia="宋体" w:cs="Times New Roman"/>
                <w:b w:val="0"/>
                <w:bCs w:val="0"/>
                <w:color w:val="000000"/>
                <w:sz w:val="24"/>
                <w:szCs w:val="24"/>
              </w:rPr>
              <w:t>劳动定员</w:t>
            </w:r>
            <w:r>
              <w:rPr>
                <w:rFonts w:hint="eastAsia" w:cs="Times New Roman"/>
                <w:b w:val="0"/>
                <w:bCs w:val="0"/>
                <w:color w:val="000000"/>
                <w:sz w:val="24"/>
                <w:szCs w:val="24"/>
                <w:lang w:val="en-US" w:eastAsia="zh-CN"/>
              </w:rPr>
              <w:t>10</w:t>
            </w:r>
            <w:r>
              <w:rPr>
                <w:rFonts w:hint="eastAsia" w:ascii="Times New Roman" w:hAnsi="Times New Roman" w:cs="Times New Roman"/>
                <w:b w:val="0"/>
                <w:bCs w:val="0"/>
                <w:color w:val="000000"/>
                <w:sz w:val="24"/>
                <w:szCs w:val="24"/>
                <w:lang w:val="en-US" w:eastAsia="zh-CN"/>
              </w:rPr>
              <w:t>0</w:t>
            </w:r>
            <w:r>
              <w:rPr>
                <w:rFonts w:hint="default" w:ascii="Times New Roman" w:hAnsi="Times New Roman" w:eastAsia="宋体" w:cs="Times New Roman"/>
                <w:b w:val="0"/>
                <w:bCs w:val="0"/>
                <w:color w:val="000000"/>
                <w:sz w:val="24"/>
                <w:szCs w:val="24"/>
              </w:rPr>
              <w:t>人，年工作</w:t>
            </w:r>
            <w:r>
              <w:rPr>
                <w:rFonts w:hint="eastAsia" w:ascii="Times New Roman" w:hAnsi="Times New Roman" w:eastAsia="宋体" w:cs="Times New Roman"/>
                <w:b w:val="0"/>
                <w:bCs w:val="0"/>
                <w:color w:val="000000"/>
                <w:sz w:val="24"/>
                <w:szCs w:val="24"/>
                <w:lang w:val="en-US" w:eastAsia="zh-CN"/>
              </w:rPr>
              <w:t>300</w:t>
            </w:r>
            <w:r>
              <w:rPr>
                <w:rFonts w:hint="default" w:ascii="Times New Roman" w:hAnsi="Times New Roman" w:eastAsia="宋体" w:cs="Times New Roman"/>
                <w:b w:val="0"/>
                <w:bCs w:val="0"/>
                <w:color w:val="000000"/>
                <w:sz w:val="24"/>
                <w:szCs w:val="24"/>
              </w:rPr>
              <w:t>天，</w:t>
            </w:r>
            <w:r>
              <w:rPr>
                <w:rFonts w:hint="eastAsia" w:ascii="Times New Roman" w:hAnsi="Times New Roman" w:eastAsia="宋体" w:cs="Times New Roman"/>
                <w:b w:val="0"/>
                <w:bCs w:val="0"/>
                <w:color w:val="000000"/>
                <w:sz w:val="24"/>
                <w:szCs w:val="24"/>
                <w:lang w:val="en-US" w:eastAsia="zh-CN"/>
              </w:rPr>
              <w:t>均不</w:t>
            </w:r>
            <w:r>
              <w:rPr>
                <w:rFonts w:hint="default" w:ascii="Times New Roman" w:hAnsi="Times New Roman" w:eastAsia="宋体" w:cs="Times New Roman"/>
                <w:b w:val="0"/>
                <w:bCs w:val="0"/>
                <w:color w:val="000000"/>
                <w:sz w:val="24"/>
                <w:szCs w:val="24"/>
              </w:rPr>
              <w:t>在厂内食宿，</w:t>
            </w:r>
            <w:r>
              <w:rPr>
                <w:rFonts w:hint="default" w:ascii="Times New Roman" w:hAnsi="Times New Roman" w:eastAsia="宋体" w:cs="Times New Roman"/>
                <w:b w:val="0"/>
                <w:bCs w:val="0"/>
                <w:iCs/>
                <w:color w:val="000000"/>
                <w:sz w:val="24"/>
                <w:szCs w:val="24"/>
              </w:rPr>
              <w:t>参考河南省《工业与城镇生活用水定额》（DB41/T385-20</w:t>
            </w:r>
            <w:r>
              <w:rPr>
                <w:rFonts w:hint="default" w:ascii="Times New Roman" w:hAnsi="Times New Roman" w:eastAsia="宋体" w:cs="Times New Roman"/>
                <w:b w:val="0"/>
                <w:bCs w:val="0"/>
                <w:iCs/>
                <w:color w:val="000000"/>
                <w:sz w:val="24"/>
                <w:szCs w:val="24"/>
                <w:lang w:val="en-US" w:eastAsia="zh-CN"/>
              </w:rPr>
              <w:t>20</w:t>
            </w:r>
            <w:r>
              <w:rPr>
                <w:rFonts w:hint="default" w:ascii="Times New Roman" w:hAnsi="Times New Roman" w:eastAsia="宋体" w:cs="Times New Roman"/>
                <w:b w:val="0"/>
                <w:bCs w:val="0"/>
                <w:iCs/>
                <w:color w:val="000000"/>
                <w:sz w:val="24"/>
                <w:szCs w:val="24"/>
              </w:rPr>
              <w:t>），</w:t>
            </w:r>
            <w:r>
              <w:rPr>
                <w:rFonts w:hint="eastAsia" w:ascii="Times New Roman" w:hAnsi="Times New Roman" w:eastAsia="宋体" w:cs="Times New Roman"/>
                <w:b w:val="0"/>
                <w:bCs w:val="0"/>
                <w:iCs/>
                <w:color w:val="000000"/>
                <w:sz w:val="24"/>
                <w:szCs w:val="24"/>
                <w:lang w:val="en-US" w:eastAsia="zh-CN"/>
              </w:rPr>
              <w:t>员工</w:t>
            </w:r>
            <w:r>
              <w:rPr>
                <w:rFonts w:hint="default" w:ascii="Times New Roman" w:hAnsi="Times New Roman" w:eastAsia="宋体" w:cs="Times New Roman"/>
                <w:b w:val="0"/>
                <w:bCs w:val="0"/>
                <w:iCs/>
                <w:color w:val="000000"/>
                <w:sz w:val="24"/>
                <w:szCs w:val="24"/>
              </w:rPr>
              <w:t>生活用水量按</w:t>
            </w:r>
            <w:r>
              <w:rPr>
                <w:rFonts w:hint="eastAsia" w:ascii="Times New Roman" w:hAnsi="Times New Roman" w:eastAsia="宋体" w:cs="Times New Roman"/>
                <w:b w:val="0"/>
                <w:bCs w:val="0"/>
                <w:iCs/>
                <w:color w:val="000000"/>
                <w:sz w:val="24"/>
                <w:szCs w:val="24"/>
                <w:lang w:val="en-US" w:eastAsia="zh-CN"/>
              </w:rPr>
              <w:t>40</w:t>
            </w:r>
            <w:r>
              <w:rPr>
                <w:rFonts w:hint="default" w:ascii="Times New Roman" w:hAnsi="Times New Roman" w:eastAsia="宋体" w:cs="Times New Roman"/>
                <w:b w:val="0"/>
                <w:bCs w:val="0"/>
                <w:iCs/>
                <w:color w:val="000000"/>
                <w:sz w:val="24"/>
                <w:szCs w:val="24"/>
              </w:rPr>
              <w:t xml:space="preserve"> L/（人·d）计，</w:t>
            </w:r>
            <w:r>
              <w:rPr>
                <w:rFonts w:hint="default" w:ascii="Times New Roman" w:hAnsi="Times New Roman" w:eastAsia="宋体" w:cs="Times New Roman"/>
                <w:b w:val="0"/>
                <w:bCs w:val="0"/>
                <w:color w:val="000000"/>
                <w:sz w:val="24"/>
                <w:szCs w:val="24"/>
              </w:rPr>
              <w:t>项目生活用水为</w:t>
            </w:r>
            <w:r>
              <w:rPr>
                <w:rFonts w:hint="eastAsia" w:cs="Times New Roman"/>
                <w:b w:val="0"/>
                <w:bCs w:val="0"/>
                <w:color w:val="000000"/>
                <w:sz w:val="24"/>
                <w:szCs w:val="24"/>
                <w:lang w:val="en-US" w:eastAsia="zh-CN"/>
              </w:rPr>
              <w:t>1200</w:t>
            </w:r>
            <w:r>
              <w:rPr>
                <w:rFonts w:hint="default" w:ascii="Times New Roman" w:hAnsi="Times New Roman" w:eastAsia="宋体" w:cs="Times New Roman"/>
                <w:b w:val="0"/>
                <w:bCs w:val="0"/>
                <w:color w:val="000000"/>
                <w:sz w:val="24"/>
                <w:szCs w:val="24"/>
              </w:rPr>
              <w:t>m</w:t>
            </w:r>
            <w:r>
              <w:rPr>
                <w:rFonts w:hint="default" w:ascii="Times New Roman" w:hAnsi="Times New Roman" w:eastAsia="宋体" w:cs="Times New Roman"/>
                <w:b w:val="0"/>
                <w:bCs w:val="0"/>
                <w:color w:val="000000"/>
                <w:sz w:val="24"/>
                <w:szCs w:val="24"/>
                <w:vertAlign w:val="superscript"/>
              </w:rPr>
              <w:t>3</w:t>
            </w:r>
            <w:r>
              <w:rPr>
                <w:rFonts w:hint="default" w:ascii="Times New Roman" w:hAnsi="Times New Roman" w:eastAsia="宋体" w:cs="Times New Roman"/>
                <w:b w:val="0"/>
                <w:bCs w:val="0"/>
                <w:color w:val="000000"/>
                <w:sz w:val="24"/>
                <w:szCs w:val="24"/>
              </w:rPr>
              <w:t>/a（</w:t>
            </w:r>
            <w:r>
              <w:rPr>
                <w:rFonts w:hint="eastAsia" w:cs="Times New Roman"/>
                <w:b w:val="0"/>
                <w:bCs w:val="0"/>
                <w:color w:val="000000"/>
                <w:sz w:val="24"/>
                <w:szCs w:val="24"/>
                <w:lang w:val="en-US" w:eastAsia="zh-CN"/>
              </w:rPr>
              <w:t>4</w:t>
            </w:r>
            <w:r>
              <w:rPr>
                <w:rFonts w:hint="default" w:ascii="Times New Roman" w:hAnsi="Times New Roman" w:eastAsia="宋体" w:cs="Times New Roman"/>
                <w:b w:val="0"/>
                <w:bCs w:val="0"/>
                <w:color w:val="000000"/>
                <w:sz w:val="24"/>
                <w:szCs w:val="24"/>
              </w:rPr>
              <w:t>m</w:t>
            </w:r>
            <w:r>
              <w:rPr>
                <w:rFonts w:hint="default" w:ascii="Times New Roman" w:hAnsi="Times New Roman" w:eastAsia="宋体" w:cs="Times New Roman"/>
                <w:b w:val="0"/>
                <w:bCs w:val="0"/>
                <w:color w:val="000000"/>
                <w:sz w:val="24"/>
                <w:szCs w:val="24"/>
                <w:vertAlign w:val="superscript"/>
              </w:rPr>
              <w:t>3</w:t>
            </w:r>
            <w:r>
              <w:rPr>
                <w:rFonts w:hint="default" w:ascii="Times New Roman" w:hAnsi="Times New Roman" w:eastAsia="宋体" w:cs="Times New Roman"/>
                <w:b w:val="0"/>
                <w:bCs w:val="0"/>
                <w:color w:val="000000"/>
                <w:sz w:val="24"/>
                <w:szCs w:val="24"/>
              </w:rPr>
              <w:t>/d）</w:t>
            </w:r>
            <w:r>
              <w:rPr>
                <w:rFonts w:hint="eastAsia" w:ascii="Times New Roman" w:hAnsi="Times New Roman" w:eastAsia="宋体" w:cs="Times New Roman"/>
                <w:b w:val="0"/>
                <w:bCs w:val="0"/>
                <w:color w:val="000000"/>
                <w:sz w:val="24"/>
                <w:szCs w:val="24"/>
                <w:lang w:eastAsia="zh-CN"/>
              </w:rPr>
              <w:t>。</w:t>
            </w:r>
            <w:r>
              <w:rPr>
                <w:rFonts w:hint="default" w:ascii="Times New Roman" w:hAnsi="Times New Roman" w:eastAsia="宋体" w:cs="Times New Roman"/>
                <w:b w:val="0"/>
                <w:bCs w:val="0"/>
                <w:color w:val="000000"/>
                <w:sz w:val="24"/>
                <w:szCs w:val="24"/>
                <w:lang w:eastAsia="zh-CN"/>
              </w:rPr>
              <w:t>生活污水产生量</w:t>
            </w:r>
            <w:r>
              <w:rPr>
                <w:rFonts w:hint="eastAsia" w:ascii="Times New Roman" w:hAnsi="Times New Roman" w:eastAsia="宋体" w:cs="Times New Roman"/>
                <w:b w:val="0"/>
                <w:bCs w:val="0"/>
                <w:color w:val="000000"/>
                <w:sz w:val="24"/>
                <w:szCs w:val="24"/>
                <w:lang w:val="en-US" w:eastAsia="zh-CN"/>
              </w:rPr>
              <w:t>按</w:t>
            </w:r>
            <w:r>
              <w:rPr>
                <w:rFonts w:hint="default" w:ascii="Times New Roman" w:hAnsi="Times New Roman" w:eastAsia="宋体" w:cs="Times New Roman"/>
                <w:b w:val="0"/>
                <w:bCs w:val="0"/>
                <w:color w:val="000000"/>
                <w:sz w:val="24"/>
                <w:szCs w:val="24"/>
                <w:lang w:eastAsia="zh-CN"/>
              </w:rPr>
              <w:t>用水量的80%计，则本项目生活污水量为</w:t>
            </w:r>
            <w:r>
              <w:rPr>
                <w:rFonts w:hint="eastAsia" w:cs="Times New Roman"/>
                <w:b w:val="0"/>
                <w:bCs w:val="0"/>
                <w:color w:val="000000"/>
                <w:sz w:val="24"/>
                <w:szCs w:val="24"/>
                <w:lang w:val="en-US" w:eastAsia="zh-CN"/>
              </w:rPr>
              <w:t>960</w:t>
            </w:r>
            <w:r>
              <w:rPr>
                <w:rFonts w:hint="default" w:ascii="Times New Roman" w:hAnsi="Times New Roman" w:eastAsia="宋体" w:cs="Times New Roman"/>
                <w:b w:val="0"/>
                <w:bCs w:val="0"/>
                <w:color w:val="000000"/>
                <w:sz w:val="24"/>
                <w:szCs w:val="24"/>
                <w:lang w:eastAsia="zh-CN"/>
              </w:rPr>
              <w:t>m</w:t>
            </w:r>
            <w:r>
              <w:rPr>
                <w:rFonts w:hint="default" w:ascii="Times New Roman" w:hAnsi="Times New Roman" w:eastAsia="宋体" w:cs="Times New Roman"/>
                <w:b w:val="0"/>
                <w:bCs w:val="0"/>
                <w:color w:val="000000"/>
                <w:sz w:val="24"/>
                <w:szCs w:val="24"/>
                <w:vertAlign w:val="superscript"/>
                <w:lang w:eastAsia="zh-CN"/>
              </w:rPr>
              <w:t>3</w:t>
            </w:r>
            <w:r>
              <w:rPr>
                <w:rFonts w:hint="default" w:ascii="Times New Roman" w:hAnsi="Times New Roman" w:eastAsia="宋体" w:cs="Times New Roman"/>
                <w:b w:val="0"/>
                <w:bCs w:val="0"/>
                <w:color w:val="000000"/>
                <w:sz w:val="24"/>
                <w:szCs w:val="24"/>
                <w:lang w:eastAsia="zh-CN"/>
              </w:rPr>
              <w:t>/a（</w:t>
            </w:r>
            <w:r>
              <w:rPr>
                <w:rFonts w:hint="eastAsia" w:cs="Times New Roman"/>
                <w:b w:val="0"/>
                <w:bCs w:val="0"/>
                <w:color w:val="000000"/>
                <w:sz w:val="24"/>
                <w:szCs w:val="24"/>
                <w:lang w:val="en-US" w:eastAsia="zh-CN"/>
              </w:rPr>
              <w:t>3.2</w:t>
            </w:r>
            <w:r>
              <w:rPr>
                <w:rFonts w:hint="default" w:ascii="Times New Roman" w:hAnsi="Times New Roman" w:eastAsia="宋体" w:cs="Times New Roman"/>
                <w:b w:val="0"/>
                <w:bCs w:val="0"/>
                <w:color w:val="000000"/>
                <w:sz w:val="24"/>
                <w:szCs w:val="24"/>
                <w:lang w:eastAsia="zh-CN"/>
              </w:rPr>
              <w:t>m</w:t>
            </w:r>
            <w:r>
              <w:rPr>
                <w:rFonts w:hint="default" w:ascii="Times New Roman" w:hAnsi="Times New Roman" w:eastAsia="宋体" w:cs="Times New Roman"/>
                <w:b w:val="0"/>
                <w:bCs w:val="0"/>
                <w:color w:val="000000"/>
                <w:sz w:val="24"/>
                <w:szCs w:val="24"/>
                <w:vertAlign w:val="superscript"/>
                <w:lang w:eastAsia="zh-CN"/>
              </w:rPr>
              <w:t>3</w:t>
            </w:r>
            <w:r>
              <w:rPr>
                <w:rFonts w:hint="default" w:ascii="Times New Roman" w:hAnsi="Times New Roman" w:eastAsia="宋体" w:cs="Times New Roman"/>
                <w:b w:val="0"/>
                <w:bCs w:val="0"/>
                <w:color w:val="000000"/>
                <w:sz w:val="24"/>
                <w:szCs w:val="24"/>
                <w:lang w:eastAsia="zh-CN"/>
              </w:rPr>
              <w:t>/d）</w:t>
            </w:r>
            <w:r>
              <w:rPr>
                <w:rFonts w:hint="eastAsia"/>
                <w:b w:val="0"/>
                <w:bCs w:val="0"/>
                <w:color w:val="auto"/>
                <w:sz w:val="24"/>
                <w:szCs w:val="24"/>
                <w:lang w:val="en-US" w:eastAsia="zh-CN"/>
              </w:rPr>
              <w:t>。生活污水水质</w:t>
            </w:r>
            <w:r>
              <w:rPr>
                <w:b w:val="0"/>
                <w:bCs w:val="0"/>
                <w:color w:val="auto"/>
                <w:sz w:val="24"/>
                <w:szCs w:val="24"/>
              </w:rPr>
              <w:t>为</w:t>
            </w:r>
            <w:r>
              <w:rPr>
                <w:rFonts w:hint="eastAsia"/>
                <w:b w:val="0"/>
                <w:bCs w:val="0"/>
                <w:color w:val="auto"/>
                <w:sz w:val="24"/>
                <w:szCs w:val="24"/>
                <w:lang w:val="en-US" w:eastAsia="zh-CN"/>
              </w:rPr>
              <w:t>pH6~9、</w:t>
            </w:r>
            <w:r>
              <w:rPr>
                <w:rFonts w:hint="eastAsia"/>
                <w:b w:val="0"/>
                <w:bCs w:val="0"/>
                <w:color w:val="auto"/>
                <w:sz w:val="24"/>
                <w:szCs w:val="24"/>
              </w:rPr>
              <w:t xml:space="preserve">COD </w:t>
            </w:r>
            <w:r>
              <w:rPr>
                <w:b w:val="0"/>
                <w:bCs w:val="0"/>
                <w:color w:val="auto"/>
                <w:sz w:val="24"/>
                <w:szCs w:val="24"/>
              </w:rPr>
              <w:t>300mg/L、氨氮25mg/L、悬浮物200mg/L</w:t>
            </w:r>
            <w:r>
              <w:rPr>
                <w:rFonts w:hint="eastAsia"/>
                <w:b w:val="0"/>
                <w:bCs w:val="0"/>
                <w:color w:val="auto"/>
                <w:sz w:val="24"/>
                <w:szCs w:val="24"/>
                <w:lang w:eastAsia="zh-CN"/>
              </w:rPr>
              <w:t>、</w:t>
            </w:r>
            <w:r>
              <w:rPr>
                <w:rFonts w:hint="eastAsia"/>
                <w:b w:val="0"/>
                <w:bCs w:val="0"/>
                <w:color w:val="auto"/>
                <w:sz w:val="24"/>
                <w:szCs w:val="24"/>
                <w:lang w:val="en-US" w:eastAsia="zh-CN"/>
              </w:rPr>
              <w:t>BOD</w:t>
            </w:r>
            <w:r>
              <w:rPr>
                <w:rFonts w:hint="eastAsia"/>
                <w:b w:val="0"/>
                <w:bCs w:val="0"/>
                <w:color w:val="auto"/>
                <w:sz w:val="24"/>
                <w:szCs w:val="24"/>
                <w:vertAlign w:val="subscript"/>
                <w:lang w:val="en-US" w:eastAsia="zh-CN"/>
              </w:rPr>
              <w:t>5</w:t>
            </w:r>
            <w:r>
              <w:rPr>
                <w:b w:val="0"/>
                <w:bCs w:val="0"/>
                <w:color w:val="auto"/>
                <w:sz w:val="24"/>
                <w:szCs w:val="24"/>
              </w:rPr>
              <w:t>200mg/L</w:t>
            </w:r>
            <w:r>
              <w:rPr>
                <w:rFonts w:hint="eastAsia"/>
                <w:b w:val="0"/>
                <w:bCs w:val="0"/>
                <w:color w:val="auto"/>
                <w:sz w:val="24"/>
                <w:szCs w:val="24"/>
                <w:lang w:eastAsia="zh-CN"/>
              </w:rPr>
              <w:t>、</w:t>
            </w:r>
            <w:r>
              <w:rPr>
                <w:rFonts w:hint="eastAsia"/>
                <w:b w:val="0"/>
                <w:bCs w:val="0"/>
                <w:color w:val="auto"/>
                <w:sz w:val="24"/>
                <w:szCs w:val="24"/>
                <w:lang w:val="en-US" w:eastAsia="zh-CN"/>
              </w:rPr>
              <w:t>总磷5</w:t>
            </w:r>
            <w:r>
              <w:rPr>
                <w:b w:val="0"/>
                <w:bCs w:val="0"/>
                <w:color w:val="auto"/>
                <w:sz w:val="24"/>
                <w:szCs w:val="24"/>
              </w:rPr>
              <w:t>mg/L</w:t>
            </w:r>
            <w:r>
              <w:rPr>
                <w:rFonts w:hint="eastAsia"/>
                <w:b w:val="0"/>
                <w:bCs w:val="0"/>
                <w:color w:val="auto"/>
                <w:sz w:val="24"/>
                <w:szCs w:val="24"/>
                <w:lang w:eastAsia="zh-CN"/>
              </w:rPr>
              <w:t>。</w:t>
            </w:r>
          </w:p>
          <w:p w14:paraId="2EA92DDF">
            <w:pPr>
              <w:pStyle w:val="96"/>
              <w:ind w:firstLine="480"/>
              <w:rPr>
                <w:b w:val="0"/>
                <w:bCs w:val="0"/>
                <w:color w:val="auto"/>
              </w:rPr>
            </w:pPr>
            <w:r>
              <w:rPr>
                <w:rFonts w:hint="eastAsia"/>
                <w:b w:val="0"/>
                <w:bCs w:val="0"/>
                <w:color w:val="000000"/>
                <w:lang w:val="en-US" w:eastAsia="zh-CN"/>
              </w:rPr>
              <w:t>项目</w:t>
            </w:r>
            <w:r>
              <w:rPr>
                <w:rFonts w:hint="eastAsia" w:ascii="Times New Roman" w:hAnsi="Times New Roman" w:eastAsia="宋体" w:cs="Times New Roman"/>
                <w:b w:val="0"/>
                <w:bCs w:val="0"/>
                <w:color w:val="auto"/>
                <w:sz w:val="24"/>
                <w:szCs w:val="24"/>
                <w:highlight w:val="none"/>
                <w:u w:val="none" w:color="auto"/>
                <w:lang w:val="en-US" w:eastAsia="zh-CN"/>
              </w:rPr>
              <w:t>生活污水</w:t>
            </w:r>
            <w:r>
              <w:rPr>
                <w:rFonts w:hint="eastAsia" w:cs="Times New Roman"/>
                <w:b w:val="0"/>
                <w:bCs w:val="0"/>
                <w:color w:val="auto"/>
                <w:sz w:val="24"/>
                <w:szCs w:val="24"/>
                <w:highlight w:val="none"/>
                <w:u w:val="none" w:color="auto"/>
                <w:lang w:val="en-US" w:eastAsia="zh-CN"/>
              </w:rPr>
              <w:t>经</w:t>
            </w:r>
            <w:r>
              <w:rPr>
                <w:rFonts w:hint="eastAsia" w:ascii="Times New Roman" w:hAnsi="Times New Roman" w:eastAsia="宋体" w:cs="Times New Roman"/>
                <w:b w:val="0"/>
                <w:bCs w:val="0"/>
                <w:color w:val="auto"/>
                <w:sz w:val="24"/>
                <w:szCs w:val="24"/>
                <w:highlight w:val="none"/>
                <w:u w:val="none" w:color="auto"/>
                <w:lang w:val="en-US" w:eastAsia="zh-CN"/>
              </w:rPr>
              <w:t>化粪池处理后经厂区总排口排入市政管网</w:t>
            </w:r>
            <w:r>
              <w:rPr>
                <w:rFonts w:hint="eastAsia"/>
                <w:b w:val="0"/>
                <w:bCs w:val="0"/>
                <w:color w:val="000000"/>
              </w:rPr>
              <w:t>进入淮阳区第</w:t>
            </w:r>
            <w:r>
              <w:rPr>
                <w:rFonts w:hint="eastAsia"/>
                <w:b w:val="0"/>
                <w:bCs w:val="0"/>
                <w:color w:val="000000"/>
                <w:lang w:val="en-US" w:eastAsia="zh-CN"/>
              </w:rPr>
              <w:t>二</w:t>
            </w:r>
            <w:r>
              <w:rPr>
                <w:rFonts w:hint="eastAsia"/>
                <w:b w:val="0"/>
                <w:bCs w:val="0"/>
                <w:color w:val="000000"/>
              </w:rPr>
              <w:t>污水处理厂进一步处理</w:t>
            </w:r>
            <w:r>
              <w:rPr>
                <w:rFonts w:hint="eastAsia"/>
                <w:b w:val="0"/>
                <w:bCs w:val="0"/>
                <w:color w:val="000000"/>
                <w:lang w:val="en-US" w:eastAsia="zh-CN"/>
              </w:rPr>
              <w:t>后排放。</w:t>
            </w:r>
            <w:r>
              <w:rPr>
                <w:rFonts w:hint="default"/>
                <w:b w:val="0"/>
                <w:bCs w:val="0"/>
                <w:color w:val="auto"/>
              </w:rPr>
              <w:t>本项目</w:t>
            </w:r>
            <w:r>
              <w:rPr>
                <w:rFonts w:hint="default"/>
                <w:b w:val="0"/>
                <w:bCs w:val="0"/>
                <w:color w:val="auto"/>
                <w:lang w:val="en-US" w:eastAsia="zh-CN"/>
              </w:rPr>
              <w:t>厂区</w:t>
            </w:r>
            <w:r>
              <w:rPr>
                <w:rFonts w:hint="eastAsia"/>
                <w:b w:val="0"/>
                <w:bCs w:val="0"/>
                <w:color w:val="auto"/>
                <w:lang w:val="en-US" w:eastAsia="zh-CN"/>
              </w:rPr>
              <w:t>总排口废水</w:t>
            </w:r>
            <w:r>
              <w:rPr>
                <w:rFonts w:hint="default"/>
                <w:b w:val="0"/>
                <w:bCs w:val="0"/>
                <w:color w:val="auto"/>
                <w:lang w:eastAsia="zh-CN"/>
              </w:rPr>
              <w:t>排放</w:t>
            </w:r>
            <w:r>
              <w:rPr>
                <w:b w:val="0"/>
                <w:bCs w:val="0"/>
                <w:color w:val="auto"/>
              </w:rPr>
              <w:t>浓度能够满足《污水综合排放标准》（GB8978-1996）表4三级排放标准和淮阳区</w:t>
            </w:r>
            <w:r>
              <w:rPr>
                <w:rFonts w:hint="eastAsia"/>
                <w:b w:val="0"/>
                <w:bCs w:val="0"/>
                <w:color w:val="auto"/>
              </w:rPr>
              <w:t>第</w:t>
            </w:r>
            <w:r>
              <w:rPr>
                <w:rFonts w:hint="eastAsia"/>
                <w:b w:val="0"/>
                <w:bCs w:val="0"/>
                <w:color w:val="auto"/>
                <w:lang w:val="en-US" w:eastAsia="zh-CN"/>
              </w:rPr>
              <w:t>二</w:t>
            </w:r>
            <w:r>
              <w:rPr>
                <w:b w:val="0"/>
                <w:bCs w:val="0"/>
                <w:color w:val="auto"/>
              </w:rPr>
              <w:t>污水处理厂</w:t>
            </w:r>
            <w:r>
              <w:rPr>
                <w:rFonts w:hint="eastAsia"/>
                <w:b w:val="0"/>
                <w:bCs w:val="0"/>
                <w:color w:val="auto"/>
                <w:lang w:val="en-US" w:eastAsia="zh-CN"/>
              </w:rPr>
              <w:t>收水</w:t>
            </w:r>
            <w:r>
              <w:rPr>
                <w:b w:val="0"/>
                <w:bCs w:val="0"/>
                <w:color w:val="auto"/>
              </w:rPr>
              <w:t>水质标准</w:t>
            </w:r>
            <w:r>
              <w:rPr>
                <w:rFonts w:hint="eastAsia"/>
                <w:b w:val="0"/>
                <w:bCs w:val="0"/>
                <w:color w:val="auto"/>
                <w:lang w:val="en-US" w:eastAsia="zh-CN"/>
              </w:rPr>
              <w:t>要求</w:t>
            </w:r>
            <w:r>
              <w:rPr>
                <w:b w:val="0"/>
                <w:bCs w:val="0"/>
                <w:color w:val="auto"/>
              </w:rPr>
              <w:t>。</w:t>
            </w:r>
          </w:p>
          <w:p w14:paraId="0DA1CFF2">
            <w:pPr>
              <w:pStyle w:val="100"/>
              <w:spacing w:line="360" w:lineRule="auto"/>
              <w:ind w:firstLine="480" w:firstLineChars="200"/>
              <w:jc w:val="both"/>
              <w:rPr>
                <w:rFonts w:hint="default" w:ascii="Times New Roman" w:hAnsi="Times New Roman" w:eastAsia="宋体" w:cs="Times New Roman"/>
                <w:b w:val="0"/>
                <w:bCs w:val="0"/>
                <w:snapToGrid w:val="0"/>
                <w:color w:val="auto"/>
                <w:kern w:val="0"/>
                <w:sz w:val="24"/>
                <w:u w:val="none"/>
              </w:rPr>
            </w:pPr>
            <w:r>
              <w:rPr>
                <w:rFonts w:hint="default" w:ascii="Times New Roman" w:hAnsi="Times New Roman" w:eastAsia="宋体" w:cs="Times New Roman"/>
                <w:b w:val="0"/>
                <w:bCs w:val="0"/>
                <w:snapToGrid w:val="0"/>
                <w:color w:val="auto"/>
                <w:kern w:val="0"/>
                <w:sz w:val="24"/>
                <w:lang w:val="en-US" w:eastAsia="zh-CN"/>
              </w:rPr>
              <w:t>本项目废水排放情况信息见表</w:t>
            </w:r>
            <w:r>
              <w:rPr>
                <w:rFonts w:hint="default" w:ascii="Times New Roman" w:hAnsi="Times New Roman" w:cs="Times New Roman"/>
                <w:b w:val="0"/>
                <w:bCs w:val="0"/>
                <w:snapToGrid w:val="0"/>
                <w:color w:val="auto"/>
                <w:kern w:val="0"/>
                <w:sz w:val="24"/>
                <w:lang w:val="en-US" w:eastAsia="zh-CN"/>
              </w:rPr>
              <w:t>4-7~</w:t>
            </w:r>
            <w:r>
              <w:rPr>
                <w:rFonts w:hint="default" w:ascii="Times New Roman" w:hAnsi="Times New Roman" w:eastAsia="宋体" w:cs="Times New Roman"/>
                <w:b w:val="0"/>
                <w:bCs w:val="0"/>
                <w:snapToGrid w:val="0"/>
                <w:color w:val="auto"/>
                <w:kern w:val="0"/>
                <w:sz w:val="24"/>
                <w:lang w:val="en-US" w:eastAsia="zh-CN"/>
              </w:rPr>
              <w:t>表</w:t>
            </w:r>
            <w:r>
              <w:rPr>
                <w:rFonts w:hint="default" w:ascii="Times New Roman" w:hAnsi="Times New Roman" w:cs="Times New Roman"/>
                <w:b w:val="0"/>
                <w:bCs w:val="0"/>
                <w:snapToGrid w:val="0"/>
                <w:color w:val="auto"/>
                <w:kern w:val="0"/>
                <w:sz w:val="24"/>
                <w:lang w:val="en-US" w:eastAsia="zh-CN"/>
              </w:rPr>
              <w:t>4-10</w:t>
            </w:r>
            <w:r>
              <w:rPr>
                <w:rFonts w:hint="default" w:ascii="Times New Roman" w:hAnsi="Times New Roman" w:eastAsia="宋体" w:cs="Times New Roman"/>
                <w:b w:val="0"/>
                <w:bCs w:val="0"/>
                <w:snapToGrid w:val="0"/>
                <w:color w:val="auto"/>
                <w:kern w:val="0"/>
                <w:sz w:val="24"/>
                <w:lang w:val="en-US" w:eastAsia="zh-CN"/>
              </w:rPr>
              <w:t>。</w:t>
            </w:r>
          </w:p>
          <w:p w14:paraId="21511A4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default" w:ascii="Times New Roman" w:hAnsi="Times New Roman" w:eastAsia="宋体" w:cs="Times New Roman"/>
                <w:b/>
                <w:bCs/>
                <w:snapToGrid w:val="0"/>
                <w:color w:val="auto"/>
                <w:kern w:val="0"/>
                <w:sz w:val="24"/>
                <w:szCs w:val="24"/>
                <w:lang w:val="en-US" w:eastAsia="zh-CN" w:bidi="ar-SA"/>
              </w:rPr>
              <w:t>表</w:t>
            </w:r>
            <w:r>
              <w:rPr>
                <w:rFonts w:hint="eastAsia" w:ascii="Times New Roman" w:hAnsi="Times New Roman" w:eastAsia="宋体" w:cs="Times New Roman"/>
                <w:b/>
                <w:bCs/>
                <w:snapToGrid w:val="0"/>
                <w:color w:val="auto"/>
                <w:kern w:val="0"/>
                <w:sz w:val="24"/>
                <w:szCs w:val="24"/>
                <w:lang w:val="en-US" w:eastAsia="zh-CN" w:bidi="ar-SA"/>
              </w:rPr>
              <w:t>4-7</w:t>
            </w:r>
            <w:r>
              <w:rPr>
                <w:rFonts w:hint="default"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default" w:ascii="Times New Roman" w:hAnsi="Times New Roman" w:eastAsia="宋体"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default" w:ascii="Times New Roman" w:hAnsi="Times New Roman" w:eastAsia="宋体" w:cs="Times New Roman"/>
                <w:b/>
                <w:bCs/>
                <w:snapToGrid w:val="0"/>
                <w:color w:val="auto"/>
                <w:kern w:val="0"/>
                <w:sz w:val="24"/>
                <w:szCs w:val="24"/>
                <w:lang w:val="en-US" w:eastAsia="zh-CN" w:bidi="ar-SA"/>
              </w:rPr>
              <w:t>废水类别、污染物及污染物治理设施信息表</w:t>
            </w:r>
          </w:p>
          <w:tbl>
            <w:tblPr>
              <w:tblStyle w:val="39"/>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487"/>
              <w:gridCol w:w="1060"/>
              <w:gridCol w:w="952"/>
              <w:gridCol w:w="766"/>
              <w:gridCol w:w="670"/>
              <w:gridCol w:w="698"/>
              <w:gridCol w:w="670"/>
              <w:gridCol w:w="670"/>
              <w:gridCol w:w="905"/>
              <w:gridCol w:w="832"/>
              <w:gridCol w:w="835"/>
            </w:tblGrid>
            <w:tr w14:paraId="4EBCB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48" w:hRule="atLeast"/>
                <w:jc w:val="center"/>
              </w:trPr>
              <w:tc>
                <w:tcPr>
                  <w:tcW w:w="286" w:type="pct"/>
                  <w:tcBorders>
                    <w:tl2br w:val="nil"/>
                    <w:tr2bl w:val="nil"/>
                  </w:tcBorders>
                  <w:noWrap w:val="0"/>
                  <w:vAlign w:val="center"/>
                </w:tcPr>
                <w:p w14:paraId="4D24454D">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序号</w:t>
                  </w:r>
                </w:p>
              </w:tc>
              <w:tc>
                <w:tcPr>
                  <w:tcW w:w="621" w:type="pct"/>
                  <w:tcBorders>
                    <w:tl2br w:val="nil"/>
                    <w:tr2bl w:val="nil"/>
                  </w:tcBorders>
                  <w:noWrap w:val="0"/>
                  <w:vAlign w:val="center"/>
                </w:tcPr>
                <w:p w14:paraId="6C5A5976">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废水</w:t>
                  </w:r>
                </w:p>
                <w:p w14:paraId="7E5E872D">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类别</w:t>
                  </w:r>
                </w:p>
              </w:tc>
              <w:tc>
                <w:tcPr>
                  <w:tcW w:w="558" w:type="pct"/>
                  <w:tcBorders>
                    <w:tl2br w:val="nil"/>
                    <w:tr2bl w:val="nil"/>
                  </w:tcBorders>
                  <w:noWrap w:val="0"/>
                  <w:vAlign w:val="center"/>
                </w:tcPr>
                <w:p w14:paraId="465FD77A">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污染物种类</w:t>
                  </w:r>
                </w:p>
              </w:tc>
              <w:tc>
                <w:tcPr>
                  <w:tcW w:w="449" w:type="pct"/>
                  <w:tcBorders>
                    <w:tl2br w:val="nil"/>
                    <w:tr2bl w:val="nil"/>
                  </w:tcBorders>
                  <w:noWrap w:val="0"/>
                  <w:vAlign w:val="center"/>
                </w:tcPr>
                <w:p w14:paraId="3D4596C7">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w:t>
                  </w:r>
                </w:p>
                <w:p w14:paraId="7F5409CE">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去向</w:t>
                  </w:r>
                </w:p>
              </w:tc>
              <w:tc>
                <w:tcPr>
                  <w:tcW w:w="393" w:type="pct"/>
                  <w:tcBorders>
                    <w:tl2br w:val="nil"/>
                    <w:tr2bl w:val="nil"/>
                  </w:tcBorders>
                  <w:noWrap w:val="0"/>
                  <w:vAlign w:val="center"/>
                </w:tcPr>
                <w:p w14:paraId="042F53DE">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w:t>
                  </w:r>
                </w:p>
                <w:p w14:paraId="551BBAB7">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规律</w:t>
                  </w:r>
                </w:p>
              </w:tc>
              <w:tc>
                <w:tcPr>
                  <w:tcW w:w="393" w:type="pct"/>
                  <w:tcBorders>
                    <w:tl2br w:val="nil"/>
                    <w:tr2bl w:val="nil"/>
                  </w:tcBorders>
                  <w:noWrap w:val="0"/>
                  <w:vAlign w:val="center"/>
                </w:tcPr>
                <w:p w14:paraId="2708C520">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污染治理设施编号</w:t>
                  </w:r>
                </w:p>
              </w:tc>
              <w:tc>
                <w:tcPr>
                  <w:tcW w:w="393" w:type="pct"/>
                  <w:tcBorders>
                    <w:tl2br w:val="nil"/>
                    <w:tr2bl w:val="nil"/>
                  </w:tcBorders>
                  <w:noWrap w:val="0"/>
                  <w:vAlign w:val="center"/>
                </w:tcPr>
                <w:p w14:paraId="4DCFD8F6">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污染治理</w:t>
                  </w:r>
                </w:p>
                <w:p w14:paraId="305F4216">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设施名称</w:t>
                  </w:r>
                </w:p>
              </w:tc>
              <w:tc>
                <w:tcPr>
                  <w:tcW w:w="393" w:type="pct"/>
                  <w:tcBorders>
                    <w:tl2br w:val="nil"/>
                    <w:tr2bl w:val="nil"/>
                  </w:tcBorders>
                  <w:noWrap w:val="0"/>
                  <w:vAlign w:val="center"/>
                </w:tcPr>
                <w:p w14:paraId="35093DA6">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污染治理</w:t>
                  </w:r>
                </w:p>
                <w:p w14:paraId="51D70702">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设施工艺</w:t>
                  </w:r>
                </w:p>
              </w:tc>
              <w:tc>
                <w:tcPr>
                  <w:tcW w:w="530" w:type="pct"/>
                  <w:tcBorders>
                    <w:tl2br w:val="nil"/>
                    <w:tr2bl w:val="nil"/>
                  </w:tcBorders>
                  <w:noWrap w:val="0"/>
                  <w:vAlign w:val="center"/>
                </w:tcPr>
                <w:p w14:paraId="195707A5">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排放口编号</w:t>
                  </w:r>
                </w:p>
              </w:tc>
              <w:tc>
                <w:tcPr>
                  <w:tcW w:w="487" w:type="pct"/>
                  <w:tcBorders>
                    <w:tl2br w:val="nil"/>
                    <w:tr2bl w:val="nil"/>
                  </w:tcBorders>
                  <w:noWrap w:val="0"/>
                  <w:vAlign w:val="center"/>
                </w:tcPr>
                <w:p w14:paraId="16F3355E">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排放口是否符合要求</w:t>
                  </w:r>
                </w:p>
              </w:tc>
              <w:tc>
                <w:tcPr>
                  <w:tcW w:w="489" w:type="pct"/>
                  <w:tcBorders>
                    <w:tl2br w:val="nil"/>
                    <w:tr2bl w:val="nil"/>
                  </w:tcBorders>
                  <w:noWrap w:val="0"/>
                  <w:vAlign w:val="center"/>
                </w:tcPr>
                <w:p w14:paraId="00F48EBE">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w:t>
                  </w:r>
                </w:p>
                <w:p w14:paraId="18171611">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类型</w:t>
                  </w:r>
                </w:p>
              </w:tc>
            </w:tr>
            <w:tr w14:paraId="41A6E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18" w:hRule="atLeast"/>
                <w:jc w:val="center"/>
              </w:trPr>
              <w:tc>
                <w:tcPr>
                  <w:tcW w:w="286" w:type="pct"/>
                  <w:tcBorders>
                    <w:tl2br w:val="nil"/>
                    <w:tr2bl w:val="nil"/>
                  </w:tcBorders>
                  <w:noWrap w:val="0"/>
                  <w:vAlign w:val="center"/>
                </w:tcPr>
                <w:p w14:paraId="5A5313E3">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1</w:t>
                  </w:r>
                </w:p>
              </w:tc>
              <w:tc>
                <w:tcPr>
                  <w:tcW w:w="621" w:type="pct"/>
                  <w:tcBorders>
                    <w:tl2br w:val="nil"/>
                    <w:tr2bl w:val="nil"/>
                  </w:tcBorders>
                  <w:noWrap w:val="0"/>
                  <w:vAlign w:val="center"/>
                </w:tcPr>
                <w:p w14:paraId="2AFC77E0">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生产废水</w:t>
                  </w:r>
                </w:p>
              </w:tc>
              <w:tc>
                <w:tcPr>
                  <w:tcW w:w="558" w:type="pct"/>
                  <w:tcBorders>
                    <w:tl2br w:val="nil"/>
                    <w:tr2bl w:val="nil"/>
                  </w:tcBorders>
                  <w:noWrap w:val="0"/>
                  <w:vAlign w:val="center"/>
                </w:tcPr>
                <w:p w14:paraId="0FD88B5C">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cs="Times New Roman"/>
                      <w:b w:val="0"/>
                      <w:bCs w:val="0"/>
                      <w:snapToGrid w:val="0"/>
                      <w:color w:val="auto"/>
                      <w:kern w:val="0"/>
                      <w:sz w:val="21"/>
                      <w:szCs w:val="21"/>
                      <w:lang w:val="en-US" w:eastAsia="zh-CN"/>
                    </w:rPr>
                    <w:t>SS</w:t>
                  </w:r>
                  <w:r>
                    <w:rPr>
                      <w:rFonts w:hint="default" w:ascii="Times New Roman" w:hAnsi="Times New Roman" w:eastAsia="宋体" w:cs="Times New Roman"/>
                      <w:b w:val="0"/>
                      <w:bCs w:val="0"/>
                      <w:snapToGrid w:val="0"/>
                      <w:color w:val="auto"/>
                      <w:kern w:val="0"/>
                      <w:sz w:val="21"/>
                      <w:szCs w:val="21"/>
                      <w:lang w:val="en-US" w:eastAsia="zh-CN"/>
                    </w:rPr>
                    <w:t>等</w:t>
                  </w:r>
                </w:p>
              </w:tc>
              <w:tc>
                <w:tcPr>
                  <w:tcW w:w="449" w:type="pct"/>
                  <w:vMerge w:val="restart"/>
                  <w:tcBorders>
                    <w:tl2br w:val="nil"/>
                    <w:tr2bl w:val="nil"/>
                  </w:tcBorders>
                  <w:noWrap w:val="0"/>
                  <w:vAlign w:val="center"/>
                </w:tcPr>
                <w:p w14:paraId="1CE92499">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lang w:val="en-US" w:eastAsia="zh-CN"/>
                    </w:rPr>
                    <w:t>淮阳区第</w:t>
                  </w:r>
                  <w:r>
                    <w:rPr>
                      <w:rFonts w:hint="eastAsia" w:cs="Times New Roman"/>
                      <w:b w:val="0"/>
                      <w:bCs w:val="0"/>
                      <w:snapToGrid w:val="0"/>
                      <w:color w:val="auto"/>
                      <w:kern w:val="0"/>
                      <w:sz w:val="21"/>
                      <w:szCs w:val="21"/>
                      <w:lang w:val="en-US" w:eastAsia="zh-CN"/>
                    </w:rPr>
                    <w:t>二</w:t>
                  </w:r>
                  <w:r>
                    <w:rPr>
                      <w:rFonts w:hint="default" w:ascii="Times New Roman" w:hAnsi="Times New Roman" w:eastAsia="宋体" w:cs="Times New Roman"/>
                      <w:b w:val="0"/>
                      <w:bCs w:val="0"/>
                      <w:snapToGrid w:val="0"/>
                      <w:color w:val="auto"/>
                      <w:kern w:val="0"/>
                      <w:sz w:val="21"/>
                      <w:szCs w:val="21"/>
                      <w:lang w:val="en-US" w:eastAsia="zh-CN"/>
                    </w:rPr>
                    <w:t>污水处理厂</w:t>
                  </w:r>
                </w:p>
              </w:tc>
              <w:tc>
                <w:tcPr>
                  <w:tcW w:w="393" w:type="pct"/>
                  <w:tcBorders>
                    <w:tl2br w:val="nil"/>
                    <w:tr2bl w:val="nil"/>
                  </w:tcBorders>
                  <w:noWrap w:val="0"/>
                  <w:vAlign w:val="center"/>
                </w:tcPr>
                <w:p w14:paraId="642E6CF9">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cs="Times New Roman"/>
                      <w:b w:val="0"/>
                      <w:bCs w:val="0"/>
                      <w:snapToGrid w:val="0"/>
                      <w:color w:val="auto"/>
                      <w:kern w:val="0"/>
                      <w:sz w:val="21"/>
                      <w:szCs w:val="21"/>
                      <w:lang w:val="en-US" w:eastAsia="zh-CN"/>
                    </w:rPr>
                    <w:t>不外排</w:t>
                  </w:r>
                </w:p>
              </w:tc>
              <w:tc>
                <w:tcPr>
                  <w:tcW w:w="393" w:type="pct"/>
                  <w:tcBorders>
                    <w:tl2br w:val="nil"/>
                    <w:tr2bl w:val="nil"/>
                  </w:tcBorders>
                  <w:noWrap w:val="0"/>
                  <w:vAlign w:val="center"/>
                </w:tcPr>
                <w:p w14:paraId="551951A9">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cs="Times New Roman"/>
                      <w:b w:val="0"/>
                      <w:bCs w:val="0"/>
                      <w:snapToGrid w:val="0"/>
                      <w:color w:val="auto"/>
                      <w:kern w:val="0"/>
                      <w:sz w:val="21"/>
                      <w:szCs w:val="21"/>
                      <w:lang w:val="en-US" w:eastAsia="zh-CN"/>
                    </w:rPr>
                    <w:t>/</w:t>
                  </w:r>
                </w:p>
              </w:tc>
              <w:tc>
                <w:tcPr>
                  <w:tcW w:w="393" w:type="pct"/>
                  <w:tcBorders>
                    <w:tl2br w:val="nil"/>
                    <w:tr2bl w:val="nil"/>
                  </w:tcBorders>
                  <w:noWrap w:val="0"/>
                  <w:vAlign w:val="center"/>
                </w:tcPr>
                <w:p w14:paraId="10E9D5E3">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eastAsia="zh-CN"/>
                    </w:rPr>
                  </w:pPr>
                  <w:r>
                    <w:rPr>
                      <w:rFonts w:hint="eastAsia" w:cs="Times New Roman"/>
                      <w:b w:val="0"/>
                      <w:bCs w:val="0"/>
                      <w:snapToGrid w:val="0"/>
                      <w:color w:val="auto"/>
                      <w:kern w:val="0"/>
                      <w:sz w:val="21"/>
                      <w:szCs w:val="21"/>
                      <w:lang w:val="en-US" w:eastAsia="zh-CN"/>
                    </w:rPr>
                    <w:t>/</w:t>
                  </w:r>
                </w:p>
              </w:tc>
              <w:tc>
                <w:tcPr>
                  <w:tcW w:w="393" w:type="pct"/>
                  <w:tcBorders>
                    <w:tl2br w:val="nil"/>
                    <w:tr2bl w:val="nil"/>
                  </w:tcBorders>
                  <w:noWrap w:val="0"/>
                  <w:vAlign w:val="center"/>
                </w:tcPr>
                <w:p w14:paraId="3762B45E">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p>
              </w:tc>
              <w:tc>
                <w:tcPr>
                  <w:tcW w:w="530" w:type="pct"/>
                  <w:vMerge w:val="restart"/>
                  <w:tcBorders>
                    <w:tl2br w:val="nil"/>
                    <w:tr2bl w:val="nil"/>
                  </w:tcBorders>
                  <w:noWrap w:val="0"/>
                  <w:vAlign w:val="center"/>
                </w:tcPr>
                <w:p w14:paraId="6938B2AD">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DW0</w:t>
                  </w:r>
                  <w:r>
                    <w:rPr>
                      <w:rFonts w:hint="default" w:ascii="Times New Roman" w:hAnsi="Times New Roman" w:eastAsia="宋体" w:cs="Times New Roman"/>
                      <w:b w:val="0"/>
                      <w:bCs w:val="0"/>
                      <w:snapToGrid w:val="0"/>
                      <w:color w:val="auto"/>
                      <w:kern w:val="0"/>
                      <w:sz w:val="21"/>
                      <w:szCs w:val="21"/>
                    </w:rPr>
                    <w:t>01</w:t>
                  </w:r>
                </w:p>
              </w:tc>
              <w:tc>
                <w:tcPr>
                  <w:tcW w:w="487" w:type="pct"/>
                  <w:vMerge w:val="restart"/>
                  <w:tcBorders>
                    <w:tl2br w:val="nil"/>
                    <w:tr2bl w:val="nil"/>
                  </w:tcBorders>
                  <w:noWrap w:val="0"/>
                  <w:vAlign w:val="center"/>
                </w:tcPr>
                <w:p w14:paraId="63789189">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☑是</w:t>
                  </w:r>
                </w:p>
              </w:tc>
              <w:tc>
                <w:tcPr>
                  <w:tcW w:w="489" w:type="pct"/>
                  <w:vMerge w:val="restart"/>
                  <w:tcBorders>
                    <w:tl2br w:val="nil"/>
                    <w:tr2bl w:val="nil"/>
                  </w:tcBorders>
                  <w:noWrap w:val="0"/>
                  <w:vAlign w:val="center"/>
                </w:tcPr>
                <w:p w14:paraId="0D1EF2A1">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☑企业总排</w:t>
                  </w:r>
                </w:p>
              </w:tc>
            </w:tr>
            <w:tr w14:paraId="1F0DB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8" w:hRule="atLeast"/>
                <w:jc w:val="center"/>
              </w:trPr>
              <w:tc>
                <w:tcPr>
                  <w:tcW w:w="286" w:type="pct"/>
                  <w:tcBorders>
                    <w:tl2br w:val="nil"/>
                    <w:tr2bl w:val="nil"/>
                  </w:tcBorders>
                  <w:noWrap w:val="0"/>
                  <w:vAlign w:val="center"/>
                </w:tcPr>
                <w:p w14:paraId="76937609">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2</w:t>
                  </w:r>
                </w:p>
              </w:tc>
              <w:tc>
                <w:tcPr>
                  <w:tcW w:w="621" w:type="pct"/>
                  <w:tcBorders>
                    <w:tl2br w:val="nil"/>
                    <w:tr2bl w:val="nil"/>
                  </w:tcBorders>
                  <w:noWrap w:val="0"/>
                  <w:vAlign w:val="center"/>
                </w:tcPr>
                <w:p w14:paraId="70095838">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bidi="ar-SA"/>
                    </w:rPr>
                  </w:pPr>
                  <w:r>
                    <w:rPr>
                      <w:rFonts w:hint="default" w:ascii="Times New Roman" w:hAnsi="Times New Roman" w:eastAsia="宋体" w:cs="Times New Roman"/>
                      <w:b w:val="0"/>
                      <w:bCs w:val="0"/>
                      <w:snapToGrid w:val="0"/>
                      <w:color w:val="auto"/>
                      <w:kern w:val="0"/>
                      <w:sz w:val="21"/>
                      <w:szCs w:val="21"/>
                      <w:lang w:val="en-US" w:eastAsia="zh-CN"/>
                    </w:rPr>
                    <w:t>生活污水</w:t>
                  </w:r>
                </w:p>
              </w:tc>
              <w:tc>
                <w:tcPr>
                  <w:tcW w:w="558" w:type="pct"/>
                  <w:tcBorders>
                    <w:tl2br w:val="nil"/>
                    <w:tr2bl w:val="nil"/>
                  </w:tcBorders>
                  <w:noWrap w:val="0"/>
                  <w:vAlign w:val="center"/>
                </w:tcPr>
                <w:p w14:paraId="192DED57">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bidi="ar-SA"/>
                    </w:rPr>
                  </w:pPr>
                  <w:r>
                    <w:rPr>
                      <w:rFonts w:hint="default" w:ascii="Times New Roman" w:hAnsi="Times New Roman" w:eastAsia="宋体" w:cs="Times New Roman"/>
                      <w:b w:val="0"/>
                      <w:bCs w:val="0"/>
                      <w:snapToGrid w:val="0"/>
                      <w:color w:val="auto"/>
                      <w:kern w:val="0"/>
                      <w:sz w:val="21"/>
                      <w:szCs w:val="21"/>
                    </w:rPr>
                    <w:t>COD、NH</w:t>
                  </w:r>
                  <w:r>
                    <w:rPr>
                      <w:rFonts w:hint="default" w:ascii="Times New Roman" w:hAnsi="Times New Roman" w:eastAsia="宋体" w:cs="Times New Roman"/>
                      <w:b w:val="0"/>
                      <w:bCs w:val="0"/>
                      <w:snapToGrid w:val="0"/>
                      <w:color w:val="auto"/>
                      <w:kern w:val="0"/>
                      <w:sz w:val="21"/>
                      <w:szCs w:val="21"/>
                      <w:vertAlign w:val="subscript"/>
                    </w:rPr>
                    <w:t>3</w:t>
                  </w:r>
                  <w:r>
                    <w:rPr>
                      <w:rFonts w:hint="default" w:ascii="Times New Roman" w:hAnsi="Times New Roman" w:eastAsia="宋体" w:cs="Times New Roman"/>
                      <w:b w:val="0"/>
                      <w:bCs w:val="0"/>
                      <w:snapToGrid w:val="0"/>
                      <w:color w:val="auto"/>
                      <w:kern w:val="0"/>
                      <w:sz w:val="21"/>
                      <w:szCs w:val="21"/>
                    </w:rPr>
                    <w:t>-N</w:t>
                  </w:r>
                  <w:r>
                    <w:rPr>
                      <w:rFonts w:hint="default" w:ascii="Times New Roman" w:hAnsi="Times New Roman" w:eastAsia="宋体" w:cs="Times New Roman"/>
                      <w:b w:val="0"/>
                      <w:bCs w:val="0"/>
                      <w:snapToGrid w:val="0"/>
                      <w:color w:val="auto"/>
                      <w:kern w:val="0"/>
                      <w:sz w:val="21"/>
                      <w:szCs w:val="21"/>
                      <w:lang w:val="en-US" w:eastAsia="zh-CN"/>
                    </w:rPr>
                    <w:t>等</w:t>
                  </w:r>
                </w:p>
              </w:tc>
              <w:tc>
                <w:tcPr>
                  <w:tcW w:w="449" w:type="pct"/>
                  <w:vMerge w:val="continue"/>
                  <w:tcBorders>
                    <w:tl2br w:val="nil"/>
                    <w:tr2bl w:val="nil"/>
                  </w:tcBorders>
                  <w:noWrap w:val="0"/>
                  <w:vAlign w:val="center"/>
                </w:tcPr>
                <w:p w14:paraId="788C0BB8">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p>
              </w:tc>
              <w:tc>
                <w:tcPr>
                  <w:tcW w:w="393" w:type="pct"/>
                  <w:tcBorders>
                    <w:tl2br w:val="nil"/>
                    <w:tr2bl w:val="nil"/>
                  </w:tcBorders>
                  <w:noWrap w:val="0"/>
                  <w:vAlign w:val="center"/>
                </w:tcPr>
                <w:p w14:paraId="7BD29BDE">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间断排放</w:t>
                  </w:r>
                </w:p>
              </w:tc>
              <w:tc>
                <w:tcPr>
                  <w:tcW w:w="393" w:type="pct"/>
                  <w:tcBorders>
                    <w:tl2br w:val="nil"/>
                    <w:tr2bl w:val="nil"/>
                  </w:tcBorders>
                  <w:noWrap w:val="0"/>
                  <w:vAlign w:val="center"/>
                </w:tcPr>
                <w:p w14:paraId="6DDBAFF7">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TW001</w:t>
                  </w:r>
                </w:p>
              </w:tc>
              <w:tc>
                <w:tcPr>
                  <w:tcW w:w="393" w:type="pct"/>
                  <w:tcBorders>
                    <w:tl2br w:val="nil"/>
                    <w:tr2bl w:val="nil"/>
                  </w:tcBorders>
                  <w:noWrap w:val="0"/>
                  <w:vAlign w:val="center"/>
                </w:tcPr>
                <w:p w14:paraId="3F9E6ED7">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化粪池</w:t>
                  </w:r>
                </w:p>
              </w:tc>
              <w:tc>
                <w:tcPr>
                  <w:tcW w:w="393" w:type="pct"/>
                  <w:tcBorders>
                    <w:tl2br w:val="nil"/>
                    <w:tr2bl w:val="nil"/>
                  </w:tcBorders>
                  <w:noWrap w:val="0"/>
                  <w:vAlign w:val="center"/>
                </w:tcPr>
                <w:p w14:paraId="15B73BCD">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r>
                    <w:rPr>
                      <w:rFonts w:hint="eastAsia" w:ascii="Times New Roman" w:hAnsi="Times New Roman" w:eastAsia="宋体" w:cs="Times New Roman"/>
                      <w:b w:val="0"/>
                      <w:bCs w:val="0"/>
                      <w:snapToGrid w:val="0"/>
                      <w:color w:val="auto"/>
                      <w:kern w:val="0"/>
                      <w:sz w:val="21"/>
                      <w:szCs w:val="21"/>
                      <w:lang w:val="en-US" w:eastAsia="zh-CN"/>
                    </w:rPr>
                    <w:t>化粪池</w:t>
                  </w:r>
                </w:p>
              </w:tc>
              <w:tc>
                <w:tcPr>
                  <w:tcW w:w="530" w:type="pct"/>
                  <w:vMerge w:val="continue"/>
                  <w:tcBorders>
                    <w:tl2br w:val="nil"/>
                    <w:tr2bl w:val="nil"/>
                  </w:tcBorders>
                  <w:noWrap w:val="0"/>
                  <w:vAlign w:val="center"/>
                </w:tcPr>
                <w:p w14:paraId="45D3FB82">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p>
              </w:tc>
              <w:tc>
                <w:tcPr>
                  <w:tcW w:w="487" w:type="pct"/>
                  <w:vMerge w:val="continue"/>
                  <w:tcBorders>
                    <w:tl2br w:val="nil"/>
                    <w:tr2bl w:val="nil"/>
                  </w:tcBorders>
                  <w:noWrap w:val="0"/>
                  <w:vAlign w:val="center"/>
                </w:tcPr>
                <w:p w14:paraId="479CCA30">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p>
              </w:tc>
              <w:tc>
                <w:tcPr>
                  <w:tcW w:w="489" w:type="pct"/>
                  <w:vMerge w:val="continue"/>
                  <w:tcBorders>
                    <w:tl2br w:val="nil"/>
                    <w:tr2bl w:val="nil"/>
                  </w:tcBorders>
                  <w:noWrap w:val="0"/>
                  <w:vAlign w:val="center"/>
                </w:tcPr>
                <w:p w14:paraId="7B57BDCB">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p>
              </w:tc>
            </w:tr>
            <w:tr w14:paraId="0FAFE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1" w:hRule="atLeast"/>
                <w:jc w:val="center"/>
              </w:trPr>
              <w:tc>
                <w:tcPr>
                  <w:tcW w:w="286" w:type="pct"/>
                  <w:tcBorders>
                    <w:tl2br w:val="nil"/>
                    <w:tr2bl w:val="nil"/>
                  </w:tcBorders>
                  <w:noWrap w:val="0"/>
                  <w:vAlign w:val="center"/>
                </w:tcPr>
                <w:p w14:paraId="6CD7FF62">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3</w:t>
                  </w:r>
                </w:p>
              </w:tc>
              <w:tc>
                <w:tcPr>
                  <w:tcW w:w="621" w:type="pct"/>
                  <w:tcBorders>
                    <w:tl2br w:val="nil"/>
                    <w:tr2bl w:val="nil"/>
                  </w:tcBorders>
                  <w:noWrap w:val="0"/>
                  <w:vAlign w:val="center"/>
                </w:tcPr>
                <w:p w14:paraId="45C06FC3">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b w:val="0"/>
                      <w:bCs w:val="0"/>
                      <w:color w:val="auto"/>
                      <w:lang w:val="en-US" w:eastAsia="zh-CN"/>
                    </w:rPr>
                    <w:t>纯水制备系统浓水</w:t>
                  </w:r>
                </w:p>
              </w:tc>
              <w:tc>
                <w:tcPr>
                  <w:tcW w:w="558" w:type="pct"/>
                  <w:tcBorders>
                    <w:tl2br w:val="nil"/>
                    <w:tr2bl w:val="nil"/>
                  </w:tcBorders>
                  <w:noWrap w:val="0"/>
                  <w:vAlign w:val="center"/>
                </w:tcPr>
                <w:p w14:paraId="53B3CB09">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rPr>
                    <w:t>COD、</w:t>
                  </w:r>
                  <w:r>
                    <w:rPr>
                      <w:rFonts w:hint="eastAsia" w:ascii="Times New Roman" w:hAnsi="Times New Roman" w:eastAsia="宋体" w:cs="Times New Roman"/>
                      <w:b w:val="0"/>
                      <w:bCs w:val="0"/>
                      <w:snapToGrid w:val="0"/>
                      <w:color w:val="auto"/>
                      <w:kern w:val="0"/>
                      <w:sz w:val="21"/>
                      <w:szCs w:val="21"/>
                      <w:lang w:val="en-US" w:eastAsia="zh-CN"/>
                    </w:rPr>
                    <w:t>SS</w:t>
                  </w:r>
                </w:p>
              </w:tc>
              <w:tc>
                <w:tcPr>
                  <w:tcW w:w="449" w:type="pct"/>
                  <w:vMerge w:val="continue"/>
                  <w:tcBorders>
                    <w:tl2br w:val="nil"/>
                    <w:tr2bl w:val="nil"/>
                  </w:tcBorders>
                  <w:noWrap w:val="0"/>
                  <w:vAlign w:val="center"/>
                </w:tcPr>
                <w:p w14:paraId="4498C539">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p>
              </w:tc>
              <w:tc>
                <w:tcPr>
                  <w:tcW w:w="393" w:type="pct"/>
                  <w:tcBorders>
                    <w:tl2br w:val="nil"/>
                    <w:tr2bl w:val="nil"/>
                  </w:tcBorders>
                  <w:noWrap w:val="0"/>
                  <w:vAlign w:val="center"/>
                </w:tcPr>
                <w:p w14:paraId="3519D32A">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eastAsia" w:cs="Times New Roman"/>
                      <w:b w:val="0"/>
                      <w:bCs w:val="0"/>
                      <w:snapToGrid w:val="0"/>
                      <w:color w:val="auto"/>
                      <w:kern w:val="0"/>
                      <w:sz w:val="21"/>
                      <w:szCs w:val="21"/>
                      <w:lang w:val="en-US" w:eastAsia="zh-CN"/>
                    </w:rPr>
                    <w:t>不外排</w:t>
                  </w:r>
                </w:p>
              </w:tc>
              <w:tc>
                <w:tcPr>
                  <w:tcW w:w="393" w:type="pct"/>
                  <w:tcBorders>
                    <w:tl2br w:val="nil"/>
                    <w:tr2bl w:val="nil"/>
                  </w:tcBorders>
                  <w:noWrap w:val="0"/>
                  <w:vAlign w:val="center"/>
                </w:tcPr>
                <w:p w14:paraId="186A17B5">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w:t>
                  </w:r>
                </w:p>
              </w:tc>
              <w:tc>
                <w:tcPr>
                  <w:tcW w:w="393" w:type="pct"/>
                  <w:tcBorders>
                    <w:tl2br w:val="nil"/>
                    <w:tr2bl w:val="nil"/>
                  </w:tcBorders>
                  <w:noWrap w:val="0"/>
                  <w:vAlign w:val="center"/>
                </w:tcPr>
                <w:p w14:paraId="06627978">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w:t>
                  </w:r>
                </w:p>
              </w:tc>
              <w:tc>
                <w:tcPr>
                  <w:tcW w:w="393" w:type="pct"/>
                  <w:tcBorders>
                    <w:tl2br w:val="nil"/>
                    <w:tr2bl w:val="nil"/>
                  </w:tcBorders>
                  <w:noWrap w:val="0"/>
                  <w:vAlign w:val="center"/>
                </w:tcPr>
                <w:p w14:paraId="05E1C895">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w:t>
                  </w:r>
                </w:p>
              </w:tc>
              <w:tc>
                <w:tcPr>
                  <w:tcW w:w="530" w:type="pct"/>
                  <w:vMerge w:val="continue"/>
                  <w:tcBorders>
                    <w:tl2br w:val="nil"/>
                    <w:tr2bl w:val="nil"/>
                  </w:tcBorders>
                  <w:noWrap w:val="0"/>
                  <w:vAlign w:val="center"/>
                </w:tcPr>
                <w:p w14:paraId="494B5B09">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lang w:val="en-US" w:eastAsia="zh-CN"/>
                    </w:rPr>
                  </w:pPr>
                </w:p>
              </w:tc>
              <w:tc>
                <w:tcPr>
                  <w:tcW w:w="487" w:type="pct"/>
                  <w:vMerge w:val="continue"/>
                  <w:tcBorders>
                    <w:tl2br w:val="nil"/>
                    <w:tr2bl w:val="nil"/>
                  </w:tcBorders>
                  <w:noWrap w:val="0"/>
                  <w:vAlign w:val="center"/>
                </w:tcPr>
                <w:p w14:paraId="55E9D0FC">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p>
              </w:tc>
              <w:tc>
                <w:tcPr>
                  <w:tcW w:w="489" w:type="pct"/>
                  <w:vMerge w:val="continue"/>
                  <w:tcBorders>
                    <w:tl2br w:val="nil"/>
                    <w:tr2bl w:val="nil"/>
                  </w:tcBorders>
                  <w:noWrap w:val="0"/>
                  <w:vAlign w:val="center"/>
                </w:tcPr>
                <w:p w14:paraId="5BA96AEA">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rPr>
                  </w:pPr>
                </w:p>
              </w:tc>
            </w:tr>
          </w:tbl>
          <w:p w14:paraId="733F4FF5">
            <w:pPr>
              <w:keepNext w:val="0"/>
              <w:keepLines w:val="0"/>
              <w:pageBreakBefore w:val="0"/>
              <w:widowControl w:val="0"/>
              <w:kinsoku/>
              <w:wordWrap/>
              <w:overflowPunct/>
              <w:topLinePunct w:val="0"/>
              <w:autoSpaceDE/>
              <w:autoSpaceDN/>
              <w:bidi w:val="0"/>
              <w:adjustRightInd w:val="0"/>
              <w:snapToGrid w:val="0"/>
              <w:spacing w:before="157" w:beforeLines="50"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default" w:ascii="Times New Roman" w:hAnsi="Times New Roman" w:eastAsia="宋体" w:cs="Times New Roman"/>
                <w:b/>
                <w:bCs/>
                <w:snapToGrid w:val="0"/>
                <w:color w:val="auto"/>
                <w:kern w:val="0"/>
                <w:sz w:val="24"/>
                <w:szCs w:val="24"/>
                <w:lang w:val="en-US" w:eastAsia="zh-CN" w:bidi="ar-SA"/>
              </w:rPr>
              <w:t>表</w:t>
            </w:r>
            <w:r>
              <w:rPr>
                <w:rFonts w:hint="eastAsia" w:ascii="Times New Roman" w:hAnsi="Times New Roman" w:eastAsia="宋体" w:cs="Times New Roman"/>
                <w:b/>
                <w:bCs/>
                <w:snapToGrid w:val="0"/>
                <w:color w:val="auto"/>
                <w:kern w:val="0"/>
                <w:sz w:val="24"/>
                <w:szCs w:val="24"/>
                <w:lang w:val="en-US" w:eastAsia="zh-CN" w:bidi="ar-SA"/>
              </w:rPr>
              <w:t>4-8</w:t>
            </w:r>
            <w:r>
              <w:rPr>
                <w:rFonts w:hint="default" w:ascii="Times New Roman" w:hAnsi="Times New Roman" w:eastAsia="宋体" w:cs="Times New Roman"/>
                <w:b/>
                <w:bCs/>
                <w:snapToGrid w:val="0"/>
                <w:color w:val="auto"/>
                <w:kern w:val="0"/>
                <w:sz w:val="24"/>
                <w:szCs w:val="24"/>
                <w:lang w:val="en-US" w:eastAsia="zh-CN" w:bidi="ar-SA"/>
              </w:rPr>
              <w:t xml:space="preserve">     废水间接排放口基本情况表</w:t>
            </w:r>
          </w:p>
          <w:tbl>
            <w:tblPr>
              <w:tblStyle w:val="39"/>
              <w:tblW w:w="4997" w:type="pct"/>
              <w:jc w:val="center"/>
              <w:tblLayout w:type="autofit"/>
              <w:tblCellMar>
                <w:top w:w="0" w:type="dxa"/>
                <w:left w:w="0" w:type="dxa"/>
                <w:bottom w:w="0" w:type="dxa"/>
                <w:right w:w="0" w:type="dxa"/>
              </w:tblCellMar>
            </w:tblPr>
            <w:tblGrid>
              <w:gridCol w:w="771"/>
              <w:gridCol w:w="680"/>
              <w:gridCol w:w="1321"/>
              <w:gridCol w:w="1301"/>
              <w:gridCol w:w="668"/>
              <w:gridCol w:w="775"/>
              <w:gridCol w:w="738"/>
              <w:gridCol w:w="446"/>
              <w:gridCol w:w="714"/>
              <w:gridCol w:w="1145"/>
            </w:tblGrid>
            <w:tr w14:paraId="5FA3931B">
              <w:tblPrEx>
                <w:tblCellMar>
                  <w:top w:w="0" w:type="dxa"/>
                  <w:left w:w="0" w:type="dxa"/>
                  <w:bottom w:w="0" w:type="dxa"/>
                  <w:right w:w="0" w:type="dxa"/>
                </w:tblCellMar>
              </w:tblPrEx>
              <w:trPr>
                <w:cantSplit/>
                <w:trHeight w:val="381" w:hRule="atLeast"/>
                <w:jc w:val="center"/>
              </w:trPr>
              <w:tc>
                <w:tcPr>
                  <w:tcW w:w="467" w:type="pct"/>
                  <w:vMerge w:val="restart"/>
                  <w:tcBorders>
                    <w:top w:val="single" w:color="auto" w:sz="4" w:space="0"/>
                    <w:left w:val="single" w:color="auto" w:sz="4" w:space="0"/>
                    <w:bottom w:val="single" w:color="auto" w:sz="4" w:space="0"/>
                    <w:right w:val="single" w:color="auto" w:sz="4" w:space="0"/>
                  </w:tcBorders>
                  <w:noWrap w:val="0"/>
                  <w:vAlign w:val="center"/>
                </w:tcPr>
                <w:p w14:paraId="62C57BCB">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排放口编号</w:t>
                  </w:r>
                </w:p>
              </w:tc>
              <w:tc>
                <w:tcPr>
                  <w:tcW w:w="414" w:type="pct"/>
                  <w:vMerge w:val="restart"/>
                  <w:tcBorders>
                    <w:top w:val="single" w:color="auto" w:sz="4" w:space="0"/>
                    <w:left w:val="nil"/>
                    <w:right w:val="single" w:color="auto" w:sz="4" w:space="0"/>
                  </w:tcBorders>
                  <w:noWrap w:val="0"/>
                  <w:vAlign w:val="center"/>
                </w:tcPr>
                <w:p w14:paraId="3F2DD4DB">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w:t>
                  </w:r>
                </w:p>
                <w:p w14:paraId="55DE9923">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类型</w:t>
                  </w:r>
                </w:p>
              </w:tc>
              <w:tc>
                <w:tcPr>
                  <w:tcW w:w="1398" w:type="pct"/>
                  <w:gridSpan w:val="2"/>
                  <w:tcBorders>
                    <w:top w:val="single" w:color="auto" w:sz="4" w:space="0"/>
                    <w:left w:val="nil"/>
                    <w:bottom w:val="single" w:color="auto" w:sz="4" w:space="0"/>
                    <w:right w:val="single" w:color="auto" w:sz="4" w:space="0"/>
                  </w:tcBorders>
                  <w:noWrap w:val="0"/>
                  <w:vAlign w:val="center"/>
                </w:tcPr>
                <w:p w14:paraId="1FA966D1">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排放口地理坐标</w:t>
                  </w:r>
                </w:p>
              </w:tc>
              <w:tc>
                <w:tcPr>
                  <w:tcW w:w="407" w:type="pct"/>
                  <w:vMerge w:val="restart"/>
                  <w:tcBorders>
                    <w:top w:val="single" w:color="auto" w:sz="4" w:space="0"/>
                    <w:left w:val="nil"/>
                    <w:bottom w:val="single" w:color="auto" w:sz="4" w:space="0"/>
                    <w:right w:val="single" w:color="auto" w:sz="4" w:space="0"/>
                  </w:tcBorders>
                  <w:noWrap w:val="0"/>
                  <w:vAlign w:val="center"/>
                </w:tcPr>
                <w:p w14:paraId="6668C637">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废水排</w:t>
                  </w:r>
                </w:p>
                <w:p w14:paraId="7E4D9731">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放量</w:t>
                  </w:r>
                </w:p>
                <w:p w14:paraId="4F9EE876">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（t/a）</w:t>
                  </w:r>
                </w:p>
              </w:tc>
              <w:tc>
                <w:tcPr>
                  <w:tcW w:w="469" w:type="pct"/>
                  <w:vMerge w:val="restart"/>
                  <w:tcBorders>
                    <w:top w:val="single" w:color="auto" w:sz="4" w:space="0"/>
                    <w:left w:val="nil"/>
                    <w:bottom w:val="single" w:color="auto" w:sz="4" w:space="0"/>
                    <w:right w:val="single" w:color="auto" w:sz="4" w:space="0"/>
                  </w:tcBorders>
                  <w:noWrap w:val="0"/>
                  <w:vAlign w:val="center"/>
                </w:tcPr>
                <w:p w14:paraId="286F5E05">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w:t>
                  </w:r>
                </w:p>
                <w:p w14:paraId="7E065B75">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去向</w:t>
                  </w:r>
                </w:p>
              </w:tc>
              <w:tc>
                <w:tcPr>
                  <w:tcW w:w="447" w:type="pct"/>
                  <w:vMerge w:val="restart"/>
                  <w:tcBorders>
                    <w:top w:val="single" w:color="auto" w:sz="4" w:space="0"/>
                    <w:left w:val="nil"/>
                    <w:bottom w:val="single" w:color="auto" w:sz="4" w:space="0"/>
                    <w:right w:val="single" w:color="auto" w:sz="4" w:space="0"/>
                  </w:tcBorders>
                  <w:noWrap w:val="0"/>
                  <w:vAlign w:val="center"/>
                </w:tcPr>
                <w:p w14:paraId="2708AC42">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w:t>
                  </w:r>
                </w:p>
                <w:p w14:paraId="71EA3959">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规律</w:t>
                  </w:r>
                </w:p>
              </w:tc>
              <w:tc>
                <w:tcPr>
                  <w:tcW w:w="277" w:type="pct"/>
                  <w:vMerge w:val="restart"/>
                  <w:tcBorders>
                    <w:top w:val="single" w:color="auto" w:sz="4" w:space="0"/>
                    <w:left w:val="nil"/>
                    <w:bottom w:val="single" w:color="auto" w:sz="4" w:space="0"/>
                    <w:right w:val="single" w:color="auto" w:sz="4" w:space="0"/>
                  </w:tcBorders>
                  <w:noWrap w:val="0"/>
                  <w:vAlign w:val="center"/>
                </w:tcPr>
                <w:p w14:paraId="6915FD12">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间歇排放时段</w:t>
                  </w:r>
                </w:p>
              </w:tc>
              <w:tc>
                <w:tcPr>
                  <w:tcW w:w="1118" w:type="pct"/>
                  <w:gridSpan w:val="2"/>
                  <w:tcBorders>
                    <w:top w:val="single" w:color="auto" w:sz="4" w:space="0"/>
                    <w:left w:val="nil"/>
                    <w:bottom w:val="single" w:color="auto" w:sz="4" w:space="0"/>
                    <w:right w:val="single" w:color="auto" w:sz="4" w:space="0"/>
                  </w:tcBorders>
                  <w:noWrap w:val="0"/>
                  <w:vAlign w:val="center"/>
                </w:tcPr>
                <w:p w14:paraId="414D91F7">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收纳污水处理厂信息</w:t>
                  </w:r>
                </w:p>
              </w:tc>
            </w:tr>
            <w:tr w14:paraId="10AA6F7A">
              <w:tblPrEx>
                <w:tblCellMar>
                  <w:top w:w="0" w:type="dxa"/>
                  <w:left w:w="0" w:type="dxa"/>
                  <w:bottom w:w="0" w:type="dxa"/>
                  <w:right w:w="0" w:type="dxa"/>
                </w:tblCellMar>
              </w:tblPrEx>
              <w:trPr>
                <w:cantSplit/>
                <w:trHeight w:val="617" w:hRule="atLeast"/>
                <w:jc w:val="center"/>
              </w:trPr>
              <w:tc>
                <w:tcPr>
                  <w:tcW w:w="467" w:type="pct"/>
                  <w:vMerge w:val="continue"/>
                  <w:tcBorders>
                    <w:top w:val="single" w:color="auto" w:sz="4" w:space="0"/>
                    <w:left w:val="single" w:color="auto" w:sz="4" w:space="0"/>
                    <w:bottom w:val="single" w:color="auto" w:sz="4" w:space="0"/>
                    <w:right w:val="single" w:color="auto" w:sz="4" w:space="0"/>
                  </w:tcBorders>
                  <w:noWrap w:val="0"/>
                  <w:vAlign w:val="center"/>
                </w:tcPr>
                <w:p w14:paraId="6E9CEFC2">
                  <w:pPr>
                    <w:widowControl/>
                    <w:jc w:val="left"/>
                    <w:rPr>
                      <w:rFonts w:hint="default" w:ascii="Times New Roman" w:hAnsi="Times New Roman" w:eastAsia="宋体" w:cs="Times New Roman"/>
                      <w:b w:val="0"/>
                      <w:bCs w:val="0"/>
                      <w:snapToGrid w:val="0"/>
                      <w:color w:val="auto"/>
                      <w:kern w:val="0"/>
                      <w:sz w:val="21"/>
                      <w:szCs w:val="21"/>
                    </w:rPr>
                  </w:pPr>
                </w:p>
              </w:tc>
              <w:tc>
                <w:tcPr>
                  <w:tcW w:w="414" w:type="pct"/>
                  <w:vMerge w:val="continue"/>
                  <w:tcBorders>
                    <w:left w:val="nil"/>
                    <w:bottom w:val="single" w:color="auto" w:sz="4" w:space="0"/>
                    <w:right w:val="single" w:color="auto" w:sz="4" w:space="0"/>
                  </w:tcBorders>
                  <w:noWrap w:val="0"/>
                  <w:vAlign w:val="center"/>
                </w:tcPr>
                <w:p w14:paraId="415F8EB2">
                  <w:pPr>
                    <w:widowControl/>
                    <w:jc w:val="left"/>
                    <w:rPr>
                      <w:rFonts w:hint="default" w:ascii="Times New Roman" w:hAnsi="Times New Roman" w:eastAsia="宋体" w:cs="Times New Roman"/>
                      <w:b w:val="0"/>
                      <w:bCs w:val="0"/>
                      <w:snapToGrid w:val="0"/>
                      <w:color w:val="auto"/>
                      <w:kern w:val="0"/>
                      <w:sz w:val="21"/>
                      <w:szCs w:val="21"/>
                    </w:rPr>
                  </w:pPr>
                </w:p>
              </w:tc>
              <w:tc>
                <w:tcPr>
                  <w:tcW w:w="728" w:type="pct"/>
                  <w:tcBorders>
                    <w:top w:val="nil"/>
                    <w:left w:val="nil"/>
                    <w:bottom w:val="single" w:color="auto" w:sz="4" w:space="0"/>
                    <w:right w:val="single" w:color="auto" w:sz="4" w:space="0"/>
                  </w:tcBorders>
                  <w:noWrap w:val="0"/>
                  <w:vAlign w:val="center"/>
                </w:tcPr>
                <w:p w14:paraId="7C67CB28">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经度</w:t>
                  </w:r>
                </w:p>
              </w:tc>
              <w:tc>
                <w:tcPr>
                  <w:tcW w:w="670" w:type="pct"/>
                  <w:tcBorders>
                    <w:top w:val="nil"/>
                    <w:left w:val="nil"/>
                    <w:bottom w:val="single" w:color="auto" w:sz="4" w:space="0"/>
                    <w:right w:val="single" w:color="auto" w:sz="4" w:space="0"/>
                  </w:tcBorders>
                  <w:noWrap w:val="0"/>
                  <w:vAlign w:val="center"/>
                </w:tcPr>
                <w:p w14:paraId="37127440">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纬度</w:t>
                  </w:r>
                </w:p>
              </w:tc>
              <w:tc>
                <w:tcPr>
                  <w:tcW w:w="407" w:type="pct"/>
                  <w:vMerge w:val="continue"/>
                  <w:tcBorders>
                    <w:top w:val="single" w:color="auto" w:sz="4" w:space="0"/>
                    <w:left w:val="nil"/>
                    <w:bottom w:val="single" w:color="auto" w:sz="4" w:space="0"/>
                    <w:right w:val="single" w:color="auto" w:sz="4" w:space="0"/>
                  </w:tcBorders>
                  <w:noWrap w:val="0"/>
                  <w:vAlign w:val="center"/>
                </w:tcPr>
                <w:p w14:paraId="17DF620C">
                  <w:pPr>
                    <w:widowControl/>
                    <w:jc w:val="left"/>
                    <w:rPr>
                      <w:rFonts w:hint="default" w:ascii="Times New Roman" w:hAnsi="Times New Roman" w:eastAsia="宋体" w:cs="Times New Roman"/>
                      <w:b w:val="0"/>
                      <w:bCs w:val="0"/>
                      <w:snapToGrid w:val="0"/>
                      <w:color w:val="auto"/>
                      <w:kern w:val="0"/>
                      <w:sz w:val="21"/>
                      <w:szCs w:val="21"/>
                    </w:rPr>
                  </w:pPr>
                </w:p>
              </w:tc>
              <w:tc>
                <w:tcPr>
                  <w:tcW w:w="469" w:type="pct"/>
                  <w:vMerge w:val="continue"/>
                  <w:tcBorders>
                    <w:top w:val="single" w:color="auto" w:sz="4" w:space="0"/>
                    <w:left w:val="nil"/>
                    <w:bottom w:val="single" w:color="auto" w:sz="4" w:space="0"/>
                    <w:right w:val="single" w:color="auto" w:sz="4" w:space="0"/>
                  </w:tcBorders>
                  <w:noWrap w:val="0"/>
                  <w:vAlign w:val="center"/>
                </w:tcPr>
                <w:p w14:paraId="4250B7F4">
                  <w:pPr>
                    <w:widowControl/>
                    <w:jc w:val="left"/>
                    <w:rPr>
                      <w:rFonts w:hint="default" w:ascii="Times New Roman" w:hAnsi="Times New Roman" w:eastAsia="宋体" w:cs="Times New Roman"/>
                      <w:b w:val="0"/>
                      <w:bCs w:val="0"/>
                      <w:snapToGrid w:val="0"/>
                      <w:color w:val="auto"/>
                      <w:kern w:val="0"/>
                      <w:sz w:val="21"/>
                      <w:szCs w:val="21"/>
                    </w:rPr>
                  </w:pPr>
                </w:p>
              </w:tc>
              <w:tc>
                <w:tcPr>
                  <w:tcW w:w="447" w:type="pct"/>
                  <w:vMerge w:val="continue"/>
                  <w:tcBorders>
                    <w:top w:val="single" w:color="auto" w:sz="4" w:space="0"/>
                    <w:left w:val="nil"/>
                    <w:bottom w:val="single" w:color="auto" w:sz="4" w:space="0"/>
                    <w:right w:val="single" w:color="auto" w:sz="4" w:space="0"/>
                  </w:tcBorders>
                  <w:noWrap w:val="0"/>
                  <w:vAlign w:val="center"/>
                </w:tcPr>
                <w:p w14:paraId="6705132D">
                  <w:pPr>
                    <w:widowControl/>
                    <w:jc w:val="left"/>
                    <w:rPr>
                      <w:rFonts w:hint="default" w:ascii="Times New Roman" w:hAnsi="Times New Roman" w:eastAsia="宋体" w:cs="Times New Roman"/>
                      <w:b w:val="0"/>
                      <w:bCs w:val="0"/>
                      <w:snapToGrid w:val="0"/>
                      <w:color w:val="auto"/>
                      <w:kern w:val="0"/>
                      <w:sz w:val="21"/>
                      <w:szCs w:val="21"/>
                    </w:rPr>
                  </w:pPr>
                </w:p>
              </w:tc>
              <w:tc>
                <w:tcPr>
                  <w:tcW w:w="277" w:type="pct"/>
                  <w:vMerge w:val="continue"/>
                  <w:tcBorders>
                    <w:top w:val="single" w:color="auto" w:sz="4" w:space="0"/>
                    <w:left w:val="nil"/>
                    <w:bottom w:val="single" w:color="auto" w:sz="4" w:space="0"/>
                    <w:right w:val="single" w:color="auto" w:sz="4" w:space="0"/>
                  </w:tcBorders>
                  <w:noWrap w:val="0"/>
                  <w:vAlign w:val="center"/>
                </w:tcPr>
                <w:p w14:paraId="7A085F70">
                  <w:pPr>
                    <w:widowControl/>
                    <w:jc w:val="left"/>
                    <w:rPr>
                      <w:rFonts w:hint="default" w:ascii="Times New Roman" w:hAnsi="Times New Roman" w:eastAsia="宋体" w:cs="Times New Roman"/>
                      <w:b w:val="0"/>
                      <w:bCs w:val="0"/>
                      <w:snapToGrid w:val="0"/>
                      <w:color w:val="auto"/>
                      <w:kern w:val="0"/>
                      <w:sz w:val="21"/>
                      <w:szCs w:val="21"/>
                    </w:rPr>
                  </w:pPr>
                </w:p>
              </w:tc>
              <w:tc>
                <w:tcPr>
                  <w:tcW w:w="433" w:type="pct"/>
                  <w:tcBorders>
                    <w:top w:val="nil"/>
                    <w:left w:val="nil"/>
                    <w:bottom w:val="single" w:color="auto" w:sz="4" w:space="0"/>
                    <w:right w:val="single" w:color="auto" w:sz="4" w:space="0"/>
                  </w:tcBorders>
                  <w:noWrap w:val="0"/>
                  <w:vAlign w:val="center"/>
                </w:tcPr>
                <w:p w14:paraId="65B2A7FE">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名称</w:t>
                  </w:r>
                </w:p>
              </w:tc>
              <w:tc>
                <w:tcPr>
                  <w:tcW w:w="685" w:type="pct"/>
                  <w:tcBorders>
                    <w:top w:val="nil"/>
                    <w:left w:val="nil"/>
                    <w:bottom w:val="single" w:color="auto" w:sz="4" w:space="0"/>
                    <w:right w:val="single" w:color="auto" w:sz="4" w:space="0"/>
                  </w:tcBorders>
                  <w:noWrap w:val="0"/>
                  <w:vAlign w:val="center"/>
                </w:tcPr>
                <w:p w14:paraId="43A99EDC">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污染物种类</w:t>
                  </w:r>
                  <w:r>
                    <w:rPr>
                      <w:rFonts w:hint="default" w:ascii="Times New Roman" w:hAnsi="Times New Roman" w:eastAsia="宋体" w:cs="Times New Roman"/>
                      <w:b w:val="0"/>
                      <w:bCs w:val="0"/>
                      <w:snapToGrid w:val="0"/>
                      <w:color w:val="auto"/>
                      <w:kern w:val="0"/>
                      <w:sz w:val="21"/>
                      <w:szCs w:val="21"/>
                      <w:lang w:val="en-US" w:eastAsia="zh-CN"/>
                    </w:rPr>
                    <w:t>及</w:t>
                  </w:r>
                  <w:r>
                    <w:rPr>
                      <w:rFonts w:hint="default" w:ascii="Times New Roman" w:hAnsi="Times New Roman" w:eastAsia="宋体" w:cs="Times New Roman"/>
                      <w:b w:val="0"/>
                      <w:bCs w:val="0"/>
                      <w:snapToGrid w:val="0"/>
                      <w:color w:val="auto"/>
                      <w:kern w:val="0"/>
                      <w:sz w:val="21"/>
                      <w:szCs w:val="21"/>
                    </w:rPr>
                    <w:t>排放标准（mg/L）</w:t>
                  </w:r>
                </w:p>
              </w:tc>
            </w:tr>
            <w:tr w14:paraId="2F580683">
              <w:tblPrEx>
                <w:tblCellMar>
                  <w:top w:w="0" w:type="dxa"/>
                  <w:left w:w="0" w:type="dxa"/>
                  <w:bottom w:w="0" w:type="dxa"/>
                  <w:right w:w="0" w:type="dxa"/>
                </w:tblCellMar>
              </w:tblPrEx>
              <w:trPr>
                <w:cantSplit/>
                <w:trHeight w:val="1105" w:hRule="atLeast"/>
                <w:jc w:val="center"/>
              </w:trPr>
              <w:tc>
                <w:tcPr>
                  <w:tcW w:w="467" w:type="pct"/>
                  <w:tcBorders>
                    <w:top w:val="single" w:color="auto" w:sz="4" w:space="0"/>
                    <w:left w:val="single" w:color="auto" w:sz="4" w:space="0"/>
                    <w:bottom w:val="single" w:color="auto" w:sz="4" w:space="0"/>
                    <w:right w:val="single" w:color="auto" w:sz="4" w:space="0"/>
                  </w:tcBorders>
                  <w:noWrap w:val="0"/>
                  <w:vAlign w:val="center"/>
                </w:tcPr>
                <w:p w14:paraId="6E572603">
                  <w:pPr>
                    <w:widowControl/>
                    <w:snapToGrid w:val="0"/>
                    <w:jc w:val="center"/>
                    <w:rPr>
                      <w:rFonts w:hint="default" w:ascii="Times New Roman" w:hAnsi="Times New Roman" w:eastAsia="宋体" w:cs="Times New Roman"/>
                      <w:b w:val="0"/>
                      <w:bCs w:val="0"/>
                      <w:snapToGrid w:val="0"/>
                      <w:color w:val="auto"/>
                      <w:kern w:val="0"/>
                      <w:sz w:val="21"/>
                      <w:szCs w:val="21"/>
                    </w:rPr>
                  </w:pPr>
                  <w:r>
                    <w:rPr>
                      <w:rFonts w:hint="eastAsia" w:ascii="Times New Roman" w:hAnsi="Times New Roman" w:eastAsia="宋体" w:cs="Times New Roman"/>
                      <w:b w:val="0"/>
                      <w:bCs w:val="0"/>
                      <w:snapToGrid w:val="0"/>
                      <w:color w:val="auto"/>
                      <w:kern w:val="0"/>
                      <w:sz w:val="21"/>
                      <w:szCs w:val="21"/>
                      <w:lang w:val="en-US" w:eastAsia="zh-CN"/>
                    </w:rPr>
                    <w:t>DW0</w:t>
                  </w:r>
                  <w:r>
                    <w:rPr>
                      <w:rFonts w:hint="default" w:ascii="Times New Roman" w:hAnsi="Times New Roman" w:eastAsia="宋体" w:cs="Times New Roman"/>
                      <w:b w:val="0"/>
                      <w:bCs w:val="0"/>
                      <w:snapToGrid w:val="0"/>
                      <w:color w:val="auto"/>
                      <w:kern w:val="0"/>
                      <w:sz w:val="21"/>
                      <w:szCs w:val="21"/>
                    </w:rPr>
                    <w:t>01</w:t>
                  </w:r>
                </w:p>
              </w:tc>
              <w:tc>
                <w:tcPr>
                  <w:tcW w:w="414" w:type="pct"/>
                  <w:tcBorders>
                    <w:top w:val="single" w:color="auto" w:sz="4" w:space="0"/>
                    <w:left w:val="nil"/>
                    <w:bottom w:val="single" w:color="auto" w:sz="4" w:space="0"/>
                    <w:right w:val="single" w:color="auto" w:sz="4" w:space="0"/>
                  </w:tcBorders>
                  <w:noWrap w:val="0"/>
                  <w:vAlign w:val="center"/>
                </w:tcPr>
                <w:p w14:paraId="4E41B8A4">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一般排放口</w:t>
                  </w:r>
                </w:p>
              </w:tc>
              <w:tc>
                <w:tcPr>
                  <w:tcW w:w="1205" w:type="dxa"/>
                  <w:tcBorders>
                    <w:top w:val="single" w:color="auto" w:sz="4" w:space="0"/>
                    <w:left w:val="nil"/>
                    <w:bottom w:val="single" w:color="auto" w:sz="4" w:space="0"/>
                    <w:right w:val="single" w:color="auto" w:sz="4" w:space="0"/>
                  </w:tcBorders>
                  <w:noWrap w:val="0"/>
                  <w:vAlign w:val="center"/>
                </w:tcPr>
                <w:p w14:paraId="57603303">
                  <w:pPr>
                    <w:pStyle w:val="62"/>
                    <w:spacing w:before="24" w:after="24"/>
                    <w:ind w:left="420" w:leftChars="0" w:hanging="420" w:hangingChars="200"/>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114°49'56.595"</w:t>
                  </w:r>
                </w:p>
              </w:tc>
              <w:tc>
                <w:tcPr>
                  <w:tcW w:w="1109" w:type="dxa"/>
                  <w:tcBorders>
                    <w:top w:val="single" w:color="auto" w:sz="4" w:space="0"/>
                    <w:left w:val="nil"/>
                    <w:bottom w:val="single" w:color="auto" w:sz="4" w:space="0"/>
                    <w:right w:val="single" w:color="auto" w:sz="4" w:space="0"/>
                  </w:tcBorders>
                  <w:noWrap w:val="0"/>
                  <w:vAlign w:val="center"/>
                </w:tcPr>
                <w:p w14:paraId="7C82726E">
                  <w:pPr>
                    <w:pStyle w:val="62"/>
                    <w:spacing w:before="24" w:after="24"/>
                    <w:ind w:left="420" w:leftChars="0" w:hanging="420" w:hangingChars="200"/>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33°40'51.78</w:t>
                  </w:r>
                  <w:r>
                    <w:rPr>
                      <w:rFonts w:hint="eastAsia" w:ascii="Times New Roman" w:cs="Times New Roman"/>
                      <w:b w:val="0"/>
                      <w:bCs w:val="0"/>
                      <w:snapToGrid w:val="0"/>
                      <w:color w:val="auto"/>
                      <w:kern w:val="0"/>
                      <w:sz w:val="21"/>
                      <w:szCs w:val="21"/>
                      <w:highlight w:val="none"/>
                      <w:lang w:val="en-US" w:eastAsia="zh-CN"/>
                    </w:rPr>
                    <w:t>4</w:t>
                  </w:r>
                  <w:r>
                    <w:rPr>
                      <w:rFonts w:hint="default" w:ascii="Times New Roman" w:hAnsi="Times New Roman" w:eastAsia="宋体" w:cs="Times New Roman"/>
                      <w:b w:val="0"/>
                      <w:bCs w:val="0"/>
                      <w:snapToGrid w:val="0"/>
                      <w:color w:val="auto"/>
                      <w:kern w:val="0"/>
                      <w:sz w:val="21"/>
                      <w:szCs w:val="21"/>
                      <w:highlight w:val="none"/>
                    </w:rPr>
                    <w:t>""</w:t>
                  </w:r>
                </w:p>
              </w:tc>
              <w:tc>
                <w:tcPr>
                  <w:tcW w:w="407" w:type="pct"/>
                  <w:tcBorders>
                    <w:top w:val="single" w:color="auto" w:sz="4" w:space="0"/>
                    <w:left w:val="nil"/>
                    <w:bottom w:val="single" w:color="auto" w:sz="4" w:space="0"/>
                    <w:right w:val="single" w:color="auto" w:sz="4" w:space="0"/>
                  </w:tcBorders>
                  <w:noWrap w:val="0"/>
                  <w:vAlign w:val="center"/>
                </w:tcPr>
                <w:p w14:paraId="5DCF3304">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eastAsia" w:cs="Times New Roman"/>
                      <w:b w:val="0"/>
                      <w:bCs w:val="0"/>
                      <w:snapToGrid w:val="0"/>
                      <w:color w:val="auto"/>
                      <w:kern w:val="0"/>
                      <w:sz w:val="21"/>
                      <w:szCs w:val="21"/>
                      <w:highlight w:val="none"/>
                      <w:lang w:val="en-US" w:eastAsia="zh-CN"/>
                    </w:rPr>
                    <w:t>960</w:t>
                  </w:r>
                </w:p>
              </w:tc>
              <w:tc>
                <w:tcPr>
                  <w:tcW w:w="469" w:type="pct"/>
                  <w:tcBorders>
                    <w:top w:val="single" w:color="auto" w:sz="4" w:space="0"/>
                    <w:left w:val="nil"/>
                    <w:bottom w:val="single" w:color="auto" w:sz="4" w:space="0"/>
                    <w:right w:val="single" w:color="auto" w:sz="4" w:space="0"/>
                  </w:tcBorders>
                  <w:noWrap w:val="0"/>
                  <w:vAlign w:val="center"/>
                </w:tcPr>
                <w:p w14:paraId="78BFDB41">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lang w:val="en-US" w:eastAsia="zh-CN"/>
                    </w:rPr>
                    <w:t>淮阳区第</w:t>
                  </w:r>
                  <w:r>
                    <w:rPr>
                      <w:rFonts w:hint="eastAsia" w:cs="Times New Roman"/>
                      <w:b w:val="0"/>
                      <w:bCs w:val="0"/>
                      <w:snapToGrid w:val="0"/>
                      <w:color w:val="auto"/>
                      <w:kern w:val="0"/>
                      <w:sz w:val="21"/>
                      <w:szCs w:val="21"/>
                      <w:lang w:val="en-US" w:eastAsia="zh-CN"/>
                    </w:rPr>
                    <w:t>二</w:t>
                  </w:r>
                  <w:r>
                    <w:rPr>
                      <w:rFonts w:hint="default" w:ascii="Times New Roman" w:hAnsi="Times New Roman" w:eastAsia="宋体" w:cs="Times New Roman"/>
                      <w:b w:val="0"/>
                      <w:bCs w:val="0"/>
                      <w:snapToGrid w:val="0"/>
                      <w:color w:val="auto"/>
                      <w:kern w:val="0"/>
                      <w:sz w:val="21"/>
                      <w:szCs w:val="21"/>
                      <w:lang w:val="en-US" w:eastAsia="zh-CN"/>
                    </w:rPr>
                    <w:t>污水处理厂</w:t>
                  </w:r>
                </w:p>
              </w:tc>
              <w:tc>
                <w:tcPr>
                  <w:tcW w:w="447" w:type="pct"/>
                  <w:tcBorders>
                    <w:top w:val="single" w:color="auto" w:sz="4" w:space="0"/>
                    <w:left w:val="nil"/>
                    <w:bottom w:val="single" w:color="auto" w:sz="4" w:space="0"/>
                    <w:right w:val="single" w:color="auto" w:sz="4" w:space="0"/>
                  </w:tcBorders>
                  <w:noWrap w:val="0"/>
                  <w:vAlign w:val="center"/>
                </w:tcPr>
                <w:p w14:paraId="6FC7EFE2">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间断排放</w:t>
                  </w:r>
                </w:p>
              </w:tc>
              <w:tc>
                <w:tcPr>
                  <w:tcW w:w="277" w:type="pct"/>
                  <w:tcBorders>
                    <w:top w:val="single" w:color="auto" w:sz="4" w:space="0"/>
                    <w:left w:val="nil"/>
                    <w:bottom w:val="single" w:color="auto" w:sz="4" w:space="0"/>
                    <w:right w:val="single" w:color="auto" w:sz="4" w:space="0"/>
                  </w:tcBorders>
                  <w:noWrap w:val="0"/>
                  <w:vAlign w:val="center"/>
                </w:tcPr>
                <w:p w14:paraId="091FC3F4">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w:t>
                  </w:r>
                </w:p>
              </w:tc>
              <w:tc>
                <w:tcPr>
                  <w:tcW w:w="433" w:type="pct"/>
                  <w:tcBorders>
                    <w:top w:val="single" w:color="auto" w:sz="4" w:space="0"/>
                    <w:left w:val="nil"/>
                    <w:bottom w:val="single" w:color="auto" w:sz="4" w:space="0"/>
                    <w:right w:val="single" w:color="auto" w:sz="4" w:space="0"/>
                  </w:tcBorders>
                  <w:noWrap w:val="0"/>
                  <w:vAlign w:val="center"/>
                </w:tcPr>
                <w:p w14:paraId="6AA9E9BF">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lang w:val="en-US" w:eastAsia="zh-CN"/>
                    </w:rPr>
                    <w:t>淮阳区第</w:t>
                  </w:r>
                  <w:r>
                    <w:rPr>
                      <w:rFonts w:hint="eastAsia" w:cs="Times New Roman"/>
                      <w:b w:val="0"/>
                      <w:bCs w:val="0"/>
                      <w:snapToGrid w:val="0"/>
                      <w:color w:val="auto"/>
                      <w:kern w:val="0"/>
                      <w:sz w:val="21"/>
                      <w:szCs w:val="21"/>
                      <w:lang w:val="en-US" w:eastAsia="zh-CN"/>
                    </w:rPr>
                    <w:t>二</w:t>
                  </w:r>
                  <w:r>
                    <w:rPr>
                      <w:rFonts w:hint="default" w:ascii="Times New Roman" w:hAnsi="Times New Roman" w:eastAsia="宋体" w:cs="Times New Roman"/>
                      <w:b w:val="0"/>
                      <w:bCs w:val="0"/>
                      <w:snapToGrid w:val="0"/>
                      <w:color w:val="auto"/>
                      <w:kern w:val="0"/>
                      <w:sz w:val="21"/>
                      <w:szCs w:val="21"/>
                      <w:lang w:val="en-US" w:eastAsia="zh-CN"/>
                    </w:rPr>
                    <w:t>污水处理厂</w:t>
                  </w:r>
                </w:p>
              </w:tc>
              <w:tc>
                <w:tcPr>
                  <w:tcW w:w="685" w:type="pct"/>
                  <w:tcBorders>
                    <w:top w:val="single" w:color="auto" w:sz="4" w:space="0"/>
                    <w:left w:val="nil"/>
                    <w:bottom w:val="single" w:color="auto" w:sz="4" w:space="0"/>
                    <w:right w:val="single" w:color="auto" w:sz="4" w:space="0"/>
                  </w:tcBorders>
                  <w:noWrap w:val="0"/>
                  <w:vAlign w:val="center"/>
                </w:tcPr>
                <w:p w14:paraId="51B65997">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COD50、氨氮5.0、BOD</w:t>
                  </w:r>
                  <w:r>
                    <w:rPr>
                      <w:rFonts w:hint="default" w:ascii="Times New Roman" w:hAnsi="Times New Roman" w:eastAsia="宋体" w:cs="Times New Roman"/>
                      <w:b w:val="0"/>
                      <w:bCs w:val="0"/>
                      <w:snapToGrid w:val="0"/>
                      <w:color w:val="auto"/>
                      <w:kern w:val="0"/>
                      <w:sz w:val="21"/>
                      <w:szCs w:val="21"/>
                      <w:vertAlign w:val="subscript"/>
                    </w:rPr>
                    <w:t>5</w:t>
                  </w:r>
                  <w:r>
                    <w:rPr>
                      <w:rFonts w:hint="default" w:ascii="Times New Roman" w:hAnsi="Times New Roman" w:eastAsia="宋体" w:cs="Times New Roman"/>
                      <w:b w:val="0"/>
                      <w:bCs w:val="0"/>
                      <w:snapToGrid w:val="0"/>
                      <w:color w:val="auto"/>
                      <w:kern w:val="0"/>
                      <w:sz w:val="21"/>
                      <w:szCs w:val="21"/>
                    </w:rPr>
                    <w:t>10、SS10</w:t>
                  </w:r>
                </w:p>
              </w:tc>
            </w:tr>
          </w:tbl>
          <w:p w14:paraId="2B96BB15">
            <w:pPr>
              <w:keepNext w:val="0"/>
              <w:keepLines w:val="0"/>
              <w:pageBreakBefore w:val="0"/>
              <w:widowControl w:val="0"/>
              <w:kinsoku/>
              <w:wordWrap/>
              <w:overflowPunct/>
              <w:topLinePunct w:val="0"/>
              <w:autoSpaceDE/>
              <w:autoSpaceDN/>
              <w:bidi w:val="0"/>
              <w:adjustRightInd w:val="0"/>
              <w:snapToGrid w:val="0"/>
              <w:spacing w:before="157" w:beforeLines="50" w:line="360" w:lineRule="auto"/>
              <w:jc w:val="center"/>
              <w:textAlignment w:val="auto"/>
              <w:rPr>
                <w:rFonts w:hint="eastAsia" w:ascii="Times New Roman" w:hAnsi="Times New Roman" w:eastAsia="宋体" w:cs="Times New Roman"/>
                <w:b/>
                <w:bCs/>
                <w:snapToGrid w:val="0"/>
                <w:color w:val="auto"/>
                <w:kern w:val="0"/>
                <w:sz w:val="24"/>
              </w:rPr>
            </w:pPr>
          </w:p>
          <w:p w14:paraId="12EE0260">
            <w:pPr>
              <w:keepNext w:val="0"/>
              <w:keepLines w:val="0"/>
              <w:pageBreakBefore w:val="0"/>
              <w:widowControl w:val="0"/>
              <w:kinsoku/>
              <w:wordWrap/>
              <w:overflowPunct/>
              <w:topLinePunct w:val="0"/>
              <w:autoSpaceDE/>
              <w:autoSpaceDN/>
              <w:bidi w:val="0"/>
              <w:adjustRightInd w:val="0"/>
              <w:snapToGrid w:val="0"/>
              <w:spacing w:before="157" w:beforeLines="50" w:line="360" w:lineRule="auto"/>
              <w:jc w:val="center"/>
              <w:textAlignment w:val="auto"/>
              <w:rPr>
                <w:rFonts w:hint="eastAsia" w:ascii="Times New Roman" w:hAnsi="Times New Roman" w:eastAsia="宋体" w:cs="Times New Roman"/>
                <w:b/>
                <w:bCs/>
                <w:snapToGrid w:val="0"/>
                <w:color w:val="auto"/>
                <w:kern w:val="0"/>
                <w:sz w:val="24"/>
              </w:rPr>
            </w:pPr>
            <w:r>
              <w:rPr>
                <w:rFonts w:hint="eastAsia" w:ascii="Times New Roman" w:hAnsi="Times New Roman" w:eastAsia="宋体" w:cs="Times New Roman"/>
                <w:b/>
                <w:bCs/>
                <w:snapToGrid w:val="0"/>
                <w:color w:val="auto"/>
                <w:kern w:val="0"/>
                <w:sz w:val="24"/>
              </w:rPr>
              <w:t>表</w:t>
            </w:r>
            <w:r>
              <w:rPr>
                <w:rFonts w:hint="eastAsia" w:cs="Times New Roman"/>
                <w:b/>
                <w:bCs/>
                <w:snapToGrid w:val="0"/>
                <w:color w:val="auto"/>
                <w:kern w:val="0"/>
                <w:sz w:val="24"/>
                <w:lang w:val="en-US" w:eastAsia="zh-CN"/>
              </w:rPr>
              <w:t>4-9</w:t>
            </w:r>
            <w:r>
              <w:rPr>
                <w:rFonts w:hint="eastAsia" w:ascii="Times New Roman" w:hAnsi="Times New Roman" w:eastAsia="宋体" w:cs="Times New Roman"/>
                <w:b/>
                <w:bCs/>
                <w:snapToGrid w:val="0"/>
                <w:color w:val="auto"/>
                <w:kern w:val="0"/>
                <w:sz w:val="24"/>
              </w:rPr>
              <w:t xml:space="preserve">    废水污染物排放执行标准表</w:t>
            </w:r>
          </w:p>
          <w:tbl>
            <w:tblPr>
              <w:tblStyle w:val="3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1"/>
              <w:gridCol w:w="1083"/>
              <w:gridCol w:w="1440"/>
              <w:gridCol w:w="2683"/>
              <w:gridCol w:w="2454"/>
            </w:tblGrid>
            <w:tr w14:paraId="2EADE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jc w:val="center"/>
              </w:trPr>
              <w:tc>
                <w:tcPr>
                  <w:tcW w:w="521" w:type="pct"/>
                  <w:vMerge w:val="restart"/>
                  <w:tcBorders>
                    <w:tl2br w:val="nil"/>
                    <w:tr2bl w:val="nil"/>
                  </w:tcBorders>
                  <w:noWrap w:val="0"/>
                  <w:vAlign w:val="center"/>
                </w:tcPr>
                <w:p w14:paraId="1A442F05">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序号</w:t>
                  </w:r>
                </w:p>
              </w:tc>
              <w:tc>
                <w:tcPr>
                  <w:tcW w:w="633" w:type="pct"/>
                  <w:vMerge w:val="restart"/>
                  <w:tcBorders>
                    <w:tl2br w:val="nil"/>
                    <w:tr2bl w:val="nil"/>
                  </w:tcBorders>
                  <w:noWrap w:val="0"/>
                  <w:vAlign w:val="center"/>
                </w:tcPr>
                <w:p w14:paraId="63006075">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排放口</w:t>
                  </w:r>
                </w:p>
                <w:p w14:paraId="09412D53">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编号</w:t>
                  </w:r>
                </w:p>
              </w:tc>
              <w:tc>
                <w:tcPr>
                  <w:tcW w:w="842" w:type="pct"/>
                  <w:vMerge w:val="restart"/>
                  <w:tcBorders>
                    <w:tl2br w:val="nil"/>
                    <w:tr2bl w:val="nil"/>
                  </w:tcBorders>
                  <w:noWrap w:val="0"/>
                  <w:vAlign w:val="center"/>
                </w:tcPr>
                <w:p w14:paraId="0C44FC96">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污染物</w:t>
                  </w:r>
                </w:p>
                <w:p w14:paraId="3781AD82">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种类</w:t>
                  </w:r>
                </w:p>
              </w:tc>
              <w:tc>
                <w:tcPr>
                  <w:tcW w:w="3002" w:type="pct"/>
                  <w:gridSpan w:val="2"/>
                  <w:tcBorders>
                    <w:tl2br w:val="nil"/>
                    <w:tr2bl w:val="nil"/>
                  </w:tcBorders>
                  <w:noWrap w:val="0"/>
                  <w:vAlign w:val="center"/>
                </w:tcPr>
                <w:p w14:paraId="1FE8C9DF">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排放标准</w:t>
                  </w:r>
                </w:p>
              </w:tc>
            </w:tr>
            <w:tr w14:paraId="255EB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21" w:type="pct"/>
                  <w:vMerge w:val="continue"/>
                  <w:tcBorders>
                    <w:tl2br w:val="nil"/>
                    <w:tr2bl w:val="nil"/>
                  </w:tcBorders>
                  <w:noWrap w:val="0"/>
                  <w:vAlign w:val="center"/>
                </w:tcPr>
                <w:p w14:paraId="086873FC">
                  <w:pPr>
                    <w:widowControl/>
                    <w:jc w:val="left"/>
                    <w:rPr>
                      <w:rFonts w:hint="default" w:ascii="Times New Roman" w:hAnsi="Times New Roman" w:eastAsia="宋体" w:cs="Times New Roman"/>
                      <w:b w:val="0"/>
                      <w:bCs w:val="0"/>
                      <w:snapToGrid w:val="0"/>
                      <w:color w:val="auto"/>
                      <w:kern w:val="0"/>
                      <w:sz w:val="21"/>
                      <w:szCs w:val="21"/>
                    </w:rPr>
                  </w:pPr>
                </w:p>
              </w:tc>
              <w:tc>
                <w:tcPr>
                  <w:tcW w:w="633" w:type="pct"/>
                  <w:vMerge w:val="continue"/>
                  <w:tcBorders>
                    <w:tl2br w:val="nil"/>
                    <w:tr2bl w:val="nil"/>
                  </w:tcBorders>
                  <w:noWrap w:val="0"/>
                  <w:vAlign w:val="center"/>
                </w:tcPr>
                <w:p w14:paraId="11FE40D4">
                  <w:pPr>
                    <w:widowControl/>
                    <w:jc w:val="left"/>
                    <w:rPr>
                      <w:rFonts w:hint="default" w:ascii="Times New Roman" w:hAnsi="Times New Roman" w:eastAsia="宋体" w:cs="Times New Roman"/>
                      <w:b w:val="0"/>
                      <w:bCs w:val="0"/>
                      <w:snapToGrid w:val="0"/>
                      <w:color w:val="auto"/>
                      <w:kern w:val="0"/>
                      <w:sz w:val="21"/>
                      <w:szCs w:val="21"/>
                    </w:rPr>
                  </w:pPr>
                </w:p>
              </w:tc>
              <w:tc>
                <w:tcPr>
                  <w:tcW w:w="842" w:type="pct"/>
                  <w:vMerge w:val="continue"/>
                  <w:tcBorders>
                    <w:tl2br w:val="nil"/>
                    <w:tr2bl w:val="nil"/>
                  </w:tcBorders>
                  <w:noWrap w:val="0"/>
                  <w:vAlign w:val="center"/>
                </w:tcPr>
                <w:p w14:paraId="1684FA56">
                  <w:pPr>
                    <w:widowControl/>
                    <w:jc w:val="left"/>
                    <w:rPr>
                      <w:rFonts w:hint="default" w:ascii="Times New Roman" w:hAnsi="Times New Roman" w:eastAsia="宋体" w:cs="Times New Roman"/>
                      <w:b w:val="0"/>
                      <w:bCs w:val="0"/>
                      <w:snapToGrid w:val="0"/>
                      <w:color w:val="auto"/>
                      <w:kern w:val="0"/>
                      <w:sz w:val="21"/>
                      <w:szCs w:val="21"/>
                    </w:rPr>
                  </w:pPr>
                </w:p>
              </w:tc>
              <w:tc>
                <w:tcPr>
                  <w:tcW w:w="1568" w:type="pct"/>
                  <w:tcBorders>
                    <w:tl2br w:val="nil"/>
                    <w:tr2bl w:val="nil"/>
                  </w:tcBorders>
                  <w:noWrap w:val="0"/>
                  <w:vAlign w:val="center"/>
                </w:tcPr>
                <w:p w14:paraId="6B22556F">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名称</w:t>
                  </w:r>
                </w:p>
              </w:tc>
              <w:tc>
                <w:tcPr>
                  <w:tcW w:w="1434" w:type="pct"/>
                  <w:tcBorders>
                    <w:tl2br w:val="nil"/>
                    <w:tr2bl w:val="nil"/>
                  </w:tcBorders>
                  <w:noWrap w:val="0"/>
                  <w:vAlign w:val="center"/>
                </w:tcPr>
                <w:p w14:paraId="573DDBC8">
                  <w:pPr>
                    <w:widowControl/>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浓度限值（mg/L）</w:t>
                  </w:r>
                </w:p>
              </w:tc>
            </w:tr>
            <w:tr w14:paraId="714B9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521" w:type="pct"/>
                  <w:vMerge w:val="restart"/>
                  <w:tcBorders>
                    <w:tl2br w:val="nil"/>
                    <w:tr2bl w:val="nil"/>
                  </w:tcBorders>
                  <w:noWrap w:val="0"/>
                  <w:vAlign w:val="center"/>
                </w:tcPr>
                <w:p w14:paraId="35F451E1">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1</w:t>
                  </w:r>
                </w:p>
              </w:tc>
              <w:tc>
                <w:tcPr>
                  <w:tcW w:w="633" w:type="pct"/>
                  <w:vMerge w:val="restart"/>
                  <w:tcBorders>
                    <w:tl2br w:val="nil"/>
                    <w:tr2bl w:val="nil"/>
                  </w:tcBorders>
                  <w:noWrap w:val="0"/>
                  <w:vAlign w:val="center"/>
                </w:tcPr>
                <w:p w14:paraId="0BEBCA98">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lang w:val="en-US" w:eastAsia="zh-CN"/>
                    </w:rPr>
                    <w:t>DW0</w:t>
                  </w:r>
                  <w:r>
                    <w:rPr>
                      <w:rFonts w:hint="default" w:ascii="Times New Roman" w:hAnsi="Times New Roman" w:eastAsia="宋体" w:cs="Times New Roman"/>
                      <w:b w:val="0"/>
                      <w:bCs w:val="0"/>
                      <w:snapToGrid w:val="0"/>
                      <w:color w:val="auto"/>
                      <w:kern w:val="0"/>
                      <w:sz w:val="21"/>
                      <w:szCs w:val="21"/>
                    </w:rPr>
                    <w:t>01</w:t>
                  </w:r>
                </w:p>
              </w:tc>
              <w:tc>
                <w:tcPr>
                  <w:tcW w:w="842" w:type="pct"/>
                  <w:tcBorders>
                    <w:tl2br w:val="nil"/>
                    <w:tr2bl w:val="nil"/>
                  </w:tcBorders>
                  <w:noWrap w:val="0"/>
                  <w:vAlign w:val="center"/>
                </w:tcPr>
                <w:p w14:paraId="61F66911">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COD</w:t>
                  </w:r>
                </w:p>
              </w:tc>
              <w:tc>
                <w:tcPr>
                  <w:tcW w:w="1568" w:type="pct"/>
                  <w:vMerge w:val="restart"/>
                  <w:tcBorders>
                    <w:tl2br w:val="nil"/>
                    <w:tr2bl w:val="nil"/>
                  </w:tcBorders>
                  <w:noWrap w:val="0"/>
                  <w:vAlign w:val="center"/>
                </w:tcPr>
                <w:p w14:paraId="4FAF25F4">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lang w:val="en-US" w:eastAsia="zh-CN"/>
                    </w:rPr>
                    <w:t>《污水综合排放标准》（GB8978-1996）表4三级排放标准和</w:t>
                  </w:r>
                  <w:r>
                    <w:rPr>
                      <w:rFonts w:hint="default" w:ascii="Times New Roman" w:hAnsi="Times New Roman" w:eastAsia="宋体" w:cs="Times New Roman"/>
                      <w:b w:val="0"/>
                      <w:bCs w:val="0"/>
                      <w:snapToGrid w:val="0"/>
                      <w:color w:val="auto"/>
                      <w:kern w:val="0"/>
                      <w:sz w:val="21"/>
                      <w:szCs w:val="21"/>
                      <w:lang w:val="en-US" w:eastAsia="zh-CN"/>
                    </w:rPr>
                    <w:t>淮阳区第</w:t>
                  </w:r>
                  <w:r>
                    <w:rPr>
                      <w:rFonts w:hint="eastAsia" w:cs="Times New Roman"/>
                      <w:b w:val="0"/>
                      <w:bCs w:val="0"/>
                      <w:snapToGrid w:val="0"/>
                      <w:color w:val="auto"/>
                      <w:kern w:val="0"/>
                      <w:sz w:val="21"/>
                      <w:szCs w:val="21"/>
                      <w:lang w:val="en-US" w:eastAsia="zh-CN"/>
                    </w:rPr>
                    <w:t>二</w:t>
                  </w:r>
                  <w:r>
                    <w:rPr>
                      <w:rFonts w:hint="default" w:ascii="Times New Roman" w:hAnsi="Times New Roman" w:eastAsia="宋体" w:cs="Times New Roman"/>
                      <w:b w:val="0"/>
                      <w:bCs w:val="0"/>
                      <w:snapToGrid w:val="0"/>
                      <w:color w:val="auto"/>
                      <w:kern w:val="0"/>
                      <w:sz w:val="21"/>
                      <w:szCs w:val="21"/>
                      <w:lang w:val="en-US" w:eastAsia="zh-CN"/>
                    </w:rPr>
                    <w:t>污水处理厂</w:t>
                  </w:r>
                  <w:r>
                    <w:rPr>
                      <w:rFonts w:hint="default" w:ascii="Times New Roman" w:hAnsi="Times New Roman" w:eastAsia="宋体" w:cs="Times New Roman"/>
                      <w:b w:val="0"/>
                      <w:bCs w:val="0"/>
                      <w:snapToGrid w:val="0"/>
                      <w:color w:val="auto"/>
                      <w:kern w:val="0"/>
                      <w:sz w:val="21"/>
                      <w:szCs w:val="21"/>
                      <w:highlight w:val="none"/>
                      <w:lang w:val="en-US" w:eastAsia="zh-CN"/>
                    </w:rPr>
                    <w:t>进水水质要求</w:t>
                  </w:r>
                </w:p>
              </w:tc>
              <w:tc>
                <w:tcPr>
                  <w:tcW w:w="1434" w:type="pct"/>
                  <w:tcBorders>
                    <w:tl2br w:val="nil"/>
                    <w:tr2bl w:val="nil"/>
                  </w:tcBorders>
                  <w:noWrap w:val="0"/>
                  <w:vAlign w:val="center"/>
                </w:tcPr>
                <w:p w14:paraId="01ED0528">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310</w:t>
                  </w:r>
                </w:p>
              </w:tc>
            </w:tr>
            <w:tr w14:paraId="57C3D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521" w:type="pct"/>
                  <w:vMerge w:val="continue"/>
                  <w:tcBorders>
                    <w:tl2br w:val="nil"/>
                    <w:tr2bl w:val="nil"/>
                  </w:tcBorders>
                  <w:noWrap w:val="0"/>
                  <w:vAlign w:val="center"/>
                </w:tcPr>
                <w:p w14:paraId="7339D6FF">
                  <w:pPr>
                    <w:snapToGrid w:val="0"/>
                    <w:jc w:val="center"/>
                    <w:rPr>
                      <w:rFonts w:hint="default" w:ascii="Times New Roman" w:hAnsi="Times New Roman" w:eastAsia="宋体" w:cs="Times New Roman"/>
                      <w:b w:val="0"/>
                      <w:bCs w:val="0"/>
                      <w:snapToGrid w:val="0"/>
                      <w:color w:val="auto"/>
                      <w:kern w:val="0"/>
                      <w:sz w:val="21"/>
                      <w:szCs w:val="21"/>
                    </w:rPr>
                  </w:pPr>
                </w:p>
              </w:tc>
              <w:tc>
                <w:tcPr>
                  <w:tcW w:w="633" w:type="pct"/>
                  <w:vMerge w:val="continue"/>
                  <w:tcBorders>
                    <w:tl2br w:val="nil"/>
                    <w:tr2bl w:val="nil"/>
                  </w:tcBorders>
                  <w:noWrap w:val="0"/>
                  <w:vAlign w:val="center"/>
                </w:tcPr>
                <w:p w14:paraId="1627726B">
                  <w:pPr>
                    <w:snapToGrid w:val="0"/>
                    <w:jc w:val="center"/>
                    <w:rPr>
                      <w:rFonts w:hint="default" w:ascii="Times New Roman" w:hAnsi="Times New Roman" w:eastAsia="宋体" w:cs="Times New Roman"/>
                      <w:b w:val="0"/>
                      <w:bCs w:val="0"/>
                      <w:snapToGrid w:val="0"/>
                      <w:color w:val="auto"/>
                      <w:kern w:val="0"/>
                      <w:sz w:val="21"/>
                      <w:szCs w:val="21"/>
                      <w:lang w:val="en-US" w:eastAsia="zh-CN"/>
                    </w:rPr>
                  </w:pPr>
                </w:p>
              </w:tc>
              <w:tc>
                <w:tcPr>
                  <w:tcW w:w="842" w:type="pct"/>
                  <w:tcBorders>
                    <w:tl2br w:val="nil"/>
                    <w:tr2bl w:val="nil"/>
                  </w:tcBorders>
                  <w:noWrap w:val="0"/>
                  <w:vAlign w:val="center"/>
                </w:tcPr>
                <w:p w14:paraId="61956F6B">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BOD</w:t>
                  </w:r>
                  <w:r>
                    <w:rPr>
                      <w:rFonts w:hint="default" w:ascii="Times New Roman" w:hAnsi="Times New Roman" w:eastAsia="宋体" w:cs="Times New Roman"/>
                      <w:b w:val="0"/>
                      <w:bCs w:val="0"/>
                      <w:snapToGrid w:val="0"/>
                      <w:color w:val="auto"/>
                      <w:kern w:val="0"/>
                      <w:sz w:val="21"/>
                      <w:szCs w:val="21"/>
                      <w:vertAlign w:val="subscript"/>
                    </w:rPr>
                    <w:t>5</w:t>
                  </w:r>
                </w:p>
              </w:tc>
              <w:tc>
                <w:tcPr>
                  <w:tcW w:w="1568" w:type="pct"/>
                  <w:vMerge w:val="continue"/>
                  <w:tcBorders>
                    <w:tl2br w:val="nil"/>
                    <w:tr2bl w:val="nil"/>
                  </w:tcBorders>
                  <w:noWrap w:val="0"/>
                  <w:vAlign w:val="center"/>
                </w:tcPr>
                <w:p w14:paraId="5D31FDF3">
                  <w:pPr>
                    <w:widowControl/>
                    <w:snapToGrid w:val="0"/>
                    <w:jc w:val="center"/>
                    <w:rPr>
                      <w:rFonts w:hint="default" w:ascii="Times New Roman" w:hAnsi="Times New Roman" w:eastAsia="宋体" w:cs="Times New Roman"/>
                      <w:b w:val="0"/>
                      <w:bCs w:val="0"/>
                      <w:snapToGrid w:val="0"/>
                      <w:color w:val="auto"/>
                      <w:kern w:val="0"/>
                      <w:sz w:val="21"/>
                      <w:szCs w:val="21"/>
                      <w:highlight w:val="none"/>
                    </w:rPr>
                  </w:pPr>
                </w:p>
              </w:tc>
              <w:tc>
                <w:tcPr>
                  <w:tcW w:w="1434" w:type="pct"/>
                  <w:tcBorders>
                    <w:tl2br w:val="nil"/>
                    <w:tr2bl w:val="nil"/>
                  </w:tcBorders>
                  <w:noWrap w:val="0"/>
                  <w:vAlign w:val="center"/>
                </w:tcPr>
                <w:p w14:paraId="7A4E309D">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150</w:t>
                  </w:r>
                </w:p>
              </w:tc>
            </w:tr>
            <w:tr w14:paraId="4E09C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521" w:type="pct"/>
                  <w:vMerge w:val="continue"/>
                  <w:tcBorders>
                    <w:tl2br w:val="nil"/>
                    <w:tr2bl w:val="nil"/>
                  </w:tcBorders>
                  <w:noWrap w:val="0"/>
                  <w:vAlign w:val="center"/>
                </w:tcPr>
                <w:p w14:paraId="00A97171">
                  <w:pPr>
                    <w:snapToGrid w:val="0"/>
                    <w:jc w:val="center"/>
                    <w:rPr>
                      <w:rFonts w:hint="default" w:ascii="Times New Roman" w:hAnsi="Times New Roman" w:eastAsia="宋体" w:cs="Times New Roman"/>
                      <w:b w:val="0"/>
                      <w:bCs w:val="0"/>
                      <w:snapToGrid w:val="0"/>
                      <w:color w:val="auto"/>
                      <w:kern w:val="0"/>
                      <w:sz w:val="21"/>
                      <w:szCs w:val="21"/>
                    </w:rPr>
                  </w:pPr>
                </w:p>
              </w:tc>
              <w:tc>
                <w:tcPr>
                  <w:tcW w:w="633" w:type="pct"/>
                  <w:vMerge w:val="continue"/>
                  <w:tcBorders>
                    <w:tl2br w:val="nil"/>
                    <w:tr2bl w:val="nil"/>
                  </w:tcBorders>
                  <w:noWrap w:val="0"/>
                  <w:vAlign w:val="center"/>
                </w:tcPr>
                <w:p w14:paraId="74AA4116">
                  <w:pPr>
                    <w:snapToGrid w:val="0"/>
                    <w:jc w:val="center"/>
                    <w:rPr>
                      <w:rFonts w:hint="default" w:ascii="Times New Roman" w:hAnsi="Times New Roman" w:eastAsia="宋体" w:cs="Times New Roman"/>
                      <w:b w:val="0"/>
                      <w:bCs w:val="0"/>
                      <w:snapToGrid w:val="0"/>
                      <w:color w:val="auto"/>
                      <w:kern w:val="0"/>
                      <w:sz w:val="21"/>
                      <w:szCs w:val="21"/>
                    </w:rPr>
                  </w:pPr>
                </w:p>
              </w:tc>
              <w:tc>
                <w:tcPr>
                  <w:tcW w:w="842" w:type="pct"/>
                  <w:tcBorders>
                    <w:tl2br w:val="nil"/>
                    <w:tr2bl w:val="nil"/>
                  </w:tcBorders>
                  <w:noWrap w:val="0"/>
                  <w:vAlign w:val="center"/>
                </w:tcPr>
                <w:p w14:paraId="356FEE1E">
                  <w:pPr>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NH</w:t>
                  </w:r>
                  <w:r>
                    <w:rPr>
                      <w:rFonts w:hint="default" w:ascii="Times New Roman" w:hAnsi="Times New Roman" w:eastAsia="宋体" w:cs="Times New Roman"/>
                      <w:b w:val="0"/>
                      <w:bCs w:val="0"/>
                      <w:snapToGrid w:val="0"/>
                      <w:color w:val="auto"/>
                      <w:kern w:val="0"/>
                      <w:sz w:val="21"/>
                      <w:szCs w:val="21"/>
                      <w:vertAlign w:val="subscript"/>
                      <w:lang w:val="en-US" w:eastAsia="zh-CN"/>
                    </w:rPr>
                    <w:t>3</w:t>
                  </w:r>
                  <w:r>
                    <w:rPr>
                      <w:rFonts w:hint="default" w:ascii="Times New Roman" w:hAnsi="Times New Roman" w:eastAsia="宋体" w:cs="Times New Roman"/>
                      <w:b w:val="0"/>
                      <w:bCs w:val="0"/>
                      <w:snapToGrid w:val="0"/>
                      <w:color w:val="auto"/>
                      <w:kern w:val="0"/>
                      <w:sz w:val="21"/>
                      <w:szCs w:val="21"/>
                      <w:lang w:val="en-US" w:eastAsia="zh-CN"/>
                    </w:rPr>
                    <w:t>-N</w:t>
                  </w:r>
                </w:p>
              </w:tc>
              <w:tc>
                <w:tcPr>
                  <w:tcW w:w="1568" w:type="pct"/>
                  <w:vMerge w:val="continue"/>
                  <w:tcBorders>
                    <w:tl2br w:val="nil"/>
                    <w:tr2bl w:val="nil"/>
                  </w:tcBorders>
                  <w:noWrap w:val="0"/>
                  <w:vAlign w:val="center"/>
                </w:tcPr>
                <w:p w14:paraId="163F25EA">
                  <w:pPr>
                    <w:widowControl/>
                    <w:snapToGrid w:val="0"/>
                    <w:jc w:val="center"/>
                    <w:rPr>
                      <w:rFonts w:hint="default" w:ascii="Times New Roman" w:hAnsi="Times New Roman" w:eastAsia="宋体" w:cs="Times New Roman"/>
                      <w:b w:val="0"/>
                      <w:bCs w:val="0"/>
                      <w:snapToGrid w:val="0"/>
                      <w:color w:val="auto"/>
                      <w:kern w:val="0"/>
                      <w:sz w:val="21"/>
                      <w:szCs w:val="21"/>
                      <w:highlight w:val="yellow"/>
                    </w:rPr>
                  </w:pPr>
                </w:p>
              </w:tc>
              <w:tc>
                <w:tcPr>
                  <w:tcW w:w="1434" w:type="pct"/>
                  <w:tcBorders>
                    <w:tl2br w:val="nil"/>
                    <w:tr2bl w:val="nil"/>
                  </w:tcBorders>
                  <w:noWrap w:val="0"/>
                  <w:vAlign w:val="center"/>
                </w:tcPr>
                <w:p w14:paraId="2AB2557C">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35</w:t>
                  </w:r>
                </w:p>
              </w:tc>
            </w:tr>
            <w:tr w14:paraId="41CAD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21" w:type="pct"/>
                  <w:vMerge w:val="continue"/>
                  <w:tcBorders>
                    <w:tl2br w:val="nil"/>
                    <w:tr2bl w:val="nil"/>
                  </w:tcBorders>
                  <w:noWrap w:val="0"/>
                  <w:vAlign w:val="center"/>
                </w:tcPr>
                <w:p w14:paraId="2D9C784B">
                  <w:pPr>
                    <w:widowControl/>
                    <w:jc w:val="left"/>
                    <w:rPr>
                      <w:rFonts w:hint="default" w:ascii="Times New Roman" w:hAnsi="Times New Roman" w:eastAsia="宋体" w:cs="Times New Roman"/>
                      <w:b w:val="0"/>
                      <w:bCs w:val="0"/>
                      <w:snapToGrid w:val="0"/>
                      <w:color w:val="auto"/>
                      <w:kern w:val="0"/>
                      <w:sz w:val="21"/>
                      <w:szCs w:val="21"/>
                    </w:rPr>
                  </w:pPr>
                </w:p>
              </w:tc>
              <w:tc>
                <w:tcPr>
                  <w:tcW w:w="633" w:type="pct"/>
                  <w:vMerge w:val="continue"/>
                  <w:tcBorders>
                    <w:tl2br w:val="nil"/>
                    <w:tr2bl w:val="nil"/>
                  </w:tcBorders>
                  <w:noWrap w:val="0"/>
                  <w:vAlign w:val="center"/>
                </w:tcPr>
                <w:p w14:paraId="02EE7750">
                  <w:pPr>
                    <w:widowControl/>
                    <w:jc w:val="left"/>
                    <w:rPr>
                      <w:rFonts w:hint="default" w:ascii="Times New Roman" w:hAnsi="Times New Roman" w:eastAsia="宋体" w:cs="Times New Roman"/>
                      <w:b w:val="0"/>
                      <w:bCs w:val="0"/>
                      <w:snapToGrid w:val="0"/>
                      <w:color w:val="auto"/>
                      <w:kern w:val="0"/>
                      <w:sz w:val="21"/>
                      <w:szCs w:val="21"/>
                    </w:rPr>
                  </w:pPr>
                </w:p>
              </w:tc>
              <w:tc>
                <w:tcPr>
                  <w:tcW w:w="842" w:type="pct"/>
                  <w:tcBorders>
                    <w:tl2br w:val="nil"/>
                    <w:tr2bl w:val="nil"/>
                  </w:tcBorders>
                  <w:noWrap w:val="0"/>
                  <w:vAlign w:val="center"/>
                </w:tcPr>
                <w:p w14:paraId="066AAF4A">
                  <w:pPr>
                    <w:snapToGrid w:val="0"/>
                    <w:jc w:val="center"/>
                    <w:rPr>
                      <w:rFonts w:hint="default" w:ascii="Times New Roman" w:hAnsi="Times New Roman" w:eastAsia="宋体" w:cs="Times New Roman"/>
                      <w:b w:val="0"/>
                      <w:bCs w:val="0"/>
                      <w:snapToGrid w:val="0"/>
                      <w:color w:val="auto"/>
                      <w:kern w:val="0"/>
                      <w:sz w:val="21"/>
                      <w:szCs w:val="21"/>
                    </w:rPr>
                  </w:pPr>
                  <w:r>
                    <w:rPr>
                      <w:rFonts w:hint="default" w:ascii="Times New Roman" w:hAnsi="Times New Roman" w:eastAsia="宋体" w:cs="Times New Roman"/>
                      <w:b w:val="0"/>
                      <w:bCs w:val="0"/>
                      <w:snapToGrid w:val="0"/>
                      <w:color w:val="auto"/>
                      <w:kern w:val="0"/>
                      <w:sz w:val="21"/>
                      <w:szCs w:val="21"/>
                    </w:rPr>
                    <w:t>SS</w:t>
                  </w:r>
                </w:p>
              </w:tc>
              <w:tc>
                <w:tcPr>
                  <w:tcW w:w="1568" w:type="pct"/>
                  <w:vMerge w:val="continue"/>
                  <w:tcBorders>
                    <w:tl2br w:val="nil"/>
                    <w:tr2bl w:val="nil"/>
                  </w:tcBorders>
                  <w:noWrap w:val="0"/>
                  <w:vAlign w:val="center"/>
                </w:tcPr>
                <w:p w14:paraId="3AA41E1D">
                  <w:pPr>
                    <w:widowControl/>
                    <w:jc w:val="left"/>
                    <w:rPr>
                      <w:rFonts w:hint="default" w:ascii="Times New Roman" w:hAnsi="Times New Roman" w:eastAsia="宋体" w:cs="Times New Roman"/>
                      <w:b w:val="0"/>
                      <w:bCs w:val="0"/>
                      <w:snapToGrid w:val="0"/>
                      <w:color w:val="auto"/>
                      <w:kern w:val="0"/>
                      <w:sz w:val="21"/>
                      <w:szCs w:val="21"/>
                    </w:rPr>
                  </w:pPr>
                </w:p>
              </w:tc>
              <w:tc>
                <w:tcPr>
                  <w:tcW w:w="1434" w:type="pct"/>
                  <w:tcBorders>
                    <w:tl2br w:val="nil"/>
                    <w:tr2bl w:val="nil"/>
                  </w:tcBorders>
                  <w:noWrap w:val="0"/>
                  <w:vAlign w:val="center"/>
                </w:tcPr>
                <w:p w14:paraId="42011D8B">
                  <w:pPr>
                    <w:widowControl/>
                    <w:snapToGrid w:val="0"/>
                    <w:jc w:val="center"/>
                    <w:rPr>
                      <w:rFonts w:hint="default" w:ascii="Times New Roman" w:hAnsi="Times New Roman" w:eastAsia="宋体" w:cs="Times New Roman"/>
                      <w:b w:val="0"/>
                      <w:bCs w:val="0"/>
                      <w:snapToGrid w:val="0"/>
                      <w:color w:val="auto"/>
                      <w:kern w:val="0"/>
                      <w:sz w:val="21"/>
                      <w:szCs w:val="21"/>
                      <w:lang w:val="en-US" w:eastAsia="zh-CN"/>
                    </w:rPr>
                  </w:pPr>
                  <w:r>
                    <w:rPr>
                      <w:rFonts w:hint="eastAsia" w:ascii="Times New Roman" w:hAnsi="Times New Roman" w:eastAsia="宋体" w:cs="Times New Roman"/>
                      <w:b w:val="0"/>
                      <w:bCs w:val="0"/>
                      <w:snapToGrid w:val="0"/>
                      <w:color w:val="auto"/>
                      <w:kern w:val="0"/>
                      <w:sz w:val="21"/>
                      <w:szCs w:val="21"/>
                      <w:lang w:val="en-US" w:eastAsia="zh-CN"/>
                    </w:rPr>
                    <w:t>200</w:t>
                  </w:r>
                </w:p>
              </w:tc>
            </w:tr>
          </w:tbl>
          <w:p w14:paraId="61052A0E">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rPr>
            </w:pPr>
            <w:r>
              <w:rPr>
                <w:rFonts w:hint="eastAsia" w:ascii="Times New Roman" w:hAnsi="Times New Roman" w:eastAsia="宋体" w:cs="Times New Roman"/>
                <w:b/>
                <w:bCs/>
                <w:snapToGrid w:val="0"/>
                <w:color w:val="auto"/>
                <w:kern w:val="0"/>
                <w:sz w:val="24"/>
              </w:rPr>
              <w:t>表</w:t>
            </w:r>
            <w:r>
              <w:rPr>
                <w:rFonts w:hint="eastAsia" w:cs="Times New Roman"/>
                <w:b/>
                <w:bCs/>
                <w:snapToGrid w:val="0"/>
                <w:color w:val="auto"/>
                <w:kern w:val="0"/>
                <w:sz w:val="24"/>
                <w:lang w:val="en-US" w:eastAsia="zh-CN"/>
              </w:rPr>
              <w:t>4-10</w:t>
            </w:r>
            <w:r>
              <w:rPr>
                <w:rFonts w:hint="eastAsia" w:ascii="Times New Roman" w:hAnsi="Times New Roman" w:eastAsia="宋体" w:cs="Times New Roman"/>
                <w:b/>
                <w:bCs/>
                <w:snapToGrid w:val="0"/>
                <w:color w:val="auto"/>
                <w:kern w:val="0"/>
                <w:sz w:val="24"/>
              </w:rPr>
              <w:t xml:space="preserve">     废水污染物排放信息表</w:t>
            </w:r>
          </w:p>
          <w:tbl>
            <w:tblPr>
              <w:tblStyle w:val="3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07"/>
              <w:gridCol w:w="850"/>
              <w:gridCol w:w="814"/>
              <w:gridCol w:w="780"/>
              <w:gridCol w:w="1052"/>
              <w:gridCol w:w="973"/>
              <w:gridCol w:w="823"/>
              <w:gridCol w:w="1052"/>
              <w:gridCol w:w="973"/>
              <w:gridCol w:w="823"/>
            </w:tblGrid>
            <w:tr w14:paraId="4C90C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7" w:hRule="atLeast"/>
                <w:jc w:val="center"/>
              </w:trPr>
              <w:tc>
                <w:tcPr>
                  <w:tcW w:w="238" w:type="pct"/>
                  <w:vMerge w:val="restart"/>
                  <w:tcBorders>
                    <w:tl2br w:val="nil"/>
                    <w:tr2bl w:val="nil"/>
                  </w:tcBorders>
                  <w:noWrap w:val="0"/>
                  <w:vAlign w:val="center"/>
                </w:tcPr>
                <w:p w14:paraId="0112ECFA">
                  <w:pPr>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序号</w:t>
                  </w:r>
                </w:p>
              </w:tc>
              <w:tc>
                <w:tcPr>
                  <w:tcW w:w="497" w:type="pct"/>
                  <w:vMerge w:val="restart"/>
                  <w:tcBorders>
                    <w:tl2br w:val="nil"/>
                    <w:tr2bl w:val="nil"/>
                  </w:tcBorders>
                  <w:noWrap w:val="0"/>
                  <w:vAlign w:val="center"/>
                </w:tcPr>
                <w:p w14:paraId="542212A8">
                  <w:pPr>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排放口编号</w:t>
                  </w:r>
                </w:p>
              </w:tc>
              <w:tc>
                <w:tcPr>
                  <w:tcW w:w="476" w:type="pct"/>
                  <w:vMerge w:val="restart"/>
                  <w:tcBorders>
                    <w:tl2br w:val="nil"/>
                    <w:tr2bl w:val="nil"/>
                  </w:tcBorders>
                  <w:noWrap w:val="0"/>
                  <w:vAlign w:val="center"/>
                </w:tcPr>
                <w:p w14:paraId="7F49D54F">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废水量</w:t>
                  </w:r>
                </w:p>
                <w:p w14:paraId="133AB719">
                  <w:pPr>
                    <w:widowControl/>
                    <w:snapToGrid w:val="0"/>
                    <w:jc w:val="center"/>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snapToGrid w:val="0"/>
                      <w:color w:val="auto"/>
                      <w:kern w:val="0"/>
                      <w:sz w:val="21"/>
                      <w:szCs w:val="21"/>
                      <w:highlight w:val="none"/>
                    </w:rPr>
                    <w:t>（t/a）</w:t>
                  </w:r>
                </w:p>
              </w:tc>
              <w:tc>
                <w:tcPr>
                  <w:tcW w:w="456" w:type="pct"/>
                  <w:vMerge w:val="restart"/>
                  <w:tcBorders>
                    <w:tl2br w:val="nil"/>
                    <w:tr2bl w:val="nil"/>
                  </w:tcBorders>
                  <w:noWrap w:val="0"/>
                  <w:vAlign w:val="center"/>
                </w:tcPr>
                <w:p w14:paraId="03415FDF">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污染物种类</w:t>
                  </w:r>
                </w:p>
              </w:tc>
              <w:tc>
                <w:tcPr>
                  <w:tcW w:w="1665" w:type="pct"/>
                  <w:gridSpan w:val="3"/>
                  <w:tcBorders>
                    <w:tl2br w:val="nil"/>
                    <w:tr2bl w:val="nil"/>
                  </w:tcBorders>
                  <w:noWrap w:val="0"/>
                  <w:vAlign w:val="center"/>
                </w:tcPr>
                <w:p w14:paraId="24233848">
                  <w:pPr>
                    <w:widowControl/>
                    <w:snapToGrid w:val="0"/>
                    <w:jc w:val="center"/>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snapToGrid w:val="0"/>
                      <w:color w:val="auto"/>
                      <w:kern w:val="0"/>
                      <w:sz w:val="21"/>
                      <w:szCs w:val="21"/>
                      <w:highlight w:val="none"/>
                      <w:lang w:val="en-US" w:eastAsia="zh-CN"/>
                    </w:rPr>
                    <w:t>出厂排放情况</w:t>
                  </w:r>
                </w:p>
              </w:tc>
              <w:tc>
                <w:tcPr>
                  <w:tcW w:w="1665" w:type="pct"/>
                  <w:gridSpan w:val="3"/>
                  <w:tcBorders>
                    <w:tl2br w:val="nil"/>
                    <w:tr2bl w:val="nil"/>
                  </w:tcBorders>
                  <w:noWrap w:val="0"/>
                  <w:vAlign w:val="center"/>
                </w:tcPr>
                <w:p w14:paraId="6F2C2130">
                  <w:pPr>
                    <w:widowControl/>
                    <w:snapToGrid w:val="0"/>
                    <w:jc w:val="center"/>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snapToGrid w:val="0"/>
                      <w:color w:val="auto"/>
                      <w:kern w:val="0"/>
                      <w:sz w:val="21"/>
                      <w:szCs w:val="21"/>
                      <w:highlight w:val="none"/>
                      <w:lang w:val="en-US" w:eastAsia="zh-CN"/>
                    </w:rPr>
                    <w:t>入环境排放情况</w:t>
                  </w:r>
                </w:p>
              </w:tc>
            </w:tr>
            <w:tr w14:paraId="76EE4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238" w:type="pct"/>
                  <w:vMerge w:val="continue"/>
                  <w:tcBorders>
                    <w:tl2br w:val="nil"/>
                    <w:tr2bl w:val="nil"/>
                  </w:tcBorders>
                  <w:noWrap w:val="0"/>
                  <w:vAlign w:val="center"/>
                </w:tcPr>
                <w:p w14:paraId="54C7A08E">
                  <w:pPr>
                    <w:widowControl/>
                    <w:jc w:val="center"/>
                    <w:rPr>
                      <w:rFonts w:hint="default" w:ascii="Times New Roman" w:hAnsi="Times New Roman" w:eastAsia="宋体" w:cs="Times New Roman"/>
                      <w:b w:val="0"/>
                      <w:bCs w:val="0"/>
                      <w:snapToGrid w:val="0"/>
                      <w:color w:val="auto"/>
                      <w:kern w:val="0"/>
                      <w:sz w:val="21"/>
                      <w:szCs w:val="21"/>
                      <w:highlight w:val="none"/>
                    </w:rPr>
                  </w:pPr>
                </w:p>
              </w:tc>
              <w:tc>
                <w:tcPr>
                  <w:tcW w:w="497" w:type="pct"/>
                  <w:vMerge w:val="continue"/>
                  <w:tcBorders>
                    <w:tl2br w:val="nil"/>
                    <w:tr2bl w:val="nil"/>
                  </w:tcBorders>
                  <w:noWrap w:val="0"/>
                  <w:vAlign w:val="center"/>
                </w:tcPr>
                <w:p w14:paraId="3665B956">
                  <w:pPr>
                    <w:widowControl/>
                    <w:jc w:val="center"/>
                    <w:rPr>
                      <w:rFonts w:hint="default" w:ascii="Times New Roman" w:hAnsi="Times New Roman" w:eastAsia="宋体" w:cs="Times New Roman"/>
                      <w:b w:val="0"/>
                      <w:bCs w:val="0"/>
                      <w:snapToGrid w:val="0"/>
                      <w:color w:val="auto"/>
                      <w:kern w:val="0"/>
                      <w:sz w:val="21"/>
                      <w:szCs w:val="21"/>
                      <w:highlight w:val="none"/>
                    </w:rPr>
                  </w:pPr>
                </w:p>
              </w:tc>
              <w:tc>
                <w:tcPr>
                  <w:tcW w:w="476" w:type="pct"/>
                  <w:vMerge w:val="continue"/>
                  <w:tcBorders>
                    <w:tl2br w:val="nil"/>
                    <w:tr2bl w:val="nil"/>
                  </w:tcBorders>
                  <w:noWrap w:val="0"/>
                  <w:vAlign w:val="center"/>
                </w:tcPr>
                <w:p w14:paraId="4985FCE0">
                  <w:pPr>
                    <w:widowControl/>
                    <w:jc w:val="center"/>
                    <w:rPr>
                      <w:rFonts w:hint="default" w:ascii="Times New Roman" w:hAnsi="Times New Roman" w:eastAsia="宋体" w:cs="Times New Roman"/>
                      <w:b w:val="0"/>
                      <w:bCs w:val="0"/>
                      <w:snapToGrid w:val="0"/>
                      <w:color w:val="auto"/>
                      <w:kern w:val="0"/>
                      <w:sz w:val="21"/>
                      <w:szCs w:val="21"/>
                      <w:highlight w:val="none"/>
                    </w:rPr>
                  </w:pPr>
                </w:p>
              </w:tc>
              <w:tc>
                <w:tcPr>
                  <w:tcW w:w="456" w:type="pct"/>
                  <w:vMerge w:val="continue"/>
                  <w:tcBorders>
                    <w:tl2br w:val="nil"/>
                    <w:tr2bl w:val="nil"/>
                  </w:tcBorders>
                  <w:noWrap w:val="0"/>
                  <w:vAlign w:val="center"/>
                </w:tcPr>
                <w:p w14:paraId="09FB94E8">
                  <w:pPr>
                    <w:widowControl/>
                    <w:jc w:val="center"/>
                    <w:rPr>
                      <w:rFonts w:hint="default" w:ascii="Times New Roman" w:hAnsi="Times New Roman" w:eastAsia="宋体" w:cs="Times New Roman"/>
                      <w:b w:val="0"/>
                      <w:bCs w:val="0"/>
                      <w:snapToGrid w:val="0"/>
                      <w:color w:val="auto"/>
                      <w:kern w:val="0"/>
                      <w:sz w:val="21"/>
                      <w:szCs w:val="21"/>
                      <w:highlight w:val="none"/>
                    </w:rPr>
                  </w:pPr>
                </w:p>
              </w:tc>
              <w:tc>
                <w:tcPr>
                  <w:tcW w:w="615" w:type="pct"/>
                  <w:tcBorders>
                    <w:tl2br w:val="nil"/>
                    <w:tr2bl w:val="nil"/>
                  </w:tcBorders>
                  <w:noWrap w:val="0"/>
                  <w:vAlign w:val="center"/>
                </w:tcPr>
                <w:p w14:paraId="598DAF52">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排放</w:t>
                  </w:r>
                </w:p>
                <w:p w14:paraId="2422AE3B">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浓度</w:t>
                  </w:r>
                </w:p>
                <w:p w14:paraId="53123E8D">
                  <w:pPr>
                    <w:widowControl/>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（mg/L）</w:t>
                  </w:r>
                </w:p>
              </w:tc>
              <w:tc>
                <w:tcPr>
                  <w:tcW w:w="569" w:type="pct"/>
                  <w:tcBorders>
                    <w:tl2br w:val="nil"/>
                    <w:tr2bl w:val="nil"/>
                  </w:tcBorders>
                  <w:noWrap w:val="0"/>
                  <w:vAlign w:val="center"/>
                </w:tcPr>
                <w:p w14:paraId="6F60171C">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日排</w:t>
                  </w:r>
                </w:p>
                <w:p w14:paraId="41DA5CAC">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放量</w:t>
                  </w:r>
                </w:p>
                <w:p w14:paraId="1F989360">
                  <w:pPr>
                    <w:widowControl/>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（kg/d）</w:t>
                  </w:r>
                </w:p>
              </w:tc>
              <w:tc>
                <w:tcPr>
                  <w:tcW w:w="481" w:type="pct"/>
                  <w:tcBorders>
                    <w:tl2br w:val="nil"/>
                    <w:tr2bl w:val="nil"/>
                  </w:tcBorders>
                  <w:noWrap w:val="0"/>
                  <w:vAlign w:val="center"/>
                </w:tcPr>
                <w:p w14:paraId="0A2CE1E6">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年排</w:t>
                  </w:r>
                </w:p>
                <w:p w14:paraId="6DAEE2B0">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放量</w:t>
                  </w:r>
                </w:p>
                <w:p w14:paraId="3F8574B1">
                  <w:pPr>
                    <w:widowControl/>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（t/a）</w:t>
                  </w:r>
                </w:p>
              </w:tc>
              <w:tc>
                <w:tcPr>
                  <w:tcW w:w="615" w:type="pct"/>
                  <w:tcBorders>
                    <w:tl2br w:val="nil"/>
                    <w:tr2bl w:val="nil"/>
                  </w:tcBorders>
                  <w:noWrap w:val="0"/>
                  <w:vAlign w:val="center"/>
                </w:tcPr>
                <w:p w14:paraId="3D9E5E89">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排放</w:t>
                  </w:r>
                </w:p>
                <w:p w14:paraId="0CDD9AFD">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浓度</w:t>
                  </w:r>
                </w:p>
                <w:p w14:paraId="439BFC9C">
                  <w:pPr>
                    <w:widowControl/>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（mg/L）</w:t>
                  </w:r>
                </w:p>
              </w:tc>
              <w:tc>
                <w:tcPr>
                  <w:tcW w:w="569" w:type="pct"/>
                  <w:tcBorders>
                    <w:tl2br w:val="nil"/>
                    <w:tr2bl w:val="nil"/>
                  </w:tcBorders>
                  <w:noWrap w:val="0"/>
                  <w:vAlign w:val="center"/>
                </w:tcPr>
                <w:p w14:paraId="6F70A987">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日排</w:t>
                  </w:r>
                </w:p>
                <w:p w14:paraId="495EEB2F">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放量</w:t>
                  </w:r>
                </w:p>
                <w:p w14:paraId="18B984D0">
                  <w:pPr>
                    <w:widowControl/>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（kg/d）</w:t>
                  </w:r>
                </w:p>
              </w:tc>
              <w:tc>
                <w:tcPr>
                  <w:tcW w:w="481" w:type="pct"/>
                  <w:tcBorders>
                    <w:tl2br w:val="nil"/>
                    <w:tr2bl w:val="nil"/>
                  </w:tcBorders>
                  <w:noWrap w:val="0"/>
                  <w:vAlign w:val="center"/>
                </w:tcPr>
                <w:p w14:paraId="4096DC6A">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年排</w:t>
                  </w:r>
                </w:p>
                <w:p w14:paraId="5E596758">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放量</w:t>
                  </w:r>
                </w:p>
                <w:p w14:paraId="2D7D5AA5">
                  <w:pPr>
                    <w:widowControl/>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（t/a）</w:t>
                  </w:r>
                </w:p>
              </w:tc>
            </w:tr>
            <w:tr w14:paraId="15A15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1" w:hRule="atLeast"/>
                <w:jc w:val="center"/>
              </w:trPr>
              <w:tc>
                <w:tcPr>
                  <w:tcW w:w="238" w:type="pct"/>
                  <w:vMerge w:val="restart"/>
                  <w:tcBorders>
                    <w:tl2br w:val="nil"/>
                    <w:tr2bl w:val="nil"/>
                  </w:tcBorders>
                  <w:noWrap w:val="0"/>
                  <w:vAlign w:val="center"/>
                </w:tcPr>
                <w:p w14:paraId="1F55D2D4">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1</w:t>
                  </w:r>
                </w:p>
              </w:tc>
              <w:tc>
                <w:tcPr>
                  <w:tcW w:w="497" w:type="pct"/>
                  <w:vMerge w:val="restart"/>
                  <w:tcBorders>
                    <w:tl2br w:val="nil"/>
                    <w:tr2bl w:val="nil"/>
                  </w:tcBorders>
                  <w:noWrap w:val="0"/>
                  <w:vAlign w:val="center"/>
                </w:tcPr>
                <w:p w14:paraId="76019EA8">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lang w:val="en-US" w:eastAsia="zh-CN"/>
                    </w:rPr>
                    <w:t>DW0</w:t>
                  </w:r>
                  <w:r>
                    <w:rPr>
                      <w:rFonts w:hint="default" w:ascii="Times New Roman" w:hAnsi="Times New Roman" w:eastAsia="宋体" w:cs="Times New Roman"/>
                      <w:b w:val="0"/>
                      <w:bCs w:val="0"/>
                      <w:snapToGrid w:val="0"/>
                      <w:color w:val="auto"/>
                      <w:kern w:val="0"/>
                      <w:sz w:val="21"/>
                      <w:szCs w:val="21"/>
                      <w:highlight w:val="none"/>
                    </w:rPr>
                    <w:t>01</w:t>
                  </w:r>
                </w:p>
              </w:tc>
              <w:tc>
                <w:tcPr>
                  <w:tcW w:w="476" w:type="pct"/>
                  <w:vMerge w:val="restart"/>
                  <w:tcBorders>
                    <w:tl2br w:val="nil"/>
                    <w:tr2bl w:val="nil"/>
                  </w:tcBorders>
                  <w:noWrap w:val="0"/>
                  <w:vAlign w:val="center"/>
                </w:tcPr>
                <w:p w14:paraId="3226F12F">
                  <w:pPr>
                    <w:widowControl/>
                    <w:snapToGrid w:val="0"/>
                    <w:jc w:val="center"/>
                    <w:rPr>
                      <w:rFonts w:hint="default" w:ascii="Times New Roman" w:hAnsi="Times New Roman" w:eastAsia="宋体" w:cs="Times New Roman"/>
                      <w:b w:val="0"/>
                      <w:bCs w:val="0"/>
                      <w:snapToGrid w:val="0"/>
                      <w:color w:val="auto"/>
                      <w:kern w:val="0"/>
                      <w:sz w:val="21"/>
                      <w:szCs w:val="21"/>
                      <w:highlight w:val="none"/>
                      <w:lang w:val="en-US"/>
                    </w:rPr>
                  </w:pPr>
                  <w:r>
                    <w:rPr>
                      <w:rFonts w:hint="eastAsia" w:cs="Times New Roman"/>
                      <w:b w:val="0"/>
                      <w:bCs w:val="0"/>
                      <w:snapToGrid w:val="0"/>
                      <w:color w:val="auto"/>
                      <w:kern w:val="0"/>
                      <w:sz w:val="21"/>
                      <w:szCs w:val="21"/>
                      <w:highlight w:val="none"/>
                      <w:lang w:val="en-US" w:eastAsia="zh-CN"/>
                    </w:rPr>
                    <w:t>960</w:t>
                  </w:r>
                </w:p>
              </w:tc>
              <w:tc>
                <w:tcPr>
                  <w:tcW w:w="456" w:type="pct"/>
                  <w:tcBorders>
                    <w:tl2br w:val="nil"/>
                    <w:tr2bl w:val="nil"/>
                  </w:tcBorders>
                  <w:noWrap w:val="0"/>
                  <w:vAlign w:val="center"/>
                </w:tcPr>
                <w:p w14:paraId="0DE8FAB2">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COD</w:t>
                  </w:r>
                </w:p>
              </w:tc>
              <w:tc>
                <w:tcPr>
                  <w:tcW w:w="615" w:type="pct"/>
                  <w:tcBorders>
                    <w:tl2br w:val="nil"/>
                    <w:tr2bl w:val="nil"/>
                  </w:tcBorders>
                  <w:noWrap w:val="0"/>
                  <w:vAlign w:val="center"/>
                </w:tcPr>
                <w:p w14:paraId="5FE15057">
                  <w:pPr>
                    <w:keepNext w:val="0"/>
                    <w:keepLines w:val="0"/>
                    <w:widowControl/>
                    <w:suppressLineNumbers w:val="0"/>
                    <w:jc w:val="center"/>
                    <w:textAlignment w:val="center"/>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i w:val="0"/>
                      <w:iCs w:val="0"/>
                      <w:color w:val="auto"/>
                      <w:kern w:val="0"/>
                      <w:sz w:val="21"/>
                      <w:szCs w:val="21"/>
                      <w:u w:val="none"/>
                      <w:lang w:val="en-US" w:eastAsia="zh-CN" w:bidi="ar"/>
                    </w:rPr>
                    <w:t>300</w:t>
                  </w:r>
                </w:p>
              </w:tc>
              <w:tc>
                <w:tcPr>
                  <w:tcW w:w="569" w:type="pct"/>
                  <w:tcBorders>
                    <w:tl2br w:val="nil"/>
                    <w:tr2bl w:val="nil"/>
                  </w:tcBorders>
                  <w:noWrap w:val="0"/>
                  <w:vAlign w:val="center"/>
                </w:tcPr>
                <w:p w14:paraId="2F8CB10A">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0.96</w:t>
                  </w:r>
                </w:p>
              </w:tc>
              <w:tc>
                <w:tcPr>
                  <w:tcW w:w="481" w:type="pct"/>
                  <w:tcBorders>
                    <w:tl2br w:val="nil"/>
                    <w:tr2bl w:val="nil"/>
                  </w:tcBorders>
                  <w:noWrap w:val="0"/>
                  <w:vAlign w:val="center"/>
                </w:tcPr>
                <w:p w14:paraId="569FA4EF">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0.288</w:t>
                  </w:r>
                </w:p>
              </w:tc>
              <w:tc>
                <w:tcPr>
                  <w:tcW w:w="615" w:type="pct"/>
                  <w:tcBorders>
                    <w:tl2br w:val="nil"/>
                    <w:tr2bl w:val="nil"/>
                  </w:tcBorders>
                  <w:noWrap w:val="0"/>
                  <w:vAlign w:val="center"/>
                </w:tcPr>
                <w:p w14:paraId="45779827">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i w:val="0"/>
                      <w:iCs w:val="0"/>
                      <w:color w:val="auto"/>
                      <w:kern w:val="0"/>
                      <w:sz w:val="21"/>
                      <w:szCs w:val="21"/>
                      <w:u w:val="none"/>
                      <w:lang w:val="en-US" w:eastAsia="zh-CN" w:bidi="ar"/>
                    </w:rPr>
                    <w:t>50</w:t>
                  </w:r>
                </w:p>
              </w:tc>
              <w:tc>
                <w:tcPr>
                  <w:tcW w:w="569" w:type="pct"/>
                  <w:tcBorders>
                    <w:tl2br w:val="nil"/>
                    <w:tr2bl w:val="nil"/>
                  </w:tcBorders>
                  <w:noWrap w:val="0"/>
                  <w:vAlign w:val="center"/>
                </w:tcPr>
                <w:p w14:paraId="0794DCF4">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0.16</w:t>
                  </w:r>
                </w:p>
              </w:tc>
              <w:tc>
                <w:tcPr>
                  <w:tcW w:w="481" w:type="pct"/>
                  <w:tcBorders>
                    <w:tl2br w:val="nil"/>
                    <w:tr2bl w:val="nil"/>
                  </w:tcBorders>
                  <w:noWrap w:val="0"/>
                  <w:vAlign w:val="center"/>
                </w:tcPr>
                <w:p w14:paraId="64F56626">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0.048</w:t>
                  </w:r>
                </w:p>
              </w:tc>
            </w:tr>
            <w:tr w14:paraId="2DA4C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2" w:hRule="atLeast"/>
                <w:jc w:val="center"/>
              </w:trPr>
              <w:tc>
                <w:tcPr>
                  <w:tcW w:w="238" w:type="pct"/>
                  <w:vMerge w:val="continue"/>
                  <w:tcBorders>
                    <w:tl2br w:val="nil"/>
                    <w:tr2bl w:val="nil"/>
                  </w:tcBorders>
                  <w:noWrap w:val="0"/>
                  <w:vAlign w:val="center"/>
                </w:tcPr>
                <w:p w14:paraId="261CC183">
                  <w:pPr>
                    <w:widowControl/>
                    <w:jc w:val="center"/>
                    <w:rPr>
                      <w:rFonts w:hint="default" w:ascii="Times New Roman" w:hAnsi="Times New Roman" w:eastAsia="宋体" w:cs="Times New Roman"/>
                      <w:b w:val="0"/>
                      <w:bCs w:val="0"/>
                      <w:snapToGrid w:val="0"/>
                      <w:color w:val="auto"/>
                      <w:kern w:val="0"/>
                      <w:sz w:val="21"/>
                      <w:szCs w:val="21"/>
                      <w:highlight w:val="none"/>
                    </w:rPr>
                  </w:pPr>
                </w:p>
              </w:tc>
              <w:tc>
                <w:tcPr>
                  <w:tcW w:w="497" w:type="pct"/>
                  <w:vMerge w:val="continue"/>
                  <w:tcBorders>
                    <w:tl2br w:val="nil"/>
                    <w:tr2bl w:val="nil"/>
                  </w:tcBorders>
                  <w:noWrap w:val="0"/>
                  <w:vAlign w:val="center"/>
                </w:tcPr>
                <w:p w14:paraId="0ABB82FC">
                  <w:pPr>
                    <w:widowControl/>
                    <w:jc w:val="center"/>
                    <w:rPr>
                      <w:rFonts w:hint="default" w:ascii="Times New Roman" w:hAnsi="Times New Roman" w:eastAsia="宋体" w:cs="Times New Roman"/>
                      <w:b w:val="0"/>
                      <w:bCs w:val="0"/>
                      <w:snapToGrid w:val="0"/>
                      <w:color w:val="auto"/>
                      <w:kern w:val="0"/>
                      <w:sz w:val="21"/>
                      <w:szCs w:val="21"/>
                      <w:highlight w:val="none"/>
                    </w:rPr>
                  </w:pPr>
                </w:p>
              </w:tc>
              <w:tc>
                <w:tcPr>
                  <w:tcW w:w="476" w:type="pct"/>
                  <w:vMerge w:val="continue"/>
                  <w:tcBorders>
                    <w:tl2br w:val="nil"/>
                    <w:tr2bl w:val="nil"/>
                  </w:tcBorders>
                  <w:noWrap w:val="0"/>
                  <w:vAlign w:val="center"/>
                </w:tcPr>
                <w:p w14:paraId="0F53EE81">
                  <w:pPr>
                    <w:widowControl/>
                    <w:snapToGrid w:val="0"/>
                    <w:jc w:val="center"/>
                    <w:rPr>
                      <w:rFonts w:hint="default" w:ascii="Times New Roman" w:hAnsi="Times New Roman" w:eastAsia="宋体" w:cs="Times New Roman"/>
                      <w:b w:val="0"/>
                      <w:bCs w:val="0"/>
                      <w:snapToGrid w:val="0"/>
                      <w:color w:val="auto"/>
                      <w:kern w:val="0"/>
                      <w:sz w:val="21"/>
                      <w:szCs w:val="21"/>
                      <w:highlight w:val="none"/>
                    </w:rPr>
                  </w:pPr>
                </w:p>
              </w:tc>
              <w:tc>
                <w:tcPr>
                  <w:tcW w:w="456" w:type="pct"/>
                  <w:tcBorders>
                    <w:tl2br w:val="nil"/>
                    <w:tr2bl w:val="nil"/>
                  </w:tcBorders>
                  <w:noWrap w:val="0"/>
                  <w:vAlign w:val="center"/>
                </w:tcPr>
                <w:p w14:paraId="07B06FE8">
                  <w:pPr>
                    <w:widowControl/>
                    <w:snapToGrid w:val="0"/>
                    <w:jc w:val="center"/>
                    <w:rPr>
                      <w:rFonts w:hint="default" w:ascii="Times New Roman" w:hAnsi="Times New Roman" w:eastAsia="宋体" w:cs="Times New Roman"/>
                      <w:b w:val="0"/>
                      <w:bCs w:val="0"/>
                      <w:snapToGrid w:val="0"/>
                      <w:color w:val="auto"/>
                      <w:kern w:val="0"/>
                      <w:sz w:val="21"/>
                      <w:szCs w:val="21"/>
                      <w:highlight w:val="none"/>
                    </w:rPr>
                  </w:pPr>
                  <w:r>
                    <w:rPr>
                      <w:rFonts w:hint="default" w:ascii="Times New Roman" w:hAnsi="Times New Roman" w:eastAsia="宋体" w:cs="Times New Roman"/>
                      <w:b w:val="0"/>
                      <w:bCs w:val="0"/>
                      <w:snapToGrid w:val="0"/>
                      <w:color w:val="auto"/>
                      <w:kern w:val="0"/>
                      <w:sz w:val="21"/>
                      <w:szCs w:val="21"/>
                      <w:highlight w:val="none"/>
                    </w:rPr>
                    <w:t>NH</w:t>
                  </w:r>
                  <w:r>
                    <w:rPr>
                      <w:rFonts w:hint="default" w:ascii="Times New Roman" w:hAnsi="Times New Roman" w:eastAsia="宋体" w:cs="Times New Roman"/>
                      <w:b w:val="0"/>
                      <w:bCs w:val="0"/>
                      <w:snapToGrid w:val="0"/>
                      <w:color w:val="auto"/>
                      <w:kern w:val="0"/>
                      <w:sz w:val="21"/>
                      <w:szCs w:val="21"/>
                      <w:highlight w:val="none"/>
                      <w:vertAlign w:val="subscript"/>
                    </w:rPr>
                    <w:t>3</w:t>
                  </w:r>
                  <w:r>
                    <w:rPr>
                      <w:rFonts w:hint="default" w:ascii="Times New Roman" w:hAnsi="Times New Roman" w:eastAsia="宋体" w:cs="Times New Roman"/>
                      <w:b w:val="0"/>
                      <w:bCs w:val="0"/>
                      <w:snapToGrid w:val="0"/>
                      <w:color w:val="auto"/>
                      <w:kern w:val="0"/>
                      <w:sz w:val="21"/>
                      <w:szCs w:val="21"/>
                      <w:highlight w:val="none"/>
                    </w:rPr>
                    <w:t>-N</w:t>
                  </w:r>
                </w:p>
              </w:tc>
              <w:tc>
                <w:tcPr>
                  <w:tcW w:w="615" w:type="pct"/>
                  <w:tcBorders>
                    <w:tl2br w:val="nil"/>
                    <w:tr2bl w:val="nil"/>
                  </w:tcBorders>
                  <w:noWrap w:val="0"/>
                  <w:vAlign w:val="center"/>
                </w:tcPr>
                <w:p w14:paraId="599E189C">
                  <w:pPr>
                    <w:keepNext w:val="0"/>
                    <w:keepLines w:val="0"/>
                    <w:widowControl/>
                    <w:suppressLineNumbers w:val="0"/>
                    <w:jc w:val="center"/>
                    <w:textAlignment w:val="center"/>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i w:val="0"/>
                      <w:iCs w:val="0"/>
                      <w:color w:val="auto"/>
                      <w:kern w:val="0"/>
                      <w:sz w:val="21"/>
                      <w:szCs w:val="21"/>
                      <w:u w:val="none"/>
                      <w:lang w:val="en-US" w:eastAsia="zh-CN" w:bidi="ar"/>
                    </w:rPr>
                    <w:t>25</w:t>
                  </w:r>
                </w:p>
              </w:tc>
              <w:tc>
                <w:tcPr>
                  <w:tcW w:w="569" w:type="pct"/>
                  <w:tcBorders>
                    <w:tl2br w:val="nil"/>
                    <w:tr2bl w:val="nil"/>
                  </w:tcBorders>
                  <w:noWrap w:val="0"/>
                  <w:vAlign w:val="center"/>
                </w:tcPr>
                <w:p w14:paraId="51033927">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0.08</w:t>
                  </w:r>
                </w:p>
              </w:tc>
              <w:tc>
                <w:tcPr>
                  <w:tcW w:w="481" w:type="pct"/>
                  <w:tcBorders>
                    <w:tl2br w:val="nil"/>
                    <w:tr2bl w:val="nil"/>
                  </w:tcBorders>
                  <w:noWrap w:val="0"/>
                  <w:vAlign w:val="center"/>
                </w:tcPr>
                <w:p w14:paraId="0328C476">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0.024</w:t>
                  </w:r>
                </w:p>
              </w:tc>
              <w:tc>
                <w:tcPr>
                  <w:tcW w:w="615" w:type="pct"/>
                  <w:tcBorders>
                    <w:tl2br w:val="nil"/>
                    <w:tr2bl w:val="nil"/>
                  </w:tcBorders>
                  <w:noWrap w:val="0"/>
                  <w:vAlign w:val="center"/>
                </w:tcPr>
                <w:p w14:paraId="38033C5A">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i w:val="0"/>
                      <w:iCs w:val="0"/>
                      <w:color w:val="auto"/>
                      <w:kern w:val="0"/>
                      <w:sz w:val="21"/>
                      <w:szCs w:val="21"/>
                      <w:u w:val="none"/>
                      <w:lang w:val="en-US" w:eastAsia="zh-CN" w:bidi="ar"/>
                    </w:rPr>
                    <w:t>5</w:t>
                  </w:r>
                </w:p>
              </w:tc>
              <w:tc>
                <w:tcPr>
                  <w:tcW w:w="569" w:type="pct"/>
                  <w:tcBorders>
                    <w:tl2br w:val="nil"/>
                    <w:tr2bl w:val="nil"/>
                  </w:tcBorders>
                  <w:noWrap w:val="0"/>
                  <w:vAlign w:val="center"/>
                </w:tcPr>
                <w:p w14:paraId="3514DDCB">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0.016</w:t>
                  </w:r>
                </w:p>
              </w:tc>
              <w:tc>
                <w:tcPr>
                  <w:tcW w:w="481" w:type="pct"/>
                  <w:tcBorders>
                    <w:tl2br w:val="nil"/>
                    <w:tr2bl w:val="nil"/>
                  </w:tcBorders>
                  <w:noWrap w:val="0"/>
                  <w:vAlign w:val="center"/>
                </w:tcPr>
                <w:p w14:paraId="6C5B294D">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rPr>
                  </w:pPr>
                  <w:r>
                    <w:rPr>
                      <w:rFonts w:hint="eastAsia" w:cs="Times New Roman"/>
                      <w:b w:val="0"/>
                      <w:bCs w:val="0"/>
                      <w:snapToGrid w:val="0"/>
                      <w:color w:val="auto"/>
                      <w:kern w:val="0"/>
                      <w:sz w:val="21"/>
                      <w:szCs w:val="21"/>
                      <w:highlight w:val="none"/>
                      <w:lang w:val="en-US" w:eastAsia="zh-CN"/>
                    </w:rPr>
                    <w:t>0.0048</w:t>
                  </w:r>
                </w:p>
              </w:tc>
            </w:tr>
          </w:tbl>
          <w:p w14:paraId="75DDB7A4">
            <w:pPr>
              <w:keepNext w:val="0"/>
              <w:keepLines w:val="0"/>
              <w:pageBreakBefore w:val="0"/>
              <w:widowControl w:val="0"/>
              <w:tabs>
                <w:tab w:val="left" w:pos="9496"/>
              </w:tabs>
              <w:kinsoku/>
              <w:wordWrap/>
              <w:overflowPunct/>
              <w:topLinePunct w:val="0"/>
              <w:autoSpaceDE/>
              <w:autoSpaceDN/>
              <w:bidi w:val="0"/>
              <w:adjustRightInd w:val="0"/>
              <w:snapToGrid w:val="0"/>
              <w:spacing w:before="157" w:beforeLines="50"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2.2</w:t>
            </w:r>
            <w:r>
              <w:rPr>
                <w:rFonts w:hint="eastAsia" w:cs="Times New Roman"/>
                <w:b/>
                <w:bCs w:val="0"/>
                <w:spacing w:val="-7"/>
                <w:kern w:val="2"/>
                <w:sz w:val="24"/>
                <w:szCs w:val="24"/>
                <w:highlight w:val="none"/>
                <w:u w:val="none"/>
                <w:lang w:val="en-US" w:eastAsia="zh-CN" w:bidi="ar-SA"/>
              </w:rPr>
              <w:t xml:space="preserve">  </w:t>
            </w:r>
            <w:r>
              <w:rPr>
                <w:rFonts w:hint="eastAsia" w:ascii="Times New Roman" w:hAnsi="Times New Roman" w:eastAsia="宋体" w:cs="Times New Roman"/>
                <w:b/>
                <w:bCs w:val="0"/>
                <w:spacing w:val="-7"/>
                <w:kern w:val="2"/>
                <w:sz w:val="24"/>
                <w:szCs w:val="24"/>
                <w:highlight w:val="none"/>
                <w:u w:val="none"/>
                <w:lang w:val="en-US" w:eastAsia="zh-CN" w:bidi="ar-SA"/>
              </w:rPr>
              <w:t>废水自行监测计划</w:t>
            </w:r>
          </w:p>
          <w:p w14:paraId="04756B76">
            <w:pPr>
              <w:spacing w:line="360" w:lineRule="auto"/>
              <w:ind w:firstLine="472" w:firstLineChars="200"/>
              <w:rPr>
                <w:b w:val="0"/>
                <w:bCs w:val="0"/>
                <w:color w:val="auto"/>
                <w:spacing w:val="-2"/>
                <w:kern w:val="0"/>
                <w:sz w:val="24"/>
              </w:rPr>
            </w:pPr>
            <w:r>
              <w:rPr>
                <w:b w:val="0"/>
                <w:bCs w:val="0"/>
                <w:color w:val="auto"/>
                <w:spacing w:val="-2"/>
                <w:kern w:val="0"/>
                <w:sz w:val="24"/>
              </w:rPr>
              <w:t>根据《排污单位自行监测技术指南 总则》（HJ819-2017）</w:t>
            </w:r>
            <w:r>
              <w:rPr>
                <w:rFonts w:hint="eastAsia"/>
                <w:b w:val="0"/>
                <w:bCs w:val="0"/>
                <w:color w:val="auto"/>
                <w:spacing w:val="-2"/>
                <w:kern w:val="0"/>
                <w:sz w:val="24"/>
                <w:lang w:eastAsia="zh-CN"/>
              </w:rPr>
              <w:t>、《排污单位自行监测技术指南 印刷工业》（HJ 1246—2022）</w:t>
            </w:r>
            <w:r>
              <w:rPr>
                <w:b w:val="0"/>
                <w:bCs w:val="0"/>
                <w:color w:val="auto"/>
                <w:spacing w:val="-2"/>
                <w:kern w:val="0"/>
                <w:sz w:val="24"/>
              </w:rPr>
              <w:t>等规范文件可知，本项目废水自行监测计划见下表。</w:t>
            </w:r>
          </w:p>
          <w:p w14:paraId="667B571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u w:val="single"/>
                <w:lang w:val="en-US" w:eastAsia="zh-CN" w:bidi="ar-SA"/>
              </w:rPr>
            </w:pPr>
            <w:r>
              <w:rPr>
                <w:rFonts w:hint="eastAsia" w:ascii="Times New Roman" w:hAnsi="Times New Roman" w:eastAsia="宋体" w:cs="Times New Roman"/>
                <w:b/>
                <w:bCs/>
                <w:snapToGrid w:val="0"/>
                <w:color w:val="auto"/>
                <w:kern w:val="0"/>
                <w:sz w:val="24"/>
                <w:szCs w:val="24"/>
                <w:u w:val="single"/>
                <w:lang w:val="en-US" w:eastAsia="zh-CN" w:bidi="ar-SA"/>
              </w:rPr>
              <w:t xml:space="preserve">表4-11 </w:t>
            </w:r>
            <w:r>
              <w:rPr>
                <w:rFonts w:hint="eastAsia" w:cs="Times New Roman"/>
                <w:b/>
                <w:bCs/>
                <w:snapToGrid w:val="0"/>
                <w:color w:val="auto"/>
                <w:kern w:val="0"/>
                <w:sz w:val="24"/>
                <w:szCs w:val="24"/>
                <w:u w:val="single"/>
                <w:lang w:val="en-US" w:eastAsia="zh-CN" w:bidi="ar-SA"/>
              </w:rPr>
              <w:t xml:space="preserve"> </w:t>
            </w:r>
            <w:r>
              <w:rPr>
                <w:rFonts w:hint="eastAsia" w:ascii="Times New Roman" w:hAnsi="Times New Roman" w:eastAsia="宋体" w:cs="Times New Roman"/>
                <w:b/>
                <w:bCs/>
                <w:snapToGrid w:val="0"/>
                <w:color w:val="auto"/>
                <w:kern w:val="0"/>
                <w:sz w:val="24"/>
                <w:szCs w:val="24"/>
                <w:u w:val="single"/>
                <w:lang w:val="en-US" w:eastAsia="zh-CN" w:bidi="ar-SA"/>
              </w:rPr>
              <w:t xml:space="preserve"> </w:t>
            </w:r>
            <w:r>
              <w:rPr>
                <w:rFonts w:hint="default" w:ascii="Times New Roman" w:hAnsi="Times New Roman" w:eastAsia="宋体" w:cs="Times New Roman"/>
                <w:b/>
                <w:bCs/>
                <w:snapToGrid w:val="0"/>
                <w:color w:val="auto"/>
                <w:kern w:val="0"/>
                <w:sz w:val="24"/>
                <w:szCs w:val="24"/>
                <w:u w:val="single"/>
                <w:lang w:val="en-US" w:eastAsia="zh-CN" w:bidi="ar-SA"/>
              </w:rPr>
              <w:t xml:space="preserve">  </w:t>
            </w:r>
            <w:r>
              <w:rPr>
                <w:rFonts w:hint="eastAsia" w:ascii="Times New Roman" w:hAnsi="Times New Roman" w:eastAsia="宋体" w:cs="Times New Roman"/>
                <w:b/>
                <w:bCs/>
                <w:snapToGrid w:val="0"/>
                <w:color w:val="auto"/>
                <w:kern w:val="0"/>
                <w:sz w:val="24"/>
                <w:szCs w:val="24"/>
                <w:u w:val="single"/>
                <w:lang w:val="en-US" w:eastAsia="zh-CN" w:bidi="ar-SA"/>
              </w:rPr>
              <w:t xml:space="preserve"> </w:t>
            </w:r>
            <w:r>
              <w:rPr>
                <w:rFonts w:hint="default" w:ascii="Times New Roman" w:hAnsi="Times New Roman" w:eastAsia="宋体" w:cs="Times New Roman"/>
                <w:b/>
                <w:bCs/>
                <w:snapToGrid w:val="0"/>
                <w:color w:val="auto"/>
                <w:kern w:val="0"/>
                <w:sz w:val="24"/>
                <w:szCs w:val="24"/>
                <w:u w:val="single"/>
                <w:lang w:val="en-US" w:eastAsia="zh-CN" w:bidi="ar-SA"/>
              </w:rPr>
              <w:t xml:space="preserve"> 废水监测点位、监测因子和监测频次</w:t>
            </w:r>
          </w:p>
          <w:tbl>
            <w:tblPr>
              <w:tblStyle w:val="39"/>
              <w:tblW w:w="4994"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216"/>
              <w:gridCol w:w="2074"/>
              <w:gridCol w:w="2319"/>
              <w:gridCol w:w="1424"/>
              <w:gridCol w:w="1501"/>
            </w:tblGrid>
            <w:tr w14:paraId="78D7EEE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712" w:type="pct"/>
                  <w:tcBorders>
                    <w:tl2br w:val="nil"/>
                    <w:tr2bl w:val="nil"/>
                  </w:tcBorders>
                  <w:noWrap w:val="0"/>
                  <w:vAlign w:val="center"/>
                </w:tcPr>
                <w:p w14:paraId="4D3B9200">
                  <w:pPr>
                    <w:snapToGrid w:val="0"/>
                    <w:contextualSpacing/>
                    <w:jc w:val="center"/>
                    <w:rPr>
                      <w:b/>
                      <w:bCs/>
                      <w:color w:val="auto"/>
                      <w:szCs w:val="21"/>
                      <w:u w:val="none"/>
                    </w:rPr>
                  </w:pPr>
                  <w:r>
                    <w:rPr>
                      <w:b/>
                      <w:bCs/>
                      <w:color w:val="auto"/>
                      <w:szCs w:val="21"/>
                      <w:u w:val="none"/>
                    </w:rPr>
                    <w:t>监测项目</w:t>
                  </w:r>
                </w:p>
              </w:tc>
              <w:tc>
                <w:tcPr>
                  <w:tcW w:w="1215" w:type="pct"/>
                  <w:tcBorders>
                    <w:tl2br w:val="nil"/>
                    <w:tr2bl w:val="nil"/>
                  </w:tcBorders>
                  <w:noWrap w:val="0"/>
                  <w:vAlign w:val="center"/>
                </w:tcPr>
                <w:p w14:paraId="2071CB40">
                  <w:pPr>
                    <w:snapToGrid w:val="0"/>
                    <w:contextualSpacing/>
                    <w:jc w:val="center"/>
                    <w:rPr>
                      <w:b/>
                      <w:bCs/>
                      <w:color w:val="auto"/>
                      <w:szCs w:val="21"/>
                      <w:u w:val="none"/>
                    </w:rPr>
                  </w:pPr>
                  <w:r>
                    <w:rPr>
                      <w:b/>
                      <w:bCs/>
                      <w:color w:val="auto"/>
                      <w:szCs w:val="21"/>
                      <w:u w:val="none"/>
                    </w:rPr>
                    <w:t>监测点位</w:t>
                  </w:r>
                </w:p>
              </w:tc>
              <w:tc>
                <w:tcPr>
                  <w:tcW w:w="1358" w:type="pct"/>
                  <w:tcBorders>
                    <w:tl2br w:val="nil"/>
                    <w:tr2bl w:val="nil"/>
                  </w:tcBorders>
                  <w:noWrap w:val="0"/>
                  <w:vAlign w:val="center"/>
                </w:tcPr>
                <w:p w14:paraId="4669CECC">
                  <w:pPr>
                    <w:snapToGrid w:val="0"/>
                    <w:contextualSpacing/>
                    <w:jc w:val="center"/>
                    <w:rPr>
                      <w:b/>
                      <w:bCs/>
                      <w:color w:val="auto"/>
                      <w:szCs w:val="21"/>
                      <w:u w:val="none"/>
                    </w:rPr>
                  </w:pPr>
                  <w:r>
                    <w:rPr>
                      <w:b/>
                      <w:bCs/>
                      <w:color w:val="auto"/>
                      <w:szCs w:val="21"/>
                      <w:u w:val="none"/>
                    </w:rPr>
                    <w:t>监测因子</w:t>
                  </w:r>
                </w:p>
              </w:tc>
              <w:tc>
                <w:tcPr>
                  <w:tcW w:w="834" w:type="pct"/>
                  <w:tcBorders>
                    <w:tl2br w:val="nil"/>
                    <w:tr2bl w:val="nil"/>
                  </w:tcBorders>
                  <w:noWrap w:val="0"/>
                  <w:vAlign w:val="center"/>
                </w:tcPr>
                <w:p w14:paraId="7D802454">
                  <w:pPr>
                    <w:snapToGrid w:val="0"/>
                    <w:contextualSpacing/>
                    <w:jc w:val="center"/>
                    <w:rPr>
                      <w:b/>
                      <w:bCs/>
                      <w:color w:val="auto"/>
                      <w:szCs w:val="21"/>
                      <w:u w:val="none"/>
                    </w:rPr>
                  </w:pPr>
                  <w:r>
                    <w:rPr>
                      <w:b/>
                      <w:bCs/>
                      <w:color w:val="auto"/>
                      <w:szCs w:val="21"/>
                      <w:u w:val="none"/>
                    </w:rPr>
                    <w:t>监测设施</w:t>
                  </w:r>
                </w:p>
              </w:tc>
              <w:tc>
                <w:tcPr>
                  <w:tcW w:w="879" w:type="pct"/>
                  <w:tcBorders>
                    <w:tl2br w:val="nil"/>
                    <w:tr2bl w:val="nil"/>
                  </w:tcBorders>
                  <w:noWrap w:val="0"/>
                  <w:vAlign w:val="center"/>
                </w:tcPr>
                <w:p w14:paraId="26475A5B">
                  <w:pPr>
                    <w:snapToGrid w:val="0"/>
                    <w:contextualSpacing/>
                    <w:jc w:val="center"/>
                    <w:rPr>
                      <w:b/>
                      <w:bCs/>
                      <w:color w:val="auto"/>
                      <w:szCs w:val="21"/>
                      <w:u w:val="none"/>
                    </w:rPr>
                  </w:pPr>
                  <w:r>
                    <w:rPr>
                      <w:b/>
                      <w:bCs/>
                      <w:color w:val="auto"/>
                      <w:szCs w:val="21"/>
                      <w:u w:val="none"/>
                    </w:rPr>
                    <w:t>监测频次</w:t>
                  </w:r>
                </w:p>
              </w:tc>
            </w:tr>
            <w:tr w14:paraId="63F300D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712" w:type="pct"/>
                  <w:tcBorders>
                    <w:tl2br w:val="nil"/>
                    <w:tr2bl w:val="nil"/>
                  </w:tcBorders>
                  <w:noWrap w:val="0"/>
                  <w:vAlign w:val="center"/>
                </w:tcPr>
                <w:p w14:paraId="61ACD73E">
                  <w:pPr>
                    <w:snapToGrid w:val="0"/>
                    <w:contextualSpacing/>
                    <w:jc w:val="center"/>
                    <w:rPr>
                      <w:b/>
                      <w:bCs/>
                      <w:color w:val="auto"/>
                      <w:szCs w:val="21"/>
                      <w:u w:val="none"/>
                    </w:rPr>
                  </w:pPr>
                  <w:r>
                    <w:rPr>
                      <w:b/>
                      <w:bCs/>
                      <w:color w:val="auto"/>
                      <w:szCs w:val="21"/>
                      <w:u w:val="none"/>
                    </w:rPr>
                    <w:t>废水</w:t>
                  </w:r>
                </w:p>
              </w:tc>
              <w:tc>
                <w:tcPr>
                  <w:tcW w:w="1215" w:type="pct"/>
                  <w:tcBorders>
                    <w:tl2br w:val="nil"/>
                    <w:tr2bl w:val="nil"/>
                  </w:tcBorders>
                  <w:noWrap w:val="0"/>
                  <w:vAlign w:val="center"/>
                </w:tcPr>
                <w:p w14:paraId="08522798">
                  <w:pPr>
                    <w:snapToGrid w:val="0"/>
                    <w:contextualSpacing/>
                    <w:jc w:val="center"/>
                    <w:rPr>
                      <w:rFonts w:hint="eastAsia" w:eastAsia="宋体"/>
                      <w:b/>
                      <w:bCs/>
                      <w:color w:val="auto"/>
                      <w:szCs w:val="21"/>
                      <w:u w:val="none"/>
                      <w:lang w:eastAsia="zh-CN"/>
                    </w:rPr>
                  </w:pPr>
                  <w:r>
                    <w:rPr>
                      <w:rFonts w:hint="eastAsia"/>
                      <w:b/>
                      <w:bCs/>
                      <w:color w:val="auto"/>
                      <w:szCs w:val="21"/>
                      <w:u w:val="none"/>
                      <w:lang w:val="en-US" w:eastAsia="zh-CN"/>
                    </w:rPr>
                    <w:t>厂区</w:t>
                  </w:r>
                  <w:r>
                    <w:rPr>
                      <w:b/>
                      <w:bCs/>
                      <w:color w:val="auto"/>
                      <w:szCs w:val="21"/>
                      <w:u w:val="none"/>
                    </w:rPr>
                    <w:t>废水总排放口</w:t>
                  </w:r>
                  <w:r>
                    <w:rPr>
                      <w:rFonts w:hint="eastAsia"/>
                      <w:b/>
                      <w:bCs/>
                      <w:color w:val="auto"/>
                      <w:szCs w:val="21"/>
                      <w:u w:val="none"/>
                      <w:lang w:eastAsia="zh-CN"/>
                    </w:rPr>
                    <w:t>（</w:t>
                  </w:r>
                  <w:r>
                    <w:rPr>
                      <w:b/>
                      <w:bCs/>
                      <w:color w:val="auto"/>
                      <w:szCs w:val="21"/>
                      <w:u w:val="none"/>
                    </w:rPr>
                    <w:t>DW001</w:t>
                  </w:r>
                  <w:r>
                    <w:rPr>
                      <w:rFonts w:hint="eastAsia"/>
                      <w:b/>
                      <w:bCs/>
                      <w:color w:val="auto"/>
                      <w:szCs w:val="21"/>
                      <w:u w:val="none"/>
                      <w:lang w:eastAsia="zh-CN"/>
                    </w:rPr>
                    <w:t>）</w:t>
                  </w:r>
                </w:p>
              </w:tc>
              <w:tc>
                <w:tcPr>
                  <w:tcW w:w="1358" w:type="pct"/>
                  <w:tcBorders>
                    <w:tl2br w:val="nil"/>
                    <w:tr2bl w:val="nil"/>
                  </w:tcBorders>
                  <w:noWrap w:val="0"/>
                  <w:vAlign w:val="center"/>
                </w:tcPr>
                <w:p w14:paraId="30242544">
                  <w:pPr>
                    <w:snapToGrid w:val="0"/>
                    <w:contextualSpacing/>
                    <w:jc w:val="center"/>
                    <w:rPr>
                      <w:b/>
                      <w:bCs/>
                      <w:color w:val="auto"/>
                      <w:szCs w:val="21"/>
                      <w:u w:val="none"/>
                    </w:rPr>
                  </w:pPr>
                  <w:r>
                    <w:rPr>
                      <w:b/>
                      <w:bCs/>
                      <w:color w:val="auto"/>
                      <w:szCs w:val="21"/>
                      <w:u w:val="none"/>
                    </w:rPr>
                    <w:t>流量、pH、COD、氨氮、BOD</w:t>
                  </w:r>
                  <w:r>
                    <w:rPr>
                      <w:b/>
                      <w:bCs/>
                      <w:color w:val="auto"/>
                      <w:szCs w:val="21"/>
                      <w:u w:val="none"/>
                      <w:vertAlign w:val="subscript"/>
                    </w:rPr>
                    <w:t>5</w:t>
                  </w:r>
                  <w:r>
                    <w:rPr>
                      <w:b/>
                      <w:bCs/>
                      <w:color w:val="auto"/>
                      <w:szCs w:val="21"/>
                      <w:u w:val="none"/>
                    </w:rPr>
                    <w:t>、SS</w:t>
                  </w:r>
                </w:p>
              </w:tc>
              <w:tc>
                <w:tcPr>
                  <w:tcW w:w="834" w:type="pct"/>
                  <w:tcBorders>
                    <w:tl2br w:val="nil"/>
                    <w:tr2bl w:val="nil"/>
                  </w:tcBorders>
                  <w:noWrap w:val="0"/>
                  <w:vAlign w:val="center"/>
                </w:tcPr>
                <w:p w14:paraId="14071FFA">
                  <w:pPr>
                    <w:snapToGrid w:val="0"/>
                    <w:contextualSpacing/>
                    <w:jc w:val="center"/>
                    <w:rPr>
                      <w:b/>
                      <w:bCs/>
                      <w:color w:val="auto"/>
                      <w:szCs w:val="21"/>
                      <w:u w:val="none"/>
                    </w:rPr>
                  </w:pPr>
                  <w:r>
                    <w:rPr>
                      <w:b/>
                      <w:bCs/>
                      <w:color w:val="auto"/>
                      <w:szCs w:val="21"/>
                      <w:u w:val="none"/>
                    </w:rPr>
                    <w:t>手工监测</w:t>
                  </w:r>
                </w:p>
              </w:tc>
              <w:tc>
                <w:tcPr>
                  <w:tcW w:w="879" w:type="pct"/>
                  <w:tcBorders>
                    <w:tl2br w:val="nil"/>
                    <w:tr2bl w:val="nil"/>
                  </w:tcBorders>
                  <w:noWrap w:val="0"/>
                  <w:vAlign w:val="center"/>
                </w:tcPr>
                <w:p w14:paraId="1020F693">
                  <w:pPr>
                    <w:snapToGrid w:val="0"/>
                    <w:contextualSpacing/>
                    <w:jc w:val="center"/>
                    <w:rPr>
                      <w:rFonts w:hint="default" w:eastAsia="宋体"/>
                      <w:b/>
                      <w:bCs/>
                      <w:color w:val="auto"/>
                      <w:szCs w:val="21"/>
                      <w:u w:val="none"/>
                      <w:lang w:val="en-US" w:eastAsia="zh-CN"/>
                    </w:rPr>
                  </w:pPr>
                  <w:r>
                    <w:rPr>
                      <w:rFonts w:hint="eastAsia"/>
                      <w:b/>
                      <w:bCs/>
                      <w:color w:val="auto"/>
                      <w:szCs w:val="21"/>
                      <w:u w:val="none"/>
                      <w:lang w:val="en-US" w:eastAsia="zh-CN"/>
                    </w:rPr>
                    <w:t>间接排放，可以不监测</w:t>
                  </w:r>
                </w:p>
              </w:tc>
            </w:tr>
          </w:tbl>
          <w:p w14:paraId="4F1DB4CB">
            <w:pPr>
              <w:keepNext w:val="0"/>
              <w:keepLines w:val="0"/>
              <w:pageBreakBefore w:val="0"/>
              <w:widowControl w:val="0"/>
              <w:tabs>
                <w:tab w:val="left" w:pos="9496"/>
              </w:tabs>
              <w:kinsoku/>
              <w:wordWrap/>
              <w:overflowPunct/>
              <w:topLinePunct w:val="0"/>
              <w:autoSpaceDE/>
              <w:autoSpaceDN/>
              <w:bidi w:val="0"/>
              <w:adjustRightInd w:val="0"/>
              <w:snapToGrid w:val="0"/>
              <w:spacing w:before="157" w:beforeLines="50"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2.3污水处理设施技术可行性</w:t>
            </w:r>
          </w:p>
          <w:p w14:paraId="505D4CC9">
            <w:pPr>
              <w:pStyle w:val="96"/>
              <w:ind w:firstLine="480"/>
              <w:rPr>
                <w:rFonts w:hint="default"/>
                <w:b w:val="0"/>
                <w:bCs w:val="0"/>
                <w:color w:val="auto"/>
              </w:rPr>
            </w:pPr>
            <w:r>
              <w:rPr>
                <w:b w:val="0"/>
                <w:bCs w:val="0"/>
                <w:color w:val="auto"/>
              </w:rPr>
              <w:t>本项目生活污水</w:t>
            </w:r>
            <w:r>
              <w:rPr>
                <w:rFonts w:hint="eastAsia"/>
                <w:b w:val="0"/>
                <w:bCs w:val="0"/>
                <w:color w:val="auto"/>
                <w:lang w:val="en-US" w:eastAsia="zh-CN"/>
              </w:rPr>
              <w:t>经</w:t>
            </w:r>
            <w:r>
              <w:rPr>
                <w:b w:val="0"/>
                <w:bCs w:val="0"/>
                <w:color w:val="auto"/>
              </w:rPr>
              <w:t>化粪池</w:t>
            </w:r>
            <w:r>
              <w:rPr>
                <w:rFonts w:hint="eastAsia"/>
                <w:b w:val="0"/>
                <w:bCs w:val="0"/>
                <w:color w:val="auto"/>
                <w:lang w:eastAsia="zh-CN"/>
              </w:rPr>
              <w:t>（</w:t>
            </w:r>
            <w:r>
              <w:rPr>
                <w:rFonts w:hint="eastAsia"/>
                <w:b w:val="0"/>
                <w:bCs w:val="0"/>
                <w:color w:val="auto"/>
                <w:lang w:val="en-US" w:eastAsia="zh-CN"/>
              </w:rPr>
              <w:t>50m</w:t>
            </w:r>
            <w:r>
              <w:rPr>
                <w:rFonts w:hint="eastAsia"/>
                <w:b w:val="0"/>
                <w:bCs w:val="0"/>
                <w:color w:val="auto"/>
                <w:vertAlign w:val="superscript"/>
                <w:lang w:val="en-US" w:eastAsia="zh-CN"/>
              </w:rPr>
              <w:t>3</w:t>
            </w:r>
            <w:r>
              <w:rPr>
                <w:rFonts w:hint="eastAsia"/>
                <w:b w:val="0"/>
                <w:bCs w:val="0"/>
                <w:color w:val="auto"/>
                <w:lang w:eastAsia="zh-CN"/>
              </w:rPr>
              <w:t>）</w:t>
            </w:r>
            <w:r>
              <w:rPr>
                <w:b w:val="0"/>
                <w:bCs w:val="0"/>
                <w:color w:val="auto"/>
              </w:rPr>
              <w:t>处理</w:t>
            </w:r>
            <w:r>
              <w:rPr>
                <w:rFonts w:hint="eastAsia"/>
                <w:b w:val="0"/>
                <w:bCs w:val="0"/>
                <w:color w:val="auto"/>
                <w:lang w:val="en-US" w:eastAsia="zh-CN"/>
              </w:rPr>
              <w:t>。</w:t>
            </w:r>
            <w:r>
              <w:rPr>
                <w:rFonts w:hint="default"/>
                <w:b w:val="0"/>
                <w:bCs w:val="0"/>
                <w:color w:val="auto"/>
                <w:lang w:eastAsia="zh-CN"/>
              </w:rPr>
              <w:t>本项目生活</w:t>
            </w:r>
            <w:r>
              <w:rPr>
                <w:rFonts w:hint="eastAsia"/>
                <w:b w:val="0"/>
                <w:bCs w:val="0"/>
                <w:color w:val="auto"/>
                <w:lang w:val="en-US" w:eastAsia="zh-CN"/>
              </w:rPr>
              <w:t>污水</w:t>
            </w:r>
            <w:r>
              <w:rPr>
                <w:rFonts w:hint="eastAsia"/>
                <w:b w:val="0"/>
                <w:bCs w:val="0"/>
                <w:color w:val="auto"/>
                <w:lang w:eastAsia="zh-CN"/>
              </w:rPr>
              <w:t>产生量</w:t>
            </w:r>
            <w:r>
              <w:rPr>
                <w:rFonts w:hint="eastAsia"/>
                <w:b w:val="0"/>
                <w:bCs w:val="0"/>
                <w:color w:val="auto"/>
              </w:rPr>
              <w:t>为</w:t>
            </w:r>
            <w:r>
              <w:rPr>
                <w:rFonts w:hint="eastAsia"/>
                <w:b w:val="0"/>
                <w:bCs w:val="0"/>
                <w:color w:val="auto"/>
                <w:lang w:val="en-US" w:eastAsia="zh-CN"/>
              </w:rPr>
              <w:t>9.6</w:t>
            </w:r>
            <w:r>
              <w:rPr>
                <w:rFonts w:hint="eastAsia"/>
                <w:b w:val="0"/>
                <w:bCs w:val="0"/>
                <w:color w:val="auto"/>
              </w:rPr>
              <w:t>m</w:t>
            </w:r>
            <w:r>
              <w:rPr>
                <w:rFonts w:hint="eastAsia"/>
                <w:b w:val="0"/>
                <w:bCs w:val="0"/>
                <w:color w:val="auto"/>
                <w:vertAlign w:val="superscript"/>
              </w:rPr>
              <w:t>3</w:t>
            </w:r>
            <w:r>
              <w:rPr>
                <w:rFonts w:hint="eastAsia"/>
                <w:b w:val="0"/>
                <w:bCs w:val="0"/>
                <w:color w:val="auto"/>
              </w:rPr>
              <w:t>/d</w:t>
            </w:r>
            <w:r>
              <w:rPr>
                <w:rFonts w:hint="eastAsia"/>
                <w:b w:val="0"/>
                <w:bCs w:val="0"/>
                <w:color w:val="auto"/>
                <w:lang w:eastAsia="zh-CN"/>
              </w:rPr>
              <w:t>，</w:t>
            </w:r>
            <w:r>
              <w:rPr>
                <w:rFonts w:hint="eastAsia"/>
                <w:b w:val="0"/>
                <w:bCs w:val="0"/>
                <w:color w:val="auto"/>
                <w:lang w:val="en-US" w:eastAsia="zh-CN"/>
              </w:rPr>
              <w:t>故</w:t>
            </w:r>
            <w:r>
              <w:rPr>
                <w:rFonts w:hint="eastAsia"/>
                <w:b w:val="0"/>
                <w:bCs w:val="0"/>
                <w:color w:val="auto"/>
                <w:lang w:eastAsia="zh-CN"/>
              </w:rPr>
              <w:t>化粪池</w:t>
            </w:r>
            <w:r>
              <w:rPr>
                <w:rFonts w:hint="eastAsia"/>
                <w:b w:val="0"/>
                <w:bCs w:val="0"/>
                <w:color w:val="auto"/>
                <w:lang w:val="en-US" w:eastAsia="zh-CN"/>
              </w:rPr>
              <w:t>可以</w:t>
            </w:r>
            <w:r>
              <w:rPr>
                <w:rFonts w:hint="eastAsia"/>
                <w:b w:val="0"/>
                <w:bCs w:val="0"/>
                <w:color w:val="auto"/>
                <w:lang w:eastAsia="zh-CN"/>
              </w:rPr>
              <w:t>满足</w:t>
            </w:r>
            <w:r>
              <w:rPr>
                <w:rFonts w:hint="eastAsia"/>
                <w:b w:val="0"/>
                <w:bCs w:val="0"/>
                <w:color w:val="auto"/>
                <w:lang w:val="en-US" w:eastAsia="zh-CN"/>
              </w:rPr>
              <w:t>本项目员工日常工作生活所产生的生活污水的处理需求，</w:t>
            </w:r>
            <w:r>
              <w:rPr>
                <w:rFonts w:hint="eastAsia"/>
                <w:b w:val="0"/>
                <w:bCs w:val="0"/>
                <w:color w:val="auto"/>
                <w:lang w:eastAsia="zh-CN"/>
              </w:rPr>
              <w:t>故本项目</w:t>
            </w:r>
            <w:r>
              <w:rPr>
                <w:rFonts w:hint="eastAsia"/>
                <w:b w:val="0"/>
                <w:bCs w:val="0"/>
                <w:color w:val="auto"/>
                <w:lang w:val="en-US" w:eastAsia="zh-CN"/>
              </w:rPr>
              <w:t>生活污水经</w:t>
            </w:r>
            <w:r>
              <w:rPr>
                <w:rFonts w:hint="eastAsia"/>
                <w:b w:val="0"/>
                <w:bCs w:val="0"/>
                <w:color w:val="auto"/>
                <w:lang w:eastAsia="zh-CN"/>
              </w:rPr>
              <w:t>化粪池</w:t>
            </w:r>
            <w:r>
              <w:rPr>
                <w:rFonts w:hint="eastAsia"/>
                <w:b w:val="0"/>
                <w:bCs w:val="0"/>
                <w:color w:val="auto"/>
                <w:lang w:val="en-US" w:eastAsia="zh-CN"/>
              </w:rPr>
              <w:t>处理可行。</w:t>
            </w:r>
          </w:p>
          <w:p w14:paraId="5CDC0FC1">
            <w:pPr>
              <w:pStyle w:val="96"/>
              <w:ind w:firstLine="480"/>
              <w:rPr>
                <w:rFonts w:hint="default"/>
                <w:b w:val="0"/>
                <w:bCs w:val="0"/>
                <w:color w:val="auto"/>
                <w:lang w:val="en-US" w:eastAsia="zh-CN"/>
              </w:rPr>
            </w:pPr>
            <w:r>
              <w:rPr>
                <w:rFonts w:hint="default"/>
                <w:b w:val="0"/>
                <w:bCs w:val="0"/>
                <w:color w:val="auto"/>
                <w:lang w:val="en-US" w:eastAsia="zh-CN"/>
              </w:rPr>
              <w:t>根据建设单位提供资料，本厂院内路面硬化面积约为</w:t>
            </w:r>
            <w:r>
              <w:rPr>
                <w:rFonts w:hint="eastAsia"/>
                <w:b w:val="0"/>
                <w:bCs w:val="0"/>
                <w:color w:val="auto"/>
                <w:lang w:val="en-US" w:eastAsia="zh-CN"/>
              </w:rPr>
              <w:t>5</w:t>
            </w:r>
            <w:r>
              <w:rPr>
                <w:rFonts w:hint="default"/>
                <w:b w:val="0"/>
                <w:bCs w:val="0"/>
                <w:color w:val="auto"/>
                <w:lang w:val="en-US" w:eastAsia="zh-CN"/>
              </w:rPr>
              <w:t>000m</w:t>
            </w:r>
            <w:r>
              <w:rPr>
                <w:rFonts w:hint="default"/>
                <w:b w:val="0"/>
                <w:bCs w:val="0"/>
                <w:color w:val="auto"/>
                <w:vertAlign w:val="superscript"/>
                <w:lang w:val="en-US" w:eastAsia="zh-CN"/>
              </w:rPr>
              <w:t>2</w:t>
            </w:r>
            <w:r>
              <w:rPr>
                <w:rFonts w:hint="default"/>
                <w:b w:val="0"/>
                <w:bCs w:val="0"/>
                <w:color w:val="auto"/>
                <w:lang w:val="en-US" w:eastAsia="zh-CN"/>
              </w:rPr>
              <w:t>，道路用水系数按 2L/ （m</w:t>
            </w:r>
            <w:r>
              <w:rPr>
                <w:rFonts w:hint="default"/>
                <w:b w:val="0"/>
                <w:bCs w:val="0"/>
                <w:color w:val="auto"/>
                <w:vertAlign w:val="superscript"/>
                <w:lang w:val="en-US" w:eastAsia="zh-CN"/>
              </w:rPr>
              <w:t>2</w:t>
            </w:r>
            <w:r>
              <w:rPr>
                <w:rFonts w:hint="default"/>
                <w:b w:val="0"/>
                <w:bCs w:val="0"/>
                <w:color w:val="auto"/>
                <w:lang w:val="en-US" w:eastAsia="zh-CN"/>
              </w:rPr>
              <w:t>·d），则本厂厂区洒水最大消纳量为</w:t>
            </w:r>
            <w:r>
              <w:rPr>
                <w:rFonts w:hint="eastAsia"/>
                <w:b w:val="0"/>
                <w:bCs w:val="0"/>
                <w:color w:val="auto"/>
                <w:lang w:val="en-US" w:eastAsia="zh-CN"/>
              </w:rPr>
              <w:t>10</w:t>
            </w:r>
            <w:r>
              <w:rPr>
                <w:rFonts w:hint="default"/>
                <w:b w:val="0"/>
                <w:bCs w:val="0"/>
                <w:color w:val="auto"/>
                <w:lang w:val="en-US" w:eastAsia="zh-CN"/>
              </w:rPr>
              <w:t>m</w:t>
            </w:r>
            <w:r>
              <w:rPr>
                <w:rFonts w:hint="default"/>
                <w:b w:val="0"/>
                <w:bCs w:val="0"/>
                <w:color w:val="auto"/>
                <w:vertAlign w:val="superscript"/>
                <w:lang w:val="en-US" w:eastAsia="zh-CN"/>
              </w:rPr>
              <w:t>3</w:t>
            </w:r>
            <w:r>
              <w:rPr>
                <w:rFonts w:hint="default"/>
                <w:b w:val="0"/>
                <w:bCs w:val="0"/>
                <w:color w:val="auto"/>
                <w:lang w:val="en-US" w:eastAsia="zh-CN"/>
              </w:rPr>
              <w:t xml:space="preserve"> /d、</w:t>
            </w:r>
            <w:r>
              <w:rPr>
                <w:rFonts w:hint="eastAsia"/>
                <w:b w:val="0"/>
                <w:bCs w:val="0"/>
                <w:color w:val="auto"/>
                <w:lang w:val="en-US" w:eastAsia="zh-CN"/>
              </w:rPr>
              <w:t>30</w:t>
            </w:r>
            <w:r>
              <w:rPr>
                <w:rFonts w:hint="default"/>
                <w:b w:val="0"/>
                <w:bCs w:val="0"/>
                <w:color w:val="auto"/>
                <w:lang w:val="en-US" w:eastAsia="zh-CN"/>
              </w:rPr>
              <w:t>00m</w:t>
            </w:r>
            <w:r>
              <w:rPr>
                <w:rFonts w:hint="default"/>
                <w:b w:val="0"/>
                <w:bCs w:val="0"/>
                <w:color w:val="auto"/>
                <w:vertAlign w:val="superscript"/>
                <w:lang w:val="en-US" w:eastAsia="zh-CN"/>
              </w:rPr>
              <w:t xml:space="preserve">3 </w:t>
            </w:r>
            <w:r>
              <w:rPr>
                <w:rFonts w:hint="default"/>
                <w:b w:val="0"/>
                <w:bCs w:val="0"/>
                <w:color w:val="auto"/>
                <w:lang w:val="en-US" w:eastAsia="zh-CN"/>
              </w:rPr>
              <w:t>/a，本项目纯水制备系统浓水产生量为</w:t>
            </w:r>
            <w:r>
              <w:rPr>
                <w:rFonts w:hint="eastAsia"/>
                <w:b w:val="0"/>
                <w:bCs w:val="0"/>
                <w:color w:val="auto"/>
                <w:lang w:val="en-US" w:eastAsia="zh-CN"/>
              </w:rPr>
              <w:t>1.2</w:t>
            </w:r>
            <w:r>
              <w:rPr>
                <w:rFonts w:hint="default"/>
                <w:b w:val="0"/>
                <w:bCs w:val="0"/>
                <w:color w:val="auto"/>
                <w:lang w:val="en-US" w:eastAsia="zh-CN"/>
              </w:rPr>
              <w:t>m</w:t>
            </w:r>
            <w:r>
              <w:rPr>
                <w:rFonts w:hint="default"/>
                <w:b w:val="0"/>
                <w:bCs w:val="0"/>
                <w:color w:val="auto"/>
                <w:vertAlign w:val="superscript"/>
                <w:lang w:val="en-US" w:eastAsia="zh-CN"/>
              </w:rPr>
              <w:t xml:space="preserve">3 </w:t>
            </w:r>
            <w:r>
              <w:rPr>
                <w:rFonts w:hint="default"/>
                <w:b w:val="0"/>
                <w:bCs w:val="0"/>
                <w:color w:val="auto"/>
                <w:lang w:val="en-US" w:eastAsia="zh-CN"/>
              </w:rPr>
              <w:t>/d、</w:t>
            </w:r>
            <w:r>
              <w:rPr>
                <w:rFonts w:hint="eastAsia"/>
                <w:b w:val="0"/>
                <w:bCs w:val="0"/>
                <w:color w:val="auto"/>
                <w:lang w:val="en-US" w:eastAsia="zh-CN"/>
              </w:rPr>
              <w:t>36</w:t>
            </w:r>
            <w:r>
              <w:rPr>
                <w:rFonts w:hint="default"/>
                <w:b w:val="0"/>
                <w:bCs w:val="0"/>
                <w:color w:val="auto"/>
                <w:lang w:val="en-US" w:eastAsia="zh-CN"/>
              </w:rPr>
              <w:t>0m</w:t>
            </w:r>
            <w:r>
              <w:rPr>
                <w:rFonts w:hint="default"/>
                <w:b w:val="0"/>
                <w:bCs w:val="0"/>
                <w:color w:val="auto"/>
                <w:vertAlign w:val="superscript"/>
                <w:lang w:val="en-US" w:eastAsia="zh-CN"/>
              </w:rPr>
              <w:t>3</w:t>
            </w:r>
            <w:r>
              <w:rPr>
                <w:rFonts w:hint="default"/>
                <w:b w:val="0"/>
                <w:bCs w:val="0"/>
                <w:color w:val="auto"/>
                <w:lang w:val="en-US" w:eastAsia="zh-CN"/>
              </w:rPr>
              <w:t xml:space="preserve"> /a，则本厂厂区洒水能够消纳本项目产生的纯水制备系统浓水；根据本项目水平衡</w:t>
            </w:r>
            <w:r>
              <w:rPr>
                <w:rFonts w:hint="eastAsia"/>
                <w:b w:val="0"/>
                <w:bCs w:val="0"/>
                <w:color w:val="auto"/>
                <w:lang w:val="en-US" w:eastAsia="zh-CN"/>
              </w:rPr>
              <w:t>可知</w:t>
            </w:r>
            <w:r>
              <w:rPr>
                <w:rFonts w:hint="default"/>
                <w:b w:val="0"/>
                <w:bCs w:val="0"/>
                <w:color w:val="auto"/>
                <w:lang w:val="en-US" w:eastAsia="zh-CN"/>
              </w:rPr>
              <w:t>，本项目运营期清洗废水均能得到循环使用，不外排。</w:t>
            </w:r>
          </w:p>
          <w:p w14:paraId="55FA3FA9">
            <w:pPr>
              <w:pStyle w:val="96"/>
              <w:keepLines w:val="0"/>
              <w:pageBreakBefore w:val="0"/>
              <w:kinsoku/>
              <w:wordWrap/>
              <w:topLinePunct w:val="0"/>
              <w:autoSpaceDE/>
              <w:autoSpaceDN/>
              <w:bidi w:val="0"/>
              <w:adjustRightInd w:val="0"/>
              <w:snapToGrid w:val="0"/>
              <w:spacing w:line="440" w:lineRule="exact"/>
              <w:ind w:firstLine="480"/>
              <w:rPr>
                <w:rFonts w:hint="default"/>
                <w:b/>
                <w:bCs/>
                <w:color w:val="auto"/>
                <w:u w:val="single"/>
                <w:lang w:val="en-US" w:eastAsia="zh-CN"/>
              </w:rPr>
            </w:pPr>
            <w:r>
              <w:rPr>
                <w:rFonts w:hint="eastAsia"/>
                <w:b/>
                <w:bCs/>
                <w:color w:val="auto"/>
                <w:u w:val="single"/>
                <w:lang w:val="en-US" w:eastAsia="zh-CN"/>
              </w:rPr>
              <w:t>本项目玻璃原片采用清水进行清洗，对水质要求不高，循环水经过沉淀后回用于清洗是完全可行，补充水来自镀膜及夹胶、中空工序对应玻璃清洗废水和自来水，玻璃原片清洗补充水量为3.0m</w:t>
            </w:r>
            <w:r>
              <w:rPr>
                <w:rFonts w:hint="eastAsia"/>
                <w:b/>
                <w:bCs/>
                <w:color w:val="auto"/>
                <w:u w:val="single"/>
                <w:vertAlign w:val="superscript"/>
                <w:lang w:val="en-US" w:eastAsia="zh-CN"/>
              </w:rPr>
              <w:t>3</w:t>
            </w:r>
            <w:r>
              <w:rPr>
                <w:rFonts w:hint="eastAsia"/>
                <w:b/>
                <w:bCs/>
                <w:color w:val="auto"/>
                <w:u w:val="single"/>
                <w:lang w:val="en-US" w:eastAsia="zh-CN"/>
              </w:rPr>
              <w:t>/d，其中0.3m</w:t>
            </w:r>
            <w:r>
              <w:rPr>
                <w:rFonts w:hint="eastAsia"/>
                <w:b/>
                <w:bCs/>
                <w:color w:val="auto"/>
                <w:u w:val="single"/>
                <w:vertAlign w:val="superscript"/>
                <w:lang w:val="en-US" w:eastAsia="zh-CN"/>
              </w:rPr>
              <w:t>3</w:t>
            </w:r>
            <w:r>
              <w:rPr>
                <w:rFonts w:hint="eastAsia"/>
                <w:b/>
                <w:bCs/>
                <w:color w:val="auto"/>
                <w:u w:val="single"/>
                <w:lang w:val="en-US" w:eastAsia="zh-CN"/>
              </w:rPr>
              <w:t>/d为自来水，2.7m</w:t>
            </w:r>
            <w:r>
              <w:rPr>
                <w:rFonts w:hint="eastAsia"/>
                <w:b/>
                <w:bCs/>
                <w:color w:val="auto"/>
                <w:u w:val="single"/>
                <w:vertAlign w:val="superscript"/>
                <w:lang w:val="en-US" w:eastAsia="zh-CN"/>
              </w:rPr>
              <w:t>3</w:t>
            </w:r>
            <w:r>
              <w:rPr>
                <w:rFonts w:hint="eastAsia"/>
                <w:b/>
                <w:bCs/>
                <w:color w:val="auto"/>
                <w:u w:val="single"/>
                <w:lang w:val="en-US" w:eastAsia="zh-CN"/>
              </w:rPr>
              <w:t>/d为镀膜及夹胶、中空工序对应玻璃清洗废水回用水，镀膜及夹胶、中空工序对应玻璃采用纯水进行清洗，该水较干净，主要含SS，经过沉淀后水质能满足玻璃原片清洗水要求，同时用量也能满足要求，因此镀膜及夹胶、中空工序对应玻璃清洗废水回用于玻璃原片进行清洗是完全可行的。</w:t>
            </w:r>
          </w:p>
          <w:p w14:paraId="7C4B09A9">
            <w:pPr>
              <w:pStyle w:val="96"/>
              <w:keepLines w:val="0"/>
              <w:pageBreakBefore w:val="0"/>
              <w:kinsoku/>
              <w:wordWrap/>
              <w:topLinePunct w:val="0"/>
              <w:autoSpaceDE/>
              <w:autoSpaceDN/>
              <w:bidi w:val="0"/>
              <w:adjustRightInd w:val="0"/>
              <w:snapToGrid w:val="0"/>
              <w:spacing w:line="440" w:lineRule="exact"/>
              <w:ind w:firstLine="480"/>
              <w:rPr>
                <w:b w:val="0"/>
                <w:bCs w:val="0"/>
                <w:color w:val="auto"/>
                <w:lang w:val="en-GB"/>
              </w:rPr>
            </w:pPr>
            <w:r>
              <w:rPr>
                <w:rFonts w:hint="default"/>
                <w:b w:val="0"/>
                <w:bCs w:val="0"/>
                <w:color w:val="auto"/>
              </w:rPr>
              <w:t>本项目</w:t>
            </w:r>
            <w:r>
              <w:rPr>
                <w:rFonts w:hint="default"/>
                <w:b w:val="0"/>
                <w:bCs w:val="0"/>
                <w:color w:val="auto"/>
                <w:lang w:val="en-US" w:eastAsia="zh-CN"/>
              </w:rPr>
              <w:t>厂区</w:t>
            </w:r>
            <w:r>
              <w:rPr>
                <w:rFonts w:hint="eastAsia"/>
                <w:b w:val="0"/>
                <w:bCs w:val="0"/>
                <w:color w:val="auto"/>
                <w:lang w:val="en-US" w:eastAsia="zh-CN"/>
              </w:rPr>
              <w:t>总排口废水</w:t>
            </w:r>
            <w:r>
              <w:rPr>
                <w:rFonts w:hint="default"/>
                <w:b w:val="0"/>
                <w:bCs w:val="0"/>
                <w:color w:val="auto"/>
                <w:lang w:eastAsia="zh-CN"/>
              </w:rPr>
              <w:t>排放</w:t>
            </w:r>
            <w:r>
              <w:rPr>
                <w:b w:val="0"/>
                <w:bCs w:val="0"/>
                <w:color w:val="auto"/>
              </w:rPr>
              <w:t>浓度能够满足《污水综合排放标准》（GB8978-1996）表4三级排放标准和淮阳区</w:t>
            </w:r>
            <w:r>
              <w:rPr>
                <w:rFonts w:hint="eastAsia"/>
                <w:b w:val="0"/>
                <w:bCs w:val="0"/>
                <w:color w:val="auto"/>
              </w:rPr>
              <w:t>第</w:t>
            </w:r>
            <w:r>
              <w:rPr>
                <w:rFonts w:hint="eastAsia"/>
                <w:b w:val="0"/>
                <w:bCs w:val="0"/>
                <w:color w:val="auto"/>
                <w:lang w:val="en-US" w:eastAsia="zh-CN"/>
              </w:rPr>
              <w:t>二</w:t>
            </w:r>
            <w:r>
              <w:rPr>
                <w:b w:val="0"/>
                <w:bCs w:val="0"/>
                <w:color w:val="auto"/>
              </w:rPr>
              <w:t>污水处理厂</w:t>
            </w:r>
            <w:r>
              <w:rPr>
                <w:rFonts w:hint="eastAsia"/>
                <w:b w:val="0"/>
                <w:bCs w:val="0"/>
                <w:color w:val="auto"/>
                <w:lang w:val="en-US" w:eastAsia="zh-CN"/>
              </w:rPr>
              <w:t>收水</w:t>
            </w:r>
            <w:r>
              <w:rPr>
                <w:b w:val="0"/>
                <w:bCs w:val="0"/>
                <w:color w:val="auto"/>
              </w:rPr>
              <w:t>水质标准</w:t>
            </w:r>
            <w:r>
              <w:rPr>
                <w:rFonts w:hint="eastAsia"/>
                <w:b w:val="0"/>
                <w:bCs w:val="0"/>
                <w:color w:val="auto"/>
                <w:lang w:val="en-US" w:eastAsia="zh-CN"/>
              </w:rPr>
              <w:t>要求</w:t>
            </w:r>
            <w:r>
              <w:rPr>
                <w:b w:val="0"/>
                <w:bCs w:val="0"/>
                <w:color w:val="auto"/>
                <w:lang w:val="en-GB"/>
              </w:rPr>
              <w:t>。</w:t>
            </w:r>
          </w:p>
          <w:p w14:paraId="4100064F">
            <w:pPr>
              <w:pStyle w:val="96"/>
              <w:keepLines w:val="0"/>
              <w:pageBreakBefore w:val="0"/>
              <w:kinsoku/>
              <w:wordWrap/>
              <w:topLinePunct w:val="0"/>
              <w:autoSpaceDE/>
              <w:autoSpaceDN/>
              <w:bidi w:val="0"/>
              <w:adjustRightInd w:val="0"/>
              <w:snapToGrid w:val="0"/>
              <w:spacing w:line="440" w:lineRule="exact"/>
              <w:ind w:firstLine="480"/>
              <w:rPr>
                <w:rFonts w:hint="default" w:eastAsia="宋体"/>
                <w:b w:val="0"/>
                <w:bCs w:val="0"/>
                <w:color w:val="auto"/>
                <w:lang w:val="en-US" w:eastAsia="zh-CN"/>
              </w:rPr>
            </w:pPr>
            <w:r>
              <w:rPr>
                <w:rFonts w:hint="eastAsia"/>
                <w:b w:val="0"/>
                <w:bCs w:val="0"/>
                <w:color w:val="auto"/>
                <w:lang w:val="en-US" w:eastAsia="zh-CN"/>
              </w:rPr>
              <w:t>综上所述，本项目污水处理设施技术可行。</w:t>
            </w:r>
          </w:p>
          <w:p w14:paraId="69513DB4">
            <w:pPr>
              <w:keepNext w:val="0"/>
              <w:keepLines w:val="0"/>
              <w:pageBreakBefore w:val="0"/>
              <w:widowControl w:val="0"/>
              <w:tabs>
                <w:tab w:val="left" w:pos="9496"/>
              </w:tabs>
              <w:kinsoku/>
              <w:wordWrap/>
              <w:overflowPunct/>
              <w:topLinePunct w:val="0"/>
              <w:autoSpaceDE/>
              <w:autoSpaceDN/>
              <w:bidi w:val="0"/>
              <w:adjustRightInd w:val="0"/>
              <w:snapToGrid w:val="0"/>
              <w:spacing w:line="440" w:lineRule="exact"/>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2.4进入污水处理厂可行性分析</w:t>
            </w:r>
          </w:p>
          <w:p w14:paraId="230B17E0">
            <w:pPr>
              <w:keepNext w:val="0"/>
              <w:keepLines w:val="0"/>
              <w:pageBreakBefore w:val="0"/>
              <w:widowControl/>
              <w:suppressLineNumbers w:val="0"/>
              <w:kinsoku/>
              <w:wordWrap/>
              <w:topLinePunct w:val="0"/>
              <w:autoSpaceDE/>
              <w:autoSpaceDN/>
              <w:bidi w:val="0"/>
              <w:adjustRightInd w:val="0"/>
              <w:snapToGrid w:val="0"/>
              <w:spacing w:line="440" w:lineRule="exact"/>
              <w:ind w:firstLine="480" w:firstLineChars="200"/>
              <w:jc w:val="left"/>
              <w:rPr>
                <w:b w:val="0"/>
                <w:bCs w:val="0"/>
                <w:color w:val="auto"/>
                <w:sz w:val="24"/>
                <w:szCs w:val="24"/>
              </w:rPr>
            </w:pPr>
            <w:r>
              <w:rPr>
                <w:b w:val="0"/>
                <w:bCs w:val="0"/>
                <w:color w:val="auto"/>
                <w:sz w:val="24"/>
                <w:szCs w:val="24"/>
              </w:rPr>
              <w:t>淮阳区</w:t>
            </w:r>
            <w:r>
              <w:rPr>
                <w:rFonts w:hint="eastAsia"/>
                <w:b w:val="0"/>
                <w:bCs w:val="0"/>
                <w:color w:val="auto"/>
                <w:sz w:val="24"/>
                <w:szCs w:val="24"/>
              </w:rPr>
              <w:t>第</w:t>
            </w:r>
            <w:r>
              <w:rPr>
                <w:rFonts w:hint="eastAsia"/>
                <w:b w:val="0"/>
                <w:bCs w:val="0"/>
                <w:color w:val="auto"/>
                <w:sz w:val="24"/>
                <w:szCs w:val="24"/>
                <w:lang w:val="en-US" w:eastAsia="zh-CN"/>
              </w:rPr>
              <w:t>二</w:t>
            </w:r>
            <w:r>
              <w:rPr>
                <w:b w:val="0"/>
                <w:bCs w:val="0"/>
                <w:color w:val="auto"/>
                <w:sz w:val="24"/>
                <w:szCs w:val="24"/>
              </w:rPr>
              <w:t>污水处理厂</w:t>
            </w:r>
            <w:r>
              <w:rPr>
                <w:rFonts w:hint="eastAsia"/>
                <w:b w:val="0"/>
                <w:bCs w:val="0"/>
                <w:color w:val="auto"/>
                <w:sz w:val="24"/>
                <w:szCs w:val="24"/>
                <w:lang w:val="en-US" w:eastAsia="zh-CN"/>
              </w:rPr>
              <w:t>位于西三环与徐老沟交叉口西北角，处理规模 5 万 m³/d， 该污水处理厂于 2020 年动工，2021 年 10 月竣工，2022 年 7 月通过验收，采用“格栅 -沉砂池+改良型 A</w:t>
            </w:r>
            <w:r>
              <w:rPr>
                <w:rFonts w:hint="eastAsia"/>
                <w:b w:val="0"/>
                <w:bCs w:val="0"/>
                <w:color w:val="auto"/>
                <w:sz w:val="24"/>
                <w:szCs w:val="24"/>
                <w:vertAlign w:val="superscript"/>
                <w:lang w:val="en-US" w:eastAsia="zh-CN"/>
              </w:rPr>
              <w:t>2</w:t>
            </w:r>
            <w:r>
              <w:rPr>
                <w:rFonts w:hint="eastAsia"/>
                <w:b w:val="0"/>
                <w:bCs w:val="0"/>
                <w:color w:val="auto"/>
                <w:sz w:val="24"/>
                <w:szCs w:val="24"/>
                <w:lang w:val="en-US" w:eastAsia="zh-CN"/>
              </w:rPr>
              <w:t xml:space="preserve"> /O+深度处理”工艺，出水水质满足《城镇污水处理厂污染物排放标 准》(GB18918-2002) -级 A 标准，</w:t>
            </w:r>
            <w:r>
              <w:rPr>
                <w:rFonts w:hint="eastAsia" w:ascii="宋体" w:hAnsi="宋体" w:eastAsia="宋体" w:cs="宋体"/>
                <w:color w:val="000000"/>
                <w:kern w:val="0"/>
                <w:sz w:val="24"/>
                <w:szCs w:val="24"/>
                <w:lang w:val="en-US" w:eastAsia="zh-CN" w:bidi="ar"/>
              </w:rPr>
              <w:t>尾水经徐老庄沟排入七里河，然后汇入新蔡河。</w:t>
            </w:r>
            <w:r>
              <w:rPr>
                <w:rFonts w:hint="eastAsia"/>
                <w:b w:val="0"/>
                <w:bCs w:val="0"/>
                <w:color w:val="auto"/>
                <w:sz w:val="24"/>
                <w:szCs w:val="24"/>
              </w:rPr>
              <w:t>周口先进制造业开发区</w:t>
            </w:r>
            <w:r>
              <w:rPr>
                <w:b w:val="0"/>
                <w:bCs w:val="0"/>
                <w:color w:val="auto"/>
                <w:sz w:val="24"/>
                <w:szCs w:val="24"/>
              </w:rPr>
              <w:t>路网建成区污水均</w:t>
            </w:r>
            <w:r>
              <w:rPr>
                <w:rFonts w:hint="eastAsia"/>
                <w:b w:val="0"/>
                <w:bCs w:val="0"/>
                <w:color w:val="auto"/>
                <w:sz w:val="24"/>
                <w:szCs w:val="24"/>
              </w:rPr>
              <w:t>已</w:t>
            </w:r>
            <w:r>
              <w:rPr>
                <w:b w:val="0"/>
                <w:bCs w:val="0"/>
                <w:color w:val="auto"/>
                <w:sz w:val="24"/>
                <w:szCs w:val="24"/>
              </w:rPr>
              <w:t>接管，污水流入淮阳区</w:t>
            </w:r>
            <w:r>
              <w:rPr>
                <w:rFonts w:hint="eastAsia"/>
                <w:b w:val="0"/>
                <w:bCs w:val="0"/>
                <w:color w:val="auto"/>
                <w:sz w:val="24"/>
                <w:szCs w:val="24"/>
                <w:lang w:val="en-US" w:eastAsia="zh-CN"/>
              </w:rPr>
              <w:t>淮阳区第一污水处理厂或第二污水处理厂处理</w:t>
            </w:r>
            <w:r>
              <w:rPr>
                <w:b w:val="0"/>
                <w:bCs w:val="0"/>
                <w:color w:val="auto"/>
                <w:sz w:val="24"/>
                <w:szCs w:val="24"/>
              </w:rPr>
              <w:t>。</w:t>
            </w:r>
          </w:p>
          <w:p w14:paraId="238CBDE4">
            <w:pPr>
              <w:pStyle w:val="96"/>
              <w:keepLines w:val="0"/>
              <w:pageBreakBefore w:val="0"/>
              <w:kinsoku/>
              <w:wordWrap/>
              <w:topLinePunct w:val="0"/>
              <w:autoSpaceDE/>
              <w:autoSpaceDN/>
              <w:bidi w:val="0"/>
              <w:adjustRightInd w:val="0"/>
              <w:snapToGrid w:val="0"/>
              <w:spacing w:line="440" w:lineRule="exact"/>
              <w:ind w:firstLine="480"/>
              <w:rPr>
                <w:b w:val="0"/>
                <w:bCs w:val="0"/>
                <w:color w:val="auto"/>
              </w:rPr>
            </w:pPr>
            <w:r>
              <w:rPr>
                <w:b w:val="0"/>
                <w:bCs w:val="0"/>
                <w:color w:val="auto"/>
              </w:rPr>
              <w:t>本项目位于</w:t>
            </w:r>
            <w:r>
              <w:rPr>
                <w:rFonts w:hint="eastAsia"/>
                <w:b w:val="0"/>
                <w:bCs w:val="0"/>
                <w:color w:val="auto"/>
                <w:lang w:val="en-US" w:eastAsia="zh-CN"/>
              </w:rPr>
              <w:t>周口市</w:t>
            </w:r>
            <w:r>
              <w:rPr>
                <w:rFonts w:hint="eastAsia"/>
                <w:b w:val="0"/>
                <w:bCs w:val="0"/>
                <w:color w:val="auto"/>
              </w:rPr>
              <w:t>周口先进制造业开发区</w:t>
            </w:r>
            <w:r>
              <w:rPr>
                <w:rFonts w:hint="eastAsia"/>
                <w:b w:val="0"/>
                <w:bCs w:val="0"/>
                <w:color w:val="auto"/>
                <w:lang w:val="en-US" w:eastAsia="zh-CN"/>
              </w:rPr>
              <w:t>（周口市淮阳区城关镇南三环南侧，规划工业二路西侧）</w:t>
            </w:r>
            <w:r>
              <w:rPr>
                <w:b w:val="0"/>
                <w:bCs w:val="0"/>
                <w:color w:val="auto"/>
              </w:rPr>
              <w:t>，位于淮阳区</w:t>
            </w:r>
            <w:r>
              <w:rPr>
                <w:rFonts w:hint="eastAsia"/>
                <w:b w:val="0"/>
                <w:bCs w:val="0"/>
                <w:color w:val="auto"/>
              </w:rPr>
              <w:t>第</w:t>
            </w:r>
            <w:r>
              <w:rPr>
                <w:rFonts w:hint="eastAsia"/>
                <w:b w:val="0"/>
                <w:bCs w:val="0"/>
                <w:color w:val="auto"/>
                <w:lang w:val="en-US" w:eastAsia="zh-CN"/>
              </w:rPr>
              <w:t>二</w:t>
            </w:r>
            <w:r>
              <w:rPr>
                <w:b w:val="0"/>
                <w:bCs w:val="0"/>
                <w:color w:val="auto"/>
              </w:rPr>
              <w:t>污水处理厂收水范围；目前淮阳区</w:t>
            </w:r>
            <w:r>
              <w:rPr>
                <w:rFonts w:hint="eastAsia"/>
                <w:b w:val="0"/>
                <w:bCs w:val="0"/>
                <w:color w:val="auto"/>
              </w:rPr>
              <w:t>第</w:t>
            </w:r>
            <w:r>
              <w:rPr>
                <w:rFonts w:hint="eastAsia"/>
                <w:b w:val="0"/>
                <w:bCs w:val="0"/>
                <w:color w:val="auto"/>
                <w:lang w:val="en-US" w:eastAsia="zh-CN"/>
              </w:rPr>
              <w:t>二</w:t>
            </w:r>
            <w:r>
              <w:rPr>
                <w:b w:val="0"/>
                <w:bCs w:val="0"/>
                <w:color w:val="auto"/>
              </w:rPr>
              <w:t>污水处理厂处理量剩余</w:t>
            </w:r>
            <w:r>
              <w:rPr>
                <w:rFonts w:hint="eastAsia"/>
                <w:b w:val="0"/>
                <w:bCs w:val="0"/>
                <w:color w:val="auto"/>
                <w:lang w:val="en-US" w:eastAsia="zh-CN"/>
              </w:rPr>
              <w:t>0.9</w:t>
            </w:r>
            <w:r>
              <w:rPr>
                <w:b w:val="0"/>
                <w:bCs w:val="0"/>
                <w:color w:val="auto"/>
              </w:rPr>
              <w:t>万m</w:t>
            </w:r>
            <w:r>
              <w:rPr>
                <w:b w:val="0"/>
                <w:bCs w:val="0"/>
                <w:color w:val="auto"/>
                <w:vertAlign w:val="superscript"/>
              </w:rPr>
              <w:t>3</w:t>
            </w:r>
            <w:r>
              <w:rPr>
                <w:b w:val="0"/>
                <w:bCs w:val="0"/>
                <w:color w:val="auto"/>
              </w:rPr>
              <w:t>/d，本项目废水排放量为</w:t>
            </w:r>
            <w:r>
              <w:rPr>
                <w:rFonts w:hint="eastAsia"/>
                <w:b w:val="0"/>
                <w:bCs w:val="0"/>
                <w:color w:val="auto"/>
                <w:lang w:val="en-US" w:eastAsia="zh-CN"/>
              </w:rPr>
              <w:t>9.6</w:t>
            </w:r>
            <w:r>
              <w:rPr>
                <w:b w:val="0"/>
                <w:bCs w:val="0"/>
                <w:color w:val="auto"/>
              </w:rPr>
              <w:t>m</w:t>
            </w:r>
            <w:r>
              <w:rPr>
                <w:b w:val="0"/>
                <w:bCs w:val="0"/>
                <w:color w:val="auto"/>
                <w:vertAlign w:val="superscript"/>
              </w:rPr>
              <w:t>3</w:t>
            </w:r>
            <w:r>
              <w:rPr>
                <w:b w:val="0"/>
                <w:bCs w:val="0"/>
                <w:color w:val="auto"/>
              </w:rPr>
              <w:t>/d，</w:t>
            </w:r>
            <w:r>
              <w:rPr>
                <w:rFonts w:hint="default" w:ascii="Times New Roman" w:hAnsi="Times New Roman" w:eastAsia="宋体" w:cs="Times New Roman"/>
                <w:b w:val="0"/>
                <w:bCs w:val="0"/>
                <w:color w:val="auto"/>
                <w:sz w:val="24"/>
                <w:szCs w:val="24"/>
              </w:rPr>
              <w:t>项目</w:t>
            </w:r>
            <w:r>
              <w:rPr>
                <w:rFonts w:hint="eastAsia" w:ascii="Times New Roman" w:hAnsi="Times New Roman" w:eastAsia="宋体" w:cs="Times New Roman"/>
                <w:b w:val="0"/>
                <w:bCs w:val="0"/>
                <w:color w:val="auto"/>
                <w:sz w:val="24"/>
                <w:szCs w:val="24"/>
                <w:lang w:val="en-US" w:eastAsia="zh-CN"/>
              </w:rPr>
              <w:t>废水</w:t>
            </w:r>
            <w:r>
              <w:rPr>
                <w:rFonts w:hint="default" w:ascii="Times New Roman" w:hAnsi="Times New Roman" w:eastAsia="宋体" w:cs="Times New Roman"/>
                <w:b w:val="0"/>
                <w:bCs w:val="0"/>
                <w:color w:val="auto"/>
                <w:sz w:val="24"/>
                <w:szCs w:val="24"/>
              </w:rPr>
              <w:t>排放量</w:t>
            </w:r>
            <w:r>
              <w:rPr>
                <w:rFonts w:hint="default" w:ascii="Times New Roman" w:hAnsi="Times New Roman" w:eastAsia="宋体" w:cs="Times New Roman"/>
                <w:b w:val="0"/>
                <w:bCs w:val="0"/>
                <w:color w:val="auto"/>
                <w:sz w:val="24"/>
                <w:lang w:val="en-US" w:eastAsia="zh-CN"/>
              </w:rPr>
              <w:t>在淮阳区第</w:t>
            </w:r>
            <w:r>
              <w:rPr>
                <w:rFonts w:hint="eastAsia" w:cs="Times New Roman"/>
                <w:b w:val="0"/>
                <w:bCs w:val="0"/>
                <w:color w:val="auto"/>
                <w:sz w:val="24"/>
                <w:lang w:val="en-US" w:eastAsia="zh-CN"/>
              </w:rPr>
              <w:t>二</w:t>
            </w:r>
            <w:r>
              <w:rPr>
                <w:rFonts w:hint="default" w:ascii="Times New Roman" w:hAnsi="Times New Roman" w:eastAsia="宋体" w:cs="Times New Roman"/>
                <w:b w:val="0"/>
                <w:bCs w:val="0"/>
                <w:color w:val="auto"/>
                <w:sz w:val="24"/>
                <w:lang w:val="en-US" w:eastAsia="zh-CN"/>
              </w:rPr>
              <w:t>污水处理厂剩余处理能力范围内</w:t>
            </w:r>
            <w:r>
              <w:rPr>
                <w:rFonts w:hint="eastAsia" w:ascii="Times New Roman" w:hAnsi="Times New Roman" w:eastAsia="宋体" w:cs="Times New Roman"/>
                <w:b w:val="0"/>
                <w:bCs w:val="0"/>
                <w:color w:val="auto"/>
                <w:sz w:val="24"/>
                <w:lang w:val="en-US" w:eastAsia="zh-CN"/>
              </w:rPr>
              <w:t>，且</w:t>
            </w:r>
            <w:r>
              <w:rPr>
                <w:rFonts w:hint="default" w:ascii="Times New Roman" w:hAnsi="Times New Roman" w:eastAsia="宋体" w:cs="Times New Roman"/>
                <w:b w:val="0"/>
                <w:bCs w:val="0"/>
                <w:color w:val="auto"/>
                <w:sz w:val="24"/>
                <w:szCs w:val="24"/>
              </w:rPr>
              <w:t>占污水处理厂处理能力的比例很小</w:t>
            </w:r>
            <w:r>
              <w:rPr>
                <w:rFonts w:hint="eastAsia" w:ascii="Times New Roman" w:hAnsi="Times New Roman" w:eastAsia="宋体" w:cs="Times New Roman"/>
                <w:b w:val="0"/>
                <w:bCs w:val="0"/>
                <w:color w:val="auto"/>
                <w:sz w:val="24"/>
                <w:szCs w:val="24"/>
                <w:lang w:eastAsia="zh-CN"/>
              </w:rPr>
              <w:t>；</w:t>
            </w:r>
            <w:r>
              <w:rPr>
                <w:b w:val="0"/>
                <w:bCs w:val="0"/>
                <w:color w:val="auto"/>
              </w:rPr>
              <w:t>废水水质</w:t>
            </w:r>
            <w:r>
              <w:rPr>
                <w:rFonts w:hint="eastAsia"/>
                <w:b w:val="0"/>
                <w:bCs w:val="0"/>
                <w:color w:val="auto"/>
                <w:lang w:val="en-US" w:eastAsia="zh-CN"/>
              </w:rPr>
              <w:t>能够</w:t>
            </w:r>
            <w:r>
              <w:rPr>
                <w:b w:val="0"/>
                <w:bCs w:val="0"/>
                <w:color w:val="auto"/>
              </w:rPr>
              <w:t>达到淮阳区</w:t>
            </w:r>
            <w:r>
              <w:rPr>
                <w:rFonts w:hint="eastAsia"/>
                <w:b w:val="0"/>
                <w:bCs w:val="0"/>
                <w:color w:val="auto"/>
              </w:rPr>
              <w:t>第</w:t>
            </w:r>
            <w:r>
              <w:rPr>
                <w:rFonts w:hint="eastAsia"/>
                <w:b w:val="0"/>
                <w:bCs w:val="0"/>
                <w:color w:val="auto"/>
                <w:lang w:val="en-US" w:eastAsia="zh-CN"/>
              </w:rPr>
              <w:t>二</w:t>
            </w:r>
            <w:r>
              <w:rPr>
                <w:b w:val="0"/>
                <w:bCs w:val="0"/>
                <w:color w:val="auto"/>
              </w:rPr>
              <w:t>污水处理厂</w:t>
            </w:r>
            <w:r>
              <w:rPr>
                <w:rFonts w:hint="eastAsia"/>
                <w:b w:val="0"/>
                <w:bCs w:val="0"/>
                <w:color w:val="auto"/>
                <w:lang w:val="en-US" w:eastAsia="zh-CN"/>
              </w:rPr>
              <w:t>收水</w:t>
            </w:r>
            <w:r>
              <w:rPr>
                <w:b w:val="0"/>
                <w:bCs w:val="0"/>
                <w:color w:val="auto"/>
              </w:rPr>
              <w:t>水质要求，不会对淮阳区</w:t>
            </w:r>
            <w:r>
              <w:rPr>
                <w:rFonts w:hint="eastAsia"/>
                <w:b w:val="0"/>
                <w:bCs w:val="0"/>
                <w:color w:val="auto"/>
              </w:rPr>
              <w:t>第</w:t>
            </w:r>
            <w:r>
              <w:rPr>
                <w:rFonts w:hint="eastAsia"/>
                <w:b w:val="0"/>
                <w:bCs w:val="0"/>
                <w:color w:val="auto"/>
                <w:lang w:val="en-US" w:eastAsia="zh-CN"/>
              </w:rPr>
              <w:t>二</w:t>
            </w:r>
            <w:r>
              <w:rPr>
                <w:b w:val="0"/>
                <w:bCs w:val="0"/>
                <w:color w:val="auto"/>
              </w:rPr>
              <w:t>污水处理厂水量和进水水质产生明显影响，因此本项目废水排入淮阳区</w:t>
            </w:r>
            <w:r>
              <w:rPr>
                <w:rFonts w:hint="default" w:ascii="Times New Roman" w:hAnsi="Times New Roman" w:eastAsia="宋体" w:cs="Times New Roman"/>
                <w:b w:val="0"/>
                <w:bCs w:val="0"/>
                <w:color w:val="auto"/>
                <w:sz w:val="24"/>
                <w:lang w:val="en-US" w:eastAsia="zh-CN"/>
              </w:rPr>
              <w:t>第</w:t>
            </w:r>
            <w:r>
              <w:rPr>
                <w:rFonts w:hint="eastAsia" w:cs="Times New Roman"/>
                <w:b w:val="0"/>
                <w:bCs w:val="0"/>
                <w:color w:val="auto"/>
                <w:sz w:val="24"/>
                <w:lang w:val="en-US" w:eastAsia="zh-CN"/>
              </w:rPr>
              <w:t>二</w:t>
            </w:r>
            <w:r>
              <w:rPr>
                <w:b w:val="0"/>
                <w:bCs w:val="0"/>
                <w:color w:val="auto"/>
              </w:rPr>
              <w:t>污水处理厂可行。</w:t>
            </w:r>
          </w:p>
          <w:p w14:paraId="4A36669D">
            <w:pPr>
              <w:pStyle w:val="96"/>
              <w:keepLines w:val="0"/>
              <w:pageBreakBefore w:val="0"/>
              <w:kinsoku/>
              <w:wordWrap/>
              <w:topLinePunct w:val="0"/>
              <w:autoSpaceDE/>
              <w:autoSpaceDN/>
              <w:bidi w:val="0"/>
              <w:adjustRightInd w:val="0"/>
              <w:snapToGrid w:val="0"/>
              <w:spacing w:line="440" w:lineRule="exact"/>
              <w:ind w:firstLine="480"/>
              <w:rPr>
                <w:b w:val="0"/>
                <w:bCs w:val="0"/>
                <w:color w:val="auto"/>
                <w:lang w:val="en-GB"/>
              </w:rPr>
            </w:pPr>
            <w:r>
              <w:rPr>
                <w:b w:val="0"/>
                <w:bCs w:val="0"/>
                <w:color w:val="auto"/>
                <w:lang w:val="en-GB"/>
              </w:rPr>
              <w:t>综上所述，项目污水处理设施可行，废水污染物能够达标排放。</w:t>
            </w:r>
          </w:p>
          <w:p w14:paraId="07A27DAA">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440" w:lineRule="exact"/>
              <w:textAlignment w:val="auto"/>
              <w:rPr>
                <w:rFonts w:hint="eastAsia" w:ascii="Times New Roman" w:hAnsi="Times New Roman" w:eastAsia="宋体" w:cs="Times New Roman"/>
                <w:b/>
                <w:bCs/>
                <w:color w:val="auto"/>
                <w:sz w:val="24"/>
                <w:szCs w:val="24"/>
                <w:lang w:val="en-US" w:eastAsia="zh-CN"/>
              </w:rPr>
            </w:pPr>
            <w:bookmarkStart w:id="96" w:name="_Toc13555"/>
            <w:bookmarkStart w:id="97" w:name="_Toc6449"/>
            <w:r>
              <w:rPr>
                <w:rFonts w:hint="eastAsia" w:ascii="Times New Roman" w:hAnsi="Times New Roman" w:eastAsia="宋体" w:cs="Times New Roman"/>
                <w:b/>
                <w:bCs/>
                <w:color w:val="auto"/>
                <w:sz w:val="24"/>
                <w:szCs w:val="24"/>
                <w:lang w:val="en-US" w:eastAsia="zh-CN"/>
              </w:rPr>
              <w:t>噪声</w:t>
            </w:r>
            <w:bookmarkEnd w:id="96"/>
            <w:bookmarkEnd w:id="97"/>
          </w:p>
          <w:p w14:paraId="3C44E068">
            <w:pPr>
              <w:keepNext w:val="0"/>
              <w:keepLines w:val="0"/>
              <w:pageBreakBefore w:val="0"/>
              <w:widowControl w:val="0"/>
              <w:tabs>
                <w:tab w:val="left" w:pos="9496"/>
              </w:tabs>
              <w:kinsoku/>
              <w:wordWrap/>
              <w:overflowPunct/>
              <w:topLinePunct w:val="0"/>
              <w:autoSpaceDE/>
              <w:autoSpaceDN/>
              <w:bidi w:val="0"/>
              <w:adjustRightInd w:val="0"/>
              <w:snapToGrid w:val="0"/>
              <w:spacing w:line="440" w:lineRule="exact"/>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3.1噪声源强分析</w:t>
            </w:r>
          </w:p>
          <w:p w14:paraId="0EC43D8C">
            <w:pPr>
              <w:pStyle w:val="96"/>
              <w:keepLines w:val="0"/>
              <w:pageBreakBefore w:val="0"/>
              <w:kinsoku/>
              <w:wordWrap/>
              <w:topLinePunct w:val="0"/>
              <w:autoSpaceDE/>
              <w:autoSpaceDN/>
              <w:bidi w:val="0"/>
              <w:adjustRightInd w:val="0"/>
              <w:snapToGrid w:val="0"/>
              <w:spacing w:line="440" w:lineRule="exact"/>
              <w:ind w:firstLine="480"/>
              <w:rPr>
                <w:b w:val="0"/>
                <w:bCs w:val="0"/>
                <w:color w:val="FF0000"/>
                <w:spacing w:val="-10"/>
              </w:rPr>
            </w:pPr>
            <w:r>
              <w:rPr>
                <w:b w:val="0"/>
                <w:bCs w:val="0"/>
                <w:color w:val="auto"/>
              </w:rPr>
              <w:t>本项目营运期噪声主要为</w:t>
            </w:r>
            <w:r>
              <w:rPr>
                <w:rFonts w:hint="default"/>
                <w:b w:val="0"/>
                <w:bCs w:val="0"/>
                <w:color w:val="auto"/>
                <w:lang w:val="en-US" w:eastAsia="zh-CN"/>
              </w:rPr>
              <w:t>切割机</w:t>
            </w:r>
            <w:r>
              <w:rPr>
                <w:b w:val="0"/>
                <w:bCs w:val="0"/>
                <w:color w:val="auto"/>
              </w:rPr>
              <w:t>、</w:t>
            </w:r>
            <w:r>
              <w:rPr>
                <w:rFonts w:hint="default"/>
                <w:b w:val="0"/>
                <w:bCs w:val="0"/>
                <w:color w:val="auto"/>
                <w:lang w:val="en-US" w:eastAsia="zh-CN"/>
              </w:rPr>
              <w:t>磨边机</w:t>
            </w:r>
            <w:r>
              <w:rPr>
                <w:b w:val="0"/>
                <w:bCs w:val="0"/>
                <w:color w:val="auto"/>
              </w:rPr>
              <w:t>、</w:t>
            </w:r>
            <w:r>
              <w:rPr>
                <w:rFonts w:hint="default"/>
                <w:b w:val="0"/>
                <w:bCs w:val="0"/>
                <w:color w:val="auto"/>
                <w:lang w:val="en-US" w:eastAsia="zh-CN"/>
              </w:rPr>
              <w:t>钻孔机</w:t>
            </w:r>
            <w:r>
              <w:rPr>
                <w:b w:val="0"/>
                <w:bCs w:val="0"/>
                <w:color w:val="auto"/>
              </w:rPr>
              <w:t>、</w:t>
            </w:r>
            <w:r>
              <w:rPr>
                <w:rFonts w:hint="default"/>
                <w:b w:val="0"/>
                <w:bCs w:val="0"/>
                <w:color w:val="auto"/>
                <w:lang w:val="en-US" w:eastAsia="zh-CN"/>
              </w:rPr>
              <w:t>钢化炉</w:t>
            </w:r>
            <w:r>
              <w:rPr>
                <w:rFonts w:hint="eastAsia"/>
                <w:b w:val="0"/>
                <w:bCs w:val="0"/>
                <w:color w:val="auto"/>
                <w:lang w:eastAsia="zh-CN"/>
              </w:rPr>
              <w:t>、</w:t>
            </w:r>
            <w:r>
              <w:rPr>
                <w:b w:val="0"/>
                <w:bCs w:val="0"/>
                <w:color w:val="auto"/>
              </w:rPr>
              <w:t>风机等设备运转噪声，噪声源强约为</w:t>
            </w:r>
            <w:r>
              <w:rPr>
                <w:rFonts w:hint="eastAsia"/>
                <w:b w:val="0"/>
                <w:bCs w:val="0"/>
                <w:color w:val="auto"/>
                <w:lang w:val="en-US" w:eastAsia="zh-CN"/>
              </w:rPr>
              <w:t>70~90</w:t>
            </w:r>
            <w:r>
              <w:rPr>
                <w:b w:val="0"/>
                <w:bCs w:val="0"/>
                <w:color w:val="auto"/>
              </w:rPr>
              <w:t>dB（A）。为有效降低生产过程中噪声对周围的影响，评价建议采取以下措施：</w:t>
            </w:r>
            <w:r>
              <w:rPr>
                <w:rFonts w:hint="eastAsia" w:ascii="宋体" w:hAnsi="宋体" w:cs="宋体"/>
                <w:b w:val="0"/>
                <w:bCs w:val="0"/>
                <w:color w:val="auto"/>
              </w:rPr>
              <w:t>①</w:t>
            </w:r>
            <w:r>
              <w:rPr>
                <w:b w:val="0"/>
                <w:bCs w:val="0"/>
                <w:color w:val="auto"/>
              </w:rPr>
              <w:t>选用先进的低噪声设备；</w:t>
            </w:r>
            <w:r>
              <w:rPr>
                <w:rFonts w:hint="eastAsia" w:ascii="宋体" w:hAnsi="宋体" w:cs="宋体"/>
                <w:b w:val="0"/>
                <w:bCs w:val="0"/>
                <w:color w:val="auto"/>
              </w:rPr>
              <w:t>②</w:t>
            </w:r>
            <w:r>
              <w:rPr>
                <w:b w:val="0"/>
                <w:bCs w:val="0"/>
                <w:color w:val="auto"/>
              </w:rPr>
              <w:t>本</w:t>
            </w:r>
            <w:r>
              <w:rPr>
                <w:rFonts w:hint="eastAsia"/>
                <w:b w:val="0"/>
                <w:bCs w:val="0"/>
                <w:color w:val="auto"/>
                <w:lang w:val="en-US" w:eastAsia="zh-CN"/>
              </w:rPr>
              <w:t>项目</w:t>
            </w:r>
            <w:r>
              <w:rPr>
                <w:b w:val="0"/>
                <w:bCs w:val="0"/>
                <w:color w:val="auto"/>
              </w:rPr>
              <w:t>高噪声设备均</w:t>
            </w:r>
            <w:r>
              <w:rPr>
                <w:rFonts w:hint="eastAsia"/>
                <w:b w:val="0"/>
                <w:bCs w:val="0"/>
                <w:color w:val="auto"/>
                <w:lang w:val="en-US" w:eastAsia="zh-CN"/>
              </w:rPr>
              <w:t>位</w:t>
            </w:r>
            <w:r>
              <w:rPr>
                <w:b w:val="0"/>
                <w:bCs w:val="0"/>
                <w:color w:val="auto"/>
              </w:rPr>
              <w:t>于生产车间内，通过厂房隔声和安装减振基础等减振降噪措施；风机采用消音处理等，衰减量一般在15~25dB（A）之间。同时加强设备日常维护、运输车辆慢行禁鸣等措施。</w:t>
            </w:r>
          </w:p>
          <w:p w14:paraId="37A74693">
            <w:pPr>
              <w:pStyle w:val="21"/>
              <w:rPr>
                <w:b w:val="0"/>
                <w:bCs w:val="0"/>
                <w:color w:val="FF0000"/>
                <w:spacing w:val="-10"/>
              </w:rPr>
            </w:pPr>
          </w:p>
          <w:p w14:paraId="540100E3">
            <w:pPr>
              <w:pStyle w:val="21"/>
              <w:rPr>
                <w:b w:val="0"/>
                <w:bCs w:val="0"/>
                <w:color w:val="FF0000"/>
                <w:spacing w:val="-10"/>
              </w:rPr>
            </w:pPr>
          </w:p>
          <w:p w14:paraId="7A2B3DD0">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32E42637">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7B42EDA7">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539868CC">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0FECB4E9">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70D6387D">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23EF19A5">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5383EF80">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12CCEC0A">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647B1477">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368E63E5">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34749BD5">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30F4320A">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7EB0DFA0">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4CE3DAEF">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3F0F0F78">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55A84F6D">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73A59B79">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1A8EEA2A">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4749E801">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04618556">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54B34D88">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75256B14">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567886C2">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4423E08E">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57D04736">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1D160C87">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027495BA">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p w14:paraId="719D1864">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b w:val="0"/>
                <w:bCs w:val="0"/>
                <w:color w:val="FF0000"/>
                <w:spacing w:val="-10"/>
              </w:rPr>
            </w:pPr>
          </w:p>
        </w:tc>
      </w:tr>
    </w:tbl>
    <w:p w14:paraId="73CE9DED">
      <w:pPr>
        <w:adjustRightInd w:val="0"/>
        <w:snapToGrid w:val="0"/>
        <w:spacing w:line="360" w:lineRule="auto"/>
        <w:rPr>
          <w:b w:val="0"/>
          <w:bCs w:val="0"/>
          <w:color w:val="FF0000"/>
          <w:kern w:val="0"/>
          <w:sz w:val="28"/>
          <w:szCs w:val="28"/>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linePitch="312" w:charSpace="0"/>
        </w:sectPr>
      </w:pP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53"/>
      </w:tblGrid>
      <w:tr w14:paraId="091C6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9" w:hRule="atLeast"/>
        </w:trPr>
        <w:tc>
          <w:tcPr>
            <w:tcW w:w="14253" w:type="dxa"/>
            <w:noWrap w:val="0"/>
            <w:vAlign w:val="top"/>
          </w:tcPr>
          <w:p w14:paraId="32AD8A11">
            <w:pPr>
              <w:pStyle w:val="85"/>
              <w:keepNext w:val="0"/>
              <w:keepLines w:val="0"/>
              <w:pageBreakBefore w:val="0"/>
              <w:widowControl w:val="0"/>
              <w:tabs>
                <w:tab w:val="left" w:pos="420"/>
              </w:tabs>
              <w:kinsoku/>
              <w:wordWrap/>
              <w:overflowPunct/>
              <w:topLinePunct w:val="0"/>
              <w:autoSpaceDE/>
              <w:autoSpaceDN/>
              <w:bidi w:val="0"/>
              <w:adjustRightInd/>
              <w:snapToGrid/>
              <w:spacing w:line="360" w:lineRule="auto"/>
              <w:ind w:left="0" w:leftChars="0" w:firstLine="0" w:firstLineChars="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表4-12    工业企业噪声源强调查清单（室外声源）</w:t>
            </w:r>
          </w:p>
          <w:tbl>
            <w:tblPr>
              <w:tblStyle w:val="40"/>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241"/>
              <w:gridCol w:w="670"/>
              <w:gridCol w:w="1074"/>
              <w:gridCol w:w="1057"/>
              <w:gridCol w:w="1018"/>
              <w:gridCol w:w="2897"/>
              <w:gridCol w:w="2366"/>
              <w:gridCol w:w="1167"/>
              <w:gridCol w:w="1711"/>
            </w:tblGrid>
            <w:tr w14:paraId="4981C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290" w:type="pct"/>
                  <w:vMerge w:val="restart"/>
                  <w:noWrap w:val="0"/>
                  <w:vAlign w:val="center"/>
                </w:tcPr>
                <w:p w14:paraId="747C48C5">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序号</w:t>
                  </w:r>
                </w:p>
              </w:tc>
              <w:tc>
                <w:tcPr>
                  <w:tcW w:w="442" w:type="pct"/>
                  <w:vMerge w:val="restart"/>
                  <w:noWrap w:val="0"/>
                  <w:vAlign w:val="center"/>
                </w:tcPr>
                <w:p w14:paraId="1D8188AF">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声源名称</w:t>
                  </w:r>
                </w:p>
              </w:tc>
              <w:tc>
                <w:tcPr>
                  <w:tcW w:w="239" w:type="pct"/>
                  <w:vMerge w:val="restart"/>
                  <w:noWrap w:val="0"/>
                  <w:vAlign w:val="center"/>
                </w:tcPr>
                <w:p w14:paraId="7D8FB847">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型号</w:t>
                  </w:r>
                </w:p>
              </w:tc>
              <w:tc>
                <w:tcPr>
                  <w:tcW w:w="1123" w:type="pct"/>
                  <w:gridSpan w:val="3"/>
                  <w:noWrap w:val="0"/>
                  <w:vAlign w:val="center"/>
                </w:tcPr>
                <w:p w14:paraId="2820F2FE">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空间相对位置</w:t>
                  </w:r>
                </w:p>
              </w:tc>
              <w:tc>
                <w:tcPr>
                  <w:tcW w:w="1033" w:type="pct"/>
                  <w:noWrap w:val="0"/>
                  <w:vAlign w:val="center"/>
                </w:tcPr>
                <w:p w14:paraId="0FC1631D">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声源源强（任选一种）</w:t>
                  </w:r>
                </w:p>
              </w:tc>
              <w:tc>
                <w:tcPr>
                  <w:tcW w:w="844" w:type="pct"/>
                  <w:vMerge w:val="restart"/>
                  <w:noWrap w:val="0"/>
                  <w:vAlign w:val="center"/>
                </w:tcPr>
                <w:p w14:paraId="48374F73">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声源控制措施</w:t>
                  </w:r>
                </w:p>
              </w:tc>
              <w:tc>
                <w:tcPr>
                  <w:tcW w:w="416" w:type="pct"/>
                  <w:vMerge w:val="restart"/>
                  <w:noWrap w:val="0"/>
                  <w:vAlign w:val="center"/>
                </w:tcPr>
                <w:p w14:paraId="6BDC1C8B">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运行时段</w:t>
                  </w:r>
                </w:p>
              </w:tc>
              <w:tc>
                <w:tcPr>
                  <w:tcW w:w="610" w:type="pct"/>
                  <w:vMerge w:val="restart"/>
                  <w:noWrap w:val="0"/>
                  <w:vAlign w:val="center"/>
                </w:tcPr>
                <w:p w14:paraId="45C2DE70">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r>
                    <w:rPr>
                      <w:rFonts w:hint="eastAsia" w:ascii="宋体" w:hAnsi="宋体" w:eastAsia="宋体" w:cs="宋体"/>
                      <w:b w:val="0"/>
                      <w:bCs w:val="0"/>
                      <w:color w:val="auto"/>
                      <w:kern w:val="0"/>
                      <w:sz w:val="21"/>
                      <w:szCs w:val="21"/>
                      <w:u w:val="none"/>
                      <w:lang w:val="en-US" w:eastAsia="zh-CN" w:bidi="ar"/>
                    </w:rPr>
                    <w:t xml:space="preserve">降噪后声压级 </w:t>
                  </w:r>
                  <w:r>
                    <w:rPr>
                      <w:rFonts w:hint="default" w:ascii="Times New Roman" w:hAnsi="Times New Roman" w:eastAsia="宋体" w:cs="Times New Roman"/>
                      <w:b w:val="0"/>
                      <w:bCs w:val="0"/>
                      <w:color w:val="auto"/>
                      <w:kern w:val="0"/>
                      <w:sz w:val="21"/>
                      <w:szCs w:val="21"/>
                      <w:u w:val="none"/>
                      <w:lang w:val="en-US" w:eastAsia="zh-CN" w:bidi="ar"/>
                    </w:rPr>
                    <w:t>dB</w:t>
                  </w:r>
                  <w:r>
                    <w:rPr>
                      <w:rFonts w:hint="eastAsia" w:ascii="宋体" w:hAnsi="宋体" w:eastAsia="宋体" w:cs="宋体"/>
                      <w:b w:val="0"/>
                      <w:bCs w:val="0"/>
                      <w:color w:val="auto"/>
                      <w:kern w:val="0"/>
                      <w:sz w:val="21"/>
                      <w:szCs w:val="21"/>
                      <w:u w:val="none"/>
                      <w:lang w:val="en-US" w:eastAsia="zh-CN" w:bidi="ar"/>
                    </w:rPr>
                    <w:t>（</w:t>
                  </w:r>
                  <w:r>
                    <w:rPr>
                      <w:rFonts w:hint="default" w:ascii="Times New Roman" w:hAnsi="Times New Roman" w:eastAsia="宋体" w:cs="Times New Roman"/>
                      <w:b w:val="0"/>
                      <w:bCs w:val="0"/>
                      <w:color w:val="auto"/>
                      <w:kern w:val="0"/>
                      <w:sz w:val="21"/>
                      <w:szCs w:val="21"/>
                      <w:u w:val="none"/>
                      <w:lang w:val="en-US" w:eastAsia="zh-CN" w:bidi="ar"/>
                    </w:rPr>
                    <w:t>A</w:t>
                  </w:r>
                  <w:r>
                    <w:rPr>
                      <w:rFonts w:hint="eastAsia" w:ascii="宋体" w:hAnsi="宋体" w:eastAsia="宋体" w:cs="宋体"/>
                      <w:b w:val="0"/>
                      <w:bCs w:val="0"/>
                      <w:color w:val="auto"/>
                      <w:kern w:val="0"/>
                      <w:sz w:val="21"/>
                      <w:szCs w:val="21"/>
                      <w:u w:val="none"/>
                      <w:lang w:val="en-US" w:eastAsia="zh-CN" w:bidi="ar"/>
                    </w:rPr>
                    <w:t>）</w:t>
                  </w:r>
                </w:p>
              </w:tc>
            </w:tr>
            <w:tr w14:paraId="13024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290" w:type="pct"/>
                  <w:vMerge w:val="continue"/>
                  <w:noWrap w:val="0"/>
                  <w:vAlign w:val="center"/>
                </w:tcPr>
                <w:p w14:paraId="5D4CF9F1">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p>
              </w:tc>
              <w:tc>
                <w:tcPr>
                  <w:tcW w:w="442" w:type="pct"/>
                  <w:vMerge w:val="continue"/>
                  <w:noWrap w:val="0"/>
                  <w:vAlign w:val="center"/>
                </w:tcPr>
                <w:p w14:paraId="7F1ED81F">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p>
              </w:tc>
              <w:tc>
                <w:tcPr>
                  <w:tcW w:w="239" w:type="pct"/>
                  <w:vMerge w:val="continue"/>
                  <w:noWrap w:val="0"/>
                  <w:vAlign w:val="center"/>
                </w:tcPr>
                <w:p w14:paraId="7C0CFA1E">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p>
              </w:tc>
              <w:tc>
                <w:tcPr>
                  <w:tcW w:w="383" w:type="pct"/>
                  <w:noWrap w:val="0"/>
                  <w:vAlign w:val="center"/>
                </w:tcPr>
                <w:p w14:paraId="0842EB53">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X</w:t>
                  </w:r>
                </w:p>
              </w:tc>
              <w:tc>
                <w:tcPr>
                  <w:tcW w:w="377" w:type="pct"/>
                  <w:noWrap w:val="0"/>
                  <w:vAlign w:val="center"/>
                </w:tcPr>
                <w:p w14:paraId="09DE2BEB">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Y</w:t>
                  </w:r>
                </w:p>
              </w:tc>
              <w:tc>
                <w:tcPr>
                  <w:tcW w:w="363" w:type="pct"/>
                  <w:noWrap w:val="0"/>
                  <w:vAlign w:val="center"/>
                </w:tcPr>
                <w:p w14:paraId="50885C7E">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Z</w:t>
                  </w:r>
                </w:p>
              </w:tc>
              <w:tc>
                <w:tcPr>
                  <w:tcW w:w="1033" w:type="pct"/>
                  <w:noWrap w:val="0"/>
                  <w:vAlign w:val="center"/>
                </w:tcPr>
                <w:p w14:paraId="5E1DA5DE">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（声压级/距声源距离）/（dB（A）/m）</w:t>
                  </w:r>
                </w:p>
              </w:tc>
              <w:tc>
                <w:tcPr>
                  <w:tcW w:w="844" w:type="pct"/>
                  <w:vMerge w:val="continue"/>
                  <w:noWrap w:val="0"/>
                  <w:vAlign w:val="center"/>
                </w:tcPr>
                <w:p w14:paraId="5C530F82">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p>
              </w:tc>
              <w:tc>
                <w:tcPr>
                  <w:tcW w:w="416" w:type="pct"/>
                  <w:vMerge w:val="continue"/>
                  <w:noWrap w:val="0"/>
                  <w:vAlign w:val="center"/>
                </w:tcPr>
                <w:p w14:paraId="51EC3DF9">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p>
              </w:tc>
              <w:tc>
                <w:tcPr>
                  <w:tcW w:w="610" w:type="pct"/>
                  <w:vMerge w:val="continue"/>
                  <w:noWrap w:val="0"/>
                  <w:vAlign w:val="center"/>
                </w:tcPr>
                <w:p w14:paraId="197A89C0">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u w:val="none"/>
                      <w:vertAlign w:val="baseline"/>
                      <w:lang w:val="en-US" w:eastAsia="zh-CN"/>
                    </w:rPr>
                  </w:pPr>
                </w:p>
              </w:tc>
            </w:tr>
            <w:tr w14:paraId="412E7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290" w:type="pct"/>
                  <w:noWrap w:val="0"/>
                  <w:vAlign w:val="center"/>
                </w:tcPr>
                <w:p w14:paraId="5E5D0B28">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1</w:t>
                  </w:r>
                </w:p>
              </w:tc>
              <w:tc>
                <w:tcPr>
                  <w:tcW w:w="442" w:type="pct"/>
                  <w:noWrap w:val="0"/>
                  <w:vAlign w:val="center"/>
                </w:tcPr>
                <w:p w14:paraId="51B464D9">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风机1</w:t>
                  </w:r>
                </w:p>
              </w:tc>
              <w:tc>
                <w:tcPr>
                  <w:tcW w:w="239" w:type="pct"/>
                  <w:noWrap w:val="0"/>
                  <w:vAlign w:val="center"/>
                </w:tcPr>
                <w:p w14:paraId="5F976DBA">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w:t>
                  </w:r>
                </w:p>
              </w:tc>
              <w:tc>
                <w:tcPr>
                  <w:tcW w:w="383" w:type="pct"/>
                  <w:noWrap w:val="0"/>
                  <w:vAlign w:val="center"/>
                </w:tcPr>
                <w:p w14:paraId="1E5ECEB7">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300</w:t>
                  </w:r>
                </w:p>
              </w:tc>
              <w:tc>
                <w:tcPr>
                  <w:tcW w:w="377" w:type="pct"/>
                  <w:noWrap w:val="0"/>
                  <w:vAlign w:val="center"/>
                </w:tcPr>
                <w:p w14:paraId="63520732">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240</w:t>
                  </w:r>
                </w:p>
              </w:tc>
              <w:tc>
                <w:tcPr>
                  <w:tcW w:w="363" w:type="pct"/>
                  <w:noWrap w:val="0"/>
                  <w:vAlign w:val="center"/>
                </w:tcPr>
                <w:p w14:paraId="5D99D745">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13.7</w:t>
                  </w:r>
                </w:p>
              </w:tc>
              <w:tc>
                <w:tcPr>
                  <w:tcW w:w="1033" w:type="pct"/>
                  <w:noWrap w:val="0"/>
                  <w:vAlign w:val="center"/>
                </w:tcPr>
                <w:p w14:paraId="60CC22A9">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85/1</w:t>
                  </w:r>
                </w:p>
              </w:tc>
              <w:tc>
                <w:tcPr>
                  <w:tcW w:w="844" w:type="pct"/>
                  <w:noWrap w:val="0"/>
                  <w:vAlign w:val="center"/>
                </w:tcPr>
                <w:p w14:paraId="4E3962EF">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b w:val="0"/>
                      <w:bCs w:val="0"/>
                      <w:color w:val="auto"/>
                      <w:kern w:val="2"/>
                      <w:sz w:val="21"/>
                      <w:szCs w:val="21"/>
                      <w:highlight w:val="none"/>
                      <w:u w:val="none"/>
                      <w:lang w:val="en-US" w:eastAsia="zh-CN" w:bidi="ar-SA"/>
                    </w:rPr>
                  </w:pPr>
                  <w:r>
                    <w:rPr>
                      <w:rFonts w:hint="eastAsia" w:ascii="Times New Roman"/>
                      <w:b w:val="0"/>
                      <w:bCs w:val="0"/>
                      <w:color w:val="auto"/>
                      <w:sz w:val="21"/>
                      <w:szCs w:val="21"/>
                      <w:highlight w:val="none"/>
                      <w:u w:val="none"/>
                      <w:lang w:val="en-US"/>
                    </w:rPr>
                    <w:t>隔声、减振</w:t>
                  </w:r>
                  <w:r>
                    <w:rPr>
                      <w:rFonts w:hint="eastAsia" w:ascii="Times New Roman"/>
                      <w:b w:val="0"/>
                      <w:bCs w:val="0"/>
                      <w:color w:val="auto"/>
                      <w:sz w:val="21"/>
                      <w:szCs w:val="21"/>
                      <w:highlight w:val="none"/>
                      <w:u w:val="none"/>
                      <w:lang w:val="en-US" w:eastAsia="zh-CN"/>
                    </w:rPr>
                    <w:t>、消声</w:t>
                  </w:r>
                </w:p>
              </w:tc>
              <w:tc>
                <w:tcPr>
                  <w:tcW w:w="416" w:type="pct"/>
                  <w:noWrap w:val="0"/>
                  <w:vAlign w:val="center"/>
                </w:tcPr>
                <w:p w14:paraId="14E87328">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eastAsia="宋体" w:cs="Times New Roman"/>
                      <w:b w:val="0"/>
                      <w:bCs w:val="0"/>
                      <w:color w:val="000000"/>
                      <w:sz w:val="21"/>
                      <w:szCs w:val="21"/>
                      <w:highlight w:val="none"/>
                      <w:u w:val="none"/>
                      <w:lang w:val="en-US" w:eastAsia="zh-CN"/>
                    </w:rPr>
                    <w:t>昼夜</w:t>
                  </w:r>
                </w:p>
              </w:tc>
              <w:tc>
                <w:tcPr>
                  <w:tcW w:w="610" w:type="pct"/>
                  <w:noWrap w:val="0"/>
                  <w:vAlign w:val="center"/>
                </w:tcPr>
                <w:p w14:paraId="54BA1342">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65</w:t>
                  </w:r>
                </w:p>
              </w:tc>
            </w:tr>
            <w:tr w14:paraId="3A4F8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290" w:type="pct"/>
                  <w:noWrap w:val="0"/>
                  <w:vAlign w:val="center"/>
                </w:tcPr>
                <w:p w14:paraId="1E603533">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2</w:t>
                  </w:r>
                </w:p>
              </w:tc>
              <w:tc>
                <w:tcPr>
                  <w:tcW w:w="442" w:type="pct"/>
                  <w:noWrap w:val="0"/>
                  <w:vAlign w:val="center"/>
                </w:tcPr>
                <w:p w14:paraId="25E30903">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风机2</w:t>
                  </w:r>
                </w:p>
              </w:tc>
              <w:tc>
                <w:tcPr>
                  <w:tcW w:w="239" w:type="pct"/>
                  <w:noWrap w:val="0"/>
                  <w:vAlign w:val="center"/>
                </w:tcPr>
                <w:p w14:paraId="2ADDA678">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w:t>
                  </w:r>
                </w:p>
              </w:tc>
              <w:tc>
                <w:tcPr>
                  <w:tcW w:w="383" w:type="pct"/>
                  <w:noWrap w:val="0"/>
                  <w:vAlign w:val="center"/>
                </w:tcPr>
                <w:p w14:paraId="06B95BF1">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680</w:t>
                  </w:r>
                </w:p>
              </w:tc>
              <w:tc>
                <w:tcPr>
                  <w:tcW w:w="377" w:type="pct"/>
                  <w:noWrap w:val="0"/>
                  <w:vAlign w:val="center"/>
                </w:tcPr>
                <w:p w14:paraId="63E4AA5F">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280</w:t>
                  </w:r>
                </w:p>
              </w:tc>
              <w:tc>
                <w:tcPr>
                  <w:tcW w:w="363" w:type="pct"/>
                  <w:noWrap w:val="0"/>
                  <w:vAlign w:val="center"/>
                </w:tcPr>
                <w:p w14:paraId="478D376C">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13.7</w:t>
                  </w:r>
                </w:p>
              </w:tc>
              <w:tc>
                <w:tcPr>
                  <w:tcW w:w="1033" w:type="pct"/>
                  <w:noWrap w:val="0"/>
                  <w:vAlign w:val="center"/>
                </w:tcPr>
                <w:p w14:paraId="1B7117F0">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85/1</w:t>
                  </w:r>
                </w:p>
              </w:tc>
              <w:tc>
                <w:tcPr>
                  <w:tcW w:w="844" w:type="pct"/>
                  <w:noWrap w:val="0"/>
                  <w:vAlign w:val="center"/>
                </w:tcPr>
                <w:p w14:paraId="6C46CC71">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b w:val="0"/>
                      <w:bCs w:val="0"/>
                      <w:color w:val="auto"/>
                      <w:kern w:val="2"/>
                      <w:sz w:val="21"/>
                      <w:szCs w:val="21"/>
                      <w:highlight w:val="none"/>
                      <w:u w:val="none"/>
                      <w:lang w:val="en-US" w:eastAsia="zh-CN" w:bidi="ar-SA"/>
                    </w:rPr>
                  </w:pPr>
                  <w:r>
                    <w:rPr>
                      <w:rFonts w:hint="eastAsia" w:ascii="Times New Roman"/>
                      <w:b w:val="0"/>
                      <w:bCs w:val="0"/>
                      <w:color w:val="auto"/>
                      <w:sz w:val="21"/>
                      <w:szCs w:val="21"/>
                      <w:highlight w:val="none"/>
                      <w:u w:val="none"/>
                      <w:lang w:val="en-US"/>
                    </w:rPr>
                    <w:t>隔声、减振</w:t>
                  </w:r>
                  <w:r>
                    <w:rPr>
                      <w:rFonts w:hint="eastAsia" w:ascii="Times New Roman"/>
                      <w:b w:val="0"/>
                      <w:bCs w:val="0"/>
                      <w:color w:val="auto"/>
                      <w:sz w:val="21"/>
                      <w:szCs w:val="21"/>
                      <w:highlight w:val="none"/>
                      <w:u w:val="none"/>
                      <w:lang w:val="en-US" w:eastAsia="zh-CN"/>
                    </w:rPr>
                    <w:t>、消声</w:t>
                  </w:r>
                </w:p>
              </w:tc>
              <w:tc>
                <w:tcPr>
                  <w:tcW w:w="416" w:type="pct"/>
                  <w:noWrap w:val="0"/>
                  <w:vAlign w:val="center"/>
                </w:tcPr>
                <w:p w14:paraId="1FBE8AAB">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eastAsia="宋体" w:cs="Times New Roman"/>
                      <w:b w:val="0"/>
                      <w:bCs w:val="0"/>
                      <w:color w:val="000000"/>
                      <w:sz w:val="21"/>
                      <w:szCs w:val="21"/>
                      <w:highlight w:val="none"/>
                      <w:u w:val="none"/>
                      <w:lang w:val="en-US" w:eastAsia="zh-CN"/>
                    </w:rPr>
                    <w:t>昼夜</w:t>
                  </w:r>
                </w:p>
              </w:tc>
              <w:tc>
                <w:tcPr>
                  <w:tcW w:w="610" w:type="pct"/>
                  <w:noWrap w:val="0"/>
                  <w:vAlign w:val="center"/>
                </w:tcPr>
                <w:p w14:paraId="1D195DAD">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rPr>
                    <w:t>65</w:t>
                  </w:r>
                </w:p>
              </w:tc>
            </w:tr>
            <w:tr w14:paraId="4435E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290" w:type="pct"/>
                  <w:noWrap w:val="0"/>
                  <w:vAlign w:val="center"/>
                </w:tcPr>
                <w:p w14:paraId="667A0921">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3</w:t>
                  </w:r>
                </w:p>
              </w:tc>
              <w:tc>
                <w:tcPr>
                  <w:tcW w:w="442" w:type="pct"/>
                  <w:noWrap w:val="0"/>
                  <w:vAlign w:val="center"/>
                </w:tcPr>
                <w:p w14:paraId="6439652F">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风机3</w:t>
                  </w:r>
                </w:p>
              </w:tc>
              <w:tc>
                <w:tcPr>
                  <w:tcW w:w="239" w:type="pct"/>
                  <w:noWrap w:val="0"/>
                  <w:vAlign w:val="center"/>
                </w:tcPr>
                <w:p w14:paraId="5FC194C2">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w:t>
                  </w:r>
                </w:p>
              </w:tc>
              <w:tc>
                <w:tcPr>
                  <w:tcW w:w="383" w:type="pct"/>
                  <w:noWrap w:val="0"/>
                  <w:vAlign w:val="center"/>
                </w:tcPr>
                <w:p w14:paraId="7C18D4B8">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650</w:t>
                  </w:r>
                </w:p>
              </w:tc>
              <w:tc>
                <w:tcPr>
                  <w:tcW w:w="377" w:type="pct"/>
                  <w:noWrap w:val="0"/>
                  <w:vAlign w:val="center"/>
                </w:tcPr>
                <w:p w14:paraId="69921A8B">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200</w:t>
                  </w:r>
                </w:p>
              </w:tc>
              <w:tc>
                <w:tcPr>
                  <w:tcW w:w="363" w:type="pct"/>
                  <w:noWrap w:val="0"/>
                  <w:vAlign w:val="center"/>
                </w:tcPr>
                <w:p w14:paraId="60142FD7">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13.7</w:t>
                  </w:r>
                </w:p>
              </w:tc>
              <w:tc>
                <w:tcPr>
                  <w:tcW w:w="1033" w:type="pct"/>
                  <w:noWrap w:val="0"/>
                  <w:vAlign w:val="center"/>
                </w:tcPr>
                <w:p w14:paraId="28721A1D">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85/1</w:t>
                  </w:r>
                </w:p>
              </w:tc>
              <w:tc>
                <w:tcPr>
                  <w:tcW w:w="844" w:type="pct"/>
                  <w:noWrap w:val="0"/>
                  <w:vAlign w:val="center"/>
                </w:tcPr>
                <w:p w14:paraId="0B00802E">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b w:val="0"/>
                      <w:bCs w:val="0"/>
                      <w:color w:val="auto"/>
                      <w:sz w:val="21"/>
                      <w:szCs w:val="21"/>
                      <w:highlight w:val="none"/>
                      <w:u w:val="none"/>
                      <w:lang w:val="en-US"/>
                    </w:rPr>
                  </w:pPr>
                  <w:r>
                    <w:rPr>
                      <w:rFonts w:hint="eastAsia" w:ascii="Times New Roman"/>
                      <w:b w:val="0"/>
                      <w:bCs w:val="0"/>
                      <w:color w:val="auto"/>
                      <w:sz w:val="21"/>
                      <w:szCs w:val="21"/>
                      <w:highlight w:val="none"/>
                      <w:u w:val="none"/>
                      <w:lang w:val="en-US"/>
                    </w:rPr>
                    <w:t>隔声、减振</w:t>
                  </w:r>
                  <w:r>
                    <w:rPr>
                      <w:rFonts w:hint="eastAsia" w:ascii="Times New Roman"/>
                      <w:b w:val="0"/>
                      <w:bCs w:val="0"/>
                      <w:color w:val="auto"/>
                      <w:sz w:val="21"/>
                      <w:szCs w:val="21"/>
                      <w:highlight w:val="none"/>
                      <w:u w:val="none"/>
                      <w:lang w:val="en-US" w:eastAsia="zh-CN"/>
                    </w:rPr>
                    <w:t>、消声</w:t>
                  </w:r>
                </w:p>
              </w:tc>
              <w:tc>
                <w:tcPr>
                  <w:tcW w:w="416" w:type="pct"/>
                  <w:noWrap w:val="0"/>
                  <w:vAlign w:val="center"/>
                </w:tcPr>
                <w:p w14:paraId="36006893">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eastAsia="宋体" w:cs="Times New Roman"/>
                      <w:b w:val="0"/>
                      <w:bCs w:val="0"/>
                      <w:color w:val="000000"/>
                      <w:sz w:val="21"/>
                      <w:szCs w:val="21"/>
                      <w:highlight w:val="none"/>
                      <w:u w:val="none"/>
                      <w:lang w:val="en-US" w:eastAsia="zh-CN"/>
                    </w:rPr>
                    <w:t>昼夜</w:t>
                  </w:r>
                </w:p>
              </w:tc>
              <w:tc>
                <w:tcPr>
                  <w:tcW w:w="610" w:type="pct"/>
                  <w:noWrap w:val="0"/>
                  <w:vAlign w:val="center"/>
                </w:tcPr>
                <w:p w14:paraId="7B585D9B">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65</w:t>
                  </w:r>
                </w:p>
              </w:tc>
            </w:tr>
            <w:tr w14:paraId="1F4B6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290" w:type="pct"/>
                  <w:noWrap w:val="0"/>
                  <w:vAlign w:val="center"/>
                </w:tcPr>
                <w:p w14:paraId="21B427EA">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4</w:t>
                  </w:r>
                </w:p>
              </w:tc>
              <w:tc>
                <w:tcPr>
                  <w:tcW w:w="442" w:type="pct"/>
                  <w:noWrap w:val="0"/>
                  <w:vAlign w:val="center"/>
                </w:tcPr>
                <w:p w14:paraId="5BF77700">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风机4</w:t>
                  </w:r>
                </w:p>
              </w:tc>
              <w:tc>
                <w:tcPr>
                  <w:tcW w:w="239" w:type="pct"/>
                  <w:noWrap w:val="0"/>
                  <w:vAlign w:val="center"/>
                </w:tcPr>
                <w:p w14:paraId="1E09FB89">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w:t>
                  </w:r>
                </w:p>
              </w:tc>
              <w:tc>
                <w:tcPr>
                  <w:tcW w:w="383" w:type="pct"/>
                  <w:noWrap w:val="0"/>
                  <w:vAlign w:val="center"/>
                </w:tcPr>
                <w:p w14:paraId="76731BFF">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650</w:t>
                  </w:r>
                </w:p>
              </w:tc>
              <w:tc>
                <w:tcPr>
                  <w:tcW w:w="377" w:type="pct"/>
                  <w:noWrap w:val="0"/>
                  <w:vAlign w:val="center"/>
                </w:tcPr>
                <w:p w14:paraId="34B02E0E">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150</w:t>
                  </w:r>
                </w:p>
              </w:tc>
              <w:tc>
                <w:tcPr>
                  <w:tcW w:w="363" w:type="pct"/>
                  <w:noWrap w:val="0"/>
                  <w:vAlign w:val="center"/>
                </w:tcPr>
                <w:p w14:paraId="68938B81">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13.7</w:t>
                  </w:r>
                </w:p>
              </w:tc>
              <w:tc>
                <w:tcPr>
                  <w:tcW w:w="1033" w:type="pct"/>
                  <w:noWrap w:val="0"/>
                  <w:vAlign w:val="center"/>
                </w:tcPr>
                <w:p w14:paraId="457C95F4">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85/1</w:t>
                  </w:r>
                </w:p>
              </w:tc>
              <w:tc>
                <w:tcPr>
                  <w:tcW w:w="844" w:type="pct"/>
                  <w:noWrap w:val="0"/>
                  <w:vAlign w:val="center"/>
                </w:tcPr>
                <w:p w14:paraId="24CBE3DC">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b w:val="0"/>
                      <w:bCs w:val="0"/>
                      <w:color w:val="auto"/>
                      <w:sz w:val="21"/>
                      <w:szCs w:val="21"/>
                      <w:highlight w:val="none"/>
                      <w:u w:val="none"/>
                      <w:lang w:val="en-US"/>
                    </w:rPr>
                  </w:pPr>
                  <w:r>
                    <w:rPr>
                      <w:rFonts w:hint="eastAsia" w:ascii="Times New Roman"/>
                      <w:b w:val="0"/>
                      <w:bCs w:val="0"/>
                      <w:color w:val="auto"/>
                      <w:sz w:val="21"/>
                      <w:szCs w:val="21"/>
                      <w:highlight w:val="none"/>
                      <w:u w:val="none"/>
                      <w:lang w:val="en-US"/>
                    </w:rPr>
                    <w:t>隔声、减振</w:t>
                  </w:r>
                  <w:r>
                    <w:rPr>
                      <w:rFonts w:hint="eastAsia" w:ascii="Times New Roman"/>
                      <w:b w:val="0"/>
                      <w:bCs w:val="0"/>
                      <w:color w:val="auto"/>
                      <w:sz w:val="21"/>
                      <w:szCs w:val="21"/>
                      <w:highlight w:val="none"/>
                      <w:u w:val="none"/>
                      <w:lang w:val="en-US" w:eastAsia="zh-CN"/>
                    </w:rPr>
                    <w:t>、消声</w:t>
                  </w:r>
                </w:p>
              </w:tc>
              <w:tc>
                <w:tcPr>
                  <w:tcW w:w="416" w:type="pct"/>
                  <w:noWrap w:val="0"/>
                  <w:vAlign w:val="center"/>
                </w:tcPr>
                <w:p w14:paraId="32CEF05E">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eastAsia="宋体" w:cs="Times New Roman"/>
                      <w:b w:val="0"/>
                      <w:bCs w:val="0"/>
                      <w:color w:val="000000"/>
                      <w:sz w:val="21"/>
                      <w:szCs w:val="21"/>
                      <w:highlight w:val="none"/>
                      <w:u w:val="none"/>
                      <w:lang w:val="en-US" w:eastAsia="zh-CN"/>
                    </w:rPr>
                    <w:t>昼夜</w:t>
                  </w:r>
                </w:p>
              </w:tc>
              <w:tc>
                <w:tcPr>
                  <w:tcW w:w="610" w:type="pct"/>
                  <w:noWrap w:val="0"/>
                  <w:vAlign w:val="center"/>
                </w:tcPr>
                <w:p w14:paraId="241EF993">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65</w:t>
                  </w:r>
                </w:p>
              </w:tc>
            </w:tr>
            <w:tr w14:paraId="7B302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290" w:type="pct"/>
                  <w:noWrap w:val="0"/>
                  <w:vAlign w:val="center"/>
                </w:tcPr>
                <w:p w14:paraId="78AC14CB">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5</w:t>
                  </w:r>
                </w:p>
              </w:tc>
              <w:tc>
                <w:tcPr>
                  <w:tcW w:w="442" w:type="pct"/>
                  <w:noWrap w:val="0"/>
                  <w:vAlign w:val="center"/>
                </w:tcPr>
                <w:p w14:paraId="6503C65A">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风机5</w:t>
                  </w:r>
                </w:p>
              </w:tc>
              <w:tc>
                <w:tcPr>
                  <w:tcW w:w="239" w:type="pct"/>
                  <w:noWrap w:val="0"/>
                  <w:vAlign w:val="center"/>
                </w:tcPr>
                <w:p w14:paraId="02E04B7E">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w:t>
                  </w:r>
                </w:p>
              </w:tc>
              <w:tc>
                <w:tcPr>
                  <w:tcW w:w="383" w:type="pct"/>
                  <w:noWrap w:val="0"/>
                  <w:vAlign w:val="center"/>
                </w:tcPr>
                <w:p w14:paraId="7E11FB23">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650</w:t>
                  </w:r>
                </w:p>
              </w:tc>
              <w:tc>
                <w:tcPr>
                  <w:tcW w:w="377" w:type="pct"/>
                  <w:noWrap w:val="0"/>
                  <w:vAlign w:val="center"/>
                </w:tcPr>
                <w:p w14:paraId="3ED51147">
                  <w:pPr>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100</w:t>
                  </w:r>
                </w:p>
              </w:tc>
              <w:tc>
                <w:tcPr>
                  <w:tcW w:w="363" w:type="pct"/>
                  <w:noWrap w:val="0"/>
                  <w:vAlign w:val="center"/>
                </w:tcPr>
                <w:p w14:paraId="43321E83">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bidi="ar-SA"/>
                    </w:rPr>
                  </w:pPr>
                  <w:r>
                    <w:rPr>
                      <w:rFonts w:hint="eastAsia" w:ascii="Times New Roman" w:hAnsi="Times New Roman"/>
                      <w:b w:val="0"/>
                      <w:bCs w:val="0"/>
                      <w:snapToGrid w:val="0"/>
                      <w:color w:val="auto"/>
                      <w:kern w:val="21"/>
                      <w:sz w:val="21"/>
                      <w:szCs w:val="21"/>
                      <w:highlight w:val="none"/>
                      <w:u w:val="none"/>
                      <w:vertAlign w:val="baseline"/>
                      <w:lang w:val="en-US" w:eastAsia="zh-CN" w:bidi="ar-SA"/>
                    </w:rPr>
                    <w:t>13.7</w:t>
                  </w:r>
                </w:p>
              </w:tc>
              <w:tc>
                <w:tcPr>
                  <w:tcW w:w="1033" w:type="pct"/>
                  <w:noWrap w:val="0"/>
                  <w:vAlign w:val="center"/>
                </w:tcPr>
                <w:p w14:paraId="37C40FF1">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85/1</w:t>
                  </w:r>
                </w:p>
              </w:tc>
              <w:tc>
                <w:tcPr>
                  <w:tcW w:w="844" w:type="pct"/>
                  <w:noWrap w:val="0"/>
                  <w:vAlign w:val="center"/>
                </w:tcPr>
                <w:p w14:paraId="76AE197A">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b w:val="0"/>
                      <w:bCs w:val="0"/>
                      <w:color w:val="auto"/>
                      <w:sz w:val="21"/>
                      <w:szCs w:val="21"/>
                      <w:highlight w:val="none"/>
                      <w:u w:val="none"/>
                      <w:lang w:val="en-US"/>
                    </w:rPr>
                  </w:pPr>
                  <w:r>
                    <w:rPr>
                      <w:rFonts w:hint="eastAsia" w:ascii="Times New Roman"/>
                      <w:b w:val="0"/>
                      <w:bCs w:val="0"/>
                      <w:color w:val="auto"/>
                      <w:sz w:val="21"/>
                      <w:szCs w:val="21"/>
                      <w:highlight w:val="none"/>
                      <w:u w:val="none"/>
                      <w:lang w:val="en-US"/>
                    </w:rPr>
                    <w:t>隔声、减振</w:t>
                  </w:r>
                  <w:r>
                    <w:rPr>
                      <w:rFonts w:hint="eastAsia" w:ascii="Times New Roman"/>
                      <w:b w:val="0"/>
                      <w:bCs w:val="0"/>
                      <w:color w:val="auto"/>
                      <w:sz w:val="21"/>
                      <w:szCs w:val="21"/>
                      <w:highlight w:val="none"/>
                      <w:u w:val="none"/>
                      <w:lang w:val="en-US" w:eastAsia="zh-CN"/>
                    </w:rPr>
                    <w:t>、消声</w:t>
                  </w:r>
                </w:p>
              </w:tc>
              <w:tc>
                <w:tcPr>
                  <w:tcW w:w="416" w:type="pct"/>
                  <w:noWrap w:val="0"/>
                  <w:vAlign w:val="center"/>
                </w:tcPr>
                <w:p w14:paraId="293C8886">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eastAsia="宋体" w:cs="Times New Roman"/>
                      <w:b w:val="0"/>
                      <w:bCs w:val="0"/>
                      <w:color w:val="000000"/>
                      <w:sz w:val="21"/>
                      <w:szCs w:val="21"/>
                      <w:highlight w:val="none"/>
                      <w:u w:val="none"/>
                      <w:lang w:val="en-US" w:eastAsia="zh-CN"/>
                    </w:rPr>
                    <w:t>昼夜</w:t>
                  </w:r>
                </w:p>
              </w:tc>
              <w:tc>
                <w:tcPr>
                  <w:tcW w:w="610" w:type="pct"/>
                  <w:noWrap w:val="0"/>
                  <w:vAlign w:val="center"/>
                </w:tcPr>
                <w:p w14:paraId="2B456269">
                  <w:pPr>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b w:val="0"/>
                      <w:bCs w:val="0"/>
                      <w:snapToGrid w:val="0"/>
                      <w:color w:val="auto"/>
                      <w:kern w:val="21"/>
                      <w:sz w:val="21"/>
                      <w:szCs w:val="21"/>
                      <w:highlight w:val="none"/>
                      <w:u w:val="none"/>
                      <w:vertAlign w:val="baseline"/>
                      <w:lang w:val="en-US" w:eastAsia="zh-CN"/>
                    </w:rPr>
                  </w:pPr>
                  <w:r>
                    <w:rPr>
                      <w:rFonts w:hint="eastAsia" w:ascii="Times New Roman" w:hAnsi="Times New Roman"/>
                      <w:b w:val="0"/>
                      <w:bCs w:val="0"/>
                      <w:snapToGrid w:val="0"/>
                      <w:color w:val="auto"/>
                      <w:kern w:val="21"/>
                      <w:sz w:val="21"/>
                      <w:szCs w:val="21"/>
                      <w:highlight w:val="none"/>
                      <w:u w:val="none"/>
                      <w:vertAlign w:val="baseline"/>
                      <w:lang w:val="en-US" w:eastAsia="zh-CN"/>
                    </w:rPr>
                    <w:t>65</w:t>
                  </w:r>
                </w:p>
              </w:tc>
            </w:tr>
            <w:tr w14:paraId="53AD1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00" w:type="pct"/>
                  <w:gridSpan w:val="10"/>
                  <w:noWrap w:val="0"/>
                  <w:vAlign w:val="center"/>
                </w:tcPr>
                <w:p w14:paraId="2F879D7C">
                  <w:pPr>
                    <w:keepNext w:val="0"/>
                    <w:keepLines w:val="0"/>
                    <w:pageBreakBefore w:val="0"/>
                    <w:kinsoku/>
                    <w:wordWrap/>
                    <w:overflowPunct/>
                    <w:topLinePunct w:val="0"/>
                    <w:autoSpaceDE/>
                    <w:autoSpaceDN/>
                    <w:bidi w:val="0"/>
                    <w:adjustRightInd w:val="0"/>
                    <w:snapToGrid w:val="0"/>
                    <w:jc w:val="left"/>
                    <w:textAlignment w:val="auto"/>
                    <w:rPr>
                      <w:rFonts w:hint="eastAsia" w:ascii="Times New Roman" w:hAnsi="Times New Roman"/>
                      <w:b w:val="0"/>
                      <w:bCs w:val="0"/>
                      <w:snapToGrid w:val="0"/>
                      <w:color w:val="auto"/>
                      <w:kern w:val="21"/>
                      <w:sz w:val="21"/>
                      <w:szCs w:val="21"/>
                      <w:u w:val="none"/>
                      <w:vertAlign w:val="baseline"/>
                      <w:lang w:val="en-US" w:eastAsia="zh-CN"/>
                    </w:rPr>
                  </w:pPr>
                  <w:r>
                    <w:rPr>
                      <w:rFonts w:hint="eastAsia" w:ascii="Times New Roman" w:hAnsi="Times New Roman"/>
                      <w:b w:val="0"/>
                      <w:bCs w:val="0"/>
                      <w:snapToGrid w:val="0"/>
                      <w:color w:val="auto"/>
                      <w:kern w:val="21"/>
                      <w:sz w:val="21"/>
                      <w:szCs w:val="21"/>
                      <w:u w:val="none"/>
                      <w:vertAlign w:val="baseline"/>
                      <w:lang w:val="en-US" w:eastAsia="zh-CN"/>
                    </w:rPr>
                    <w:t>注：坐标原点为厂区西南角，东向为X轴正方向，北向为Y轴正方向</w:t>
                  </w:r>
                </w:p>
              </w:tc>
            </w:tr>
          </w:tbl>
          <w:p w14:paraId="4A40F8AB">
            <w:pPr>
              <w:pStyle w:val="85"/>
              <w:tabs>
                <w:tab w:val="left" w:pos="420"/>
              </w:tabs>
              <w:bidi w:val="0"/>
              <w:ind w:left="0" w:leftChars="0" w:firstLine="0" w:firstLineChars="0"/>
              <w:rPr>
                <w:rFonts w:hint="default" w:ascii="Times New Roman" w:hAnsi="Times New Roman" w:eastAsia="宋体" w:cs="Times New Roman"/>
                <w:b/>
                <w:bCs/>
                <w:color w:val="auto"/>
                <w:sz w:val="24"/>
                <w:szCs w:val="24"/>
                <w:lang w:val="en-US" w:eastAsia="zh-CN"/>
              </w:rPr>
            </w:pPr>
            <w:r>
              <w:rPr>
                <w:rFonts w:hint="eastAsia"/>
                <w:sz w:val="24"/>
                <w:szCs w:val="24"/>
                <w:lang w:val="en-US" w:eastAsia="zh-CN"/>
              </w:rPr>
              <w:t xml:space="preserve">  </w:t>
            </w:r>
            <w:r>
              <w:rPr>
                <w:rFonts w:hint="eastAsia" w:ascii="Times New Roman" w:hAnsi="Times New Roman" w:eastAsia="宋体" w:cs="Times New Roman"/>
                <w:b/>
                <w:bCs/>
                <w:color w:val="auto"/>
                <w:sz w:val="24"/>
                <w:szCs w:val="24"/>
                <w:lang w:val="en-US" w:eastAsia="zh-CN"/>
              </w:rPr>
              <w:t>表4-13     本项目噪声源强调查清单（室内声源）</w:t>
            </w:r>
          </w:p>
          <w:tbl>
            <w:tblPr>
              <w:tblStyle w:val="3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0"/>
              <w:gridCol w:w="399"/>
              <w:gridCol w:w="817"/>
              <w:gridCol w:w="550"/>
              <w:gridCol w:w="1117"/>
              <w:gridCol w:w="533"/>
              <w:gridCol w:w="517"/>
              <w:gridCol w:w="450"/>
              <w:gridCol w:w="516"/>
              <w:gridCol w:w="517"/>
              <w:gridCol w:w="517"/>
              <w:gridCol w:w="516"/>
              <w:gridCol w:w="700"/>
              <w:gridCol w:w="677"/>
              <w:gridCol w:w="621"/>
              <w:gridCol w:w="648"/>
              <w:gridCol w:w="541"/>
              <w:gridCol w:w="709"/>
              <w:gridCol w:w="664"/>
              <w:gridCol w:w="614"/>
              <w:gridCol w:w="568"/>
              <w:gridCol w:w="577"/>
              <w:gridCol w:w="819"/>
            </w:tblGrid>
            <w:tr w14:paraId="25C94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 w:type="pct"/>
                  <w:vMerge w:val="restart"/>
                  <w:noWrap w:val="0"/>
                  <w:vAlign w:val="center"/>
                </w:tcPr>
                <w:p w14:paraId="25E31D12">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序号</w:t>
                  </w:r>
                </w:p>
              </w:tc>
              <w:tc>
                <w:tcPr>
                  <w:tcW w:w="142" w:type="pct"/>
                  <w:vMerge w:val="restart"/>
                  <w:noWrap w:val="0"/>
                  <w:vAlign w:val="center"/>
                </w:tcPr>
                <w:p w14:paraId="22059F07">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建筑物名称</w:t>
                  </w:r>
                </w:p>
              </w:tc>
              <w:tc>
                <w:tcPr>
                  <w:tcW w:w="291" w:type="pct"/>
                  <w:noWrap w:val="0"/>
                  <w:vAlign w:val="center"/>
                </w:tcPr>
                <w:p w14:paraId="0F2524A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噪声源</w:t>
                  </w:r>
                </w:p>
              </w:tc>
              <w:tc>
                <w:tcPr>
                  <w:tcW w:w="196" w:type="pct"/>
                  <w:vMerge w:val="restart"/>
                  <w:noWrap w:val="0"/>
                  <w:vAlign w:val="center"/>
                </w:tcPr>
                <w:p w14:paraId="7DF01633">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声压级/dB(A)</w:t>
                  </w:r>
                </w:p>
              </w:tc>
              <w:tc>
                <w:tcPr>
                  <w:tcW w:w="398" w:type="pct"/>
                  <w:vMerge w:val="restart"/>
                  <w:noWrap w:val="0"/>
                  <w:vAlign w:val="center"/>
                </w:tcPr>
                <w:p w14:paraId="68B2E1CE">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声源控制措施</w:t>
                  </w:r>
                </w:p>
              </w:tc>
              <w:tc>
                <w:tcPr>
                  <w:tcW w:w="534" w:type="pct"/>
                  <w:gridSpan w:val="3"/>
                  <w:noWrap w:val="0"/>
                  <w:vAlign w:val="center"/>
                </w:tcPr>
                <w:p w14:paraId="3DEB2E27">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空间相对位置/m</w:t>
                  </w:r>
                </w:p>
              </w:tc>
              <w:tc>
                <w:tcPr>
                  <w:tcW w:w="736" w:type="pct"/>
                  <w:gridSpan w:val="4"/>
                  <w:noWrap w:val="0"/>
                  <w:vAlign w:val="center"/>
                </w:tcPr>
                <w:p w14:paraId="005E982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距室内边界距离/m</w:t>
                  </w:r>
                </w:p>
              </w:tc>
              <w:tc>
                <w:tcPr>
                  <w:tcW w:w="943" w:type="pct"/>
                  <w:gridSpan w:val="4"/>
                  <w:noWrap w:val="0"/>
                  <w:vAlign w:val="center"/>
                </w:tcPr>
                <w:p w14:paraId="4E90DDED">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室内边界声级/dB(A)</w:t>
                  </w:r>
                </w:p>
              </w:tc>
              <w:tc>
                <w:tcPr>
                  <w:tcW w:w="192" w:type="pct"/>
                  <w:vMerge w:val="restart"/>
                  <w:noWrap w:val="0"/>
                  <w:vAlign w:val="center"/>
                </w:tcPr>
                <w:p w14:paraId="1BAB26D9">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运行时段</w:t>
                  </w:r>
                </w:p>
              </w:tc>
              <w:tc>
                <w:tcPr>
                  <w:tcW w:w="252" w:type="pct"/>
                  <w:vMerge w:val="restart"/>
                  <w:noWrap w:val="0"/>
                  <w:vAlign w:val="center"/>
                </w:tcPr>
                <w:p w14:paraId="123818D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建筑插入损失/dB(A)</w:t>
                  </w:r>
                </w:p>
              </w:tc>
              <w:tc>
                <w:tcPr>
                  <w:tcW w:w="1155" w:type="pct"/>
                  <w:gridSpan w:val="5"/>
                  <w:noWrap w:val="0"/>
                  <w:vAlign w:val="center"/>
                </w:tcPr>
                <w:p w14:paraId="22C5EA2F">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建筑物外噪声</w:t>
                  </w:r>
                </w:p>
              </w:tc>
            </w:tr>
            <w:tr w14:paraId="4EB9D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 w:type="pct"/>
                  <w:vMerge w:val="continue"/>
                  <w:noWrap w:val="0"/>
                  <w:vAlign w:val="center"/>
                </w:tcPr>
                <w:p w14:paraId="462B476B">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142" w:type="pct"/>
                  <w:vMerge w:val="continue"/>
                  <w:noWrap w:val="0"/>
                  <w:vAlign w:val="center"/>
                </w:tcPr>
                <w:p w14:paraId="07B19243">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vMerge w:val="restart"/>
                  <w:noWrap w:val="0"/>
                  <w:vAlign w:val="center"/>
                </w:tcPr>
                <w:p w14:paraId="1C1B7668">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名称</w:t>
                  </w:r>
                </w:p>
              </w:tc>
              <w:tc>
                <w:tcPr>
                  <w:tcW w:w="196" w:type="pct"/>
                  <w:vMerge w:val="continue"/>
                  <w:noWrap w:val="0"/>
                  <w:vAlign w:val="center"/>
                </w:tcPr>
                <w:p w14:paraId="4FEABEED">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398" w:type="pct"/>
                  <w:vMerge w:val="continue"/>
                  <w:noWrap w:val="0"/>
                  <w:vAlign w:val="center"/>
                </w:tcPr>
                <w:p w14:paraId="290D58D9">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189" w:type="pct"/>
                  <w:vMerge w:val="restart"/>
                  <w:noWrap w:val="0"/>
                  <w:vAlign w:val="center"/>
                </w:tcPr>
                <w:p w14:paraId="187F8189">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X</w:t>
                  </w:r>
                </w:p>
              </w:tc>
              <w:tc>
                <w:tcPr>
                  <w:tcW w:w="184" w:type="pct"/>
                  <w:vMerge w:val="restart"/>
                  <w:noWrap w:val="0"/>
                  <w:vAlign w:val="center"/>
                </w:tcPr>
                <w:p w14:paraId="5E1DEE52">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Y</w:t>
                  </w:r>
                </w:p>
              </w:tc>
              <w:tc>
                <w:tcPr>
                  <w:tcW w:w="160" w:type="pct"/>
                  <w:vMerge w:val="restart"/>
                  <w:noWrap w:val="0"/>
                  <w:vAlign w:val="center"/>
                </w:tcPr>
                <w:p w14:paraId="73DDD57D">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Z</w:t>
                  </w:r>
                </w:p>
              </w:tc>
              <w:tc>
                <w:tcPr>
                  <w:tcW w:w="183" w:type="pct"/>
                  <w:vMerge w:val="restart"/>
                  <w:noWrap w:val="0"/>
                  <w:vAlign w:val="center"/>
                </w:tcPr>
                <w:p w14:paraId="3481574A">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东</w:t>
                  </w:r>
                </w:p>
              </w:tc>
              <w:tc>
                <w:tcPr>
                  <w:tcW w:w="184" w:type="pct"/>
                  <w:vMerge w:val="restart"/>
                  <w:noWrap w:val="0"/>
                  <w:vAlign w:val="center"/>
                </w:tcPr>
                <w:p w14:paraId="385C7CF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南</w:t>
                  </w:r>
                </w:p>
              </w:tc>
              <w:tc>
                <w:tcPr>
                  <w:tcW w:w="184" w:type="pct"/>
                  <w:vMerge w:val="restart"/>
                  <w:noWrap w:val="0"/>
                  <w:vAlign w:val="center"/>
                </w:tcPr>
                <w:p w14:paraId="545156D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西</w:t>
                  </w:r>
                </w:p>
              </w:tc>
              <w:tc>
                <w:tcPr>
                  <w:tcW w:w="183" w:type="pct"/>
                  <w:vMerge w:val="restart"/>
                  <w:noWrap w:val="0"/>
                  <w:vAlign w:val="center"/>
                </w:tcPr>
                <w:p w14:paraId="3F638044">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北</w:t>
                  </w:r>
                </w:p>
              </w:tc>
              <w:tc>
                <w:tcPr>
                  <w:tcW w:w="249" w:type="pct"/>
                  <w:vMerge w:val="restart"/>
                  <w:noWrap w:val="0"/>
                  <w:vAlign w:val="center"/>
                </w:tcPr>
                <w:p w14:paraId="7B37279F">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东</w:t>
                  </w:r>
                </w:p>
              </w:tc>
              <w:tc>
                <w:tcPr>
                  <w:tcW w:w="241" w:type="pct"/>
                  <w:vMerge w:val="restart"/>
                  <w:noWrap w:val="0"/>
                  <w:vAlign w:val="center"/>
                </w:tcPr>
                <w:p w14:paraId="1DBDD31C">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南</w:t>
                  </w:r>
                </w:p>
              </w:tc>
              <w:tc>
                <w:tcPr>
                  <w:tcW w:w="221" w:type="pct"/>
                  <w:vMerge w:val="restart"/>
                  <w:noWrap w:val="0"/>
                  <w:vAlign w:val="center"/>
                </w:tcPr>
                <w:p w14:paraId="0E1B0273">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西</w:t>
                  </w:r>
                </w:p>
              </w:tc>
              <w:tc>
                <w:tcPr>
                  <w:tcW w:w="230" w:type="pct"/>
                  <w:vMerge w:val="restart"/>
                  <w:noWrap w:val="0"/>
                  <w:vAlign w:val="center"/>
                </w:tcPr>
                <w:p w14:paraId="438FE047">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北</w:t>
                  </w:r>
                </w:p>
              </w:tc>
              <w:tc>
                <w:tcPr>
                  <w:tcW w:w="192" w:type="pct"/>
                  <w:vMerge w:val="continue"/>
                  <w:noWrap w:val="0"/>
                  <w:vAlign w:val="center"/>
                </w:tcPr>
                <w:p w14:paraId="618977E0">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52" w:type="pct"/>
                  <w:vMerge w:val="continue"/>
                  <w:noWrap w:val="0"/>
                  <w:vAlign w:val="center"/>
                </w:tcPr>
                <w:p w14:paraId="3FB2428E">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863" w:type="pct"/>
                  <w:gridSpan w:val="4"/>
                  <w:noWrap w:val="0"/>
                  <w:vAlign w:val="center"/>
                </w:tcPr>
                <w:p w14:paraId="305B8F54">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声压级/dB(A)</w:t>
                  </w:r>
                </w:p>
              </w:tc>
              <w:tc>
                <w:tcPr>
                  <w:tcW w:w="291" w:type="pct"/>
                  <w:vMerge w:val="restart"/>
                  <w:noWrap w:val="0"/>
                  <w:vAlign w:val="center"/>
                </w:tcPr>
                <w:p w14:paraId="00DFD3D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建筑物外距离/m</w:t>
                  </w:r>
                </w:p>
              </w:tc>
            </w:tr>
            <w:tr w14:paraId="57839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156" w:type="pct"/>
                  <w:vMerge w:val="continue"/>
                  <w:noWrap w:val="0"/>
                  <w:vAlign w:val="center"/>
                </w:tcPr>
                <w:p w14:paraId="058B907D">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42" w:type="pct"/>
                  <w:vMerge w:val="continue"/>
                  <w:noWrap w:val="0"/>
                  <w:vAlign w:val="center"/>
                </w:tcPr>
                <w:p w14:paraId="6D7383D3">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291" w:type="pct"/>
                  <w:vMerge w:val="continue"/>
                  <w:noWrap w:val="0"/>
                  <w:vAlign w:val="center"/>
                </w:tcPr>
                <w:p w14:paraId="2D513C39">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96" w:type="pct"/>
                  <w:vMerge w:val="continue"/>
                  <w:noWrap w:val="0"/>
                  <w:vAlign w:val="center"/>
                </w:tcPr>
                <w:p w14:paraId="2555B978">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398" w:type="pct"/>
                  <w:vMerge w:val="continue"/>
                  <w:noWrap w:val="0"/>
                  <w:vAlign w:val="center"/>
                </w:tcPr>
                <w:p w14:paraId="6BCADE36">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89" w:type="pct"/>
                  <w:vMerge w:val="continue"/>
                  <w:noWrap w:val="0"/>
                  <w:vAlign w:val="center"/>
                </w:tcPr>
                <w:p w14:paraId="2A8CDE8B">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84" w:type="pct"/>
                  <w:vMerge w:val="continue"/>
                  <w:noWrap w:val="0"/>
                  <w:vAlign w:val="center"/>
                </w:tcPr>
                <w:p w14:paraId="7560BAEF">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60" w:type="pct"/>
                  <w:vMerge w:val="continue"/>
                  <w:noWrap w:val="0"/>
                  <w:vAlign w:val="center"/>
                </w:tcPr>
                <w:p w14:paraId="0390CCED">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83" w:type="pct"/>
                  <w:vMerge w:val="continue"/>
                  <w:noWrap w:val="0"/>
                  <w:vAlign w:val="center"/>
                </w:tcPr>
                <w:p w14:paraId="7EF9F2DF">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84" w:type="pct"/>
                  <w:vMerge w:val="continue"/>
                  <w:noWrap w:val="0"/>
                  <w:vAlign w:val="center"/>
                </w:tcPr>
                <w:p w14:paraId="04E58E2F">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84" w:type="pct"/>
                  <w:vMerge w:val="continue"/>
                  <w:noWrap w:val="0"/>
                  <w:vAlign w:val="center"/>
                </w:tcPr>
                <w:p w14:paraId="52547AC8">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183" w:type="pct"/>
                  <w:vMerge w:val="continue"/>
                  <w:noWrap w:val="0"/>
                  <w:vAlign w:val="center"/>
                </w:tcPr>
                <w:p w14:paraId="4D1BE4A0">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249" w:type="pct"/>
                  <w:vMerge w:val="continue"/>
                  <w:noWrap w:val="0"/>
                  <w:vAlign w:val="center"/>
                </w:tcPr>
                <w:p w14:paraId="64C1B4DB">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241" w:type="pct"/>
                  <w:vMerge w:val="continue"/>
                  <w:noWrap w:val="0"/>
                  <w:vAlign w:val="center"/>
                </w:tcPr>
                <w:p w14:paraId="3218A288">
                  <w:pPr>
                    <w:pStyle w:val="85"/>
                    <w:numPr>
                      <w:ilvl w:val="0"/>
                      <w:numId w:val="0"/>
                    </w:numPr>
                    <w:tabs>
                      <w:tab w:val="left" w:pos="420"/>
                    </w:tabs>
                    <w:adjustRightInd w:val="0"/>
                    <w:jc w:val="both"/>
                    <w:rPr>
                      <w:rFonts w:hint="default" w:ascii="Times New Roman" w:hAnsi="Times New Roman" w:cs="Times New Roman"/>
                      <w:b w:val="0"/>
                      <w:bCs w:val="0"/>
                      <w:color w:val="auto"/>
                      <w:sz w:val="18"/>
                      <w:szCs w:val="18"/>
                      <w:highlight w:val="none"/>
                      <w:u w:val="none"/>
                    </w:rPr>
                  </w:pPr>
                </w:p>
              </w:tc>
              <w:tc>
                <w:tcPr>
                  <w:tcW w:w="221" w:type="pct"/>
                  <w:vMerge w:val="continue"/>
                  <w:noWrap w:val="0"/>
                  <w:vAlign w:val="center"/>
                </w:tcPr>
                <w:p w14:paraId="5870CD8F">
                  <w:pPr>
                    <w:pStyle w:val="85"/>
                    <w:numPr>
                      <w:ilvl w:val="0"/>
                      <w:numId w:val="0"/>
                    </w:numPr>
                    <w:tabs>
                      <w:tab w:val="left" w:pos="420"/>
                    </w:tabs>
                    <w:adjustRightInd w:val="0"/>
                    <w:jc w:val="both"/>
                    <w:rPr>
                      <w:rFonts w:hint="default" w:ascii="Times New Roman" w:hAnsi="Times New Roman" w:cs="Times New Roman"/>
                      <w:b w:val="0"/>
                      <w:bCs w:val="0"/>
                      <w:color w:val="auto"/>
                      <w:sz w:val="18"/>
                      <w:szCs w:val="18"/>
                      <w:highlight w:val="none"/>
                      <w:u w:val="none"/>
                    </w:rPr>
                  </w:pPr>
                </w:p>
              </w:tc>
              <w:tc>
                <w:tcPr>
                  <w:tcW w:w="230" w:type="pct"/>
                  <w:vMerge w:val="continue"/>
                  <w:noWrap w:val="0"/>
                  <w:vAlign w:val="center"/>
                </w:tcPr>
                <w:p w14:paraId="0854D8F2">
                  <w:pPr>
                    <w:pStyle w:val="85"/>
                    <w:numPr>
                      <w:ilvl w:val="0"/>
                      <w:numId w:val="0"/>
                    </w:numPr>
                    <w:tabs>
                      <w:tab w:val="left" w:pos="420"/>
                    </w:tabs>
                    <w:adjustRightInd w:val="0"/>
                    <w:jc w:val="both"/>
                    <w:rPr>
                      <w:rFonts w:hint="default" w:ascii="Times New Roman" w:hAnsi="Times New Roman" w:cs="Times New Roman"/>
                      <w:b w:val="0"/>
                      <w:bCs w:val="0"/>
                      <w:color w:val="auto"/>
                      <w:sz w:val="18"/>
                      <w:szCs w:val="18"/>
                      <w:highlight w:val="none"/>
                      <w:u w:val="none"/>
                    </w:rPr>
                  </w:pPr>
                </w:p>
              </w:tc>
              <w:tc>
                <w:tcPr>
                  <w:tcW w:w="192" w:type="pct"/>
                  <w:vMerge w:val="continue"/>
                  <w:noWrap w:val="0"/>
                  <w:vAlign w:val="center"/>
                </w:tcPr>
                <w:p w14:paraId="03AF23D5">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252" w:type="pct"/>
                  <w:vMerge w:val="continue"/>
                  <w:noWrap w:val="0"/>
                  <w:vAlign w:val="center"/>
                </w:tcPr>
                <w:p w14:paraId="4AB0FE75">
                  <w:pPr>
                    <w:pStyle w:val="85"/>
                    <w:tabs>
                      <w:tab w:val="left" w:pos="420"/>
                    </w:tabs>
                    <w:adjustRightInd w:val="0"/>
                    <w:rPr>
                      <w:rFonts w:hint="default" w:ascii="Times New Roman" w:hAnsi="Times New Roman" w:cs="Times New Roman"/>
                      <w:b w:val="0"/>
                      <w:bCs w:val="0"/>
                      <w:color w:val="auto"/>
                      <w:sz w:val="18"/>
                      <w:szCs w:val="18"/>
                      <w:highlight w:val="none"/>
                      <w:u w:val="none"/>
                    </w:rPr>
                  </w:pPr>
                </w:p>
              </w:tc>
              <w:tc>
                <w:tcPr>
                  <w:tcW w:w="236" w:type="pct"/>
                  <w:noWrap w:val="0"/>
                  <w:vAlign w:val="center"/>
                </w:tcPr>
                <w:p w14:paraId="1EB158F6">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东</w:t>
                  </w:r>
                </w:p>
              </w:tc>
              <w:tc>
                <w:tcPr>
                  <w:tcW w:w="218" w:type="pct"/>
                  <w:noWrap w:val="0"/>
                  <w:vAlign w:val="center"/>
                </w:tcPr>
                <w:p w14:paraId="074B7222">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南</w:t>
                  </w:r>
                </w:p>
              </w:tc>
              <w:tc>
                <w:tcPr>
                  <w:tcW w:w="202" w:type="pct"/>
                  <w:noWrap w:val="0"/>
                  <w:vAlign w:val="center"/>
                </w:tcPr>
                <w:p w14:paraId="3236CDAB">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西</w:t>
                  </w:r>
                </w:p>
              </w:tc>
              <w:tc>
                <w:tcPr>
                  <w:tcW w:w="205" w:type="pct"/>
                  <w:noWrap w:val="0"/>
                  <w:vAlign w:val="center"/>
                </w:tcPr>
                <w:p w14:paraId="03ABABD7">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北</w:t>
                  </w:r>
                </w:p>
              </w:tc>
              <w:tc>
                <w:tcPr>
                  <w:tcW w:w="291" w:type="pct"/>
                  <w:vMerge w:val="continue"/>
                  <w:noWrap w:val="0"/>
                  <w:vAlign w:val="center"/>
                </w:tcPr>
                <w:p w14:paraId="30FD836C">
                  <w:pPr>
                    <w:pStyle w:val="85"/>
                    <w:tabs>
                      <w:tab w:val="left" w:pos="420"/>
                    </w:tabs>
                    <w:adjustRightInd w:val="0"/>
                    <w:rPr>
                      <w:rFonts w:hint="default" w:ascii="Times New Roman" w:hAnsi="Times New Roman" w:eastAsia="宋体" w:cs="Times New Roman"/>
                      <w:b w:val="0"/>
                      <w:bCs w:val="0"/>
                      <w:color w:val="auto"/>
                      <w:sz w:val="18"/>
                      <w:szCs w:val="18"/>
                      <w:highlight w:val="none"/>
                      <w:u w:val="none"/>
                    </w:rPr>
                  </w:pPr>
                </w:p>
              </w:tc>
            </w:tr>
            <w:tr w14:paraId="485BE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156" w:type="pct"/>
                  <w:noWrap w:val="0"/>
                  <w:vAlign w:val="center"/>
                </w:tcPr>
                <w:p w14:paraId="1A1AD3C3">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1</w:t>
                  </w:r>
                </w:p>
              </w:tc>
              <w:tc>
                <w:tcPr>
                  <w:tcW w:w="142" w:type="pct"/>
                  <w:vMerge w:val="restart"/>
                  <w:noWrap w:val="0"/>
                  <w:vAlign w:val="center"/>
                </w:tcPr>
                <w:p w14:paraId="6CA6FA64">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生产车间</w:t>
                  </w:r>
                </w:p>
              </w:tc>
              <w:tc>
                <w:tcPr>
                  <w:tcW w:w="291" w:type="pct"/>
                  <w:noWrap w:val="0"/>
                  <w:vAlign w:val="center"/>
                </w:tcPr>
                <w:p w14:paraId="22B0A07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切割机</w:t>
                  </w:r>
                </w:p>
              </w:tc>
              <w:tc>
                <w:tcPr>
                  <w:tcW w:w="196" w:type="pct"/>
                  <w:noWrap w:val="0"/>
                  <w:vAlign w:val="center"/>
                </w:tcPr>
                <w:p w14:paraId="6E8CA9B0">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90</w:t>
                  </w:r>
                </w:p>
              </w:tc>
              <w:tc>
                <w:tcPr>
                  <w:tcW w:w="398" w:type="pct"/>
                  <w:noWrap w:val="0"/>
                  <w:vAlign w:val="center"/>
                </w:tcPr>
                <w:p w14:paraId="0EB9A172">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62090FF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220</w:t>
                  </w:r>
                </w:p>
              </w:tc>
              <w:tc>
                <w:tcPr>
                  <w:tcW w:w="184" w:type="pct"/>
                  <w:noWrap w:val="0"/>
                  <w:vAlign w:val="center"/>
                </w:tcPr>
                <w:p w14:paraId="69EAB3F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50</w:t>
                  </w:r>
                </w:p>
              </w:tc>
              <w:tc>
                <w:tcPr>
                  <w:tcW w:w="160" w:type="pct"/>
                  <w:noWrap w:val="0"/>
                  <w:vAlign w:val="center"/>
                </w:tcPr>
                <w:p w14:paraId="16669145">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1.2</w:t>
                  </w:r>
                </w:p>
              </w:tc>
              <w:tc>
                <w:tcPr>
                  <w:tcW w:w="183" w:type="pct"/>
                  <w:noWrap w:val="0"/>
                  <w:vAlign w:val="center"/>
                </w:tcPr>
                <w:p w14:paraId="36B898E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520</w:t>
                  </w:r>
                </w:p>
              </w:tc>
              <w:tc>
                <w:tcPr>
                  <w:tcW w:w="184" w:type="pct"/>
                  <w:noWrap w:val="0"/>
                  <w:vAlign w:val="center"/>
                </w:tcPr>
                <w:p w14:paraId="20A8230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55</w:t>
                  </w:r>
                </w:p>
              </w:tc>
              <w:tc>
                <w:tcPr>
                  <w:tcW w:w="184" w:type="pct"/>
                  <w:noWrap w:val="0"/>
                  <w:vAlign w:val="center"/>
                </w:tcPr>
                <w:p w14:paraId="64731382">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240</w:t>
                  </w:r>
                </w:p>
              </w:tc>
              <w:tc>
                <w:tcPr>
                  <w:tcW w:w="183" w:type="pct"/>
                  <w:noWrap w:val="0"/>
                  <w:vAlign w:val="center"/>
                </w:tcPr>
                <w:p w14:paraId="24530B5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250</w:t>
                  </w:r>
                </w:p>
              </w:tc>
              <w:tc>
                <w:tcPr>
                  <w:tcW w:w="700" w:type="dxa"/>
                  <w:noWrap w:val="0"/>
                  <w:vAlign w:val="bottom"/>
                </w:tcPr>
                <w:p w14:paraId="32FB452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35.7 </w:t>
                  </w:r>
                </w:p>
              </w:tc>
              <w:tc>
                <w:tcPr>
                  <w:tcW w:w="677" w:type="dxa"/>
                  <w:noWrap w:val="0"/>
                  <w:vAlign w:val="bottom"/>
                </w:tcPr>
                <w:p w14:paraId="52CD8CD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55.2 </w:t>
                  </w:r>
                </w:p>
              </w:tc>
              <w:tc>
                <w:tcPr>
                  <w:tcW w:w="621" w:type="dxa"/>
                  <w:noWrap w:val="0"/>
                  <w:vAlign w:val="bottom"/>
                </w:tcPr>
                <w:p w14:paraId="30818DB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42.4 </w:t>
                  </w:r>
                </w:p>
              </w:tc>
              <w:tc>
                <w:tcPr>
                  <w:tcW w:w="648" w:type="dxa"/>
                  <w:noWrap w:val="0"/>
                  <w:vAlign w:val="bottom"/>
                </w:tcPr>
                <w:p w14:paraId="0DC16D3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42.0 </w:t>
                  </w:r>
                </w:p>
              </w:tc>
              <w:tc>
                <w:tcPr>
                  <w:tcW w:w="192" w:type="pct"/>
                  <w:vMerge w:val="restart"/>
                  <w:noWrap w:val="0"/>
                  <w:vAlign w:val="center"/>
                </w:tcPr>
                <w:p w14:paraId="3B53E6D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昼夜</w:t>
                  </w:r>
                </w:p>
              </w:tc>
              <w:tc>
                <w:tcPr>
                  <w:tcW w:w="252" w:type="pct"/>
                  <w:noWrap w:val="0"/>
                  <w:vAlign w:val="center"/>
                </w:tcPr>
                <w:p w14:paraId="5BAF0952">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3992BA7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20.7</w:t>
                  </w:r>
                </w:p>
              </w:tc>
              <w:tc>
                <w:tcPr>
                  <w:tcW w:w="614" w:type="dxa"/>
                  <w:noWrap w:val="0"/>
                  <w:vAlign w:val="bottom"/>
                </w:tcPr>
                <w:p w14:paraId="4CD32E7A">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40.2</w:t>
                  </w:r>
                </w:p>
              </w:tc>
              <w:tc>
                <w:tcPr>
                  <w:tcW w:w="568" w:type="dxa"/>
                  <w:noWrap w:val="0"/>
                  <w:vAlign w:val="bottom"/>
                </w:tcPr>
                <w:p w14:paraId="4CDE3E22">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27.4</w:t>
                  </w:r>
                </w:p>
              </w:tc>
              <w:tc>
                <w:tcPr>
                  <w:tcW w:w="577" w:type="dxa"/>
                  <w:noWrap w:val="0"/>
                  <w:vAlign w:val="bottom"/>
                </w:tcPr>
                <w:p w14:paraId="35E5B69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27.0</w:t>
                  </w:r>
                </w:p>
              </w:tc>
              <w:tc>
                <w:tcPr>
                  <w:tcW w:w="291" w:type="pct"/>
                  <w:noWrap w:val="0"/>
                  <w:vAlign w:val="center"/>
                </w:tcPr>
                <w:p w14:paraId="25681FBA">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1</w:t>
                  </w:r>
                </w:p>
              </w:tc>
            </w:tr>
            <w:tr w14:paraId="07128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 w:type="pct"/>
                  <w:noWrap w:val="0"/>
                  <w:vAlign w:val="center"/>
                </w:tcPr>
                <w:p w14:paraId="7707318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2</w:t>
                  </w:r>
                </w:p>
              </w:tc>
              <w:tc>
                <w:tcPr>
                  <w:tcW w:w="142" w:type="pct"/>
                  <w:vMerge w:val="continue"/>
                  <w:noWrap w:val="0"/>
                  <w:vAlign w:val="center"/>
                </w:tcPr>
                <w:p w14:paraId="30A43C7E">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3F1C403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磨边机</w:t>
                  </w:r>
                </w:p>
              </w:tc>
              <w:tc>
                <w:tcPr>
                  <w:tcW w:w="196" w:type="pct"/>
                  <w:noWrap w:val="0"/>
                  <w:vAlign w:val="center"/>
                </w:tcPr>
                <w:p w14:paraId="24AFBC9D">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75</w:t>
                  </w:r>
                </w:p>
              </w:tc>
              <w:tc>
                <w:tcPr>
                  <w:tcW w:w="398" w:type="pct"/>
                  <w:noWrap w:val="0"/>
                  <w:vAlign w:val="center"/>
                </w:tcPr>
                <w:p w14:paraId="70B23B72">
                  <w:pPr>
                    <w:numPr>
                      <w:ilvl w:val="0"/>
                      <w:numId w:val="0"/>
                    </w:numPr>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24C208F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220</w:t>
                  </w:r>
                </w:p>
              </w:tc>
              <w:tc>
                <w:tcPr>
                  <w:tcW w:w="184" w:type="pct"/>
                  <w:noWrap w:val="0"/>
                  <w:vAlign w:val="center"/>
                </w:tcPr>
                <w:p w14:paraId="09B17036">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50</w:t>
                  </w:r>
                </w:p>
              </w:tc>
              <w:tc>
                <w:tcPr>
                  <w:tcW w:w="160" w:type="pct"/>
                  <w:noWrap w:val="0"/>
                  <w:vAlign w:val="center"/>
                </w:tcPr>
                <w:p w14:paraId="7DC4CA7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1.2</w:t>
                  </w:r>
                </w:p>
              </w:tc>
              <w:tc>
                <w:tcPr>
                  <w:tcW w:w="183" w:type="pct"/>
                  <w:noWrap w:val="0"/>
                  <w:vAlign w:val="center"/>
                </w:tcPr>
                <w:p w14:paraId="762AF0DF">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520</w:t>
                  </w:r>
                </w:p>
              </w:tc>
              <w:tc>
                <w:tcPr>
                  <w:tcW w:w="184" w:type="pct"/>
                  <w:noWrap w:val="0"/>
                  <w:vAlign w:val="center"/>
                </w:tcPr>
                <w:p w14:paraId="6699A866">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55</w:t>
                  </w:r>
                </w:p>
              </w:tc>
              <w:tc>
                <w:tcPr>
                  <w:tcW w:w="184" w:type="pct"/>
                  <w:noWrap w:val="0"/>
                  <w:vAlign w:val="center"/>
                </w:tcPr>
                <w:p w14:paraId="402A7A91">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240</w:t>
                  </w:r>
                </w:p>
              </w:tc>
              <w:tc>
                <w:tcPr>
                  <w:tcW w:w="183" w:type="pct"/>
                  <w:noWrap w:val="0"/>
                  <w:vAlign w:val="center"/>
                </w:tcPr>
                <w:p w14:paraId="023347B4">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250</w:t>
                  </w:r>
                </w:p>
              </w:tc>
              <w:tc>
                <w:tcPr>
                  <w:tcW w:w="700" w:type="dxa"/>
                  <w:noWrap w:val="0"/>
                  <w:vAlign w:val="bottom"/>
                </w:tcPr>
                <w:p w14:paraId="77AFEC56">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20.7 </w:t>
                  </w:r>
                </w:p>
              </w:tc>
              <w:tc>
                <w:tcPr>
                  <w:tcW w:w="677" w:type="dxa"/>
                  <w:noWrap w:val="0"/>
                  <w:vAlign w:val="bottom"/>
                </w:tcPr>
                <w:p w14:paraId="7DFB4F80">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40.2 </w:t>
                  </w:r>
                </w:p>
              </w:tc>
              <w:tc>
                <w:tcPr>
                  <w:tcW w:w="621" w:type="dxa"/>
                  <w:noWrap w:val="0"/>
                  <w:vAlign w:val="bottom"/>
                </w:tcPr>
                <w:p w14:paraId="5711F61D">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27.4 </w:t>
                  </w:r>
                </w:p>
              </w:tc>
              <w:tc>
                <w:tcPr>
                  <w:tcW w:w="648" w:type="dxa"/>
                  <w:noWrap w:val="0"/>
                  <w:vAlign w:val="bottom"/>
                </w:tcPr>
                <w:p w14:paraId="0D836F03">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27.0 </w:t>
                  </w:r>
                </w:p>
              </w:tc>
              <w:tc>
                <w:tcPr>
                  <w:tcW w:w="192" w:type="pct"/>
                  <w:vMerge w:val="continue"/>
                  <w:noWrap w:val="0"/>
                  <w:vAlign w:val="center"/>
                </w:tcPr>
                <w:p w14:paraId="6890E02C">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006DF87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1A35DF4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5.7</w:t>
                  </w:r>
                </w:p>
              </w:tc>
              <w:tc>
                <w:tcPr>
                  <w:tcW w:w="614" w:type="dxa"/>
                  <w:noWrap w:val="0"/>
                  <w:vAlign w:val="bottom"/>
                </w:tcPr>
                <w:p w14:paraId="5514501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25.2</w:t>
                  </w:r>
                </w:p>
              </w:tc>
              <w:tc>
                <w:tcPr>
                  <w:tcW w:w="568" w:type="dxa"/>
                  <w:noWrap w:val="0"/>
                  <w:vAlign w:val="bottom"/>
                </w:tcPr>
                <w:p w14:paraId="13D4D85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12.4</w:t>
                  </w:r>
                </w:p>
              </w:tc>
              <w:tc>
                <w:tcPr>
                  <w:tcW w:w="577" w:type="dxa"/>
                  <w:noWrap w:val="0"/>
                  <w:vAlign w:val="bottom"/>
                </w:tcPr>
                <w:p w14:paraId="0C57223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12.0</w:t>
                  </w:r>
                </w:p>
              </w:tc>
              <w:tc>
                <w:tcPr>
                  <w:tcW w:w="291" w:type="pct"/>
                  <w:noWrap w:val="0"/>
                  <w:vAlign w:val="center"/>
                </w:tcPr>
                <w:p w14:paraId="06CF414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1809A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 w:type="pct"/>
                  <w:noWrap w:val="0"/>
                  <w:vAlign w:val="center"/>
                </w:tcPr>
                <w:p w14:paraId="7C45951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3</w:t>
                  </w:r>
                </w:p>
              </w:tc>
              <w:tc>
                <w:tcPr>
                  <w:tcW w:w="142" w:type="pct"/>
                  <w:vMerge w:val="continue"/>
                  <w:noWrap w:val="0"/>
                  <w:vAlign w:val="center"/>
                </w:tcPr>
                <w:p w14:paraId="26FC6285">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15768B7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钻孔机</w:t>
                  </w:r>
                </w:p>
              </w:tc>
              <w:tc>
                <w:tcPr>
                  <w:tcW w:w="196" w:type="pct"/>
                  <w:noWrap w:val="0"/>
                  <w:vAlign w:val="center"/>
                </w:tcPr>
                <w:p w14:paraId="1025496C">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75</w:t>
                  </w:r>
                </w:p>
              </w:tc>
              <w:tc>
                <w:tcPr>
                  <w:tcW w:w="398" w:type="pct"/>
                  <w:noWrap w:val="0"/>
                  <w:vAlign w:val="center"/>
                </w:tcPr>
                <w:p w14:paraId="5D8C90DA">
                  <w:pPr>
                    <w:numPr>
                      <w:ilvl w:val="0"/>
                      <w:numId w:val="0"/>
                    </w:numPr>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0AA77E8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230</w:t>
                  </w:r>
                </w:p>
              </w:tc>
              <w:tc>
                <w:tcPr>
                  <w:tcW w:w="184" w:type="pct"/>
                  <w:noWrap w:val="0"/>
                  <w:vAlign w:val="center"/>
                </w:tcPr>
                <w:p w14:paraId="61584CA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100</w:t>
                  </w:r>
                </w:p>
              </w:tc>
              <w:tc>
                <w:tcPr>
                  <w:tcW w:w="160" w:type="pct"/>
                  <w:noWrap w:val="0"/>
                  <w:vAlign w:val="center"/>
                </w:tcPr>
                <w:p w14:paraId="763C26C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2271A49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490</w:t>
                  </w:r>
                </w:p>
              </w:tc>
              <w:tc>
                <w:tcPr>
                  <w:tcW w:w="184" w:type="pct"/>
                  <w:noWrap w:val="0"/>
                  <w:vAlign w:val="center"/>
                </w:tcPr>
                <w:p w14:paraId="349E37C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105</w:t>
                  </w:r>
                </w:p>
              </w:tc>
              <w:tc>
                <w:tcPr>
                  <w:tcW w:w="184" w:type="pct"/>
                  <w:noWrap w:val="0"/>
                  <w:vAlign w:val="center"/>
                </w:tcPr>
                <w:p w14:paraId="6A6E993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250</w:t>
                  </w:r>
                </w:p>
              </w:tc>
              <w:tc>
                <w:tcPr>
                  <w:tcW w:w="183" w:type="pct"/>
                  <w:noWrap w:val="0"/>
                  <w:vAlign w:val="center"/>
                </w:tcPr>
                <w:p w14:paraId="497250D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195</w:t>
                  </w:r>
                </w:p>
              </w:tc>
              <w:tc>
                <w:tcPr>
                  <w:tcW w:w="700" w:type="dxa"/>
                  <w:noWrap w:val="0"/>
                  <w:vAlign w:val="bottom"/>
                </w:tcPr>
                <w:p w14:paraId="40CACBE7">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21.2 </w:t>
                  </w:r>
                </w:p>
              </w:tc>
              <w:tc>
                <w:tcPr>
                  <w:tcW w:w="677" w:type="dxa"/>
                  <w:noWrap w:val="0"/>
                  <w:vAlign w:val="bottom"/>
                </w:tcPr>
                <w:p w14:paraId="74AA7F7F">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34.6 </w:t>
                  </w:r>
                </w:p>
              </w:tc>
              <w:tc>
                <w:tcPr>
                  <w:tcW w:w="621" w:type="dxa"/>
                  <w:noWrap w:val="0"/>
                  <w:vAlign w:val="bottom"/>
                </w:tcPr>
                <w:p w14:paraId="105288DE">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27.0 </w:t>
                  </w:r>
                </w:p>
              </w:tc>
              <w:tc>
                <w:tcPr>
                  <w:tcW w:w="648" w:type="dxa"/>
                  <w:noWrap w:val="0"/>
                  <w:vAlign w:val="bottom"/>
                </w:tcPr>
                <w:p w14:paraId="64DAF34A">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29.2 </w:t>
                  </w:r>
                </w:p>
              </w:tc>
              <w:tc>
                <w:tcPr>
                  <w:tcW w:w="192" w:type="pct"/>
                  <w:vMerge w:val="continue"/>
                  <w:noWrap w:val="0"/>
                  <w:vAlign w:val="center"/>
                </w:tcPr>
                <w:p w14:paraId="7347FA4C">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5CDB8E9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3DB0FD7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6.2</w:t>
                  </w:r>
                </w:p>
              </w:tc>
              <w:tc>
                <w:tcPr>
                  <w:tcW w:w="614" w:type="dxa"/>
                  <w:noWrap w:val="0"/>
                  <w:vAlign w:val="bottom"/>
                </w:tcPr>
                <w:p w14:paraId="66891F5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19.6</w:t>
                  </w:r>
                </w:p>
              </w:tc>
              <w:tc>
                <w:tcPr>
                  <w:tcW w:w="568" w:type="dxa"/>
                  <w:noWrap w:val="0"/>
                  <w:vAlign w:val="bottom"/>
                </w:tcPr>
                <w:p w14:paraId="4410A60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12.0</w:t>
                  </w:r>
                </w:p>
              </w:tc>
              <w:tc>
                <w:tcPr>
                  <w:tcW w:w="577" w:type="dxa"/>
                  <w:noWrap w:val="0"/>
                  <w:vAlign w:val="bottom"/>
                </w:tcPr>
                <w:p w14:paraId="2F120B5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14.2</w:t>
                  </w:r>
                </w:p>
              </w:tc>
              <w:tc>
                <w:tcPr>
                  <w:tcW w:w="291" w:type="pct"/>
                  <w:noWrap w:val="0"/>
                  <w:vAlign w:val="center"/>
                </w:tcPr>
                <w:p w14:paraId="79C2C4A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43B2E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 w:type="pct"/>
                  <w:noWrap w:val="0"/>
                  <w:vAlign w:val="center"/>
                </w:tcPr>
                <w:p w14:paraId="2414088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sz w:val="18"/>
                      <w:szCs w:val="18"/>
                      <w:highlight w:val="none"/>
                      <w:u w:val="none"/>
                      <w:lang w:val="en-US" w:eastAsia="zh-CN"/>
                    </w:rPr>
                    <w:t>4</w:t>
                  </w:r>
                </w:p>
              </w:tc>
              <w:tc>
                <w:tcPr>
                  <w:tcW w:w="142" w:type="pct"/>
                  <w:vMerge w:val="continue"/>
                  <w:noWrap w:val="0"/>
                  <w:vAlign w:val="center"/>
                </w:tcPr>
                <w:p w14:paraId="12304D20">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285D290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钢化炉</w:t>
                  </w:r>
                </w:p>
              </w:tc>
              <w:tc>
                <w:tcPr>
                  <w:tcW w:w="196" w:type="pct"/>
                  <w:noWrap w:val="0"/>
                  <w:vAlign w:val="center"/>
                </w:tcPr>
                <w:p w14:paraId="0F8DAACC">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85</w:t>
                  </w:r>
                </w:p>
              </w:tc>
              <w:tc>
                <w:tcPr>
                  <w:tcW w:w="398" w:type="pct"/>
                  <w:noWrap w:val="0"/>
                  <w:vAlign w:val="center"/>
                </w:tcPr>
                <w:p w14:paraId="0A7AFE96">
                  <w:pPr>
                    <w:numPr>
                      <w:ilvl w:val="0"/>
                      <w:numId w:val="0"/>
                    </w:numPr>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156B3F6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320</w:t>
                  </w:r>
                </w:p>
              </w:tc>
              <w:tc>
                <w:tcPr>
                  <w:tcW w:w="184" w:type="pct"/>
                  <w:noWrap w:val="0"/>
                  <w:vAlign w:val="center"/>
                </w:tcPr>
                <w:p w14:paraId="36945C6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50</w:t>
                  </w:r>
                </w:p>
              </w:tc>
              <w:tc>
                <w:tcPr>
                  <w:tcW w:w="160" w:type="pct"/>
                  <w:noWrap w:val="0"/>
                  <w:vAlign w:val="center"/>
                </w:tcPr>
                <w:p w14:paraId="4395513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5A1F3CCA">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400</w:t>
                  </w:r>
                </w:p>
              </w:tc>
              <w:tc>
                <w:tcPr>
                  <w:tcW w:w="184" w:type="pct"/>
                  <w:noWrap w:val="0"/>
                  <w:vAlign w:val="center"/>
                </w:tcPr>
                <w:p w14:paraId="4F1592C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55</w:t>
                  </w:r>
                </w:p>
              </w:tc>
              <w:tc>
                <w:tcPr>
                  <w:tcW w:w="184" w:type="pct"/>
                  <w:noWrap w:val="0"/>
                  <w:vAlign w:val="center"/>
                </w:tcPr>
                <w:p w14:paraId="04CEB527">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340</w:t>
                  </w:r>
                </w:p>
              </w:tc>
              <w:tc>
                <w:tcPr>
                  <w:tcW w:w="183" w:type="pct"/>
                  <w:noWrap w:val="0"/>
                  <w:vAlign w:val="center"/>
                </w:tcPr>
                <w:p w14:paraId="1F525F8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245</w:t>
                  </w:r>
                </w:p>
              </w:tc>
              <w:tc>
                <w:tcPr>
                  <w:tcW w:w="700" w:type="dxa"/>
                  <w:noWrap w:val="0"/>
                  <w:vAlign w:val="bottom"/>
                </w:tcPr>
                <w:p w14:paraId="4E95F835">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33.0 </w:t>
                  </w:r>
                </w:p>
              </w:tc>
              <w:tc>
                <w:tcPr>
                  <w:tcW w:w="677" w:type="dxa"/>
                  <w:noWrap w:val="0"/>
                  <w:vAlign w:val="bottom"/>
                </w:tcPr>
                <w:p w14:paraId="019630CA">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50.2 </w:t>
                  </w:r>
                </w:p>
              </w:tc>
              <w:tc>
                <w:tcPr>
                  <w:tcW w:w="621" w:type="dxa"/>
                  <w:noWrap w:val="0"/>
                  <w:vAlign w:val="bottom"/>
                </w:tcPr>
                <w:p w14:paraId="0ACE10B3">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34.4 </w:t>
                  </w:r>
                </w:p>
              </w:tc>
              <w:tc>
                <w:tcPr>
                  <w:tcW w:w="648" w:type="dxa"/>
                  <w:noWrap w:val="0"/>
                  <w:vAlign w:val="bottom"/>
                </w:tcPr>
                <w:p w14:paraId="131296E9">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37.2 </w:t>
                  </w:r>
                </w:p>
              </w:tc>
              <w:tc>
                <w:tcPr>
                  <w:tcW w:w="192" w:type="pct"/>
                  <w:vMerge w:val="continue"/>
                  <w:noWrap w:val="0"/>
                  <w:vAlign w:val="center"/>
                </w:tcPr>
                <w:p w14:paraId="1C61F52E">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50607A6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028073C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18.0</w:t>
                  </w:r>
                </w:p>
              </w:tc>
              <w:tc>
                <w:tcPr>
                  <w:tcW w:w="614" w:type="dxa"/>
                  <w:noWrap w:val="0"/>
                  <w:vAlign w:val="bottom"/>
                </w:tcPr>
                <w:p w14:paraId="3A44A09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35.2</w:t>
                  </w:r>
                </w:p>
              </w:tc>
              <w:tc>
                <w:tcPr>
                  <w:tcW w:w="568" w:type="dxa"/>
                  <w:noWrap w:val="0"/>
                  <w:vAlign w:val="bottom"/>
                </w:tcPr>
                <w:p w14:paraId="73862A1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19.4</w:t>
                  </w:r>
                </w:p>
              </w:tc>
              <w:tc>
                <w:tcPr>
                  <w:tcW w:w="577" w:type="dxa"/>
                  <w:noWrap w:val="0"/>
                  <w:vAlign w:val="bottom"/>
                </w:tcPr>
                <w:p w14:paraId="3A018916">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22.2</w:t>
                  </w:r>
                </w:p>
              </w:tc>
              <w:tc>
                <w:tcPr>
                  <w:tcW w:w="291" w:type="pct"/>
                  <w:noWrap w:val="0"/>
                  <w:vAlign w:val="center"/>
                </w:tcPr>
                <w:p w14:paraId="1E6260F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47C8F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 w:type="pct"/>
                  <w:noWrap w:val="0"/>
                  <w:vAlign w:val="center"/>
                </w:tcPr>
                <w:p w14:paraId="0B130FE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sz w:val="18"/>
                      <w:szCs w:val="18"/>
                      <w:highlight w:val="none"/>
                      <w:u w:val="none"/>
                      <w:lang w:val="en-US" w:eastAsia="zh-CN"/>
                    </w:rPr>
                    <w:t>5</w:t>
                  </w:r>
                </w:p>
              </w:tc>
              <w:tc>
                <w:tcPr>
                  <w:tcW w:w="142" w:type="pct"/>
                  <w:vMerge w:val="continue"/>
                  <w:noWrap w:val="0"/>
                  <w:vAlign w:val="center"/>
                </w:tcPr>
                <w:p w14:paraId="207687DB">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20A9345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清洗机</w:t>
                  </w:r>
                </w:p>
              </w:tc>
              <w:tc>
                <w:tcPr>
                  <w:tcW w:w="196" w:type="pct"/>
                  <w:noWrap w:val="0"/>
                  <w:vAlign w:val="center"/>
                </w:tcPr>
                <w:p w14:paraId="65041B11">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70</w:t>
                  </w:r>
                </w:p>
              </w:tc>
              <w:tc>
                <w:tcPr>
                  <w:tcW w:w="398" w:type="pct"/>
                  <w:noWrap w:val="0"/>
                  <w:vAlign w:val="center"/>
                </w:tcPr>
                <w:p w14:paraId="5389EAB9">
                  <w:pPr>
                    <w:numPr>
                      <w:ilvl w:val="0"/>
                      <w:numId w:val="0"/>
                    </w:numPr>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460797C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200</w:t>
                  </w:r>
                </w:p>
              </w:tc>
              <w:tc>
                <w:tcPr>
                  <w:tcW w:w="184" w:type="pct"/>
                  <w:noWrap w:val="0"/>
                  <w:vAlign w:val="center"/>
                </w:tcPr>
                <w:p w14:paraId="500A9E1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240</w:t>
                  </w:r>
                </w:p>
              </w:tc>
              <w:tc>
                <w:tcPr>
                  <w:tcW w:w="160" w:type="pct"/>
                  <w:noWrap w:val="0"/>
                  <w:vAlign w:val="center"/>
                </w:tcPr>
                <w:p w14:paraId="14283C7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07E9D35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280</w:t>
                  </w:r>
                </w:p>
              </w:tc>
              <w:tc>
                <w:tcPr>
                  <w:tcW w:w="184" w:type="pct"/>
                  <w:noWrap w:val="0"/>
                  <w:vAlign w:val="center"/>
                </w:tcPr>
                <w:p w14:paraId="2D2254D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240</w:t>
                  </w:r>
                </w:p>
              </w:tc>
              <w:tc>
                <w:tcPr>
                  <w:tcW w:w="184" w:type="pct"/>
                  <w:noWrap w:val="0"/>
                  <w:vAlign w:val="center"/>
                </w:tcPr>
                <w:p w14:paraId="68D3504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200</w:t>
                  </w:r>
                </w:p>
              </w:tc>
              <w:tc>
                <w:tcPr>
                  <w:tcW w:w="183" w:type="pct"/>
                  <w:noWrap w:val="0"/>
                  <w:vAlign w:val="center"/>
                </w:tcPr>
                <w:p w14:paraId="38F8072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60</w:t>
                  </w:r>
                </w:p>
              </w:tc>
              <w:tc>
                <w:tcPr>
                  <w:tcW w:w="700" w:type="dxa"/>
                  <w:noWrap w:val="0"/>
                  <w:vAlign w:val="bottom"/>
                </w:tcPr>
                <w:p w14:paraId="7A5332C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21.1 </w:t>
                  </w:r>
                </w:p>
              </w:tc>
              <w:tc>
                <w:tcPr>
                  <w:tcW w:w="677" w:type="dxa"/>
                  <w:noWrap w:val="0"/>
                  <w:vAlign w:val="bottom"/>
                </w:tcPr>
                <w:p w14:paraId="0EEBB46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22.4 </w:t>
                  </w:r>
                </w:p>
              </w:tc>
              <w:tc>
                <w:tcPr>
                  <w:tcW w:w="621" w:type="dxa"/>
                  <w:noWrap w:val="0"/>
                  <w:vAlign w:val="bottom"/>
                </w:tcPr>
                <w:p w14:paraId="06D10F8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24.0 </w:t>
                  </w:r>
                </w:p>
              </w:tc>
              <w:tc>
                <w:tcPr>
                  <w:tcW w:w="648" w:type="dxa"/>
                  <w:noWrap w:val="0"/>
                  <w:vAlign w:val="bottom"/>
                </w:tcPr>
                <w:p w14:paraId="510192F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34.4 </w:t>
                  </w:r>
                </w:p>
              </w:tc>
              <w:tc>
                <w:tcPr>
                  <w:tcW w:w="192" w:type="pct"/>
                  <w:vMerge w:val="continue"/>
                  <w:noWrap w:val="0"/>
                  <w:vAlign w:val="center"/>
                </w:tcPr>
                <w:p w14:paraId="28C1905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5DE506B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15C3242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6.1</w:t>
                  </w:r>
                </w:p>
              </w:tc>
              <w:tc>
                <w:tcPr>
                  <w:tcW w:w="614" w:type="dxa"/>
                  <w:noWrap w:val="0"/>
                  <w:vAlign w:val="bottom"/>
                </w:tcPr>
                <w:p w14:paraId="5A52625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7.4</w:t>
                  </w:r>
                </w:p>
              </w:tc>
              <w:tc>
                <w:tcPr>
                  <w:tcW w:w="568" w:type="dxa"/>
                  <w:noWrap w:val="0"/>
                  <w:vAlign w:val="bottom"/>
                </w:tcPr>
                <w:p w14:paraId="4B399F6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9.0</w:t>
                  </w:r>
                </w:p>
              </w:tc>
              <w:tc>
                <w:tcPr>
                  <w:tcW w:w="577" w:type="dxa"/>
                  <w:noWrap w:val="0"/>
                  <w:vAlign w:val="bottom"/>
                </w:tcPr>
                <w:p w14:paraId="03B5D2D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19.4</w:t>
                  </w:r>
                </w:p>
              </w:tc>
              <w:tc>
                <w:tcPr>
                  <w:tcW w:w="291" w:type="pct"/>
                  <w:noWrap w:val="0"/>
                  <w:vAlign w:val="center"/>
                </w:tcPr>
                <w:p w14:paraId="558A35A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457DA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56" w:type="pct"/>
                  <w:noWrap w:val="0"/>
                  <w:vAlign w:val="center"/>
                </w:tcPr>
                <w:p w14:paraId="1F121D75">
                  <w:pPr>
                    <w:pStyle w:val="85"/>
                    <w:numPr>
                      <w:ilvl w:val="0"/>
                      <w:numId w:val="0"/>
                    </w:numPr>
                    <w:tabs>
                      <w:tab w:val="left" w:pos="420"/>
                    </w:tabs>
                    <w:adjustRightInd w:val="0"/>
                    <w:rPr>
                      <w:rFonts w:hint="eastAsia"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6</w:t>
                  </w:r>
                </w:p>
              </w:tc>
              <w:tc>
                <w:tcPr>
                  <w:tcW w:w="142" w:type="pct"/>
                  <w:vMerge w:val="continue"/>
                  <w:noWrap w:val="0"/>
                  <w:vAlign w:val="center"/>
                </w:tcPr>
                <w:p w14:paraId="6AE0BEF3">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4670891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彩打线</w:t>
                  </w:r>
                </w:p>
              </w:tc>
              <w:tc>
                <w:tcPr>
                  <w:tcW w:w="196" w:type="pct"/>
                  <w:noWrap w:val="0"/>
                  <w:vAlign w:val="center"/>
                </w:tcPr>
                <w:p w14:paraId="0F63F096">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70</w:t>
                  </w:r>
                </w:p>
              </w:tc>
              <w:tc>
                <w:tcPr>
                  <w:tcW w:w="398" w:type="pct"/>
                  <w:noWrap w:val="0"/>
                  <w:vAlign w:val="center"/>
                </w:tcPr>
                <w:p w14:paraId="27489724">
                  <w:pPr>
                    <w:numPr>
                      <w:ilvl w:val="0"/>
                      <w:numId w:val="0"/>
                    </w:numPr>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3C3615D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320</w:t>
                  </w:r>
                </w:p>
              </w:tc>
              <w:tc>
                <w:tcPr>
                  <w:tcW w:w="184" w:type="pct"/>
                  <w:noWrap w:val="0"/>
                  <w:vAlign w:val="center"/>
                </w:tcPr>
                <w:p w14:paraId="2BA1373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220</w:t>
                  </w:r>
                </w:p>
              </w:tc>
              <w:tc>
                <w:tcPr>
                  <w:tcW w:w="160" w:type="pct"/>
                  <w:noWrap w:val="0"/>
                  <w:vAlign w:val="center"/>
                </w:tcPr>
                <w:p w14:paraId="395B6FB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66855DC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400</w:t>
                  </w:r>
                </w:p>
              </w:tc>
              <w:tc>
                <w:tcPr>
                  <w:tcW w:w="184" w:type="pct"/>
                  <w:noWrap w:val="0"/>
                  <w:vAlign w:val="center"/>
                </w:tcPr>
                <w:p w14:paraId="38972F7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220</w:t>
                  </w:r>
                </w:p>
              </w:tc>
              <w:tc>
                <w:tcPr>
                  <w:tcW w:w="184" w:type="pct"/>
                  <w:noWrap w:val="0"/>
                  <w:vAlign w:val="center"/>
                </w:tcPr>
                <w:p w14:paraId="7CFD367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320</w:t>
                  </w:r>
                </w:p>
              </w:tc>
              <w:tc>
                <w:tcPr>
                  <w:tcW w:w="183" w:type="pct"/>
                  <w:noWrap w:val="0"/>
                  <w:vAlign w:val="center"/>
                </w:tcPr>
                <w:p w14:paraId="6388951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80</w:t>
                  </w:r>
                </w:p>
              </w:tc>
              <w:tc>
                <w:tcPr>
                  <w:tcW w:w="700" w:type="dxa"/>
                  <w:noWrap w:val="0"/>
                  <w:vAlign w:val="bottom"/>
                </w:tcPr>
                <w:p w14:paraId="32F0C9D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18.0 </w:t>
                  </w:r>
                </w:p>
              </w:tc>
              <w:tc>
                <w:tcPr>
                  <w:tcW w:w="677" w:type="dxa"/>
                  <w:noWrap w:val="0"/>
                  <w:vAlign w:val="bottom"/>
                </w:tcPr>
                <w:p w14:paraId="63FF812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23.2 </w:t>
                  </w:r>
                </w:p>
              </w:tc>
              <w:tc>
                <w:tcPr>
                  <w:tcW w:w="621" w:type="dxa"/>
                  <w:noWrap w:val="0"/>
                  <w:vAlign w:val="bottom"/>
                </w:tcPr>
                <w:p w14:paraId="2539E6B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19.9 </w:t>
                  </w:r>
                </w:p>
              </w:tc>
              <w:tc>
                <w:tcPr>
                  <w:tcW w:w="648" w:type="dxa"/>
                  <w:noWrap w:val="0"/>
                  <w:vAlign w:val="bottom"/>
                </w:tcPr>
                <w:p w14:paraId="4C24D00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31.9 </w:t>
                  </w:r>
                </w:p>
              </w:tc>
              <w:tc>
                <w:tcPr>
                  <w:tcW w:w="192" w:type="pct"/>
                  <w:vMerge w:val="continue"/>
                  <w:noWrap w:val="0"/>
                  <w:vAlign w:val="center"/>
                </w:tcPr>
                <w:p w14:paraId="7390EDD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2E12B68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5C4D368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3.0</w:t>
                  </w:r>
                </w:p>
              </w:tc>
              <w:tc>
                <w:tcPr>
                  <w:tcW w:w="614" w:type="dxa"/>
                  <w:noWrap w:val="0"/>
                  <w:vAlign w:val="bottom"/>
                </w:tcPr>
                <w:p w14:paraId="23B79C5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8.2</w:t>
                  </w:r>
                </w:p>
              </w:tc>
              <w:tc>
                <w:tcPr>
                  <w:tcW w:w="568" w:type="dxa"/>
                  <w:noWrap w:val="0"/>
                  <w:vAlign w:val="bottom"/>
                </w:tcPr>
                <w:p w14:paraId="307917E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4.9</w:t>
                  </w:r>
                </w:p>
              </w:tc>
              <w:tc>
                <w:tcPr>
                  <w:tcW w:w="577" w:type="dxa"/>
                  <w:noWrap w:val="0"/>
                  <w:vAlign w:val="bottom"/>
                </w:tcPr>
                <w:p w14:paraId="51206CA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16.9</w:t>
                  </w:r>
                </w:p>
              </w:tc>
              <w:tc>
                <w:tcPr>
                  <w:tcW w:w="291" w:type="pct"/>
                  <w:noWrap w:val="0"/>
                  <w:vAlign w:val="center"/>
                </w:tcPr>
                <w:p w14:paraId="3300ACF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662EF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56" w:type="pct"/>
                  <w:noWrap w:val="0"/>
                  <w:vAlign w:val="center"/>
                </w:tcPr>
                <w:p w14:paraId="5790C599">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sz w:val="18"/>
                      <w:szCs w:val="18"/>
                      <w:highlight w:val="none"/>
                      <w:u w:val="none"/>
                      <w:lang w:val="en-US" w:eastAsia="zh-CN"/>
                    </w:rPr>
                    <w:t>7</w:t>
                  </w:r>
                </w:p>
              </w:tc>
              <w:tc>
                <w:tcPr>
                  <w:tcW w:w="142" w:type="pct"/>
                  <w:vMerge w:val="continue"/>
                  <w:noWrap w:val="0"/>
                  <w:vAlign w:val="center"/>
                </w:tcPr>
                <w:p w14:paraId="636D09C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76B8479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夹胶线</w:t>
                  </w:r>
                </w:p>
              </w:tc>
              <w:tc>
                <w:tcPr>
                  <w:tcW w:w="196" w:type="pct"/>
                  <w:noWrap w:val="0"/>
                  <w:vAlign w:val="center"/>
                </w:tcPr>
                <w:p w14:paraId="6B1C5E7B">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70</w:t>
                  </w:r>
                </w:p>
              </w:tc>
              <w:tc>
                <w:tcPr>
                  <w:tcW w:w="398" w:type="pct"/>
                  <w:noWrap w:val="0"/>
                  <w:vAlign w:val="center"/>
                </w:tcPr>
                <w:p w14:paraId="48EC006F">
                  <w:pPr>
                    <w:numPr>
                      <w:ilvl w:val="0"/>
                      <w:numId w:val="0"/>
                    </w:numPr>
                    <w:adjustRightInd w:val="0"/>
                    <w:rPr>
                      <w:rFonts w:hint="default" w:ascii="Times New Roman" w:hAnsi="Times New Roman" w:eastAsia="宋体" w:cs="Times New Roman"/>
                      <w:b w:val="0"/>
                      <w:bCs w:val="0"/>
                      <w:color w:val="auto"/>
                      <w:sz w:val="18"/>
                      <w:szCs w:val="18"/>
                      <w:highlight w:val="none"/>
                      <w:u w:val="none"/>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1087BD9A">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500</w:t>
                  </w:r>
                </w:p>
              </w:tc>
              <w:tc>
                <w:tcPr>
                  <w:tcW w:w="184" w:type="pct"/>
                  <w:noWrap w:val="0"/>
                  <w:vAlign w:val="center"/>
                </w:tcPr>
                <w:p w14:paraId="4A1165E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30</w:t>
                  </w:r>
                </w:p>
              </w:tc>
              <w:tc>
                <w:tcPr>
                  <w:tcW w:w="160" w:type="pct"/>
                  <w:noWrap w:val="0"/>
                  <w:vAlign w:val="center"/>
                </w:tcPr>
                <w:p w14:paraId="64E0604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556B40D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100</w:t>
                  </w:r>
                </w:p>
              </w:tc>
              <w:tc>
                <w:tcPr>
                  <w:tcW w:w="184" w:type="pct"/>
                  <w:noWrap w:val="0"/>
                  <w:vAlign w:val="center"/>
                </w:tcPr>
                <w:p w14:paraId="31F963B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30</w:t>
                  </w:r>
                </w:p>
              </w:tc>
              <w:tc>
                <w:tcPr>
                  <w:tcW w:w="184" w:type="pct"/>
                  <w:noWrap w:val="0"/>
                  <w:vAlign w:val="center"/>
                </w:tcPr>
                <w:p w14:paraId="41F36FC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500</w:t>
                  </w:r>
                </w:p>
              </w:tc>
              <w:tc>
                <w:tcPr>
                  <w:tcW w:w="183" w:type="pct"/>
                  <w:noWrap w:val="0"/>
                  <w:vAlign w:val="center"/>
                </w:tcPr>
                <w:p w14:paraId="3CF44F8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260</w:t>
                  </w:r>
                </w:p>
              </w:tc>
              <w:tc>
                <w:tcPr>
                  <w:tcW w:w="700" w:type="dxa"/>
                  <w:noWrap w:val="0"/>
                  <w:vAlign w:val="bottom"/>
                </w:tcPr>
                <w:p w14:paraId="3230C3D1">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30.0 </w:t>
                  </w:r>
                </w:p>
              </w:tc>
              <w:tc>
                <w:tcPr>
                  <w:tcW w:w="677" w:type="dxa"/>
                  <w:noWrap w:val="0"/>
                  <w:vAlign w:val="bottom"/>
                </w:tcPr>
                <w:p w14:paraId="45630FDC">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40.5 </w:t>
                  </w:r>
                </w:p>
              </w:tc>
              <w:tc>
                <w:tcPr>
                  <w:tcW w:w="621" w:type="dxa"/>
                  <w:noWrap w:val="0"/>
                  <w:vAlign w:val="bottom"/>
                </w:tcPr>
                <w:p w14:paraId="58220C7F">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16.0 </w:t>
                  </w:r>
                </w:p>
              </w:tc>
              <w:tc>
                <w:tcPr>
                  <w:tcW w:w="648" w:type="dxa"/>
                  <w:noWrap w:val="0"/>
                  <w:vAlign w:val="bottom"/>
                </w:tcPr>
                <w:p w14:paraId="5EA3EC08">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21.7 </w:t>
                  </w:r>
                </w:p>
              </w:tc>
              <w:tc>
                <w:tcPr>
                  <w:tcW w:w="192" w:type="pct"/>
                  <w:vMerge w:val="continue"/>
                  <w:noWrap w:val="0"/>
                  <w:vAlign w:val="center"/>
                </w:tcPr>
                <w:p w14:paraId="11031F8A">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1F84A86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4971C16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15.0</w:t>
                  </w:r>
                </w:p>
              </w:tc>
              <w:tc>
                <w:tcPr>
                  <w:tcW w:w="614" w:type="dxa"/>
                  <w:noWrap w:val="0"/>
                  <w:vAlign w:val="bottom"/>
                </w:tcPr>
                <w:p w14:paraId="5879AE9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25.5</w:t>
                  </w:r>
                </w:p>
              </w:tc>
              <w:tc>
                <w:tcPr>
                  <w:tcW w:w="568" w:type="dxa"/>
                  <w:noWrap w:val="0"/>
                  <w:vAlign w:val="bottom"/>
                </w:tcPr>
                <w:p w14:paraId="7959842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1.0</w:t>
                  </w:r>
                </w:p>
              </w:tc>
              <w:tc>
                <w:tcPr>
                  <w:tcW w:w="577" w:type="dxa"/>
                  <w:noWrap w:val="0"/>
                  <w:vAlign w:val="bottom"/>
                </w:tcPr>
                <w:p w14:paraId="027C662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6.7</w:t>
                  </w:r>
                </w:p>
              </w:tc>
              <w:tc>
                <w:tcPr>
                  <w:tcW w:w="291" w:type="pct"/>
                  <w:noWrap w:val="0"/>
                  <w:vAlign w:val="center"/>
                </w:tcPr>
                <w:p w14:paraId="42D835C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4B06D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 w:type="pct"/>
                  <w:noWrap w:val="0"/>
                  <w:vAlign w:val="center"/>
                </w:tcPr>
                <w:p w14:paraId="11F11C0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sz w:val="18"/>
                      <w:szCs w:val="18"/>
                      <w:highlight w:val="none"/>
                      <w:u w:val="none"/>
                      <w:lang w:val="en-US" w:eastAsia="zh-CN"/>
                    </w:rPr>
                    <w:t>8</w:t>
                  </w:r>
                </w:p>
              </w:tc>
              <w:tc>
                <w:tcPr>
                  <w:tcW w:w="142" w:type="pct"/>
                  <w:vMerge w:val="continue"/>
                  <w:noWrap w:val="0"/>
                  <w:vAlign w:val="center"/>
                </w:tcPr>
                <w:p w14:paraId="479E1167">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466AC3F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均质炉</w:t>
                  </w:r>
                </w:p>
              </w:tc>
              <w:tc>
                <w:tcPr>
                  <w:tcW w:w="196" w:type="pct"/>
                  <w:noWrap w:val="0"/>
                  <w:vAlign w:val="center"/>
                </w:tcPr>
                <w:p w14:paraId="58375C01">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80</w:t>
                  </w:r>
                </w:p>
              </w:tc>
              <w:tc>
                <w:tcPr>
                  <w:tcW w:w="398" w:type="pct"/>
                  <w:noWrap w:val="0"/>
                  <w:vAlign w:val="center"/>
                </w:tcPr>
                <w:p w14:paraId="6A1451FD">
                  <w:pPr>
                    <w:numPr>
                      <w:ilvl w:val="0"/>
                      <w:numId w:val="0"/>
                    </w:numPr>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0AD2F1B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280</w:t>
                  </w:r>
                </w:p>
              </w:tc>
              <w:tc>
                <w:tcPr>
                  <w:tcW w:w="184" w:type="pct"/>
                  <w:noWrap w:val="0"/>
                  <w:vAlign w:val="center"/>
                </w:tcPr>
                <w:p w14:paraId="456DCAB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110</w:t>
                  </w:r>
                </w:p>
              </w:tc>
              <w:tc>
                <w:tcPr>
                  <w:tcW w:w="160" w:type="pct"/>
                  <w:noWrap w:val="0"/>
                  <w:vAlign w:val="center"/>
                </w:tcPr>
                <w:p w14:paraId="03AB6B2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5231B16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440</w:t>
                  </w:r>
                </w:p>
              </w:tc>
              <w:tc>
                <w:tcPr>
                  <w:tcW w:w="184" w:type="pct"/>
                  <w:noWrap w:val="0"/>
                  <w:vAlign w:val="center"/>
                </w:tcPr>
                <w:p w14:paraId="48C8CA1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110</w:t>
                  </w:r>
                </w:p>
              </w:tc>
              <w:tc>
                <w:tcPr>
                  <w:tcW w:w="184" w:type="pct"/>
                  <w:noWrap w:val="0"/>
                  <w:vAlign w:val="center"/>
                </w:tcPr>
                <w:p w14:paraId="0C69DB7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280</w:t>
                  </w:r>
                </w:p>
              </w:tc>
              <w:tc>
                <w:tcPr>
                  <w:tcW w:w="183" w:type="pct"/>
                  <w:noWrap w:val="0"/>
                  <w:vAlign w:val="center"/>
                </w:tcPr>
                <w:p w14:paraId="7651CD3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185</w:t>
                  </w:r>
                </w:p>
              </w:tc>
              <w:tc>
                <w:tcPr>
                  <w:tcW w:w="700" w:type="dxa"/>
                  <w:noWrap w:val="0"/>
                  <w:vAlign w:val="bottom"/>
                </w:tcPr>
                <w:p w14:paraId="494896C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27.1 </w:t>
                  </w:r>
                </w:p>
              </w:tc>
              <w:tc>
                <w:tcPr>
                  <w:tcW w:w="677" w:type="dxa"/>
                  <w:noWrap w:val="0"/>
                  <w:vAlign w:val="bottom"/>
                </w:tcPr>
                <w:p w14:paraId="6382BCB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39.2 </w:t>
                  </w:r>
                </w:p>
              </w:tc>
              <w:tc>
                <w:tcPr>
                  <w:tcW w:w="621" w:type="dxa"/>
                  <w:noWrap w:val="0"/>
                  <w:vAlign w:val="bottom"/>
                </w:tcPr>
                <w:p w14:paraId="56F80DD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31.1 </w:t>
                  </w:r>
                </w:p>
              </w:tc>
              <w:tc>
                <w:tcPr>
                  <w:tcW w:w="648" w:type="dxa"/>
                  <w:noWrap w:val="0"/>
                  <w:vAlign w:val="bottom"/>
                </w:tcPr>
                <w:p w14:paraId="5660EC7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34.7 </w:t>
                  </w:r>
                </w:p>
              </w:tc>
              <w:tc>
                <w:tcPr>
                  <w:tcW w:w="192" w:type="pct"/>
                  <w:vMerge w:val="continue"/>
                  <w:noWrap w:val="0"/>
                  <w:vAlign w:val="center"/>
                </w:tcPr>
                <w:p w14:paraId="3295E788">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197F38A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6600FB7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12.1</w:t>
                  </w:r>
                </w:p>
              </w:tc>
              <w:tc>
                <w:tcPr>
                  <w:tcW w:w="614" w:type="dxa"/>
                  <w:noWrap w:val="0"/>
                  <w:vAlign w:val="bottom"/>
                </w:tcPr>
                <w:p w14:paraId="070661B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24.2</w:t>
                  </w:r>
                </w:p>
              </w:tc>
              <w:tc>
                <w:tcPr>
                  <w:tcW w:w="568" w:type="dxa"/>
                  <w:noWrap w:val="0"/>
                  <w:vAlign w:val="bottom"/>
                </w:tcPr>
                <w:p w14:paraId="7AC6FAD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16.1</w:t>
                  </w:r>
                </w:p>
              </w:tc>
              <w:tc>
                <w:tcPr>
                  <w:tcW w:w="577" w:type="dxa"/>
                  <w:noWrap w:val="0"/>
                  <w:vAlign w:val="bottom"/>
                </w:tcPr>
                <w:p w14:paraId="0130A76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19.7</w:t>
                  </w:r>
                </w:p>
              </w:tc>
              <w:tc>
                <w:tcPr>
                  <w:tcW w:w="291" w:type="pct"/>
                  <w:noWrap w:val="0"/>
                  <w:vAlign w:val="center"/>
                </w:tcPr>
                <w:p w14:paraId="2008825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3A67A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56" w:type="pct"/>
                  <w:noWrap w:val="0"/>
                  <w:vAlign w:val="center"/>
                </w:tcPr>
                <w:p w14:paraId="71052CA4">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9</w:t>
                  </w:r>
                </w:p>
              </w:tc>
              <w:tc>
                <w:tcPr>
                  <w:tcW w:w="142" w:type="pct"/>
                  <w:vMerge w:val="continue"/>
                  <w:noWrap w:val="0"/>
                  <w:vAlign w:val="center"/>
                </w:tcPr>
                <w:p w14:paraId="48F9F985">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10F223D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镀膜线</w:t>
                  </w:r>
                </w:p>
              </w:tc>
              <w:tc>
                <w:tcPr>
                  <w:tcW w:w="196" w:type="pct"/>
                  <w:noWrap w:val="0"/>
                  <w:vAlign w:val="center"/>
                </w:tcPr>
                <w:p w14:paraId="653CAD48">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70</w:t>
                  </w:r>
                </w:p>
              </w:tc>
              <w:tc>
                <w:tcPr>
                  <w:tcW w:w="398" w:type="pct"/>
                  <w:noWrap w:val="0"/>
                  <w:vAlign w:val="center"/>
                </w:tcPr>
                <w:p w14:paraId="2BF7392D">
                  <w:pPr>
                    <w:numPr>
                      <w:ilvl w:val="0"/>
                      <w:numId w:val="0"/>
                    </w:numPr>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47A170B2">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300</w:t>
                  </w:r>
                </w:p>
              </w:tc>
              <w:tc>
                <w:tcPr>
                  <w:tcW w:w="184" w:type="pct"/>
                  <w:noWrap w:val="0"/>
                  <w:vAlign w:val="center"/>
                </w:tcPr>
                <w:p w14:paraId="6CAD3B7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240</w:t>
                  </w:r>
                </w:p>
              </w:tc>
              <w:tc>
                <w:tcPr>
                  <w:tcW w:w="160" w:type="pct"/>
                  <w:noWrap w:val="0"/>
                  <w:vAlign w:val="center"/>
                </w:tcPr>
                <w:p w14:paraId="1967F7A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1.2</w:t>
                  </w:r>
                </w:p>
              </w:tc>
              <w:tc>
                <w:tcPr>
                  <w:tcW w:w="183" w:type="pct"/>
                  <w:noWrap w:val="0"/>
                  <w:vAlign w:val="center"/>
                </w:tcPr>
                <w:p w14:paraId="60CFE5B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400</w:t>
                  </w:r>
                </w:p>
              </w:tc>
              <w:tc>
                <w:tcPr>
                  <w:tcW w:w="184" w:type="pct"/>
                  <w:noWrap w:val="0"/>
                  <w:vAlign w:val="center"/>
                </w:tcPr>
                <w:p w14:paraId="6A4D054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240</w:t>
                  </w:r>
                </w:p>
              </w:tc>
              <w:tc>
                <w:tcPr>
                  <w:tcW w:w="184" w:type="pct"/>
                  <w:noWrap w:val="0"/>
                  <w:vAlign w:val="center"/>
                </w:tcPr>
                <w:p w14:paraId="5FA03A8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300</w:t>
                  </w:r>
                </w:p>
              </w:tc>
              <w:tc>
                <w:tcPr>
                  <w:tcW w:w="183" w:type="pct"/>
                  <w:noWrap w:val="0"/>
                  <w:vAlign w:val="center"/>
                </w:tcPr>
                <w:p w14:paraId="4794A4C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60</w:t>
                  </w:r>
                </w:p>
              </w:tc>
              <w:tc>
                <w:tcPr>
                  <w:tcW w:w="700" w:type="dxa"/>
                  <w:noWrap w:val="0"/>
                  <w:vAlign w:val="bottom"/>
                </w:tcPr>
                <w:p w14:paraId="2D56699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18.0 </w:t>
                  </w:r>
                </w:p>
              </w:tc>
              <w:tc>
                <w:tcPr>
                  <w:tcW w:w="677" w:type="dxa"/>
                  <w:noWrap w:val="0"/>
                  <w:vAlign w:val="bottom"/>
                </w:tcPr>
                <w:p w14:paraId="490EA15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22.4 </w:t>
                  </w:r>
                </w:p>
              </w:tc>
              <w:tc>
                <w:tcPr>
                  <w:tcW w:w="621" w:type="dxa"/>
                  <w:noWrap w:val="0"/>
                  <w:vAlign w:val="bottom"/>
                </w:tcPr>
                <w:p w14:paraId="63601EE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20.5 </w:t>
                  </w:r>
                </w:p>
              </w:tc>
              <w:tc>
                <w:tcPr>
                  <w:tcW w:w="648" w:type="dxa"/>
                  <w:noWrap w:val="0"/>
                  <w:vAlign w:val="bottom"/>
                </w:tcPr>
                <w:p w14:paraId="0F911E8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34.4 </w:t>
                  </w:r>
                </w:p>
              </w:tc>
              <w:tc>
                <w:tcPr>
                  <w:tcW w:w="192" w:type="pct"/>
                  <w:vMerge w:val="continue"/>
                  <w:noWrap w:val="0"/>
                  <w:vAlign w:val="center"/>
                </w:tcPr>
                <w:p w14:paraId="118FB155">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3044B8F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1076BA5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3.0</w:t>
                  </w:r>
                </w:p>
              </w:tc>
              <w:tc>
                <w:tcPr>
                  <w:tcW w:w="614" w:type="dxa"/>
                  <w:noWrap w:val="0"/>
                  <w:vAlign w:val="bottom"/>
                </w:tcPr>
                <w:p w14:paraId="70EDAA0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7.4</w:t>
                  </w:r>
                </w:p>
              </w:tc>
              <w:tc>
                <w:tcPr>
                  <w:tcW w:w="568" w:type="dxa"/>
                  <w:noWrap w:val="0"/>
                  <w:vAlign w:val="bottom"/>
                </w:tcPr>
                <w:p w14:paraId="3933113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5.5</w:t>
                  </w:r>
                </w:p>
              </w:tc>
              <w:tc>
                <w:tcPr>
                  <w:tcW w:w="577" w:type="dxa"/>
                  <w:noWrap w:val="0"/>
                  <w:vAlign w:val="bottom"/>
                </w:tcPr>
                <w:p w14:paraId="597DAC0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19.4</w:t>
                  </w:r>
                </w:p>
              </w:tc>
              <w:tc>
                <w:tcPr>
                  <w:tcW w:w="291" w:type="pct"/>
                  <w:noWrap w:val="0"/>
                  <w:vAlign w:val="center"/>
                </w:tcPr>
                <w:p w14:paraId="6F552D3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7B79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56" w:type="pct"/>
                  <w:noWrap w:val="0"/>
                  <w:vAlign w:val="center"/>
                </w:tcPr>
                <w:p w14:paraId="09A348F9">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10</w:t>
                  </w:r>
                </w:p>
              </w:tc>
              <w:tc>
                <w:tcPr>
                  <w:tcW w:w="142" w:type="pct"/>
                  <w:vMerge w:val="continue"/>
                  <w:noWrap w:val="0"/>
                  <w:vAlign w:val="center"/>
                </w:tcPr>
                <w:p w14:paraId="213F9861">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647CD1B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中空线</w:t>
                  </w:r>
                </w:p>
              </w:tc>
              <w:tc>
                <w:tcPr>
                  <w:tcW w:w="196" w:type="pct"/>
                  <w:noWrap w:val="0"/>
                  <w:vAlign w:val="center"/>
                </w:tcPr>
                <w:p w14:paraId="19CEC699">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70</w:t>
                  </w:r>
                </w:p>
              </w:tc>
              <w:tc>
                <w:tcPr>
                  <w:tcW w:w="398" w:type="pct"/>
                  <w:noWrap w:val="0"/>
                  <w:vAlign w:val="center"/>
                </w:tcPr>
                <w:p w14:paraId="157282C8">
                  <w:pPr>
                    <w:numPr>
                      <w:ilvl w:val="0"/>
                      <w:numId w:val="0"/>
                    </w:numPr>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7E4A38E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600</w:t>
                  </w:r>
                </w:p>
              </w:tc>
              <w:tc>
                <w:tcPr>
                  <w:tcW w:w="184" w:type="pct"/>
                  <w:noWrap w:val="0"/>
                  <w:vAlign w:val="center"/>
                </w:tcPr>
                <w:p w14:paraId="76A365E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80</w:t>
                  </w:r>
                </w:p>
              </w:tc>
              <w:tc>
                <w:tcPr>
                  <w:tcW w:w="160" w:type="pct"/>
                  <w:noWrap w:val="0"/>
                  <w:vAlign w:val="center"/>
                </w:tcPr>
                <w:p w14:paraId="692E9C9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1.2</w:t>
                  </w:r>
                </w:p>
              </w:tc>
              <w:tc>
                <w:tcPr>
                  <w:tcW w:w="183" w:type="pct"/>
                  <w:noWrap w:val="0"/>
                  <w:vAlign w:val="center"/>
                </w:tcPr>
                <w:p w14:paraId="2F7EFD1A">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100</w:t>
                  </w:r>
                </w:p>
              </w:tc>
              <w:tc>
                <w:tcPr>
                  <w:tcW w:w="184" w:type="pct"/>
                  <w:noWrap w:val="0"/>
                  <w:vAlign w:val="center"/>
                </w:tcPr>
                <w:p w14:paraId="7CBF7B9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80</w:t>
                  </w:r>
                </w:p>
              </w:tc>
              <w:tc>
                <w:tcPr>
                  <w:tcW w:w="184" w:type="pct"/>
                  <w:noWrap w:val="0"/>
                  <w:vAlign w:val="center"/>
                </w:tcPr>
                <w:p w14:paraId="3483AED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600</w:t>
                  </w:r>
                </w:p>
              </w:tc>
              <w:tc>
                <w:tcPr>
                  <w:tcW w:w="183" w:type="pct"/>
                  <w:noWrap w:val="0"/>
                  <w:vAlign w:val="center"/>
                </w:tcPr>
                <w:p w14:paraId="0587240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w:t>
                  </w:r>
                </w:p>
              </w:tc>
              <w:tc>
                <w:tcPr>
                  <w:tcW w:w="700" w:type="dxa"/>
                  <w:noWrap w:val="0"/>
                  <w:vAlign w:val="bottom"/>
                </w:tcPr>
                <w:p w14:paraId="16B93F4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30.0 </w:t>
                  </w:r>
                </w:p>
              </w:tc>
              <w:tc>
                <w:tcPr>
                  <w:tcW w:w="677" w:type="dxa"/>
                  <w:noWrap w:val="0"/>
                  <w:vAlign w:val="bottom"/>
                </w:tcPr>
                <w:p w14:paraId="23192934">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31.9 </w:t>
                  </w:r>
                </w:p>
              </w:tc>
              <w:tc>
                <w:tcPr>
                  <w:tcW w:w="621" w:type="dxa"/>
                  <w:noWrap w:val="0"/>
                  <w:vAlign w:val="bottom"/>
                </w:tcPr>
                <w:p w14:paraId="18953AC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14.4 </w:t>
                  </w:r>
                </w:p>
              </w:tc>
              <w:tc>
                <w:tcPr>
                  <w:tcW w:w="648" w:type="dxa"/>
                  <w:noWrap w:val="0"/>
                  <w:vAlign w:val="bottom"/>
                </w:tcPr>
                <w:p w14:paraId="740FF32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50.0 </w:t>
                  </w:r>
                </w:p>
              </w:tc>
              <w:tc>
                <w:tcPr>
                  <w:tcW w:w="192" w:type="pct"/>
                  <w:vMerge w:val="continue"/>
                  <w:noWrap w:val="0"/>
                  <w:vAlign w:val="center"/>
                </w:tcPr>
                <w:p w14:paraId="60DEC47C">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37256D0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2506CF9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15.0</w:t>
                  </w:r>
                </w:p>
              </w:tc>
              <w:tc>
                <w:tcPr>
                  <w:tcW w:w="614" w:type="dxa"/>
                  <w:noWrap w:val="0"/>
                  <w:vAlign w:val="bottom"/>
                </w:tcPr>
                <w:p w14:paraId="5166A45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16.9</w:t>
                  </w:r>
                </w:p>
              </w:tc>
              <w:tc>
                <w:tcPr>
                  <w:tcW w:w="568" w:type="dxa"/>
                  <w:noWrap w:val="0"/>
                  <w:vAlign w:val="bottom"/>
                </w:tcPr>
                <w:p w14:paraId="540A95BA">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0.0</w:t>
                  </w:r>
                </w:p>
              </w:tc>
              <w:tc>
                <w:tcPr>
                  <w:tcW w:w="577" w:type="dxa"/>
                  <w:noWrap w:val="0"/>
                  <w:vAlign w:val="bottom"/>
                </w:tcPr>
                <w:p w14:paraId="412E815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35.0</w:t>
                  </w:r>
                </w:p>
              </w:tc>
              <w:tc>
                <w:tcPr>
                  <w:tcW w:w="291" w:type="pct"/>
                  <w:noWrap w:val="0"/>
                  <w:vAlign w:val="center"/>
                </w:tcPr>
                <w:p w14:paraId="162299C2">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22EB2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56" w:type="pct"/>
                  <w:noWrap w:val="0"/>
                  <w:vAlign w:val="center"/>
                </w:tcPr>
                <w:p w14:paraId="6D7A9274">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lang w:val="en-US" w:eastAsia="zh-CN"/>
                    </w:rPr>
                  </w:pPr>
                  <w:r>
                    <w:rPr>
                      <w:rFonts w:hint="eastAsia" w:ascii="Times New Roman" w:hAnsi="Times New Roman" w:eastAsia="宋体" w:cs="Times New Roman"/>
                      <w:b w:val="0"/>
                      <w:bCs w:val="0"/>
                      <w:color w:val="auto"/>
                      <w:sz w:val="18"/>
                      <w:szCs w:val="18"/>
                      <w:highlight w:val="none"/>
                      <w:u w:val="none"/>
                      <w:lang w:val="en-US" w:eastAsia="zh-CN"/>
                    </w:rPr>
                    <w:t>11</w:t>
                  </w:r>
                </w:p>
              </w:tc>
              <w:tc>
                <w:tcPr>
                  <w:tcW w:w="142" w:type="pct"/>
                  <w:vMerge w:val="continue"/>
                  <w:noWrap w:val="0"/>
                  <w:vAlign w:val="center"/>
                </w:tcPr>
                <w:p w14:paraId="19B98909">
                  <w:pPr>
                    <w:pStyle w:val="85"/>
                    <w:numPr>
                      <w:ilvl w:val="0"/>
                      <w:numId w:val="0"/>
                    </w:numPr>
                    <w:tabs>
                      <w:tab w:val="left" w:pos="420"/>
                    </w:tabs>
                    <w:adjustRightInd w:val="0"/>
                    <w:rPr>
                      <w:rFonts w:hint="default" w:ascii="Times New Roman" w:hAnsi="Times New Roman" w:eastAsia="宋体" w:cs="Times New Roman"/>
                      <w:b w:val="0"/>
                      <w:bCs w:val="0"/>
                      <w:color w:val="auto"/>
                      <w:sz w:val="18"/>
                      <w:szCs w:val="18"/>
                      <w:highlight w:val="none"/>
                      <w:u w:val="none"/>
                    </w:rPr>
                  </w:pPr>
                </w:p>
              </w:tc>
              <w:tc>
                <w:tcPr>
                  <w:tcW w:w="291" w:type="pct"/>
                  <w:noWrap w:val="0"/>
                  <w:vAlign w:val="center"/>
                </w:tcPr>
                <w:p w14:paraId="4BE32DB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纯水设备</w:t>
                  </w:r>
                </w:p>
              </w:tc>
              <w:tc>
                <w:tcPr>
                  <w:tcW w:w="196" w:type="pct"/>
                  <w:noWrap w:val="0"/>
                  <w:vAlign w:val="center"/>
                </w:tcPr>
                <w:p w14:paraId="35E6BA30">
                  <w:pPr>
                    <w:pStyle w:val="85"/>
                    <w:numPr>
                      <w:ilvl w:val="0"/>
                      <w:numId w:val="0"/>
                    </w:numPr>
                    <w:tabs>
                      <w:tab w:val="left" w:pos="420"/>
                    </w:tabs>
                    <w:adjustRightInd w:val="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75</w:t>
                  </w:r>
                </w:p>
              </w:tc>
              <w:tc>
                <w:tcPr>
                  <w:tcW w:w="398" w:type="pct"/>
                  <w:noWrap w:val="0"/>
                  <w:vAlign w:val="center"/>
                </w:tcPr>
                <w:p w14:paraId="57CA5CC7">
                  <w:pPr>
                    <w:numPr>
                      <w:ilvl w:val="0"/>
                      <w:numId w:val="0"/>
                    </w:numPr>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隔声、</w:t>
                  </w:r>
                  <w:r>
                    <w:rPr>
                      <w:rFonts w:hint="default" w:ascii="Times New Roman" w:hAnsi="Times New Roman" w:eastAsia="宋体" w:cs="Times New Roman"/>
                      <w:b w:val="0"/>
                      <w:bCs w:val="0"/>
                      <w:color w:val="auto"/>
                      <w:sz w:val="18"/>
                      <w:szCs w:val="18"/>
                      <w:highlight w:val="none"/>
                      <w:u w:val="none"/>
                      <w:lang w:val="en-US"/>
                    </w:rPr>
                    <w:t>减振</w:t>
                  </w:r>
                </w:p>
              </w:tc>
              <w:tc>
                <w:tcPr>
                  <w:tcW w:w="189" w:type="pct"/>
                  <w:noWrap w:val="0"/>
                  <w:vAlign w:val="center"/>
                </w:tcPr>
                <w:p w14:paraId="6DAB9A56">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100</w:t>
                  </w:r>
                </w:p>
              </w:tc>
              <w:tc>
                <w:tcPr>
                  <w:tcW w:w="184" w:type="pct"/>
                  <w:noWrap w:val="0"/>
                  <w:vAlign w:val="center"/>
                </w:tcPr>
                <w:p w14:paraId="378AB2B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200</w:t>
                  </w:r>
                </w:p>
              </w:tc>
              <w:tc>
                <w:tcPr>
                  <w:tcW w:w="160" w:type="pct"/>
                  <w:noWrap w:val="0"/>
                  <w:vAlign w:val="center"/>
                </w:tcPr>
                <w:p w14:paraId="140B6AC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0.6</w:t>
                  </w:r>
                </w:p>
              </w:tc>
              <w:tc>
                <w:tcPr>
                  <w:tcW w:w="183" w:type="pct"/>
                  <w:noWrap w:val="0"/>
                  <w:vAlign w:val="center"/>
                </w:tcPr>
                <w:p w14:paraId="220E00C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640</w:t>
                  </w:r>
                </w:p>
              </w:tc>
              <w:tc>
                <w:tcPr>
                  <w:tcW w:w="184" w:type="pct"/>
                  <w:noWrap w:val="0"/>
                  <w:vAlign w:val="center"/>
                </w:tcPr>
                <w:p w14:paraId="4ED97CC3">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200</w:t>
                  </w:r>
                </w:p>
              </w:tc>
              <w:tc>
                <w:tcPr>
                  <w:tcW w:w="184" w:type="pct"/>
                  <w:noWrap w:val="0"/>
                  <w:vAlign w:val="center"/>
                </w:tcPr>
                <w:p w14:paraId="49840E7F">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100</w:t>
                  </w:r>
                </w:p>
              </w:tc>
              <w:tc>
                <w:tcPr>
                  <w:tcW w:w="183" w:type="pct"/>
                  <w:noWrap w:val="0"/>
                  <w:vAlign w:val="center"/>
                </w:tcPr>
                <w:p w14:paraId="69CE5315">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100</w:t>
                  </w:r>
                </w:p>
              </w:tc>
              <w:tc>
                <w:tcPr>
                  <w:tcW w:w="700" w:type="dxa"/>
                  <w:noWrap w:val="0"/>
                  <w:vAlign w:val="bottom"/>
                </w:tcPr>
                <w:p w14:paraId="4A5E392D">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18.9 </w:t>
                  </w:r>
                </w:p>
              </w:tc>
              <w:tc>
                <w:tcPr>
                  <w:tcW w:w="677" w:type="dxa"/>
                  <w:noWrap w:val="0"/>
                  <w:vAlign w:val="bottom"/>
                </w:tcPr>
                <w:p w14:paraId="51D977DB">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29.0 </w:t>
                  </w:r>
                </w:p>
              </w:tc>
              <w:tc>
                <w:tcPr>
                  <w:tcW w:w="621" w:type="dxa"/>
                  <w:noWrap w:val="0"/>
                  <w:vAlign w:val="bottom"/>
                </w:tcPr>
                <w:p w14:paraId="14EF84D7">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35.0 </w:t>
                  </w:r>
                </w:p>
              </w:tc>
              <w:tc>
                <w:tcPr>
                  <w:tcW w:w="648" w:type="dxa"/>
                  <w:noWrap w:val="0"/>
                  <w:vAlign w:val="bottom"/>
                </w:tcPr>
                <w:p w14:paraId="3598F091">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 xml:space="preserve">35.0 </w:t>
                  </w:r>
                </w:p>
              </w:tc>
              <w:tc>
                <w:tcPr>
                  <w:tcW w:w="192" w:type="pct"/>
                  <w:vMerge w:val="continue"/>
                  <w:noWrap w:val="0"/>
                  <w:vAlign w:val="center"/>
                </w:tcPr>
                <w:p w14:paraId="3A8BEDEC">
                  <w:pPr>
                    <w:pStyle w:val="85"/>
                    <w:numPr>
                      <w:ilvl w:val="0"/>
                      <w:numId w:val="0"/>
                    </w:numPr>
                    <w:tabs>
                      <w:tab w:val="left" w:pos="420"/>
                    </w:tabs>
                    <w:adjustRightInd w:val="0"/>
                    <w:ind w:left="0" w:leftChars="0" w:firstLine="0" w:firstLineChars="0"/>
                    <w:rPr>
                      <w:rFonts w:hint="eastAsia" w:ascii="Times New Roman" w:hAnsi="Times New Roman" w:eastAsia="宋体" w:cs="Times New Roman"/>
                      <w:b w:val="0"/>
                      <w:bCs w:val="0"/>
                      <w:color w:val="auto"/>
                      <w:kern w:val="2"/>
                      <w:sz w:val="18"/>
                      <w:szCs w:val="18"/>
                      <w:highlight w:val="none"/>
                      <w:u w:val="none"/>
                      <w:lang w:val="en-US" w:eastAsia="zh-CN" w:bidi="ar-SA"/>
                    </w:rPr>
                  </w:pPr>
                </w:p>
              </w:tc>
              <w:tc>
                <w:tcPr>
                  <w:tcW w:w="252" w:type="pct"/>
                  <w:noWrap w:val="0"/>
                  <w:vAlign w:val="center"/>
                </w:tcPr>
                <w:p w14:paraId="48F99D48">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eastAsia" w:ascii="Times New Roman" w:hAnsi="Times New Roman" w:eastAsia="宋体" w:cs="Times New Roman"/>
                      <w:b w:val="0"/>
                      <w:bCs w:val="0"/>
                      <w:color w:val="auto"/>
                      <w:kern w:val="2"/>
                      <w:sz w:val="18"/>
                      <w:szCs w:val="18"/>
                      <w:highlight w:val="none"/>
                      <w:u w:val="none"/>
                      <w:lang w:val="en-US" w:eastAsia="zh-CN" w:bidi="ar-SA"/>
                    </w:rPr>
                    <w:t>15</w:t>
                  </w:r>
                </w:p>
              </w:tc>
              <w:tc>
                <w:tcPr>
                  <w:tcW w:w="664" w:type="dxa"/>
                  <w:noWrap w:val="0"/>
                  <w:vAlign w:val="bottom"/>
                </w:tcPr>
                <w:p w14:paraId="41C590B9">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3.9</w:t>
                  </w:r>
                </w:p>
              </w:tc>
              <w:tc>
                <w:tcPr>
                  <w:tcW w:w="614" w:type="dxa"/>
                  <w:noWrap w:val="0"/>
                  <w:vAlign w:val="bottom"/>
                </w:tcPr>
                <w:p w14:paraId="6BC34BB0">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14.0</w:t>
                  </w:r>
                </w:p>
              </w:tc>
              <w:tc>
                <w:tcPr>
                  <w:tcW w:w="568" w:type="dxa"/>
                  <w:noWrap w:val="0"/>
                  <w:vAlign w:val="bottom"/>
                </w:tcPr>
                <w:p w14:paraId="7DE02F9E">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20.0</w:t>
                  </w:r>
                </w:p>
              </w:tc>
              <w:tc>
                <w:tcPr>
                  <w:tcW w:w="577" w:type="dxa"/>
                  <w:noWrap w:val="0"/>
                  <w:vAlign w:val="bottom"/>
                </w:tcPr>
                <w:p w14:paraId="308283FA">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kern w:val="2"/>
                      <w:sz w:val="18"/>
                      <w:szCs w:val="18"/>
                      <w:highlight w:val="none"/>
                      <w:u w:val="none"/>
                      <w:lang w:val="en-US" w:eastAsia="zh-CN" w:bidi="ar-SA"/>
                    </w:rPr>
                    <w:t>20.0</w:t>
                  </w:r>
                </w:p>
              </w:tc>
              <w:tc>
                <w:tcPr>
                  <w:tcW w:w="291" w:type="pct"/>
                  <w:noWrap w:val="0"/>
                  <w:vAlign w:val="center"/>
                </w:tcPr>
                <w:p w14:paraId="44514D6C">
                  <w:pPr>
                    <w:pStyle w:val="85"/>
                    <w:numPr>
                      <w:ilvl w:val="0"/>
                      <w:numId w:val="0"/>
                    </w:numPr>
                    <w:tabs>
                      <w:tab w:val="left" w:pos="420"/>
                    </w:tabs>
                    <w:adjustRightInd w:val="0"/>
                    <w:ind w:left="0" w:leftChars="0" w:firstLine="0" w:firstLineChars="0"/>
                    <w:rPr>
                      <w:rFonts w:hint="default" w:ascii="Times New Roman" w:hAnsi="Times New Roman" w:eastAsia="宋体" w:cs="Times New Roman"/>
                      <w:b w:val="0"/>
                      <w:bCs w:val="0"/>
                      <w:color w:val="auto"/>
                      <w:kern w:val="2"/>
                      <w:sz w:val="18"/>
                      <w:szCs w:val="18"/>
                      <w:highlight w:val="none"/>
                      <w:u w:val="none"/>
                      <w:lang w:val="en-US" w:eastAsia="zh-CN" w:bidi="ar-SA"/>
                    </w:rPr>
                  </w:pPr>
                  <w:r>
                    <w:rPr>
                      <w:rFonts w:hint="default" w:ascii="Times New Roman" w:hAnsi="Times New Roman" w:eastAsia="宋体" w:cs="Times New Roman"/>
                      <w:b w:val="0"/>
                      <w:bCs w:val="0"/>
                      <w:color w:val="auto"/>
                      <w:sz w:val="18"/>
                      <w:szCs w:val="18"/>
                      <w:highlight w:val="none"/>
                      <w:u w:val="none"/>
                    </w:rPr>
                    <w:t>1</w:t>
                  </w:r>
                </w:p>
              </w:tc>
            </w:tr>
            <w:tr w14:paraId="6FB5A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00" w:type="pct"/>
                  <w:gridSpan w:val="23"/>
                  <w:noWrap w:val="0"/>
                  <w:vAlign w:val="center"/>
                </w:tcPr>
                <w:p w14:paraId="244F841C">
                  <w:pPr>
                    <w:pStyle w:val="85"/>
                    <w:numPr>
                      <w:ilvl w:val="0"/>
                      <w:numId w:val="0"/>
                    </w:numPr>
                    <w:tabs>
                      <w:tab w:val="left" w:pos="420"/>
                    </w:tabs>
                    <w:adjustRightInd w:val="0"/>
                    <w:ind w:left="0" w:leftChars="0" w:firstLine="0" w:firstLineChars="0"/>
                    <w:jc w:val="left"/>
                    <w:rPr>
                      <w:rFonts w:hint="eastAsia" w:ascii="Times New Roman" w:hAnsi="Times New Roman" w:eastAsia="宋体" w:cs="Times New Roman"/>
                      <w:b w:val="0"/>
                      <w:bCs w:val="0"/>
                      <w:color w:val="auto"/>
                      <w:sz w:val="18"/>
                      <w:szCs w:val="18"/>
                      <w:highlight w:val="none"/>
                      <w:u w:val="none"/>
                      <w:lang w:eastAsia="zh-CN"/>
                    </w:rPr>
                  </w:pPr>
                  <w:r>
                    <w:rPr>
                      <w:rFonts w:hint="default" w:ascii="Times New Roman" w:hAnsi="Times New Roman" w:eastAsia="宋体" w:cs="Times New Roman"/>
                      <w:b w:val="0"/>
                      <w:bCs w:val="0"/>
                      <w:color w:val="auto"/>
                      <w:sz w:val="18"/>
                      <w:szCs w:val="18"/>
                      <w:highlight w:val="none"/>
                      <w:u w:val="none"/>
                    </w:rPr>
                    <w:t>注：坐标原点为</w:t>
                  </w:r>
                  <w:r>
                    <w:rPr>
                      <w:rFonts w:hint="eastAsia" w:ascii="Times New Roman" w:hAnsi="Times New Roman" w:eastAsia="宋体" w:cs="Times New Roman"/>
                      <w:b w:val="0"/>
                      <w:bCs w:val="0"/>
                      <w:color w:val="auto"/>
                      <w:sz w:val="18"/>
                      <w:szCs w:val="18"/>
                      <w:highlight w:val="none"/>
                      <w:u w:val="none"/>
                      <w:lang w:val="en-US" w:eastAsia="zh-CN"/>
                    </w:rPr>
                    <w:t>厂区西面角</w:t>
                  </w:r>
                  <w:r>
                    <w:rPr>
                      <w:rFonts w:hint="default" w:ascii="Times New Roman" w:hAnsi="Times New Roman" w:eastAsia="宋体" w:cs="Times New Roman"/>
                      <w:b w:val="0"/>
                      <w:bCs w:val="0"/>
                      <w:color w:val="auto"/>
                      <w:sz w:val="18"/>
                      <w:szCs w:val="18"/>
                      <w:highlight w:val="none"/>
                      <w:u w:val="none"/>
                    </w:rPr>
                    <w:t>，东向为X轴正方向，北向为Y轴正方向</w:t>
                  </w:r>
                  <w:r>
                    <w:rPr>
                      <w:rFonts w:hint="eastAsia" w:ascii="Times New Roman" w:hAnsi="Times New Roman" w:eastAsia="宋体" w:cs="Times New Roman"/>
                      <w:b w:val="0"/>
                      <w:bCs w:val="0"/>
                      <w:color w:val="auto"/>
                      <w:sz w:val="18"/>
                      <w:szCs w:val="18"/>
                      <w:highlight w:val="none"/>
                      <w:u w:val="none"/>
                      <w:lang w:eastAsia="zh-CN"/>
                    </w:rPr>
                    <w:t>；</w:t>
                  </w:r>
                </w:p>
                <w:p w14:paraId="5A3C8C61">
                  <w:pPr>
                    <w:pStyle w:val="85"/>
                    <w:numPr>
                      <w:ilvl w:val="0"/>
                      <w:numId w:val="0"/>
                    </w:numPr>
                    <w:tabs>
                      <w:tab w:val="left" w:pos="420"/>
                    </w:tabs>
                    <w:adjustRightInd w:val="0"/>
                    <w:ind w:left="0" w:leftChars="0" w:firstLine="0" w:firstLineChars="0"/>
                    <w:jc w:val="left"/>
                    <w:rPr>
                      <w:rFonts w:hint="eastAsia" w:ascii="Times New Roman" w:hAnsi="Times New Roman" w:eastAsia="宋体" w:cs="Times New Roman"/>
                      <w:b w:val="0"/>
                      <w:bCs w:val="0"/>
                      <w:color w:val="auto"/>
                      <w:sz w:val="18"/>
                      <w:szCs w:val="18"/>
                      <w:highlight w:val="none"/>
                      <w:u w:val="none"/>
                      <w:lang w:eastAsia="zh-CN"/>
                    </w:rPr>
                  </w:pPr>
                </w:p>
              </w:tc>
            </w:tr>
          </w:tbl>
          <w:p w14:paraId="3BD3C536">
            <w:pPr>
              <w:spacing w:line="360" w:lineRule="auto"/>
              <w:jc w:val="center"/>
              <w:outlineLvl w:val="0"/>
              <w:rPr>
                <w:rFonts w:hint="eastAsia" w:hAnsi="宋体"/>
                <w:b/>
                <w:snapToGrid w:val="0"/>
                <w:kern w:val="0"/>
                <w:sz w:val="30"/>
                <w:vertAlign w:val="baseline"/>
                <w:lang w:eastAsia="zh-CN"/>
              </w:rPr>
            </w:pPr>
          </w:p>
        </w:tc>
      </w:tr>
    </w:tbl>
    <w:p w14:paraId="3B85926E">
      <w:pPr>
        <w:adjustRightInd w:val="0"/>
        <w:snapToGrid w:val="0"/>
        <w:jc w:val="center"/>
        <w:rPr>
          <w:b w:val="0"/>
          <w:bCs w:val="0"/>
          <w:color w:val="auto"/>
          <w:szCs w:val="21"/>
        </w:rPr>
        <w:sectPr>
          <w:pgSz w:w="16838" w:h="11906" w:orient="landscape"/>
          <w:pgMar w:top="1531" w:right="1701" w:bottom="1531" w:left="1701" w:header="851" w:footer="851" w:gutter="0"/>
          <w:pgBorders>
            <w:top w:val="none" w:sz="0" w:space="0"/>
            <w:left w:val="none" w:sz="0" w:space="0"/>
            <w:bottom w:val="none" w:sz="0" w:space="0"/>
            <w:right w:val="none" w:sz="0" w:space="0"/>
          </w:pgBorders>
          <w:cols w:space="720" w:num="1"/>
          <w:docGrid w:linePitch="312" w:charSpace="0"/>
        </w:sectPr>
      </w:pPr>
    </w:p>
    <w:tbl>
      <w:tblPr>
        <w:tblStyle w:val="39"/>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85"/>
        <w:gridCol w:w="8493"/>
      </w:tblGrid>
      <w:tr w14:paraId="3DDB3A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49" w:hRule="atLeast"/>
          <w:jc w:val="center"/>
        </w:trPr>
        <w:tc>
          <w:tcPr>
            <w:tcW w:w="270" w:type="pct"/>
            <w:noWrap w:val="0"/>
            <w:tcMar>
              <w:left w:w="28" w:type="dxa"/>
              <w:right w:w="28" w:type="dxa"/>
            </w:tcMar>
            <w:vAlign w:val="center"/>
          </w:tcPr>
          <w:p w14:paraId="173B232A">
            <w:pPr>
              <w:adjustRightInd w:val="0"/>
              <w:snapToGrid w:val="0"/>
              <w:jc w:val="center"/>
              <w:rPr>
                <w:b w:val="0"/>
                <w:bCs w:val="0"/>
                <w:color w:val="auto"/>
                <w:szCs w:val="21"/>
              </w:rPr>
            </w:pPr>
            <w:r>
              <w:rPr>
                <w:b w:val="0"/>
                <w:bCs w:val="0"/>
                <w:color w:val="auto"/>
                <w:szCs w:val="21"/>
              </w:rPr>
              <w:t>运</w:t>
            </w:r>
          </w:p>
          <w:p w14:paraId="52A7B611">
            <w:pPr>
              <w:adjustRightInd w:val="0"/>
              <w:snapToGrid w:val="0"/>
              <w:jc w:val="center"/>
              <w:rPr>
                <w:b w:val="0"/>
                <w:bCs w:val="0"/>
                <w:color w:val="auto"/>
                <w:szCs w:val="21"/>
              </w:rPr>
            </w:pPr>
            <w:r>
              <w:rPr>
                <w:b w:val="0"/>
                <w:bCs w:val="0"/>
                <w:color w:val="auto"/>
                <w:szCs w:val="21"/>
              </w:rPr>
              <w:t>营</w:t>
            </w:r>
          </w:p>
          <w:p w14:paraId="730E30A2">
            <w:pPr>
              <w:adjustRightInd w:val="0"/>
              <w:snapToGrid w:val="0"/>
              <w:jc w:val="center"/>
              <w:rPr>
                <w:b w:val="0"/>
                <w:bCs w:val="0"/>
                <w:color w:val="auto"/>
                <w:szCs w:val="21"/>
              </w:rPr>
            </w:pPr>
            <w:r>
              <w:rPr>
                <w:b w:val="0"/>
                <w:bCs w:val="0"/>
                <w:color w:val="auto"/>
                <w:szCs w:val="21"/>
              </w:rPr>
              <w:t>期</w:t>
            </w:r>
          </w:p>
          <w:p w14:paraId="62868B49">
            <w:pPr>
              <w:adjustRightInd w:val="0"/>
              <w:snapToGrid w:val="0"/>
              <w:jc w:val="center"/>
              <w:rPr>
                <w:b w:val="0"/>
                <w:bCs w:val="0"/>
                <w:color w:val="auto"/>
                <w:szCs w:val="21"/>
              </w:rPr>
            </w:pPr>
            <w:r>
              <w:rPr>
                <w:b w:val="0"/>
                <w:bCs w:val="0"/>
                <w:color w:val="auto"/>
                <w:szCs w:val="21"/>
              </w:rPr>
              <w:t>环</w:t>
            </w:r>
          </w:p>
          <w:p w14:paraId="56B32E6B">
            <w:pPr>
              <w:adjustRightInd w:val="0"/>
              <w:snapToGrid w:val="0"/>
              <w:jc w:val="center"/>
              <w:rPr>
                <w:b w:val="0"/>
                <w:bCs w:val="0"/>
                <w:color w:val="auto"/>
                <w:szCs w:val="21"/>
              </w:rPr>
            </w:pPr>
            <w:r>
              <w:rPr>
                <w:b w:val="0"/>
                <w:bCs w:val="0"/>
                <w:color w:val="auto"/>
                <w:szCs w:val="21"/>
              </w:rPr>
              <w:t>境</w:t>
            </w:r>
          </w:p>
          <w:p w14:paraId="6732A8D3">
            <w:pPr>
              <w:adjustRightInd w:val="0"/>
              <w:snapToGrid w:val="0"/>
              <w:jc w:val="center"/>
              <w:rPr>
                <w:b w:val="0"/>
                <w:bCs w:val="0"/>
                <w:color w:val="auto"/>
                <w:szCs w:val="21"/>
              </w:rPr>
            </w:pPr>
            <w:r>
              <w:rPr>
                <w:b w:val="0"/>
                <w:bCs w:val="0"/>
                <w:color w:val="auto"/>
                <w:szCs w:val="21"/>
              </w:rPr>
              <w:t>影</w:t>
            </w:r>
          </w:p>
          <w:p w14:paraId="5C7955F9">
            <w:pPr>
              <w:adjustRightInd w:val="0"/>
              <w:snapToGrid w:val="0"/>
              <w:jc w:val="center"/>
              <w:rPr>
                <w:b w:val="0"/>
                <w:bCs w:val="0"/>
                <w:color w:val="auto"/>
                <w:szCs w:val="21"/>
              </w:rPr>
            </w:pPr>
            <w:r>
              <w:rPr>
                <w:b w:val="0"/>
                <w:bCs w:val="0"/>
                <w:color w:val="auto"/>
                <w:szCs w:val="21"/>
              </w:rPr>
              <w:t>响</w:t>
            </w:r>
          </w:p>
          <w:p w14:paraId="56E0DF9C">
            <w:pPr>
              <w:adjustRightInd w:val="0"/>
              <w:snapToGrid w:val="0"/>
              <w:jc w:val="center"/>
              <w:rPr>
                <w:b w:val="0"/>
                <w:bCs w:val="0"/>
                <w:color w:val="auto"/>
                <w:szCs w:val="21"/>
              </w:rPr>
            </w:pPr>
            <w:r>
              <w:rPr>
                <w:b w:val="0"/>
                <w:bCs w:val="0"/>
                <w:color w:val="auto"/>
                <w:szCs w:val="21"/>
              </w:rPr>
              <w:t>和</w:t>
            </w:r>
          </w:p>
          <w:p w14:paraId="01935952">
            <w:pPr>
              <w:adjustRightInd w:val="0"/>
              <w:snapToGrid w:val="0"/>
              <w:jc w:val="center"/>
              <w:rPr>
                <w:b w:val="0"/>
                <w:bCs w:val="0"/>
                <w:color w:val="auto"/>
                <w:szCs w:val="21"/>
              </w:rPr>
            </w:pPr>
            <w:r>
              <w:rPr>
                <w:b w:val="0"/>
                <w:bCs w:val="0"/>
                <w:color w:val="auto"/>
                <w:szCs w:val="21"/>
              </w:rPr>
              <w:t>保</w:t>
            </w:r>
          </w:p>
          <w:p w14:paraId="12F58AAB">
            <w:pPr>
              <w:adjustRightInd w:val="0"/>
              <w:snapToGrid w:val="0"/>
              <w:jc w:val="center"/>
              <w:rPr>
                <w:b w:val="0"/>
                <w:bCs w:val="0"/>
                <w:color w:val="auto"/>
                <w:szCs w:val="21"/>
              </w:rPr>
            </w:pPr>
            <w:r>
              <w:rPr>
                <w:b w:val="0"/>
                <w:bCs w:val="0"/>
                <w:color w:val="auto"/>
                <w:szCs w:val="21"/>
              </w:rPr>
              <w:t>护</w:t>
            </w:r>
          </w:p>
          <w:p w14:paraId="45F6049E">
            <w:pPr>
              <w:adjustRightInd w:val="0"/>
              <w:snapToGrid w:val="0"/>
              <w:jc w:val="center"/>
              <w:rPr>
                <w:b w:val="0"/>
                <w:bCs w:val="0"/>
                <w:color w:val="auto"/>
                <w:szCs w:val="21"/>
              </w:rPr>
            </w:pPr>
            <w:r>
              <w:rPr>
                <w:b w:val="0"/>
                <w:bCs w:val="0"/>
                <w:color w:val="auto"/>
                <w:szCs w:val="21"/>
              </w:rPr>
              <w:t>措</w:t>
            </w:r>
          </w:p>
          <w:p w14:paraId="1DDACA0D">
            <w:pPr>
              <w:adjustRightInd w:val="0"/>
              <w:snapToGrid w:val="0"/>
              <w:jc w:val="center"/>
              <w:rPr>
                <w:b w:val="0"/>
                <w:bCs w:val="0"/>
                <w:color w:val="FF0000"/>
                <w:szCs w:val="21"/>
              </w:rPr>
            </w:pPr>
            <w:r>
              <w:rPr>
                <w:b w:val="0"/>
                <w:bCs w:val="0"/>
                <w:color w:val="auto"/>
                <w:szCs w:val="21"/>
              </w:rPr>
              <w:t>施</w:t>
            </w:r>
          </w:p>
        </w:tc>
        <w:tc>
          <w:tcPr>
            <w:tcW w:w="4729" w:type="pct"/>
            <w:noWrap w:val="0"/>
            <w:vAlign w:val="center"/>
          </w:tcPr>
          <w:p w14:paraId="71C3B287">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default" w:ascii="Times New Roman" w:hAnsi="Times New Roman" w:eastAsia="宋体" w:cs="Times New Roman"/>
                <w:b/>
                <w:bCs w:val="0"/>
                <w:spacing w:val="-7"/>
                <w:kern w:val="2"/>
                <w:sz w:val="24"/>
                <w:szCs w:val="24"/>
                <w:highlight w:val="none"/>
                <w:u w:val="none"/>
                <w:lang w:val="en-US" w:eastAsia="zh-CN" w:bidi="ar-SA"/>
              </w:rPr>
              <w:t xml:space="preserve"> </w:t>
            </w:r>
            <w:r>
              <w:rPr>
                <w:rFonts w:hint="eastAsia" w:ascii="Times New Roman" w:hAnsi="Times New Roman" w:eastAsia="宋体" w:cs="Times New Roman"/>
                <w:b/>
                <w:bCs w:val="0"/>
                <w:spacing w:val="-7"/>
                <w:kern w:val="2"/>
                <w:sz w:val="24"/>
                <w:szCs w:val="24"/>
                <w:highlight w:val="none"/>
                <w:u w:val="none"/>
                <w:lang w:val="en-US" w:eastAsia="zh-CN" w:bidi="ar-SA"/>
              </w:rPr>
              <w:t>3.2达标分析</w:t>
            </w:r>
          </w:p>
          <w:p w14:paraId="0C3AC693">
            <w:pPr>
              <w:pStyle w:val="96"/>
              <w:ind w:firstLine="480"/>
              <w:rPr>
                <w:b w:val="0"/>
                <w:bCs w:val="0"/>
                <w:color w:val="auto"/>
              </w:rPr>
            </w:pPr>
            <w:r>
              <w:rPr>
                <w:b w:val="0"/>
                <w:bCs w:val="0"/>
                <w:color w:val="auto"/>
              </w:rPr>
              <w:t>根据《环境影响评价技术导则  声环境》</w:t>
            </w:r>
            <w:r>
              <w:rPr>
                <w:rFonts w:hint="default"/>
                <w:b w:val="0"/>
                <w:bCs w:val="0"/>
                <w:color w:val="auto"/>
                <w:lang w:val="en-US" w:eastAsia="zh-CN"/>
              </w:rPr>
              <w:t>（HJ2.4-2021）</w:t>
            </w:r>
            <w:r>
              <w:rPr>
                <w:b w:val="0"/>
                <w:bCs w:val="0"/>
                <w:color w:val="auto"/>
              </w:rPr>
              <w:t>评价方法和评价量的规定，进行边界噪声评价时，项目以工程噪声贡献值作为评价量</w:t>
            </w:r>
            <w:r>
              <w:rPr>
                <w:rFonts w:hint="eastAsia"/>
                <w:b w:val="0"/>
                <w:bCs w:val="0"/>
                <w:color w:val="auto"/>
                <w:lang w:eastAsia="zh-CN"/>
              </w:rPr>
              <w:t>。</w:t>
            </w:r>
            <w:r>
              <w:rPr>
                <w:b w:val="0"/>
                <w:bCs w:val="0"/>
                <w:color w:val="auto"/>
              </w:rPr>
              <w:t>本次声环境影响评价选用如下预测模式：</w:t>
            </w:r>
          </w:p>
          <w:p w14:paraId="7A167826">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1</w:t>
            </w:r>
            <w:r>
              <w:rPr>
                <w:rFonts w:hint="default" w:ascii="Times New Roman" w:hAnsi="Times New Roman" w:cs="Times New Roman"/>
                <w:b w:val="0"/>
                <w:bCs w:val="0"/>
                <w:color w:val="auto"/>
                <w:kern w:val="2"/>
                <w:sz w:val="24"/>
                <w:szCs w:val="24"/>
                <w:u w:val="none"/>
                <w:lang w:eastAsia="zh-CN"/>
              </w:rPr>
              <w:t>）</w:t>
            </w:r>
            <w:r>
              <w:rPr>
                <w:rFonts w:hint="default" w:ascii="Times New Roman" w:hAnsi="Times New Roman" w:cs="Times New Roman"/>
                <w:b w:val="0"/>
                <w:bCs w:val="0"/>
                <w:color w:val="auto"/>
                <w:kern w:val="2"/>
                <w:sz w:val="24"/>
                <w:szCs w:val="24"/>
                <w:u w:val="none"/>
                <w:lang w:val="en-US" w:eastAsia="zh-CN"/>
              </w:rPr>
              <w:t>室内声源等效室外声源声功率级计算方法</w:t>
            </w:r>
          </w:p>
          <w:p w14:paraId="4922D459">
            <w:pPr>
              <w:keepNext w:val="0"/>
              <w:keepLines w:val="0"/>
              <w:pageBreakBefore w:val="0"/>
              <w:widowControl w:val="0"/>
              <w:kinsoku/>
              <w:wordWrap/>
              <w:overflowPunct/>
              <w:topLinePunct w:val="0"/>
              <w:autoSpaceDE/>
              <w:autoSpaceDN/>
              <w:bidi w:val="0"/>
              <w:adjustRightInd/>
              <w:snapToGrid/>
              <w:spacing w:line="360" w:lineRule="auto"/>
              <w:ind w:firstLine="480"/>
              <w:jc w:val="center"/>
              <w:textAlignment w:val="auto"/>
              <w:rPr>
                <w:rFonts w:hint="default" w:ascii="Times New Roman" w:hAnsi="Times New Roman" w:eastAsia="宋体"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L</w:t>
            </w:r>
            <w:r>
              <w:rPr>
                <w:rFonts w:hint="default" w:ascii="Times New Roman" w:hAnsi="Times New Roman" w:cs="Times New Roman"/>
                <w:b w:val="0"/>
                <w:bCs w:val="0"/>
                <w:color w:val="auto"/>
                <w:kern w:val="2"/>
                <w:sz w:val="24"/>
                <w:szCs w:val="24"/>
                <w:u w:val="none"/>
                <w:vertAlign w:val="subscript"/>
                <w:lang w:val="en-US" w:eastAsia="zh-CN"/>
              </w:rPr>
              <w:t>p2</w:t>
            </w:r>
            <w:r>
              <w:rPr>
                <w:rFonts w:hint="default" w:ascii="Times New Roman" w:hAnsi="Times New Roman" w:cs="Times New Roman"/>
                <w:b w:val="0"/>
                <w:bCs w:val="0"/>
                <w:color w:val="auto"/>
                <w:kern w:val="2"/>
                <w:sz w:val="24"/>
                <w:szCs w:val="24"/>
                <w:u w:val="none"/>
                <w:lang w:val="en-US" w:eastAsia="zh-CN"/>
              </w:rPr>
              <w:t>=L</w:t>
            </w:r>
            <w:r>
              <w:rPr>
                <w:rFonts w:hint="default" w:ascii="Times New Roman" w:hAnsi="Times New Roman" w:cs="Times New Roman"/>
                <w:b w:val="0"/>
                <w:bCs w:val="0"/>
                <w:color w:val="auto"/>
                <w:kern w:val="2"/>
                <w:sz w:val="24"/>
                <w:szCs w:val="24"/>
                <w:u w:val="none"/>
                <w:vertAlign w:val="subscript"/>
                <w:lang w:val="en-US" w:eastAsia="zh-CN"/>
              </w:rPr>
              <w:t>p1</w:t>
            </w:r>
            <w:r>
              <w:rPr>
                <w:rFonts w:hint="default" w:ascii="Times New Roman" w:hAnsi="Times New Roman" w:cs="Times New Roman"/>
                <w:b w:val="0"/>
                <w:bCs w:val="0"/>
                <w:color w:val="auto"/>
                <w:kern w:val="2"/>
                <w:sz w:val="24"/>
                <w:szCs w:val="24"/>
                <w:u w:val="none"/>
                <w:lang w:val="en-US" w:eastAsia="zh-CN"/>
              </w:rPr>
              <w:t>-（TL+6）</w:t>
            </w:r>
          </w:p>
          <w:p w14:paraId="56F501EB">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式中：L</w:t>
            </w:r>
            <w:r>
              <w:rPr>
                <w:rFonts w:hint="default" w:ascii="Times New Roman" w:hAnsi="Times New Roman" w:cs="Times New Roman"/>
                <w:b w:val="0"/>
                <w:bCs w:val="0"/>
                <w:color w:val="auto"/>
                <w:kern w:val="2"/>
                <w:sz w:val="24"/>
                <w:szCs w:val="24"/>
                <w:u w:val="none"/>
                <w:vertAlign w:val="subscript"/>
                <w:lang w:val="en-US" w:eastAsia="zh-CN"/>
              </w:rPr>
              <w:t>p1</w:t>
            </w:r>
            <w:r>
              <w:rPr>
                <w:rFonts w:hint="default" w:ascii="Times New Roman" w:hAnsi="Times New Roman" w:cs="Times New Roman"/>
                <w:b w:val="0"/>
                <w:bCs w:val="0"/>
                <w:color w:val="auto"/>
                <w:kern w:val="2"/>
                <w:sz w:val="24"/>
                <w:szCs w:val="24"/>
                <w:u w:val="none"/>
                <w:lang w:val="en-US" w:eastAsia="zh-CN"/>
              </w:rPr>
              <w:t>—靠近开口处（或窗户）室内某倍频的声压级或A声级，dB；</w:t>
            </w:r>
          </w:p>
          <w:p w14:paraId="7E8ADDA6">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 xml:space="preserve">      L</w:t>
            </w:r>
            <w:r>
              <w:rPr>
                <w:rFonts w:hint="default" w:ascii="Times New Roman" w:hAnsi="Times New Roman" w:cs="Times New Roman"/>
                <w:b w:val="0"/>
                <w:bCs w:val="0"/>
                <w:color w:val="auto"/>
                <w:kern w:val="2"/>
                <w:sz w:val="24"/>
                <w:szCs w:val="24"/>
                <w:u w:val="none"/>
                <w:vertAlign w:val="subscript"/>
                <w:lang w:val="en-US" w:eastAsia="zh-CN"/>
              </w:rPr>
              <w:t>p2</w:t>
            </w:r>
            <w:r>
              <w:rPr>
                <w:rFonts w:hint="default" w:ascii="Times New Roman" w:hAnsi="Times New Roman" w:cs="Times New Roman"/>
                <w:b w:val="0"/>
                <w:bCs w:val="0"/>
                <w:color w:val="auto"/>
                <w:kern w:val="2"/>
                <w:sz w:val="24"/>
                <w:szCs w:val="24"/>
                <w:u w:val="none"/>
                <w:lang w:val="en-US" w:eastAsia="zh-CN"/>
              </w:rPr>
              <w:t>—靠近开口处（或窗户）室外某倍频的声压级或A声级，dB；</w:t>
            </w:r>
          </w:p>
          <w:p w14:paraId="1C3D2431">
            <w:pPr>
              <w:pStyle w:val="100"/>
              <w:keepNext w:val="0"/>
              <w:keepLines w:val="0"/>
              <w:pageBreakBefore w:val="0"/>
              <w:widowControl w:val="0"/>
              <w:kinsoku/>
              <w:wordWrap/>
              <w:overflowPunct/>
              <w:topLinePunct w:val="0"/>
              <w:bidi w:val="0"/>
              <w:snapToGrid/>
              <w:spacing w:line="360" w:lineRule="auto"/>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kern w:val="2"/>
                <w:sz w:val="24"/>
                <w:szCs w:val="24"/>
                <w:u w:val="none"/>
                <w:lang w:val="en-US" w:eastAsia="zh-CN"/>
              </w:rPr>
              <w:t xml:space="preserve">          TL—隔墙（或窗户）倍频带或A声级的隔声量，dB。</w:t>
            </w:r>
          </w:p>
          <w:p w14:paraId="217B70EF">
            <w:pPr>
              <w:keepNext w:val="0"/>
              <w:keepLines w:val="0"/>
              <w:pageBreakBefore w:val="0"/>
              <w:widowControl w:val="0"/>
              <w:kinsoku/>
              <w:wordWrap/>
              <w:overflowPunct/>
              <w:topLinePunct w:val="0"/>
              <w:autoSpaceDE/>
              <w:autoSpaceDN/>
              <w:bidi w:val="0"/>
              <w:adjustRightInd/>
              <w:snapToGrid/>
              <w:spacing w:line="360" w:lineRule="auto"/>
              <w:ind w:firstLine="482"/>
              <w:jc w:val="center"/>
              <w:textAlignment w:val="auto"/>
              <w:rPr>
                <w:rFonts w:hint="default" w:ascii="Times New Roman" w:hAnsi="Times New Roman" w:eastAsia="宋体" w:cs="Times New Roman"/>
                <w:b w:val="0"/>
                <w:bCs w:val="0"/>
                <w:color w:val="auto"/>
                <w:kern w:val="2"/>
                <w:sz w:val="24"/>
                <w:szCs w:val="24"/>
                <w:u w:val="none"/>
                <w:lang w:eastAsia="zh-CN"/>
              </w:rPr>
            </w:pPr>
            <w:r>
              <w:rPr>
                <w:rFonts w:hint="default" w:ascii="Times New Roman" w:hAnsi="Times New Roman" w:eastAsia="宋体" w:cs="Times New Roman"/>
                <w:b w:val="0"/>
                <w:bCs w:val="0"/>
                <w:color w:val="auto"/>
                <w:kern w:val="2"/>
                <w:position w:val="-28"/>
                <w:sz w:val="24"/>
                <w:szCs w:val="24"/>
                <w:u w:val="none"/>
                <w:lang w:eastAsia="zh-CN"/>
              </w:rPr>
              <w:object>
                <v:shape id="_x0000_i1025" o:spt="75" type="#_x0000_t75" style="height:34pt;width:131pt;" o:ole="t" filled="f" o:preferrelative="t" stroked="f" coordsize="21600,21600">
                  <v:path/>
                  <v:fill on="f" focussize="0,0"/>
                  <v:stroke on="f"/>
                  <v:imagedata r:id="rId13" o:title=""/>
                  <o:lock v:ext="edit" aspectratio="t"/>
                  <w10:wrap type="none"/>
                  <w10:anchorlock/>
                </v:shape>
                <o:OLEObject Type="Embed" ProgID="Equation.KSEE3" ShapeID="_x0000_i1025" DrawAspect="Content" ObjectID="_1468075725" r:id="rId12">
                  <o:LockedField>false</o:LockedField>
                </o:OLEObject>
              </w:object>
            </w:r>
          </w:p>
          <w:p w14:paraId="19EAA68A">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式中：L</w:t>
            </w:r>
            <w:r>
              <w:rPr>
                <w:rFonts w:hint="default" w:ascii="Times New Roman" w:hAnsi="Times New Roman" w:cs="Times New Roman"/>
                <w:b w:val="0"/>
                <w:bCs w:val="0"/>
                <w:color w:val="auto"/>
                <w:kern w:val="2"/>
                <w:sz w:val="24"/>
                <w:szCs w:val="24"/>
                <w:u w:val="none"/>
                <w:vertAlign w:val="subscript"/>
                <w:lang w:val="en-US" w:eastAsia="zh-CN"/>
              </w:rPr>
              <w:t>p1</w:t>
            </w:r>
            <w:r>
              <w:rPr>
                <w:rFonts w:hint="default" w:ascii="Times New Roman" w:hAnsi="Times New Roman" w:cs="Times New Roman"/>
                <w:b w:val="0"/>
                <w:bCs w:val="0"/>
                <w:color w:val="auto"/>
                <w:kern w:val="2"/>
                <w:sz w:val="24"/>
                <w:szCs w:val="24"/>
                <w:u w:val="none"/>
                <w:lang w:val="en-US" w:eastAsia="zh-CN"/>
              </w:rPr>
              <w:t>—靠近开口处（或窗户）室内某倍频的声压级或A声级，dB；</w:t>
            </w:r>
          </w:p>
          <w:p w14:paraId="7FD0EA9C">
            <w:pPr>
              <w:keepNext w:val="0"/>
              <w:keepLines w:val="0"/>
              <w:pageBreakBefore w:val="0"/>
              <w:widowControl w:val="0"/>
              <w:kinsoku/>
              <w:wordWrap/>
              <w:overflowPunct/>
              <w:topLinePunct w:val="0"/>
              <w:autoSpaceDE/>
              <w:autoSpaceDN/>
              <w:bidi w:val="0"/>
              <w:adjustRightInd/>
              <w:snapToGrid/>
              <w:spacing w:line="360" w:lineRule="auto"/>
              <w:ind w:firstLine="1262" w:firstLineChars="526"/>
              <w:textAlignment w:val="auto"/>
              <w:rPr>
                <w:rFonts w:hint="default" w:ascii="Times New Roman" w:hAnsi="Times New Roman"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L</w:t>
            </w:r>
            <w:r>
              <w:rPr>
                <w:rFonts w:hint="default" w:ascii="Times New Roman" w:hAnsi="Times New Roman" w:cs="Times New Roman"/>
                <w:b w:val="0"/>
                <w:bCs w:val="0"/>
                <w:color w:val="auto"/>
                <w:kern w:val="2"/>
                <w:sz w:val="24"/>
                <w:szCs w:val="24"/>
                <w:u w:val="none"/>
                <w:vertAlign w:val="subscript"/>
                <w:lang w:val="en-US" w:eastAsia="zh-CN"/>
              </w:rPr>
              <w:t>w</w:t>
            </w:r>
            <w:r>
              <w:rPr>
                <w:rFonts w:hint="default" w:ascii="Times New Roman" w:hAnsi="Times New Roman" w:cs="Times New Roman"/>
                <w:b w:val="0"/>
                <w:bCs w:val="0"/>
                <w:color w:val="auto"/>
                <w:kern w:val="2"/>
                <w:sz w:val="24"/>
                <w:szCs w:val="24"/>
                <w:u w:val="none"/>
                <w:lang w:val="en-US" w:eastAsia="zh-CN"/>
              </w:rPr>
              <w:t>—点声源声功率级（A计权或倍频带），dB；</w:t>
            </w:r>
          </w:p>
          <w:p w14:paraId="2B04B151">
            <w:pPr>
              <w:keepNext w:val="0"/>
              <w:keepLines w:val="0"/>
              <w:pageBreakBefore w:val="0"/>
              <w:widowControl w:val="0"/>
              <w:kinsoku/>
              <w:wordWrap/>
              <w:overflowPunct/>
              <w:topLinePunct w:val="0"/>
              <w:autoSpaceDE/>
              <w:autoSpaceDN/>
              <w:bidi w:val="0"/>
              <w:adjustRightInd/>
              <w:snapToGrid/>
              <w:spacing w:line="360" w:lineRule="auto"/>
              <w:ind w:firstLine="1262" w:firstLineChars="526"/>
              <w:textAlignment w:val="auto"/>
              <w:rPr>
                <w:rFonts w:hint="default" w:ascii="Times New Roman" w:hAnsi="Times New Roman"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Q—指向性因数；通常对无指向性声源，当声源放在房间中心时，Q=1；当放在一面墙的中心时，Q=2；当放在两面墙夹角处时，Q=4；当放在三面墙夹角处时，Q=8；</w:t>
            </w:r>
          </w:p>
          <w:p w14:paraId="5DB65B1A">
            <w:pPr>
              <w:keepNext w:val="0"/>
              <w:keepLines w:val="0"/>
              <w:pageBreakBefore w:val="0"/>
              <w:widowControl w:val="0"/>
              <w:kinsoku/>
              <w:wordWrap/>
              <w:overflowPunct/>
              <w:topLinePunct w:val="0"/>
              <w:autoSpaceDE/>
              <w:autoSpaceDN/>
              <w:bidi w:val="0"/>
              <w:adjustRightInd/>
              <w:snapToGrid/>
              <w:spacing w:line="360" w:lineRule="auto"/>
              <w:ind w:firstLine="1262" w:firstLineChars="526"/>
              <w:textAlignment w:val="auto"/>
              <w:rPr>
                <w:rFonts w:hint="default" w:ascii="Times New Roman" w:hAnsi="Times New Roman" w:cs="Times New Roman"/>
                <w:b w:val="0"/>
                <w:bCs w:val="0"/>
                <w:color w:val="auto"/>
                <w:kern w:val="2"/>
                <w:sz w:val="24"/>
                <w:szCs w:val="24"/>
                <w:u w:val="none"/>
                <w:lang w:val="en-US" w:eastAsia="zh-CN"/>
              </w:rPr>
            </w:pPr>
            <w:r>
              <w:rPr>
                <w:rFonts w:hint="default" w:ascii="Times New Roman" w:hAnsi="Times New Roman" w:cs="Times New Roman"/>
                <w:b w:val="0"/>
                <w:bCs w:val="0"/>
                <w:color w:val="auto"/>
                <w:kern w:val="2"/>
                <w:sz w:val="24"/>
                <w:szCs w:val="24"/>
                <w:u w:val="none"/>
                <w:lang w:val="en-US" w:eastAsia="zh-CN"/>
              </w:rPr>
              <w:t>R—房间常数；R=Sα/(1-α)，S为房间内表面面积，m</w:t>
            </w:r>
            <w:r>
              <w:rPr>
                <w:rFonts w:hint="default" w:ascii="Times New Roman" w:hAnsi="Times New Roman" w:cs="Times New Roman"/>
                <w:b w:val="0"/>
                <w:bCs w:val="0"/>
                <w:color w:val="auto"/>
                <w:kern w:val="2"/>
                <w:sz w:val="24"/>
                <w:szCs w:val="24"/>
                <w:u w:val="none"/>
                <w:vertAlign w:val="superscript"/>
                <w:lang w:val="en-US" w:eastAsia="zh-CN"/>
              </w:rPr>
              <w:t>2</w:t>
            </w:r>
            <w:r>
              <w:rPr>
                <w:rFonts w:hint="default" w:ascii="Times New Roman" w:hAnsi="Times New Roman" w:cs="Times New Roman"/>
                <w:b w:val="0"/>
                <w:bCs w:val="0"/>
                <w:color w:val="auto"/>
                <w:kern w:val="2"/>
                <w:sz w:val="24"/>
                <w:szCs w:val="24"/>
                <w:u w:val="none"/>
                <w:lang w:val="en-US" w:eastAsia="zh-CN"/>
              </w:rPr>
              <w:t>；α为平均吸声系数；</w:t>
            </w:r>
          </w:p>
          <w:p w14:paraId="39F1910E">
            <w:pPr>
              <w:keepNext w:val="0"/>
              <w:keepLines w:val="0"/>
              <w:pageBreakBefore w:val="0"/>
              <w:widowControl w:val="0"/>
              <w:kinsoku/>
              <w:wordWrap/>
              <w:overflowPunct/>
              <w:topLinePunct w:val="0"/>
              <w:autoSpaceDE/>
              <w:autoSpaceDN/>
              <w:bidi w:val="0"/>
              <w:adjustRightInd/>
              <w:snapToGrid/>
              <w:spacing w:line="360" w:lineRule="auto"/>
              <w:ind w:firstLine="1262" w:firstLineChars="526"/>
              <w:textAlignment w:val="auto"/>
              <w:rPr>
                <w:rFonts w:hint="default" w:ascii="Times New Roman" w:hAnsi="Times New Roman" w:cs="Times New Roman"/>
                <w:b w:val="0"/>
                <w:bCs w:val="0"/>
                <w:color w:val="auto"/>
                <w:kern w:val="2"/>
                <w:sz w:val="24"/>
                <w:szCs w:val="24"/>
                <w:u w:val="none"/>
              </w:rPr>
            </w:pPr>
            <w:r>
              <w:rPr>
                <w:rFonts w:hint="default" w:ascii="Times New Roman" w:hAnsi="Times New Roman" w:cs="Times New Roman"/>
                <w:b w:val="0"/>
                <w:bCs w:val="0"/>
                <w:color w:val="auto"/>
                <w:kern w:val="2"/>
                <w:sz w:val="24"/>
                <w:szCs w:val="24"/>
                <w:u w:val="none"/>
                <w:lang w:val="en-US" w:eastAsia="zh-CN"/>
              </w:rPr>
              <w:t>r—</w:t>
            </w:r>
            <w:r>
              <w:rPr>
                <w:rFonts w:hint="default" w:ascii="Times New Roman" w:hAnsi="Times New Roman" w:cs="Times New Roman"/>
                <w:b w:val="0"/>
                <w:bCs w:val="0"/>
                <w:color w:val="auto"/>
                <w:kern w:val="2"/>
                <w:sz w:val="24"/>
                <w:szCs w:val="24"/>
                <w:u w:val="none"/>
              </w:rPr>
              <w:t>声源到靠近围护结构某点处的距离，m。</w:t>
            </w:r>
          </w:p>
          <w:p w14:paraId="04D60DDC">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lang w:val="en-US" w:eastAsia="zh-CN"/>
              </w:rPr>
              <w:t>2</w:t>
            </w:r>
            <w:r>
              <w:rPr>
                <w:rFonts w:hint="default" w:ascii="Times New Roman" w:hAnsi="Times New Roman" w:cs="Times New Roman"/>
                <w:b w:val="0"/>
                <w:bCs w:val="0"/>
                <w:color w:val="auto"/>
                <w:kern w:val="2"/>
                <w:sz w:val="24"/>
                <w:szCs w:val="24"/>
                <w:u w:val="none"/>
              </w:rPr>
              <w:t>）无指向性点声源的几何发散衰减公式：</w:t>
            </w:r>
          </w:p>
          <w:p w14:paraId="244F0FDD">
            <w:pPr>
              <w:keepNext w:val="0"/>
              <w:keepLines w:val="0"/>
              <w:pageBreakBefore w:val="0"/>
              <w:widowControl w:val="0"/>
              <w:kinsoku/>
              <w:wordWrap/>
              <w:overflowPunct/>
              <w:topLinePunct w:val="0"/>
              <w:autoSpaceDE/>
              <w:autoSpaceDN/>
              <w:bidi w:val="0"/>
              <w:adjustRightInd/>
              <w:snapToGrid/>
              <w:spacing w:line="360" w:lineRule="auto"/>
              <w:ind w:firstLine="480"/>
              <w:jc w:val="center"/>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L</w:t>
            </w:r>
            <w:r>
              <w:rPr>
                <w:rFonts w:hint="default" w:ascii="Times New Roman" w:hAnsi="Times New Roman" w:cs="Times New Roman"/>
                <w:b w:val="0"/>
                <w:bCs w:val="0"/>
                <w:color w:val="auto"/>
                <w:kern w:val="2"/>
                <w:sz w:val="24"/>
                <w:szCs w:val="24"/>
                <w:u w:val="none"/>
                <w:vertAlign w:val="subscript"/>
              </w:rPr>
              <w:t>p</w:t>
            </w:r>
            <w:r>
              <w:rPr>
                <w:rFonts w:hint="default" w:ascii="Times New Roman" w:hAnsi="Times New Roman" w:cs="Times New Roman"/>
                <w:b w:val="0"/>
                <w:bCs w:val="0"/>
                <w:color w:val="auto"/>
                <w:kern w:val="2"/>
                <w:sz w:val="24"/>
                <w:szCs w:val="24"/>
                <w:u w:val="none"/>
              </w:rPr>
              <w:t>(r)=L</w:t>
            </w:r>
            <w:r>
              <w:rPr>
                <w:rFonts w:hint="default" w:ascii="Times New Roman" w:hAnsi="Times New Roman" w:cs="Times New Roman"/>
                <w:b w:val="0"/>
                <w:bCs w:val="0"/>
                <w:color w:val="auto"/>
                <w:kern w:val="2"/>
                <w:sz w:val="24"/>
                <w:szCs w:val="24"/>
                <w:u w:val="none"/>
                <w:vertAlign w:val="subscript"/>
              </w:rPr>
              <w:t>p</w:t>
            </w:r>
            <w:r>
              <w:rPr>
                <w:rFonts w:hint="default" w:ascii="Times New Roman" w:hAnsi="Times New Roman" w:cs="Times New Roman"/>
                <w:b w:val="0"/>
                <w:bCs w:val="0"/>
                <w:color w:val="auto"/>
                <w:kern w:val="2"/>
                <w:sz w:val="24"/>
                <w:szCs w:val="24"/>
                <w:u w:val="none"/>
              </w:rPr>
              <w:t>(r</w:t>
            </w:r>
            <w:r>
              <w:rPr>
                <w:rFonts w:hint="default" w:ascii="Times New Roman" w:hAnsi="Times New Roman" w:cs="Times New Roman"/>
                <w:b w:val="0"/>
                <w:bCs w:val="0"/>
                <w:color w:val="auto"/>
                <w:kern w:val="2"/>
                <w:sz w:val="24"/>
                <w:szCs w:val="24"/>
                <w:u w:val="none"/>
                <w:vertAlign w:val="subscript"/>
              </w:rPr>
              <w:t>0</w:t>
            </w:r>
            <w:r>
              <w:rPr>
                <w:rFonts w:hint="default" w:ascii="Times New Roman" w:hAnsi="Times New Roman" w:cs="Times New Roman"/>
                <w:b w:val="0"/>
                <w:bCs w:val="0"/>
                <w:color w:val="auto"/>
                <w:kern w:val="2"/>
                <w:sz w:val="24"/>
                <w:szCs w:val="24"/>
                <w:u w:val="none"/>
              </w:rPr>
              <w:t>)-20lg(t/r</w:t>
            </w:r>
            <w:r>
              <w:rPr>
                <w:rFonts w:hint="default" w:ascii="Times New Roman" w:hAnsi="Times New Roman" w:cs="Times New Roman"/>
                <w:b w:val="0"/>
                <w:bCs w:val="0"/>
                <w:color w:val="auto"/>
                <w:kern w:val="2"/>
                <w:sz w:val="24"/>
                <w:szCs w:val="24"/>
                <w:u w:val="none"/>
                <w:vertAlign w:val="subscript"/>
              </w:rPr>
              <w:t>0</w:t>
            </w:r>
            <w:r>
              <w:rPr>
                <w:rFonts w:hint="default" w:ascii="Times New Roman" w:hAnsi="Times New Roman" w:cs="Times New Roman"/>
                <w:b w:val="0"/>
                <w:bCs w:val="0"/>
                <w:color w:val="auto"/>
                <w:kern w:val="2"/>
                <w:sz w:val="24"/>
                <w:szCs w:val="24"/>
                <w:u w:val="none"/>
              </w:rPr>
              <w:t>)</w:t>
            </w:r>
          </w:p>
          <w:p w14:paraId="28BCF4AF">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式中：L</w:t>
            </w:r>
            <w:r>
              <w:rPr>
                <w:rFonts w:hint="default" w:ascii="Times New Roman" w:hAnsi="Times New Roman" w:cs="Times New Roman"/>
                <w:b w:val="0"/>
                <w:bCs w:val="0"/>
                <w:color w:val="auto"/>
                <w:kern w:val="2"/>
                <w:sz w:val="24"/>
                <w:szCs w:val="24"/>
                <w:u w:val="none"/>
                <w:vertAlign w:val="subscript"/>
              </w:rPr>
              <w:t>P</w:t>
            </w:r>
            <w:r>
              <w:rPr>
                <w:rFonts w:hint="default" w:ascii="Times New Roman" w:hAnsi="Times New Roman" w:cs="Times New Roman"/>
                <w:b w:val="0"/>
                <w:bCs w:val="0"/>
                <w:color w:val="auto"/>
                <w:kern w:val="2"/>
                <w:sz w:val="24"/>
                <w:szCs w:val="24"/>
                <w:u w:val="none"/>
              </w:rPr>
              <w:t>（r）——距离噪声源r处的等效A声级值，dB（A）；</w:t>
            </w:r>
          </w:p>
          <w:p w14:paraId="5796800A">
            <w:pPr>
              <w:keepNext w:val="0"/>
              <w:keepLines w:val="0"/>
              <w:pageBreakBefore w:val="0"/>
              <w:widowControl w:val="0"/>
              <w:kinsoku/>
              <w:wordWrap/>
              <w:overflowPunct/>
              <w:topLinePunct w:val="0"/>
              <w:autoSpaceDE/>
              <w:autoSpaceDN/>
              <w:bidi w:val="0"/>
              <w:adjustRightInd/>
              <w:snapToGrid/>
              <w:spacing w:line="360" w:lineRule="auto"/>
              <w:ind w:firstLine="1200" w:firstLineChars="50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L</w:t>
            </w:r>
            <w:r>
              <w:rPr>
                <w:rFonts w:hint="default" w:ascii="Times New Roman" w:hAnsi="Times New Roman" w:cs="Times New Roman"/>
                <w:b w:val="0"/>
                <w:bCs w:val="0"/>
                <w:color w:val="auto"/>
                <w:kern w:val="2"/>
                <w:sz w:val="24"/>
                <w:szCs w:val="24"/>
                <w:u w:val="none"/>
                <w:vertAlign w:val="subscript"/>
              </w:rPr>
              <w:t>P</w:t>
            </w:r>
            <w:r>
              <w:rPr>
                <w:rFonts w:hint="default" w:ascii="Times New Roman" w:hAnsi="Times New Roman" w:cs="Times New Roman"/>
                <w:b w:val="0"/>
                <w:bCs w:val="0"/>
                <w:color w:val="auto"/>
                <w:kern w:val="2"/>
                <w:sz w:val="24"/>
                <w:szCs w:val="24"/>
                <w:u w:val="none"/>
              </w:rPr>
              <w:t>（r</w:t>
            </w:r>
            <w:r>
              <w:rPr>
                <w:rFonts w:hint="default" w:ascii="Times New Roman" w:hAnsi="Times New Roman" w:cs="Times New Roman"/>
                <w:b w:val="0"/>
                <w:bCs w:val="0"/>
                <w:color w:val="auto"/>
                <w:kern w:val="2"/>
                <w:sz w:val="24"/>
                <w:szCs w:val="24"/>
                <w:u w:val="none"/>
                <w:vertAlign w:val="subscript"/>
              </w:rPr>
              <w:t>0</w:t>
            </w:r>
            <w:r>
              <w:rPr>
                <w:rFonts w:hint="default" w:ascii="Times New Roman" w:hAnsi="Times New Roman" w:cs="Times New Roman"/>
                <w:b w:val="0"/>
                <w:bCs w:val="0"/>
                <w:color w:val="auto"/>
                <w:kern w:val="2"/>
                <w:sz w:val="24"/>
                <w:szCs w:val="24"/>
                <w:u w:val="none"/>
              </w:rPr>
              <w:t>）——距离噪声源r</w:t>
            </w:r>
            <w:r>
              <w:rPr>
                <w:rFonts w:hint="default" w:ascii="Times New Roman" w:hAnsi="Times New Roman" w:cs="Times New Roman"/>
                <w:b w:val="0"/>
                <w:bCs w:val="0"/>
                <w:color w:val="auto"/>
                <w:kern w:val="2"/>
                <w:sz w:val="24"/>
                <w:szCs w:val="24"/>
                <w:u w:val="none"/>
                <w:vertAlign w:val="subscript"/>
              </w:rPr>
              <w:t>0</w:t>
            </w:r>
            <w:r>
              <w:rPr>
                <w:rFonts w:hint="default" w:ascii="Times New Roman" w:hAnsi="Times New Roman" w:cs="Times New Roman"/>
                <w:b w:val="0"/>
                <w:bCs w:val="0"/>
                <w:color w:val="auto"/>
                <w:kern w:val="2"/>
                <w:sz w:val="24"/>
                <w:szCs w:val="24"/>
                <w:u w:val="none"/>
              </w:rPr>
              <w:t>处的等效A声级值，dB（A）；</w:t>
            </w:r>
          </w:p>
          <w:p w14:paraId="275A7C73">
            <w:pPr>
              <w:keepNext w:val="0"/>
              <w:keepLines w:val="0"/>
              <w:pageBreakBefore w:val="0"/>
              <w:widowControl w:val="0"/>
              <w:kinsoku/>
              <w:wordWrap/>
              <w:overflowPunct/>
              <w:topLinePunct w:val="0"/>
              <w:autoSpaceDE/>
              <w:autoSpaceDN/>
              <w:bidi w:val="0"/>
              <w:adjustRightInd/>
              <w:snapToGrid/>
              <w:spacing w:line="360" w:lineRule="auto"/>
              <w:ind w:firstLine="1200" w:firstLineChars="50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r——预测点距噪声源距离，（m）；</w:t>
            </w:r>
          </w:p>
          <w:p w14:paraId="26419819">
            <w:pPr>
              <w:keepNext w:val="0"/>
              <w:keepLines w:val="0"/>
              <w:pageBreakBefore w:val="0"/>
              <w:widowControl w:val="0"/>
              <w:kinsoku/>
              <w:wordWrap/>
              <w:overflowPunct/>
              <w:topLinePunct w:val="0"/>
              <w:autoSpaceDE/>
              <w:autoSpaceDN/>
              <w:bidi w:val="0"/>
              <w:adjustRightInd/>
              <w:snapToGrid/>
              <w:spacing w:line="360" w:lineRule="auto"/>
              <w:ind w:firstLine="1200" w:firstLineChars="50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r</w:t>
            </w:r>
            <w:r>
              <w:rPr>
                <w:rFonts w:hint="default" w:ascii="Times New Roman" w:hAnsi="Times New Roman" w:cs="Times New Roman"/>
                <w:b w:val="0"/>
                <w:bCs w:val="0"/>
                <w:color w:val="auto"/>
                <w:kern w:val="2"/>
                <w:sz w:val="24"/>
                <w:szCs w:val="24"/>
                <w:u w:val="none"/>
                <w:vertAlign w:val="subscript"/>
              </w:rPr>
              <w:t>0</w:t>
            </w:r>
            <w:r>
              <w:rPr>
                <w:rFonts w:hint="default" w:ascii="Times New Roman" w:hAnsi="Times New Roman" w:cs="Times New Roman"/>
                <w:b w:val="0"/>
                <w:bCs w:val="0"/>
                <w:color w:val="auto"/>
                <w:kern w:val="2"/>
                <w:sz w:val="24"/>
                <w:szCs w:val="24"/>
                <w:u w:val="none"/>
              </w:rPr>
              <w:t>——源强外1m处。</w:t>
            </w:r>
          </w:p>
          <w:p w14:paraId="36D0C0C0">
            <w:pPr>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lang w:val="en-US" w:eastAsia="zh-CN"/>
              </w:rPr>
              <w:t>3</w:t>
            </w:r>
            <w:r>
              <w:rPr>
                <w:rFonts w:hint="default" w:ascii="Times New Roman" w:hAnsi="Times New Roman" w:cs="Times New Roman"/>
                <w:b w:val="0"/>
                <w:bCs w:val="0"/>
                <w:color w:val="auto"/>
                <w:kern w:val="2"/>
                <w:sz w:val="24"/>
                <w:szCs w:val="24"/>
                <w:u w:val="none"/>
              </w:rPr>
              <w:t>）建设项目声源在预测点产生的等效声级贡献值（L</w:t>
            </w:r>
            <w:r>
              <w:rPr>
                <w:rFonts w:hint="default" w:ascii="Times New Roman" w:hAnsi="Times New Roman" w:cs="Times New Roman"/>
                <w:b w:val="0"/>
                <w:bCs w:val="0"/>
                <w:color w:val="auto"/>
                <w:kern w:val="2"/>
                <w:sz w:val="24"/>
                <w:szCs w:val="24"/>
                <w:u w:val="none"/>
                <w:vertAlign w:val="subscript"/>
              </w:rPr>
              <w:t>eqg</w:t>
            </w:r>
            <w:r>
              <w:rPr>
                <w:rFonts w:hint="default" w:ascii="Times New Roman" w:hAnsi="Times New Roman" w:cs="Times New Roman"/>
                <w:b w:val="0"/>
                <w:bCs w:val="0"/>
                <w:color w:val="auto"/>
                <w:kern w:val="2"/>
                <w:sz w:val="24"/>
                <w:szCs w:val="24"/>
                <w:u w:val="none"/>
              </w:rPr>
              <w:t>）计算公式：</w:t>
            </w:r>
          </w:p>
          <w:p w14:paraId="1AE639AB">
            <w:pPr>
              <w:keepNext w:val="0"/>
              <w:keepLines w:val="0"/>
              <w:pageBreakBefore w:val="0"/>
              <w:widowControl w:val="0"/>
              <w:kinsoku/>
              <w:wordWrap/>
              <w:overflowPunct/>
              <w:topLinePunct w:val="0"/>
              <w:autoSpaceDE/>
              <w:autoSpaceDN/>
              <w:bidi w:val="0"/>
              <w:adjustRightInd/>
              <w:snapToGrid/>
              <w:spacing w:line="360" w:lineRule="auto"/>
              <w:ind w:firstLine="482"/>
              <w:jc w:val="center"/>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position w:val="-30"/>
                <w:sz w:val="24"/>
                <w:szCs w:val="24"/>
                <w:u w:val="none"/>
              </w:rPr>
              <w:object>
                <v:shape id="_x0000_i1026" o:spt="75" type="#_x0000_t75" style="height:36pt;width:130pt;" o:ole="t" filled="f" o:preferrelative="t" stroked="f" coordsize="21600,21600">
                  <v:path/>
                  <v:fill on="f" focussize="0,0"/>
                  <v:stroke on="f" joinstyle="miter"/>
                  <v:imagedata r:id="rId15" o:title=""/>
                  <o:lock v:ext="edit" aspectratio="t"/>
                  <w10:wrap type="none"/>
                  <w10:anchorlock/>
                </v:shape>
                <o:OLEObject Type="Embed" ProgID="Equation.3" ShapeID="_x0000_i1026" DrawAspect="Content" ObjectID="_1468075726" r:id="rId14">
                  <o:LockedField>false</o:LockedField>
                </o:OLEObject>
              </w:object>
            </w:r>
          </w:p>
          <w:p w14:paraId="32334B59">
            <w:pPr>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式中：L</w:t>
            </w:r>
            <w:r>
              <w:rPr>
                <w:rFonts w:hint="default" w:ascii="Times New Roman" w:hAnsi="Times New Roman" w:cs="Times New Roman"/>
                <w:b w:val="0"/>
                <w:bCs w:val="0"/>
                <w:color w:val="auto"/>
                <w:kern w:val="2"/>
                <w:sz w:val="24"/>
                <w:szCs w:val="24"/>
                <w:u w:val="none"/>
                <w:vertAlign w:val="subscript"/>
              </w:rPr>
              <w:t>eqg</w:t>
            </w:r>
            <w:r>
              <w:rPr>
                <w:rFonts w:hint="default" w:ascii="Times New Roman" w:hAnsi="Times New Roman" w:cs="Times New Roman"/>
                <w:b w:val="0"/>
                <w:bCs w:val="0"/>
                <w:color w:val="auto"/>
                <w:kern w:val="2"/>
                <w:sz w:val="24"/>
                <w:szCs w:val="24"/>
                <w:u w:val="none"/>
              </w:rPr>
              <w:t>——建设项目声源在预测点的等效声级贡献值，dB（A）；</w:t>
            </w:r>
          </w:p>
          <w:p w14:paraId="37BE675C">
            <w:pPr>
              <w:keepNext w:val="0"/>
              <w:keepLines w:val="0"/>
              <w:pageBreakBefore w:val="0"/>
              <w:widowControl w:val="0"/>
              <w:kinsoku/>
              <w:wordWrap/>
              <w:overflowPunct/>
              <w:topLinePunct w:val="0"/>
              <w:autoSpaceDE/>
              <w:autoSpaceDN/>
              <w:bidi w:val="0"/>
              <w:adjustRightInd/>
              <w:snapToGrid/>
              <w:spacing w:line="360" w:lineRule="auto"/>
              <w:ind w:firstLine="1200" w:firstLineChars="50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L</w:t>
            </w:r>
            <w:r>
              <w:rPr>
                <w:rFonts w:hint="default" w:ascii="Times New Roman" w:hAnsi="Times New Roman" w:cs="Times New Roman"/>
                <w:b w:val="0"/>
                <w:bCs w:val="0"/>
                <w:color w:val="auto"/>
                <w:kern w:val="2"/>
                <w:sz w:val="24"/>
                <w:szCs w:val="24"/>
                <w:u w:val="none"/>
                <w:vertAlign w:val="subscript"/>
              </w:rPr>
              <w:t>Ai</w:t>
            </w:r>
            <w:r>
              <w:rPr>
                <w:rFonts w:hint="default" w:ascii="Times New Roman" w:hAnsi="Times New Roman" w:cs="Times New Roman"/>
                <w:b w:val="0"/>
                <w:bCs w:val="0"/>
                <w:color w:val="auto"/>
                <w:kern w:val="2"/>
                <w:sz w:val="24"/>
                <w:szCs w:val="24"/>
                <w:u w:val="none"/>
              </w:rPr>
              <w:t>——i声源在预测点产生的A声级，dB（A）；</w:t>
            </w:r>
          </w:p>
          <w:p w14:paraId="4AF1FC2E">
            <w:pPr>
              <w:keepNext w:val="0"/>
              <w:keepLines w:val="0"/>
              <w:pageBreakBefore w:val="0"/>
              <w:widowControl w:val="0"/>
              <w:kinsoku/>
              <w:wordWrap/>
              <w:overflowPunct/>
              <w:topLinePunct w:val="0"/>
              <w:autoSpaceDE/>
              <w:autoSpaceDN/>
              <w:bidi w:val="0"/>
              <w:adjustRightInd/>
              <w:snapToGrid/>
              <w:spacing w:line="360" w:lineRule="auto"/>
              <w:ind w:firstLine="1200" w:firstLineChars="50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T——预测计算的时间段，s；</w:t>
            </w:r>
          </w:p>
          <w:p w14:paraId="37290BE3">
            <w:pPr>
              <w:keepNext w:val="0"/>
              <w:keepLines w:val="0"/>
              <w:pageBreakBefore w:val="0"/>
              <w:widowControl w:val="0"/>
              <w:kinsoku/>
              <w:wordWrap/>
              <w:overflowPunct/>
              <w:topLinePunct w:val="0"/>
              <w:autoSpaceDE/>
              <w:autoSpaceDN/>
              <w:bidi w:val="0"/>
              <w:adjustRightInd/>
              <w:snapToGrid/>
              <w:spacing w:line="360" w:lineRule="auto"/>
              <w:ind w:firstLine="1200" w:firstLineChars="500"/>
              <w:textAlignment w:val="auto"/>
              <w:rPr>
                <w:rFonts w:hint="default" w:ascii="Times New Roman" w:hAnsi="Times New Roman" w:cs="Times New Roman"/>
                <w:b w:val="0"/>
                <w:bCs w:val="0"/>
                <w:color w:val="auto"/>
                <w:sz w:val="24"/>
                <w:szCs w:val="24"/>
                <w:u w:val="none"/>
              </w:rPr>
            </w:pPr>
            <w:r>
              <w:rPr>
                <w:rFonts w:hint="default" w:ascii="Times New Roman" w:hAnsi="Times New Roman" w:cs="Times New Roman"/>
                <w:b w:val="0"/>
                <w:bCs w:val="0"/>
                <w:color w:val="auto"/>
                <w:kern w:val="2"/>
                <w:sz w:val="24"/>
                <w:szCs w:val="24"/>
                <w:u w:val="none"/>
              </w:rPr>
              <w:t>t</w:t>
            </w:r>
            <w:r>
              <w:rPr>
                <w:rFonts w:hint="default" w:ascii="Times New Roman" w:hAnsi="Times New Roman" w:cs="Times New Roman"/>
                <w:b w:val="0"/>
                <w:bCs w:val="0"/>
                <w:color w:val="auto"/>
                <w:kern w:val="2"/>
                <w:sz w:val="24"/>
                <w:szCs w:val="24"/>
                <w:u w:val="none"/>
                <w:vertAlign w:val="subscript"/>
              </w:rPr>
              <w:t>i</w:t>
            </w:r>
            <w:r>
              <w:rPr>
                <w:rFonts w:hint="default" w:ascii="Times New Roman" w:hAnsi="Times New Roman" w:cs="Times New Roman"/>
                <w:b w:val="0"/>
                <w:bCs w:val="0"/>
                <w:color w:val="auto"/>
                <w:kern w:val="2"/>
                <w:sz w:val="24"/>
                <w:szCs w:val="24"/>
                <w:u w:val="none"/>
              </w:rPr>
              <w:t>——i声源在T时段内的运行时间，s。</w:t>
            </w:r>
          </w:p>
          <w:p w14:paraId="619AF5E0">
            <w:pPr>
              <w:adjustRightInd w:val="0"/>
              <w:snapToGrid w:val="0"/>
              <w:spacing w:line="360" w:lineRule="auto"/>
              <w:ind w:firstLine="442"/>
              <w:jc w:val="left"/>
              <w:rPr>
                <w:rFonts w:hint="default" w:ascii="Times New Roman" w:hAnsi="Times New Roman" w:eastAsia="宋体" w:cs="Times New Roman"/>
                <w:b w:val="0"/>
                <w:bCs w:val="0"/>
                <w:snapToGrid w:val="0"/>
                <w:color w:val="auto"/>
                <w:kern w:val="0"/>
                <w:sz w:val="24"/>
                <w:szCs w:val="24"/>
                <w:u w:val="none"/>
              </w:rPr>
            </w:pPr>
            <w:r>
              <w:rPr>
                <w:rFonts w:hint="default" w:ascii="Times New Roman" w:hAnsi="Times New Roman" w:eastAsia="宋体" w:cs="Times New Roman"/>
                <w:b w:val="0"/>
                <w:bCs w:val="0"/>
                <w:snapToGrid w:val="0"/>
                <w:color w:val="auto"/>
                <w:kern w:val="0"/>
                <w:sz w:val="24"/>
                <w:szCs w:val="24"/>
                <w:lang w:val="en-US" w:eastAsia="zh-CN"/>
              </w:rPr>
              <w:t>根据《环境影响评价技术导则  声环境》（HJ2.4-2021），本次评价噪声预测需要预测项目运营期厂界噪声贡献值</w:t>
            </w:r>
            <w:r>
              <w:rPr>
                <w:rFonts w:hint="eastAsia" w:ascii="Times New Roman" w:hAnsi="Times New Roman" w:eastAsia="宋体" w:cs="Times New Roman"/>
                <w:b w:val="0"/>
                <w:bCs w:val="0"/>
                <w:snapToGrid w:val="0"/>
                <w:color w:val="auto"/>
                <w:kern w:val="0"/>
                <w:sz w:val="24"/>
                <w:szCs w:val="24"/>
                <w:lang w:val="en-US" w:eastAsia="zh-CN"/>
              </w:rPr>
              <w:t>。</w:t>
            </w:r>
            <w:r>
              <w:rPr>
                <w:rFonts w:hint="eastAsia" w:cs="Times New Roman"/>
                <w:b w:val="0"/>
                <w:bCs w:val="0"/>
                <w:snapToGrid w:val="0"/>
                <w:color w:val="auto"/>
                <w:kern w:val="0"/>
                <w:sz w:val="24"/>
                <w:szCs w:val="24"/>
                <w:lang w:val="en-US" w:eastAsia="zh-CN"/>
              </w:rPr>
              <w:t>项目</w:t>
            </w:r>
            <w:r>
              <w:rPr>
                <w:rFonts w:hint="default" w:ascii="Times New Roman" w:hAnsi="Times New Roman" w:eastAsia="宋体" w:cs="Times New Roman"/>
                <w:b w:val="0"/>
                <w:bCs w:val="0"/>
                <w:snapToGrid w:val="0"/>
                <w:color w:val="auto"/>
                <w:kern w:val="0"/>
                <w:sz w:val="24"/>
                <w:szCs w:val="24"/>
              </w:rPr>
              <w:t>厂界噪声</w:t>
            </w:r>
            <w:r>
              <w:rPr>
                <w:rFonts w:hint="default" w:ascii="Times New Roman" w:hAnsi="Times New Roman" w:eastAsia="宋体" w:cs="Times New Roman"/>
                <w:b w:val="0"/>
                <w:bCs w:val="0"/>
                <w:snapToGrid w:val="0"/>
                <w:color w:val="auto"/>
                <w:kern w:val="0"/>
                <w:sz w:val="24"/>
                <w:szCs w:val="24"/>
                <w:lang w:val="en-US" w:eastAsia="zh-CN"/>
              </w:rPr>
              <w:t>贡献值</w:t>
            </w:r>
            <w:r>
              <w:rPr>
                <w:rFonts w:hint="eastAsia" w:cs="Times New Roman"/>
                <w:b w:val="0"/>
                <w:bCs w:val="0"/>
                <w:snapToGrid w:val="0"/>
                <w:color w:val="auto"/>
                <w:kern w:val="0"/>
                <w:sz w:val="24"/>
                <w:szCs w:val="24"/>
                <w:lang w:val="en-US" w:eastAsia="zh-CN"/>
              </w:rPr>
              <w:t>及周边敏感点</w:t>
            </w:r>
            <w:r>
              <w:rPr>
                <w:rFonts w:hint="eastAsia" w:ascii="Times New Roman" w:hAnsi="Times New Roman" w:eastAsia="宋体" w:cs="Times New Roman"/>
                <w:b w:val="0"/>
                <w:bCs w:val="0"/>
                <w:snapToGrid w:val="0"/>
                <w:color w:val="auto"/>
                <w:kern w:val="0"/>
                <w:sz w:val="24"/>
                <w:szCs w:val="24"/>
                <w:lang w:val="en-US" w:eastAsia="zh-CN"/>
              </w:rPr>
              <w:t>预测结果</w:t>
            </w:r>
            <w:r>
              <w:rPr>
                <w:rFonts w:hint="default" w:ascii="Times New Roman" w:hAnsi="Times New Roman" w:eastAsia="宋体" w:cs="Times New Roman"/>
                <w:b w:val="0"/>
                <w:bCs w:val="0"/>
                <w:snapToGrid w:val="0"/>
                <w:color w:val="auto"/>
                <w:kern w:val="0"/>
                <w:sz w:val="24"/>
                <w:szCs w:val="24"/>
              </w:rPr>
              <w:t>见表</w:t>
            </w:r>
            <w:r>
              <w:rPr>
                <w:rFonts w:hint="eastAsia" w:cs="Times New Roman"/>
                <w:b w:val="0"/>
                <w:bCs w:val="0"/>
                <w:snapToGrid w:val="0"/>
                <w:color w:val="auto"/>
                <w:kern w:val="0"/>
                <w:sz w:val="24"/>
                <w:szCs w:val="24"/>
                <w:lang w:val="en-US" w:eastAsia="zh-CN"/>
              </w:rPr>
              <w:t>4-14</w:t>
            </w:r>
            <w:r>
              <w:rPr>
                <w:rFonts w:hint="default" w:ascii="Times New Roman" w:hAnsi="Times New Roman" w:eastAsia="宋体" w:cs="Times New Roman"/>
                <w:b w:val="0"/>
                <w:bCs w:val="0"/>
                <w:snapToGrid w:val="0"/>
                <w:color w:val="auto"/>
                <w:kern w:val="0"/>
                <w:sz w:val="24"/>
                <w:szCs w:val="24"/>
              </w:rPr>
              <w:t>。</w:t>
            </w:r>
          </w:p>
          <w:p w14:paraId="4AC5A14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 xml:space="preserve">表4-14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厂界噪声</w:t>
            </w:r>
            <w:r>
              <w:rPr>
                <w:rFonts w:hint="eastAsia" w:cs="Times New Roman"/>
                <w:b/>
                <w:bCs/>
                <w:snapToGrid w:val="0"/>
                <w:color w:val="auto"/>
                <w:kern w:val="0"/>
                <w:sz w:val="24"/>
                <w:szCs w:val="24"/>
                <w:lang w:val="en-US" w:eastAsia="zh-CN" w:bidi="ar-SA"/>
              </w:rPr>
              <w:t>贡献值及周边敏感点预测值</w:t>
            </w:r>
            <w:r>
              <w:rPr>
                <w:rFonts w:hint="eastAsia" w:ascii="Times New Roman" w:hAnsi="Times New Roman" w:eastAsia="宋体" w:cs="Times New Roman"/>
                <w:b/>
                <w:bCs/>
                <w:snapToGrid w:val="0"/>
                <w:color w:val="auto"/>
                <w:kern w:val="0"/>
                <w:sz w:val="24"/>
                <w:szCs w:val="24"/>
                <w:lang w:val="en-US" w:eastAsia="zh-CN" w:bidi="ar-SA"/>
              </w:rPr>
              <w:t>预测结果         单位：dB(A)</w:t>
            </w:r>
          </w:p>
          <w:tbl>
            <w:tblPr>
              <w:tblStyle w:val="4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gridCol w:w="1857"/>
              <w:gridCol w:w="1331"/>
              <w:gridCol w:w="1670"/>
              <w:gridCol w:w="1303"/>
              <w:gridCol w:w="1068"/>
            </w:tblGrid>
            <w:tr w14:paraId="4566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624" w:type="pct"/>
                  <w:tcBorders>
                    <w:tl2br w:val="nil"/>
                    <w:tr2bl w:val="nil"/>
                  </w:tcBorders>
                  <w:noWrap w:val="0"/>
                  <w:vAlign w:val="center"/>
                </w:tcPr>
                <w:p w14:paraId="17D201FF">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default" w:ascii="Times New Roman" w:hAnsi="Times New Roman" w:cs="Times New Roman"/>
                      <w:b w:val="0"/>
                      <w:bCs w:val="0"/>
                      <w:sz w:val="21"/>
                      <w:szCs w:val="21"/>
                      <w:vertAlign w:val="baseline"/>
                      <w:lang w:val="en-US" w:eastAsia="zh-CN"/>
                    </w:rPr>
                    <w:t>预测点</w:t>
                  </w:r>
                </w:p>
              </w:tc>
              <w:tc>
                <w:tcPr>
                  <w:tcW w:w="1123" w:type="pct"/>
                  <w:tcBorders>
                    <w:tl2br w:val="nil"/>
                    <w:tr2bl w:val="nil"/>
                  </w:tcBorders>
                  <w:noWrap w:val="0"/>
                  <w:vAlign w:val="center"/>
                </w:tcPr>
                <w:p w14:paraId="2F79E038">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噪声贡献值</w:t>
                  </w:r>
                  <w:r>
                    <w:rPr>
                      <w:rFonts w:hint="default" w:ascii="Times New Roman" w:hAnsi="Times New Roman" w:cs="Times New Roman"/>
                      <w:b w:val="0"/>
                      <w:bCs w:val="0"/>
                      <w:sz w:val="21"/>
                      <w:szCs w:val="21"/>
                      <w:u w:val="none"/>
                      <w:vertAlign w:val="baseline"/>
                      <w:lang w:val="en-US" w:eastAsia="zh-CN"/>
                    </w:rPr>
                    <w:t>dB（A）</w:t>
                  </w:r>
                </w:p>
              </w:tc>
              <w:tc>
                <w:tcPr>
                  <w:tcW w:w="805" w:type="pct"/>
                  <w:tcBorders>
                    <w:tl2br w:val="nil"/>
                    <w:tr2bl w:val="nil"/>
                  </w:tcBorders>
                  <w:noWrap w:val="0"/>
                  <w:vAlign w:val="center"/>
                </w:tcPr>
                <w:p w14:paraId="683EDB53">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现状值</w:t>
                  </w:r>
                  <w:r>
                    <w:rPr>
                      <w:rFonts w:hint="default" w:ascii="Times New Roman" w:hAnsi="Times New Roman" w:cs="Times New Roman"/>
                      <w:b w:val="0"/>
                      <w:bCs w:val="0"/>
                      <w:sz w:val="21"/>
                      <w:szCs w:val="21"/>
                      <w:u w:val="none"/>
                      <w:vertAlign w:val="baseline"/>
                      <w:lang w:val="en-US" w:eastAsia="zh-CN"/>
                    </w:rPr>
                    <w:t>dB（A）</w:t>
                  </w:r>
                </w:p>
              </w:tc>
              <w:tc>
                <w:tcPr>
                  <w:tcW w:w="1010" w:type="pct"/>
                  <w:tcBorders>
                    <w:tl2br w:val="nil"/>
                    <w:tr2bl w:val="nil"/>
                  </w:tcBorders>
                  <w:noWrap w:val="0"/>
                  <w:vAlign w:val="center"/>
                </w:tcPr>
                <w:p w14:paraId="04F29DAD">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预测值</w:t>
                  </w:r>
                  <w:r>
                    <w:rPr>
                      <w:rFonts w:hint="default" w:ascii="Times New Roman" w:hAnsi="Times New Roman" w:cs="Times New Roman"/>
                      <w:b w:val="0"/>
                      <w:bCs w:val="0"/>
                      <w:sz w:val="21"/>
                      <w:szCs w:val="21"/>
                      <w:u w:val="none"/>
                      <w:vertAlign w:val="baseline"/>
                      <w:lang w:val="en-US" w:eastAsia="zh-CN"/>
                    </w:rPr>
                    <w:t>dB（A）</w:t>
                  </w:r>
                </w:p>
              </w:tc>
              <w:tc>
                <w:tcPr>
                  <w:tcW w:w="788" w:type="pct"/>
                  <w:tcBorders>
                    <w:tl2br w:val="nil"/>
                    <w:tr2bl w:val="nil"/>
                  </w:tcBorders>
                  <w:noWrap w:val="0"/>
                  <w:vAlign w:val="center"/>
                </w:tcPr>
                <w:p w14:paraId="7F8D2982">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标准值（昼/夜）</w:t>
                  </w:r>
                </w:p>
              </w:tc>
              <w:tc>
                <w:tcPr>
                  <w:tcW w:w="646" w:type="pct"/>
                  <w:tcBorders>
                    <w:tl2br w:val="nil"/>
                    <w:tr2bl w:val="nil"/>
                  </w:tcBorders>
                  <w:noWrap w:val="0"/>
                  <w:vAlign w:val="center"/>
                </w:tcPr>
                <w:p w14:paraId="30919CD3">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达标情况</w:t>
                  </w:r>
                </w:p>
              </w:tc>
            </w:tr>
            <w:tr w14:paraId="2D599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624" w:type="pct"/>
                  <w:tcBorders>
                    <w:tl2br w:val="nil"/>
                    <w:tr2bl w:val="nil"/>
                  </w:tcBorders>
                  <w:noWrap w:val="0"/>
                  <w:vAlign w:val="center"/>
                </w:tcPr>
                <w:p w14:paraId="2BB9B666">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default" w:ascii="Times New Roman" w:hAnsi="Times New Roman" w:cs="Times New Roman"/>
                      <w:b w:val="0"/>
                      <w:bCs w:val="0"/>
                      <w:sz w:val="21"/>
                      <w:szCs w:val="21"/>
                      <w:vertAlign w:val="baseline"/>
                      <w:lang w:val="en-US" w:eastAsia="zh-CN"/>
                    </w:rPr>
                    <w:t>东</w:t>
                  </w:r>
                  <w:r>
                    <w:rPr>
                      <w:rFonts w:hint="eastAsia" w:ascii="Times New Roman" w:hAnsi="Times New Roman" w:cs="Times New Roman"/>
                      <w:b w:val="0"/>
                      <w:bCs w:val="0"/>
                      <w:sz w:val="21"/>
                      <w:szCs w:val="21"/>
                      <w:vertAlign w:val="baseline"/>
                      <w:lang w:val="en-US" w:eastAsia="zh-CN"/>
                    </w:rPr>
                    <w:t>厂界</w:t>
                  </w:r>
                </w:p>
              </w:tc>
              <w:tc>
                <w:tcPr>
                  <w:tcW w:w="1123" w:type="pct"/>
                  <w:tcBorders>
                    <w:tl2br w:val="nil"/>
                    <w:tr2bl w:val="nil"/>
                  </w:tcBorders>
                  <w:noWrap w:val="0"/>
                  <w:vAlign w:val="center"/>
                </w:tcPr>
                <w:p w14:paraId="381E95BC">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cs="Times New Roman"/>
                      <w:b w:val="0"/>
                      <w:bCs w:val="0"/>
                      <w:sz w:val="21"/>
                      <w:szCs w:val="21"/>
                      <w:vertAlign w:val="baseline"/>
                      <w:lang w:val="en-US" w:eastAsia="zh-CN"/>
                    </w:rPr>
                    <w:t>31</w:t>
                  </w:r>
                  <w:r>
                    <w:rPr>
                      <w:rFonts w:hint="eastAsia" w:ascii="Times New Roman" w:hAnsi="Times New Roman" w:cs="Times New Roman"/>
                      <w:b w:val="0"/>
                      <w:bCs w:val="0"/>
                      <w:sz w:val="21"/>
                      <w:szCs w:val="21"/>
                      <w:vertAlign w:val="baseline"/>
                      <w:lang w:val="en-US" w:eastAsia="zh-CN"/>
                    </w:rPr>
                    <w:t>.4</w:t>
                  </w:r>
                </w:p>
              </w:tc>
              <w:tc>
                <w:tcPr>
                  <w:tcW w:w="805" w:type="pct"/>
                  <w:tcBorders>
                    <w:tl2br w:val="nil"/>
                    <w:tr2bl w:val="nil"/>
                  </w:tcBorders>
                  <w:noWrap w:val="0"/>
                  <w:vAlign w:val="center"/>
                </w:tcPr>
                <w:p w14:paraId="378FA2AE">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1010" w:type="pct"/>
                  <w:tcBorders>
                    <w:tl2br w:val="nil"/>
                    <w:tr2bl w:val="nil"/>
                  </w:tcBorders>
                  <w:noWrap w:val="0"/>
                  <w:vAlign w:val="center"/>
                </w:tcPr>
                <w:p w14:paraId="315DCECE">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788" w:type="pct"/>
                  <w:tcBorders>
                    <w:tl2br w:val="nil"/>
                    <w:tr2bl w:val="nil"/>
                  </w:tcBorders>
                  <w:noWrap w:val="0"/>
                  <w:vAlign w:val="center"/>
                </w:tcPr>
                <w:p w14:paraId="2D3BD777">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65/55</w:t>
                  </w:r>
                </w:p>
              </w:tc>
              <w:tc>
                <w:tcPr>
                  <w:tcW w:w="646" w:type="pct"/>
                  <w:tcBorders>
                    <w:tl2br w:val="nil"/>
                    <w:tr2bl w:val="nil"/>
                  </w:tcBorders>
                  <w:noWrap w:val="0"/>
                  <w:vAlign w:val="center"/>
                </w:tcPr>
                <w:p w14:paraId="2866EC2A">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达标</w:t>
                  </w:r>
                </w:p>
              </w:tc>
            </w:tr>
            <w:tr w14:paraId="1C913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24" w:type="pct"/>
                  <w:tcBorders>
                    <w:tl2br w:val="nil"/>
                    <w:tr2bl w:val="nil"/>
                  </w:tcBorders>
                  <w:noWrap w:val="0"/>
                  <w:vAlign w:val="center"/>
                </w:tcPr>
                <w:p w14:paraId="68151B44">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default" w:ascii="Times New Roman" w:hAnsi="Times New Roman" w:cs="Times New Roman"/>
                      <w:b w:val="0"/>
                      <w:bCs w:val="0"/>
                      <w:sz w:val="21"/>
                      <w:szCs w:val="21"/>
                      <w:vertAlign w:val="baseline"/>
                      <w:lang w:val="en-US" w:eastAsia="zh-CN"/>
                    </w:rPr>
                    <w:t>南</w:t>
                  </w:r>
                  <w:r>
                    <w:rPr>
                      <w:rFonts w:hint="eastAsia" w:ascii="Times New Roman" w:hAnsi="Times New Roman" w:cs="Times New Roman"/>
                      <w:b w:val="0"/>
                      <w:bCs w:val="0"/>
                      <w:sz w:val="21"/>
                      <w:szCs w:val="21"/>
                      <w:vertAlign w:val="baseline"/>
                      <w:lang w:val="en-US" w:eastAsia="zh-CN"/>
                    </w:rPr>
                    <w:t>厂界</w:t>
                  </w:r>
                </w:p>
              </w:tc>
              <w:tc>
                <w:tcPr>
                  <w:tcW w:w="1123" w:type="pct"/>
                  <w:tcBorders>
                    <w:tl2br w:val="nil"/>
                    <w:tr2bl w:val="nil"/>
                  </w:tcBorders>
                  <w:noWrap w:val="0"/>
                  <w:vAlign w:val="center"/>
                </w:tcPr>
                <w:p w14:paraId="4DFBF169">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41.7</w:t>
                  </w:r>
                </w:p>
              </w:tc>
              <w:tc>
                <w:tcPr>
                  <w:tcW w:w="805" w:type="pct"/>
                  <w:tcBorders>
                    <w:tl2br w:val="nil"/>
                    <w:tr2bl w:val="nil"/>
                  </w:tcBorders>
                  <w:noWrap w:val="0"/>
                  <w:vAlign w:val="center"/>
                </w:tcPr>
                <w:p w14:paraId="69383E79">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1010" w:type="pct"/>
                  <w:tcBorders>
                    <w:tl2br w:val="nil"/>
                    <w:tr2bl w:val="nil"/>
                  </w:tcBorders>
                  <w:noWrap w:val="0"/>
                  <w:vAlign w:val="center"/>
                </w:tcPr>
                <w:p w14:paraId="047B9078">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788" w:type="pct"/>
                  <w:tcBorders>
                    <w:tl2br w:val="nil"/>
                    <w:tr2bl w:val="nil"/>
                  </w:tcBorders>
                  <w:noWrap w:val="0"/>
                  <w:vAlign w:val="center"/>
                </w:tcPr>
                <w:p w14:paraId="663486DF">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65/55</w:t>
                  </w:r>
                </w:p>
              </w:tc>
              <w:tc>
                <w:tcPr>
                  <w:tcW w:w="646" w:type="pct"/>
                  <w:tcBorders>
                    <w:tl2br w:val="nil"/>
                    <w:tr2bl w:val="nil"/>
                  </w:tcBorders>
                  <w:noWrap w:val="0"/>
                  <w:vAlign w:val="center"/>
                </w:tcPr>
                <w:p w14:paraId="24DB4CE5">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达标</w:t>
                  </w:r>
                </w:p>
              </w:tc>
            </w:tr>
            <w:tr w14:paraId="34D98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24" w:type="pct"/>
                  <w:tcBorders>
                    <w:tl2br w:val="nil"/>
                    <w:tr2bl w:val="nil"/>
                  </w:tcBorders>
                  <w:noWrap w:val="0"/>
                  <w:vAlign w:val="center"/>
                </w:tcPr>
                <w:p w14:paraId="7854D084">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default" w:ascii="Times New Roman" w:hAnsi="Times New Roman" w:cs="Times New Roman"/>
                      <w:b w:val="0"/>
                      <w:bCs w:val="0"/>
                      <w:sz w:val="21"/>
                      <w:szCs w:val="21"/>
                      <w:vertAlign w:val="baseline"/>
                      <w:lang w:val="en-US" w:eastAsia="zh-CN"/>
                    </w:rPr>
                    <w:t>西</w:t>
                  </w:r>
                  <w:r>
                    <w:rPr>
                      <w:rFonts w:hint="eastAsia" w:ascii="Times New Roman" w:hAnsi="Times New Roman" w:cs="Times New Roman"/>
                      <w:b w:val="0"/>
                      <w:bCs w:val="0"/>
                      <w:sz w:val="21"/>
                      <w:szCs w:val="21"/>
                      <w:vertAlign w:val="baseline"/>
                      <w:lang w:val="en-US" w:eastAsia="zh-CN"/>
                    </w:rPr>
                    <w:t>厂界</w:t>
                  </w:r>
                </w:p>
              </w:tc>
              <w:tc>
                <w:tcPr>
                  <w:tcW w:w="1123" w:type="pct"/>
                  <w:tcBorders>
                    <w:tl2br w:val="nil"/>
                    <w:tr2bl w:val="nil"/>
                  </w:tcBorders>
                  <w:noWrap w:val="0"/>
                  <w:vAlign w:val="center"/>
                </w:tcPr>
                <w:p w14:paraId="2D0093F1">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29.2</w:t>
                  </w:r>
                </w:p>
              </w:tc>
              <w:tc>
                <w:tcPr>
                  <w:tcW w:w="805" w:type="pct"/>
                  <w:tcBorders>
                    <w:tl2br w:val="nil"/>
                    <w:tr2bl w:val="nil"/>
                  </w:tcBorders>
                  <w:noWrap w:val="0"/>
                  <w:vAlign w:val="center"/>
                </w:tcPr>
                <w:p w14:paraId="3E1B2DA7">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1010" w:type="pct"/>
                  <w:tcBorders>
                    <w:tl2br w:val="nil"/>
                    <w:tr2bl w:val="nil"/>
                  </w:tcBorders>
                  <w:noWrap w:val="0"/>
                  <w:vAlign w:val="center"/>
                </w:tcPr>
                <w:p w14:paraId="2766791D">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788" w:type="pct"/>
                  <w:tcBorders>
                    <w:tl2br w:val="nil"/>
                    <w:tr2bl w:val="nil"/>
                  </w:tcBorders>
                  <w:noWrap w:val="0"/>
                  <w:vAlign w:val="center"/>
                </w:tcPr>
                <w:p w14:paraId="5775D2C5">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65/55</w:t>
                  </w:r>
                </w:p>
              </w:tc>
              <w:tc>
                <w:tcPr>
                  <w:tcW w:w="646" w:type="pct"/>
                  <w:tcBorders>
                    <w:tl2br w:val="nil"/>
                    <w:tr2bl w:val="nil"/>
                  </w:tcBorders>
                  <w:noWrap w:val="0"/>
                  <w:vAlign w:val="center"/>
                </w:tcPr>
                <w:p w14:paraId="4208A26A">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达标</w:t>
                  </w:r>
                </w:p>
              </w:tc>
            </w:tr>
            <w:tr w14:paraId="587F7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24" w:type="pct"/>
                  <w:tcBorders>
                    <w:tl2br w:val="nil"/>
                    <w:tr2bl w:val="nil"/>
                  </w:tcBorders>
                  <w:noWrap w:val="0"/>
                  <w:vAlign w:val="center"/>
                </w:tcPr>
                <w:p w14:paraId="27A057FA">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default" w:ascii="Times New Roman" w:hAnsi="Times New Roman" w:cs="Times New Roman"/>
                      <w:b w:val="0"/>
                      <w:bCs w:val="0"/>
                      <w:sz w:val="21"/>
                      <w:szCs w:val="21"/>
                      <w:vertAlign w:val="baseline"/>
                      <w:lang w:val="en-US" w:eastAsia="zh-CN"/>
                    </w:rPr>
                    <w:t>北</w:t>
                  </w:r>
                  <w:r>
                    <w:rPr>
                      <w:rFonts w:hint="eastAsia" w:ascii="Times New Roman" w:hAnsi="Times New Roman" w:cs="Times New Roman"/>
                      <w:b w:val="0"/>
                      <w:bCs w:val="0"/>
                      <w:sz w:val="21"/>
                      <w:szCs w:val="21"/>
                      <w:vertAlign w:val="baseline"/>
                      <w:lang w:val="en-US" w:eastAsia="zh-CN"/>
                    </w:rPr>
                    <w:t>厂界</w:t>
                  </w:r>
                </w:p>
              </w:tc>
              <w:tc>
                <w:tcPr>
                  <w:tcW w:w="1123" w:type="pct"/>
                  <w:tcBorders>
                    <w:tl2br w:val="nil"/>
                    <w:tr2bl w:val="nil"/>
                  </w:tcBorders>
                  <w:noWrap w:val="0"/>
                  <w:vAlign w:val="center"/>
                </w:tcPr>
                <w:p w14:paraId="1C668E3C">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36.3</w:t>
                  </w:r>
                </w:p>
              </w:tc>
              <w:tc>
                <w:tcPr>
                  <w:tcW w:w="805" w:type="pct"/>
                  <w:tcBorders>
                    <w:tl2br w:val="nil"/>
                    <w:tr2bl w:val="nil"/>
                  </w:tcBorders>
                  <w:noWrap w:val="0"/>
                  <w:vAlign w:val="center"/>
                </w:tcPr>
                <w:p w14:paraId="17A758A0">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1010" w:type="pct"/>
                  <w:tcBorders>
                    <w:tl2br w:val="nil"/>
                    <w:tr2bl w:val="nil"/>
                  </w:tcBorders>
                  <w:noWrap w:val="0"/>
                  <w:vAlign w:val="center"/>
                </w:tcPr>
                <w:p w14:paraId="6A9DCD14">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w:t>
                  </w:r>
                </w:p>
              </w:tc>
              <w:tc>
                <w:tcPr>
                  <w:tcW w:w="788" w:type="pct"/>
                  <w:tcBorders>
                    <w:tl2br w:val="nil"/>
                    <w:tr2bl w:val="nil"/>
                  </w:tcBorders>
                  <w:noWrap w:val="0"/>
                  <w:vAlign w:val="center"/>
                </w:tcPr>
                <w:p w14:paraId="53D09806">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65/55</w:t>
                  </w:r>
                </w:p>
              </w:tc>
              <w:tc>
                <w:tcPr>
                  <w:tcW w:w="646" w:type="pct"/>
                  <w:tcBorders>
                    <w:tl2br w:val="nil"/>
                    <w:tr2bl w:val="nil"/>
                  </w:tcBorders>
                  <w:noWrap w:val="0"/>
                  <w:vAlign w:val="center"/>
                </w:tcPr>
                <w:p w14:paraId="5739FEF5">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达标</w:t>
                  </w:r>
                </w:p>
              </w:tc>
            </w:tr>
            <w:tr w14:paraId="4E4D8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24" w:type="pct"/>
                  <w:tcBorders>
                    <w:tl2br w:val="nil"/>
                    <w:tr2bl w:val="nil"/>
                  </w:tcBorders>
                  <w:noWrap w:val="0"/>
                  <w:vAlign w:val="center"/>
                </w:tcPr>
                <w:p w14:paraId="08CF5D6A">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default" w:ascii="Times New Roman" w:hAnsi="Times New Roman" w:cs="Times New Roman"/>
                      <w:b w:val="0"/>
                      <w:bCs w:val="0"/>
                      <w:sz w:val="21"/>
                      <w:szCs w:val="21"/>
                      <w:vertAlign w:val="baseline"/>
                      <w:lang w:val="en-US" w:eastAsia="zh-CN"/>
                    </w:rPr>
                    <w:t>焦岗村</w:t>
                  </w:r>
                </w:p>
              </w:tc>
              <w:tc>
                <w:tcPr>
                  <w:tcW w:w="1123" w:type="pct"/>
                  <w:tcBorders>
                    <w:tl2br w:val="nil"/>
                    <w:tr2bl w:val="nil"/>
                  </w:tcBorders>
                  <w:noWrap w:val="0"/>
                  <w:vAlign w:val="center"/>
                </w:tcPr>
                <w:p w14:paraId="02FE4D93">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ascii="Times New Roman" w:hAnsi="Times New Roman" w:cs="Times New Roman"/>
                      <w:b w:val="0"/>
                      <w:bCs w:val="0"/>
                      <w:sz w:val="21"/>
                      <w:szCs w:val="21"/>
                      <w:vertAlign w:val="baseline"/>
                      <w:lang w:val="en-US" w:eastAsia="zh-CN"/>
                    </w:rPr>
                    <w:t>10.8</w:t>
                  </w:r>
                </w:p>
              </w:tc>
              <w:tc>
                <w:tcPr>
                  <w:tcW w:w="805" w:type="pct"/>
                  <w:tcBorders>
                    <w:tl2br w:val="nil"/>
                    <w:tr2bl w:val="nil"/>
                  </w:tcBorders>
                  <w:noWrap w:val="0"/>
                  <w:vAlign w:val="center"/>
                </w:tcPr>
                <w:p w14:paraId="0006B0ED">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cs="Times New Roman"/>
                      <w:b w:val="0"/>
                      <w:bCs w:val="0"/>
                      <w:sz w:val="21"/>
                      <w:szCs w:val="21"/>
                      <w:vertAlign w:val="baseline"/>
                      <w:lang w:val="en-US" w:eastAsia="zh-CN"/>
                    </w:rPr>
                    <w:t>54/43</w:t>
                  </w:r>
                </w:p>
              </w:tc>
              <w:tc>
                <w:tcPr>
                  <w:tcW w:w="1010" w:type="pct"/>
                  <w:tcBorders>
                    <w:tl2br w:val="nil"/>
                    <w:tr2bl w:val="nil"/>
                  </w:tcBorders>
                  <w:noWrap w:val="0"/>
                  <w:vAlign w:val="center"/>
                </w:tcPr>
                <w:p w14:paraId="4264E4CA">
                  <w:pPr>
                    <w:pStyle w:val="38"/>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ascii="Times New Roman" w:hAnsi="Times New Roman" w:cs="Times New Roman"/>
                      <w:b w:val="0"/>
                      <w:bCs w:val="0"/>
                      <w:sz w:val="21"/>
                      <w:szCs w:val="21"/>
                      <w:vertAlign w:val="baseline"/>
                      <w:lang w:val="en-US" w:eastAsia="zh-CN"/>
                    </w:rPr>
                  </w:pPr>
                  <w:r>
                    <w:rPr>
                      <w:rFonts w:hint="eastAsia" w:cs="Times New Roman"/>
                      <w:b w:val="0"/>
                      <w:bCs w:val="0"/>
                      <w:sz w:val="21"/>
                      <w:szCs w:val="21"/>
                      <w:vertAlign w:val="baseline"/>
                      <w:lang w:val="en-US" w:eastAsia="zh-CN"/>
                    </w:rPr>
                    <w:t>54/43</w:t>
                  </w:r>
                </w:p>
              </w:tc>
              <w:tc>
                <w:tcPr>
                  <w:tcW w:w="788" w:type="pct"/>
                  <w:tcBorders>
                    <w:tl2br w:val="nil"/>
                    <w:tr2bl w:val="nil"/>
                  </w:tcBorders>
                  <w:noWrap w:val="0"/>
                  <w:vAlign w:val="center"/>
                </w:tcPr>
                <w:p w14:paraId="3BBC5A3C">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60/50</w:t>
                  </w:r>
                </w:p>
              </w:tc>
              <w:tc>
                <w:tcPr>
                  <w:tcW w:w="646" w:type="pct"/>
                  <w:tcBorders>
                    <w:tl2br w:val="nil"/>
                    <w:tr2bl w:val="nil"/>
                  </w:tcBorders>
                  <w:noWrap w:val="0"/>
                  <w:vAlign w:val="center"/>
                </w:tcPr>
                <w:p w14:paraId="06278F4A">
                  <w:pPr>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Times New Roman" w:hAnsi="Times New Roman" w:eastAsia="宋体" w:cs="Times New Roman"/>
                      <w:b w:val="0"/>
                      <w:bCs w:val="0"/>
                      <w:i w:val="0"/>
                      <w:iCs w:val="0"/>
                      <w:color w:val="000000"/>
                      <w:kern w:val="0"/>
                      <w:sz w:val="21"/>
                      <w:szCs w:val="21"/>
                      <w:u w:val="none"/>
                      <w:lang w:val="en-US" w:eastAsia="zh-CN" w:bidi="ar"/>
                    </w:rPr>
                  </w:pPr>
                  <w:r>
                    <w:rPr>
                      <w:rFonts w:hint="eastAsia" w:ascii="Times New Roman" w:hAnsi="Times New Roman" w:eastAsia="宋体" w:cs="Times New Roman"/>
                      <w:b w:val="0"/>
                      <w:bCs w:val="0"/>
                      <w:i w:val="0"/>
                      <w:iCs w:val="0"/>
                      <w:color w:val="000000"/>
                      <w:kern w:val="0"/>
                      <w:sz w:val="21"/>
                      <w:szCs w:val="21"/>
                      <w:u w:val="none"/>
                      <w:lang w:val="en-US" w:eastAsia="zh-CN" w:bidi="ar"/>
                    </w:rPr>
                    <w:t>达标</w:t>
                  </w:r>
                </w:p>
              </w:tc>
            </w:tr>
          </w:tbl>
          <w:p w14:paraId="63F4ABE6">
            <w:pPr>
              <w:pStyle w:val="96"/>
              <w:keepNext w:val="0"/>
              <w:keepLines w:val="0"/>
              <w:pageBreakBefore w:val="0"/>
              <w:widowControl w:val="0"/>
              <w:kinsoku/>
              <w:wordWrap/>
              <w:overflowPunct/>
              <w:topLinePunct w:val="0"/>
              <w:autoSpaceDE/>
              <w:autoSpaceDN/>
              <w:bidi w:val="0"/>
              <w:adjustRightInd w:val="0"/>
              <w:snapToGrid w:val="0"/>
              <w:spacing w:before="157" w:beforeLines="50"/>
              <w:ind w:firstLine="480"/>
              <w:textAlignment w:val="baseline"/>
              <w:rPr>
                <w:b w:val="0"/>
                <w:bCs w:val="0"/>
                <w:color w:val="auto"/>
              </w:rPr>
            </w:pPr>
            <w:r>
              <w:rPr>
                <w:b w:val="0"/>
                <w:bCs w:val="0"/>
                <w:color w:val="auto"/>
              </w:rPr>
              <w:t>本项目在采取环评规定的治理措施的情况下，各厂界</w:t>
            </w:r>
            <w:r>
              <w:rPr>
                <w:rFonts w:hint="eastAsia"/>
                <w:b w:val="0"/>
                <w:bCs w:val="0"/>
                <w:color w:val="auto"/>
                <w:lang w:val="en-US" w:eastAsia="zh-CN"/>
              </w:rPr>
              <w:t>贡献</w:t>
            </w:r>
            <w:r>
              <w:rPr>
                <w:b w:val="0"/>
                <w:bCs w:val="0"/>
                <w:color w:val="auto"/>
              </w:rPr>
              <w:t>值能够满足《工业企业厂界环境噪声排放标准》（GB12348-2008）中的3类标准要求</w:t>
            </w:r>
            <w:r>
              <w:rPr>
                <w:rFonts w:hint="eastAsia"/>
                <w:b w:val="0"/>
                <w:bCs w:val="0"/>
                <w:color w:val="auto"/>
                <w:lang w:eastAsia="zh-CN"/>
              </w:rPr>
              <w:t>，</w:t>
            </w:r>
            <w:r>
              <w:rPr>
                <w:rFonts w:hint="eastAsia"/>
                <w:b w:val="0"/>
                <w:bCs w:val="0"/>
                <w:color w:val="auto"/>
                <w:lang w:val="en-US" w:eastAsia="zh-CN"/>
              </w:rPr>
              <w:t>周边敏感点预测值能满足《声环境质量标准》（GB3096-2008）2类标准</w:t>
            </w:r>
            <w:r>
              <w:rPr>
                <w:b w:val="0"/>
                <w:bCs w:val="0"/>
                <w:color w:val="auto"/>
              </w:rPr>
              <w:t>要求</w:t>
            </w:r>
            <w:r>
              <w:rPr>
                <w:rFonts w:hint="eastAsia"/>
                <w:b w:val="0"/>
                <w:bCs w:val="0"/>
                <w:color w:val="auto"/>
                <w:lang w:val="en-US" w:eastAsia="zh-CN"/>
              </w:rPr>
              <w:t>，项目建设对周边声环境影响较小</w:t>
            </w:r>
            <w:r>
              <w:rPr>
                <w:b w:val="0"/>
                <w:bCs w:val="0"/>
                <w:color w:val="auto"/>
              </w:rPr>
              <w:t>。</w:t>
            </w:r>
          </w:p>
          <w:p w14:paraId="4B602D83">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default" w:ascii="Times New Roman" w:hAnsi="Times New Roman" w:eastAsia="宋体" w:cs="Times New Roman"/>
                <w:b/>
                <w:bCs w:val="0"/>
                <w:spacing w:val="-7"/>
                <w:kern w:val="2"/>
                <w:sz w:val="24"/>
                <w:szCs w:val="24"/>
                <w:highlight w:val="none"/>
                <w:u w:val="none"/>
                <w:lang w:val="en-US" w:eastAsia="zh-CN" w:bidi="ar-SA"/>
              </w:rPr>
            </w:pPr>
            <w:r>
              <w:rPr>
                <w:rFonts w:hint="default" w:ascii="Times New Roman" w:hAnsi="Times New Roman" w:eastAsia="宋体" w:cs="Times New Roman"/>
                <w:b/>
                <w:bCs w:val="0"/>
                <w:spacing w:val="-7"/>
                <w:kern w:val="2"/>
                <w:sz w:val="24"/>
                <w:szCs w:val="24"/>
                <w:highlight w:val="none"/>
                <w:u w:val="none"/>
                <w:lang w:val="en-US" w:eastAsia="zh-CN" w:bidi="ar-SA"/>
              </w:rPr>
              <w:t>3.3自行监测计划</w:t>
            </w:r>
          </w:p>
          <w:p w14:paraId="5B2E8DA0">
            <w:pPr>
              <w:pStyle w:val="96"/>
              <w:ind w:firstLine="480"/>
              <w:rPr>
                <w:b w:val="0"/>
                <w:bCs w:val="0"/>
                <w:color w:val="auto"/>
              </w:rPr>
            </w:pPr>
            <w:r>
              <w:rPr>
                <w:b w:val="0"/>
                <w:bCs w:val="0"/>
                <w:color w:val="auto"/>
              </w:rPr>
              <w:t>按照《排污单位自行监测技术指南 总则》（HJ819-2017）</w:t>
            </w:r>
            <w:r>
              <w:rPr>
                <w:rFonts w:hint="eastAsia"/>
                <w:b w:val="0"/>
                <w:bCs w:val="0"/>
                <w:color w:val="auto"/>
                <w:lang w:val="en-US" w:eastAsia="zh-CN"/>
              </w:rPr>
              <w:t>及</w:t>
            </w:r>
            <w:r>
              <w:rPr>
                <w:rFonts w:hint="eastAsia" w:ascii="Times New Roman" w:hAnsi="Times New Roman" w:eastAsia="宋体" w:cs="Times New Roman"/>
                <w:b w:val="0"/>
                <w:bCs w:val="0"/>
                <w:snapToGrid w:val="0"/>
                <w:color w:val="auto"/>
                <w:spacing w:val="0"/>
                <w:kern w:val="0"/>
                <w:szCs w:val="24"/>
                <w:lang w:val="zh-CN" w:eastAsia="zh-CN"/>
              </w:rPr>
              <w:t>《排污许可证申请与核发技术规范  工业噪声》</w:t>
            </w:r>
            <w:r>
              <w:rPr>
                <w:b w:val="0"/>
                <w:bCs w:val="0"/>
                <w:color w:val="auto"/>
              </w:rPr>
              <w:t>（HJ</w:t>
            </w:r>
            <w:r>
              <w:rPr>
                <w:rFonts w:hint="eastAsia"/>
                <w:b w:val="0"/>
                <w:bCs w:val="0"/>
                <w:color w:val="auto"/>
                <w:lang w:val="en-US" w:eastAsia="zh-CN"/>
              </w:rPr>
              <w:t>1301</w:t>
            </w:r>
            <w:r>
              <w:rPr>
                <w:b w:val="0"/>
                <w:bCs w:val="0"/>
                <w:color w:val="auto"/>
              </w:rPr>
              <w:t>-</w:t>
            </w:r>
            <w:r>
              <w:rPr>
                <w:rFonts w:hint="eastAsia"/>
                <w:b w:val="0"/>
                <w:bCs w:val="0"/>
                <w:color w:val="auto"/>
                <w:lang w:val="en-US" w:eastAsia="zh-CN"/>
              </w:rPr>
              <w:t>2023</w:t>
            </w:r>
            <w:r>
              <w:rPr>
                <w:b w:val="0"/>
                <w:bCs w:val="0"/>
                <w:color w:val="auto"/>
              </w:rPr>
              <w:t>）中的监测要求，投产后本项目噪声例行监测计划如下：</w:t>
            </w:r>
          </w:p>
          <w:p w14:paraId="4EE08C3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u w:val="none"/>
                <w:lang w:val="en-US" w:eastAsia="zh-CN" w:bidi="ar-SA"/>
              </w:rPr>
            </w:pPr>
            <w:r>
              <w:rPr>
                <w:rFonts w:hint="eastAsia" w:ascii="Times New Roman" w:hAnsi="Times New Roman" w:eastAsia="宋体" w:cs="Times New Roman"/>
                <w:b/>
                <w:bCs/>
                <w:snapToGrid w:val="0"/>
                <w:color w:val="auto"/>
                <w:kern w:val="0"/>
                <w:sz w:val="24"/>
                <w:szCs w:val="24"/>
                <w:u w:val="none"/>
                <w:lang w:val="en-US" w:eastAsia="zh-CN" w:bidi="ar-SA"/>
              </w:rPr>
              <w:t>表4-1</w:t>
            </w:r>
            <w:r>
              <w:rPr>
                <w:rFonts w:hint="eastAsia" w:cs="Times New Roman"/>
                <w:b/>
                <w:bCs/>
                <w:snapToGrid w:val="0"/>
                <w:color w:val="auto"/>
                <w:kern w:val="0"/>
                <w:sz w:val="24"/>
                <w:szCs w:val="24"/>
                <w:u w:val="none"/>
                <w:lang w:val="en-US" w:eastAsia="zh-CN" w:bidi="ar-SA"/>
              </w:rPr>
              <w:t>5</w:t>
            </w:r>
            <w:r>
              <w:rPr>
                <w:rFonts w:hint="eastAsia" w:ascii="Times New Roman" w:hAnsi="Times New Roman" w:eastAsia="宋体" w:cs="Times New Roman"/>
                <w:b/>
                <w:bCs/>
                <w:snapToGrid w:val="0"/>
                <w:color w:val="auto"/>
                <w:kern w:val="0"/>
                <w:sz w:val="24"/>
                <w:szCs w:val="24"/>
                <w:u w:val="none"/>
                <w:lang w:val="en-US" w:eastAsia="zh-CN" w:bidi="ar-SA"/>
              </w:rPr>
              <w:t xml:space="preserve">    </w:t>
            </w:r>
            <w:r>
              <w:rPr>
                <w:rFonts w:hint="eastAsia" w:cs="Times New Roman"/>
                <w:b/>
                <w:bCs/>
                <w:snapToGrid w:val="0"/>
                <w:color w:val="auto"/>
                <w:kern w:val="0"/>
                <w:sz w:val="24"/>
                <w:szCs w:val="24"/>
                <w:u w:val="none"/>
                <w:lang w:val="en-US" w:eastAsia="zh-CN" w:bidi="ar-SA"/>
              </w:rPr>
              <w:t xml:space="preserve"> </w:t>
            </w:r>
            <w:r>
              <w:rPr>
                <w:rFonts w:hint="eastAsia" w:ascii="Times New Roman" w:hAnsi="Times New Roman" w:eastAsia="宋体" w:cs="Times New Roman"/>
                <w:b/>
                <w:bCs/>
                <w:snapToGrid w:val="0"/>
                <w:color w:val="auto"/>
                <w:kern w:val="0"/>
                <w:sz w:val="24"/>
                <w:szCs w:val="24"/>
                <w:u w:val="none"/>
                <w:lang w:val="en-US" w:eastAsia="zh-CN" w:bidi="ar-SA"/>
              </w:rPr>
              <w:t xml:space="preserve"> 本项目噪声监测计划一览表</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72"/>
              <w:gridCol w:w="2053"/>
              <w:gridCol w:w="2048"/>
              <w:gridCol w:w="1641"/>
              <w:gridCol w:w="1641"/>
            </w:tblGrid>
            <w:tr w14:paraId="3F4144F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9" w:hRule="atLeast"/>
                <w:jc w:val="center"/>
              </w:trPr>
              <w:tc>
                <w:tcPr>
                  <w:tcW w:w="872" w:type="dxa"/>
                  <w:tcBorders>
                    <w:tl2br w:val="nil"/>
                    <w:tr2bl w:val="nil"/>
                  </w:tcBorders>
                  <w:noWrap w:val="0"/>
                  <w:vAlign w:val="center"/>
                </w:tcPr>
                <w:p w14:paraId="128EC28B">
                  <w:pPr>
                    <w:tabs>
                      <w:tab w:val="left" w:pos="360"/>
                    </w:tabs>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类别</w:t>
                  </w:r>
                </w:p>
              </w:tc>
              <w:tc>
                <w:tcPr>
                  <w:tcW w:w="2053" w:type="dxa"/>
                  <w:tcBorders>
                    <w:tl2br w:val="nil"/>
                    <w:tr2bl w:val="nil"/>
                  </w:tcBorders>
                  <w:noWrap w:val="0"/>
                  <w:vAlign w:val="center"/>
                </w:tcPr>
                <w:p w14:paraId="110E7C26">
                  <w:pPr>
                    <w:tabs>
                      <w:tab w:val="left" w:pos="360"/>
                    </w:tabs>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监测点位置</w:t>
                  </w:r>
                </w:p>
              </w:tc>
              <w:tc>
                <w:tcPr>
                  <w:tcW w:w="2048" w:type="dxa"/>
                  <w:tcBorders>
                    <w:tl2br w:val="nil"/>
                    <w:tr2bl w:val="nil"/>
                  </w:tcBorders>
                  <w:noWrap w:val="0"/>
                  <w:vAlign w:val="center"/>
                </w:tcPr>
                <w:p w14:paraId="49AAFAC2">
                  <w:pPr>
                    <w:tabs>
                      <w:tab w:val="left" w:pos="360"/>
                    </w:tabs>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监测因子</w:t>
                  </w:r>
                </w:p>
              </w:tc>
              <w:tc>
                <w:tcPr>
                  <w:tcW w:w="1641" w:type="dxa"/>
                  <w:tcBorders>
                    <w:tl2br w:val="nil"/>
                    <w:tr2bl w:val="nil"/>
                  </w:tcBorders>
                  <w:noWrap w:val="0"/>
                  <w:vAlign w:val="center"/>
                </w:tcPr>
                <w:p w14:paraId="03AE1F0D">
                  <w:pPr>
                    <w:tabs>
                      <w:tab w:val="left" w:pos="360"/>
                    </w:tabs>
                    <w:autoSpaceDE w:val="0"/>
                    <w:autoSpaceDN w:val="0"/>
                    <w:adjustRightInd w:val="0"/>
                    <w:spacing w:line="240" w:lineRule="atLeast"/>
                    <w:jc w:val="center"/>
                    <w:rPr>
                      <w:rFonts w:hint="default" w:eastAsia="宋体"/>
                      <w:b w:val="0"/>
                      <w:bCs w:val="0"/>
                      <w:snapToGrid w:val="0"/>
                      <w:color w:val="auto"/>
                      <w:kern w:val="0"/>
                      <w:szCs w:val="21"/>
                      <w:u w:val="none"/>
                      <w:lang w:val="en-US" w:eastAsia="zh-CN"/>
                    </w:rPr>
                  </w:pPr>
                  <w:r>
                    <w:rPr>
                      <w:rFonts w:hint="eastAsia"/>
                      <w:b w:val="0"/>
                      <w:bCs w:val="0"/>
                      <w:snapToGrid w:val="0"/>
                      <w:color w:val="auto"/>
                      <w:kern w:val="0"/>
                      <w:szCs w:val="21"/>
                      <w:u w:val="none"/>
                      <w:lang w:val="en-US" w:eastAsia="zh-CN"/>
                    </w:rPr>
                    <w:t>监测时段</w:t>
                  </w:r>
                </w:p>
              </w:tc>
              <w:tc>
                <w:tcPr>
                  <w:tcW w:w="1641" w:type="dxa"/>
                  <w:tcBorders>
                    <w:tl2br w:val="nil"/>
                    <w:tr2bl w:val="nil"/>
                  </w:tcBorders>
                  <w:noWrap w:val="0"/>
                  <w:vAlign w:val="center"/>
                </w:tcPr>
                <w:p w14:paraId="1B83B63C">
                  <w:pPr>
                    <w:tabs>
                      <w:tab w:val="left" w:pos="360"/>
                    </w:tabs>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监测频率</w:t>
                  </w:r>
                </w:p>
              </w:tc>
            </w:tr>
            <w:tr w14:paraId="7183346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872" w:type="dxa"/>
                  <w:tcBorders>
                    <w:tl2br w:val="nil"/>
                    <w:tr2bl w:val="nil"/>
                  </w:tcBorders>
                  <w:noWrap w:val="0"/>
                  <w:vAlign w:val="center"/>
                </w:tcPr>
                <w:p w14:paraId="5C8E7675">
                  <w:pPr>
                    <w:tabs>
                      <w:tab w:val="left" w:pos="360"/>
                    </w:tabs>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噪声</w:t>
                  </w:r>
                </w:p>
              </w:tc>
              <w:tc>
                <w:tcPr>
                  <w:tcW w:w="2053" w:type="dxa"/>
                  <w:tcBorders>
                    <w:tl2br w:val="nil"/>
                    <w:tr2bl w:val="nil"/>
                  </w:tcBorders>
                  <w:noWrap w:val="0"/>
                  <w:vAlign w:val="center"/>
                </w:tcPr>
                <w:p w14:paraId="2E2C1063">
                  <w:pPr>
                    <w:tabs>
                      <w:tab w:val="left" w:pos="360"/>
                    </w:tabs>
                    <w:autoSpaceDE w:val="0"/>
                    <w:autoSpaceDN w:val="0"/>
                    <w:adjustRightInd w:val="0"/>
                    <w:spacing w:line="240" w:lineRule="atLeast"/>
                    <w:jc w:val="center"/>
                    <w:rPr>
                      <w:rFonts w:hint="eastAsia" w:eastAsia="宋体"/>
                      <w:b w:val="0"/>
                      <w:bCs w:val="0"/>
                      <w:snapToGrid w:val="0"/>
                      <w:color w:val="auto"/>
                      <w:kern w:val="0"/>
                      <w:szCs w:val="21"/>
                      <w:u w:val="none"/>
                      <w:lang w:eastAsia="zh-CN"/>
                    </w:rPr>
                  </w:pPr>
                  <w:r>
                    <w:rPr>
                      <w:b w:val="0"/>
                      <w:bCs w:val="0"/>
                      <w:snapToGrid w:val="0"/>
                      <w:color w:val="auto"/>
                      <w:kern w:val="0"/>
                      <w:szCs w:val="21"/>
                      <w:u w:val="none"/>
                    </w:rPr>
                    <w:t>厂界四周（厂界外1m）</w:t>
                  </w:r>
                </w:p>
              </w:tc>
              <w:tc>
                <w:tcPr>
                  <w:tcW w:w="2048" w:type="dxa"/>
                  <w:tcBorders>
                    <w:tl2br w:val="nil"/>
                    <w:tr2bl w:val="nil"/>
                  </w:tcBorders>
                  <w:noWrap w:val="0"/>
                  <w:vAlign w:val="center"/>
                </w:tcPr>
                <w:p w14:paraId="7241FE7C">
                  <w:pPr>
                    <w:tabs>
                      <w:tab w:val="left" w:pos="360"/>
                    </w:tabs>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等效连续A声级</w:t>
                  </w:r>
                </w:p>
              </w:tc>
              <w:tc>
                <w:tcPr>
                  <w:tcW w:w="1641" w:type="dxa"/>
                  <w:tcBorders>
                    <w:tl2br w:val="nil"/>
                    <w:tr2bl w:val="nil"/>
                  </w:tcBorders>
                  <w:noWrap w:val="0"/>
                  <w:vAlign w:val="center"/>
                </w:tcPr>
                <w:p w14:paraId="03508ECB">
                  <w:pPr>
                    <w:tabs>
                      <w:tab w:val="left" w:pos="360"/>
                    </w:tabs>
                    <w:autoSpaceDE w:val="0"/>
                    <w:autoSpaceDN w:val="0"/>
                    <w:adjustRightInd w:val="0"/>
                    <w:spacing w:line="240" w:lineRule="atLeast"/>
                    <w:jc w:val="center"/>
                    <w:rPr>
                      <w:rFonts w:hint="eastAsia" w:eastAsia="宋体"/>
                      <w:b w:val="0"/>
                      <w:bCs w:val="0"/>
                      <w:snapToGrid w:val="0"/>
                      <w:color w:val="auto"/>
                      <w:kern w:val="0"/>
                      <w:szCs w:val="21"/>
                      <w:u w:val="none"/>
                      <w:lang w:val="en-US" w:eastAsia="zh-CN"/>
                    </w:rPr>
                  </w:pPr>
                  <w:r>
                    <w:rPr>
                      <w:rFonts w:hint="eastAsia"/>
                      <w:b w:val="0"/>
                      <w:bCs w:val="0"/>
                      <w:snapToGrid w:val="0"/>
                      <w:color w:val="auto"/>
                      <w:kern w:val="0"/>
                      <w:szCs w:val="21"/>
                      <w:u w:val="none"/>
                      <w:lang w:val="en-US" w:eastAsia="zh-CN"/>
                    </w:rPr>
                    <w:t>昼夜</w:t>
                  </w:r>
                </w:p>
              </w:tc>
              <w:tc>
                <w:tcPr>
                  <w:tcW w:w="1641" w:type="dxa"/>
                  <w:tcBorders>
                    <w:tl2br w:val="nil"/>
                    <w:tr2bl w:val="nil"/>
                  </w:tcBorders>
                  <w:noWrap w:val="0"/>
                  <w:vAlign w:val="center"/>
                </w:tcPr>
                <w:p w14:paraId="2C7F54DD">
                  <w:pPr>
                    <w:autoSpaceDE w:val="0"/>
                    <w:autoSpaceDN w:val="0"/>
                    <w:adjustRightInd w:val="0"/>
                    <w:spacing w:line="240" w:lineRule="atLeast"/>
                    <w:jc w:val="center"/>
                    <w:rPr>
                      <w:b w:val="0"/>
                      <w:bCs w:val="0"/>
                      <w:snapToGrid w:val="0"/>
                      <w:color w:val="auto"/>
                      <w:kern w:val="0"/>
                      <w:szCs w:val="21"/>
                      <w:u w:val="none"/>
                    </w:rPr>
                  </w:pPr>
                  <w:r>
                    <w:rPr>
                      <w:b w:val="0"/>
                      <w:bCs w:val="0"/>
                      <w:snapToGrid w:val="0"/>
                      <w:color w:val="auto"/>
                      <w:kern w:val="0"/>
                      <w:szCs w:val="21"/>
                      <w:u w:val="none"/>
                    </w:rPr>
                    <w:t>每季度一次</w:t>
                  </w:r>
                </w:p>
              </w:tc>
            </w:tr>
          </w:tbl>
          <w:p w14:paraId="2CE6C067">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360" w:lineRule="auto"/>
              <w:textAlignment w:val="auto"/>
              <w:rPr>
                <w:rFonts w:hint="eastAsia" w:ascii="Times New Roman" w:hAnsi="Times New Roman" w:eastAsia="宋体" w:cs="Times New Roman"/>
                <w:b/>
                <w:bCs/>
                <w:color w:val="auto"/>
                <w:sz w:val="24"/>
                <w:szCs w:val="24"/>
                <w:lang w:val="en-US" w:eastAsia="zh-CN"/>
              </w:rPr>
            </w:pPr>
            <w:bookmarkStart w:id="98" w:name="_Toc8734"/>
            <w:bookmarkStart w:id="99" w:name="_Toc31483"/>
            <w:r>
              <w:rPr>
                <w:rFonts w:hint="eastAsia" w:ascii="Times New Roman" w:hAnsi="Times New Roman" w:eastAsia="宋体" w:cs="Times New Roman"/>
                <w:b/>
                <w:bCs/>
                <w:color w:val="auto"/>
                <w:sz w:val="24"/>
                <w:szCs w:val="24"/>
                <w:lang w:val="en-US" w:eastAsia="zh-CN"/>
              </w:rPr>
              <w:t>固体废物环境影响分析</w:t>
            </w:r>
            <w:bookmarkEnd w:id="98"/>
            <w:bookmarkEnd w:id="99"/>
          </w:p>
          <w:p w14:paraId="14385202">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default" w:ascii="Times New Roman" w:hAnsi="Times New Roman" w:eastAsia="宋体" w:cs="Times New Roman"/>
                <w:b/>
                <w:bCs w:val="0"/>
                <w:spacing w:val="-7"/>
                <w:kern w:val="2"/>
                <w:sz w:val="24"/>
                <w:szCs w:val="24"/>
                <w:highlight w:val="none"/>
                <w:u w:val="none"/>
                <w:lang w:val="en-US" w:eastAsia="zh-CN" w:bidi="ar-SA"/>
              </w:rPr>
            </w:pPr>
            <w:r>
              <w:rPr>
                <w:rFonts w:hint="default" w:ascii="Times New Roman" w:hAnsi="Times New Roman" w:eastAsia="宋体" w:cs="Times New Roman"/>
                <w:b/>
                <w:bCs w:val="0"/>
                <w:spacing w:val="-7"/>
                <w:kern w:val="2"/>
                <w:sz w:val="24"/>
                <w:szCs w:val="24"/>
                <w:highlight w:val="none"/>
                <w:u w:val="none"/>
                <w:lang w:val="en-US" w:eastAsia="zh-CN" w:bidi="ar-SA"/>
              </w:rPr>
              <w:t>4.1固废产生情况</w:t>
            </w:r>
          </w:p>
          <w:p w14:paraId="215C06DC">
            <w:pPr>
              <w:pStyle w:val="121"/>
              <w:ind w:firstLine="562"/>
              <w:rPr>
                <w:rFonts w:hint="default" w:ascii="Times New Roman" w:hAnsi="Times New Roman" w:eastAsia="宋体" w:cs="Times New Roman"/>
                <w:b w:val="0"/>
                <w:bCs w:val="0"/>
                <w:color w:val="auto"/>
                <w:kern w:val="0"/>
                <w:sz w:val="24"/>
                <w:szCs w:val="20"/>
                <w:lang w:val="en-US" w:eastAsia="zh-CN" w:bidi="ar-SA"/>
              </w:rPr>
            </w:pPr>
            <w:r>
              <w:rPr>
                <w:rFonts w:hint="eastAsia" w:ascii="Times New Roman" w:hAnsi="Times New Roman" w:eastAsia="宋体" w:cs="Times New Roman"/>
                <w:b w:val="0"/>
                <w:bCs w:val="0"/>
                <w:color w:val="auto"/>
                <w:kern w:val="0"/>
                <w:sz w:val="24"/>
                <w:szCs w:val="20"/>
                <w:lang w:val="en-US" w:eastAsia="zh-CN" w:bidi="ar-SA"/>
              </w:rPr>
              <w:t>本项目固体废物主要包含一般固体废物、危险废物及生活垃圾。</w:t>
            </w:r>
          </w:p>
          <w:p w14:paraId="26BDD35C">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rPr>
            </w:pPr>
            <w:r>
              <w:rPr>
                <w:rFonts w:hint="eastAsia"/>
                <w:b w:val="0"/>
                <w:bCs w:val="0"/>
                <w:color w:val="auto"/>
              </w:rPr>
              <w:t>（1）</w:t>
            </w:r>
            <w:r>
              <w:rPr>
                <w:b w:val="0"/>
                <w:bCs w:val="0"/>
                <w:color w:val="auto"/>
              </w:rPr>
              <w:t>生活垃圾</w:t>
            </w:r>
          </w:p>
          <w:p w14:paraId="4DC16E8A">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rPr>
            </w:pPr>
            <w:r>
              <w:rPr>
                <w:b w:val="0"/>
                <w:bCs w:val="0"/>
                <w:color w:val="auto"/>
              </w:rPr>
              <w:t>本项目劳动定员为</w:t>
            </w:r>
            <w:r>
              <w:rPr>
                <w:rFonts w:hint="eastAsia"/>
                <w:b w:val="0"/>
                <w:bCs w:val="0"/>
                <w:color w:val="auto"/>
                <w:lang w:val="en-US" w:eastAsia="zh-CN"/>
              </w:rPr>
              <w:t>100</w:t>
            </w:r>
            <w:r>
              <w:rPr>
                <w:b w:val="0"/>
                <w:bCs w:val="0"/>
                <w:color w:val="auto"/>
              </w:rPr>
              <w:t>人，</w:t>
            </w:r>
            <w:r>
              <w:rPr>
                <w:rFonts w:hint="eastAsia"/>
                <w:b w:val="0"/>
                <w:bCs w:val="0"/>
                <w:color w:val="auto"/>
              </w:rPr>
              <w:t>垃圾产生量按</w:t>
            </w:r>
            <w:r>
              <w:rPr>
                <w:b w:val="0"/>
                <w:bCs w:val="0"/>
                <w:color w:val="auto"/>
              </w:rPr>
              <w:t>0.5kg/（人·天）</w:t>
            </w:r>
            <w:r>
              <w:rPr>
                <w:rFonts w:hint="eastAsia"/>
                <w:b w:val="0"/>
                <w:bCs w:val="0"/>
                <w:color w:val="auto"/>
              </w:rPr>
              <w:t>计</w:t>
            </w:r>
            <w:r>
              <w:rPr>
                <w:b w:val="0"/>
                <w:bCs w:val="0"/>
                <w:color w:val="auto"/>
              </w:rPr>
              <w:t>，年工作按300天，则生活垃圾的产生量为</w:t>
            </w:r>
            <w:r>
              <w:rPr>
                <w:rFonts w:hint="eastAsia"/>
                <w:b w:val="0"/>
                <w:bCs w:val="0"/>
                <w:color w:val="auto"/>
                <w:lang w:val="en-US" w:eastAsia="zh-CN"/>
              </w:rPr>
              <w:t>15</w:t>
            </w:r>
            <w:r>
              <w:rPr>
                <w:b w:val="0"/>
                <w:bCs w:val="0"/>
                <w:color w:val="auto"/>
              </w:rPr>
              <w:t>t/a。项目设垃圾桶，对生活垃圾进行收集</w:t>
            </w:r>
            <w:r>
              <w:rPr>
                <w:rFonts w:hint="eastAsia"/>
                <w:b w:val="0"/>
                <w:bCs w:val="0"/>
                <w:color w:val="auto"/>
              </w:rPr>
              <w:t>后</w:t>
            </w:r>
            <w:r>
              <w:rPr>
                <w:b w:val="0"/>
                <w:bCs w:val="0"/>
                <w:color w:val="auto"/>
              </w:rPr>
              <w:t>定期交环卫部门清运处理。</w:t>
            </w:r>
          </w:p>
          <w:p w14:paraId="52F156F3">
            <w:pPr>
              <w:pStyle w:val="96"/>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baseline"/>
              <w:rPr>
                <w:rFonts w:hint="eastAsia"/>
                <w:b/>
                <w:bCs/>
                <w:color w:val="auto"/>
                <w:u w:val="single" w:color="auto"/>
                <w:lang w:val="en-US" w:eastAsia="zh-CN"/>
              </w:rPr>
            </w:pPr>
            <w:r>
              <w:rPr>
                <w:rFonts w:hint="eastAsia"/>
                <w:b/>
                <w:bCs/>
                <w:color w:val="auto"/>
                <w:u w:val="single" w:color="auto"/>
                <w:lang w:val="en-US" w:eastAsia="zh-CN"/>
              </w:rPr>
              <w:t>（2）一般固体废物</w:t>
            </w:r>
          </w:p>
          <w:p w14:paraId="6FB81E6A">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eastAsia" w:eastAsia="宋体"/>
                <w:b/>
                <w:bCs/>
                <w:color w:val="auto"/>
                <w:u w:val="single" w:color="auto"/>
                <w:lang w:eastAsia="zh-CN"/>
              </w:rPr>
            </w:pPr>
            <w:r>
              <w:rPr>
                <w:rFonts w:hint="eastAsia"/>
                <w:b/>
                <w:bCs/>
                <w:color w:val="auto"/>
                <w:u w:val="single" w:color="auto"/>
              </w:rPr>
              <w:fldChar w:fldCharType="begin"/>
            </w:r>
            <w:r>
              <w:rPr>
                <w:rFonts w:hint="eastAsia"/>
                <w:b/>
                <w:bCs/>
                <w:color w:val="auto"/>
                <w:u w:val="single" w:color="auto"/>
              </w:rPr>
              <w:instrText xml:space="preserve"> = 1 \* GB3 \* MERGEFORMAT </w:instrText>
            </w:r>
            <w:r>
              <w:rPr>
                <w:rFonts w:hint="eastAsia"/>
                <w:b/>
                <w:bCs/>
                <w:color w:val="auto"/>
                <w:u w:val="single" w:color="auto"/>
              </w:rPr>
              <w:fldChar w:fldCharType="separate"/>
            </w:r>
            <w:r>
              <w:rPr>
                <w:b/>
                <w:bCs/>
                <w:color w:val="auto"/>
                <w:u w:val="single" w:color="auto"/>
              </w:rPr>
              <w:t>①</w:t>
            </w:r>
            <w:r>
              <w:rPr>
                <w:rFonts w:hint="eastAsia"/>
                <w:b/>
                <w:bCs/>
                <w:color w:val="auto"/>
                <w:u w:val="single" w:color="auto"/>
              </w:rPr>
              <w:fldChar w:fldCharType="end"/>
            </w:r>
            <w:r>
              <w:rPr>
                <w:b/>
                <w:bCs/>
                <w:color w:val="auto"/>
                <w:u w:val="single" w:color="auto"/>
              </w:rPr>
              <w:t>废</w:t>
            </w:r>
            <w:r>
              <w:rPr>
                <w:rFonts w:hint="eastAsia"/>
                <w:b/>
                <w:bCs/>
                <w:color w:val="auto"/>
                <w:u w:val="single" w:color="auto"/>
                <w:lang w:val="en-US" w:eastAsia="zh-CN"/>
              </w:rPr>
              <w:t>原料</w:t>
            </w:r>
            <w:r>
              <w:rPr>
                <w:b/>
                <w:bCs/>
                <w:color w:val="auto"/>
                <w:u w:val="single" w:color="auto"/>
              </w:rPr>
              <w:t>包装</w:t>
            </w:r>
            <w:r>
              <w:rPr>
                <w:rFonts w:hint="eastAsia"/>
                <w:b/>
                <w:bCs/>
                <w:color w:val="auto"/>
                <w:u w:val="single" w:color="auto"/>
                <w:lang w:val="en-US" w:eastAsia="zh-CN"/>
              </w:rPr>
              <w:t>材料</w:t>
            </w:r>
          </w:p>
          <w:p w14:paraId="25459731">
            <w:pPr>
              <w:pStyle w:val="96"/>
              <w:keepNext w:val="0"/>
              <w:keepLines w:val="0"/>
              <w:pageBreakBefore w:val="0"/>
              <w:widowControl w:val="0"/>
              <w:kinsoku/>
              <w:wordWrap/>
              <w:overflowPunct/>
              <w:topLinePunct w:val="0"/>
              <w:autoSpaceDE/>
              <w:autoSpaceDN/>
              <w:bidi w:val="0"/>
              <w:adjustRightInd w:val="0"/>
              <w:snapToGrid w:val="0"/>
              <w:ind w:firstLine="462" w:firstLineChars="200"/>
              <w:textAlignment w:val="baseline"/>
              <w:rPr>
                <w:b/>
                <w:bCs/>
                <w:color w:val="auto"/>
                <w:szCs w:val="24"/>
                <w:u w:val="single" w:color="auto"/>
              </w:rPr>
            </w:pPr>
            <w:r>
              <w:rPr>
                <w:rFonts w:hint="eastAsia"/>
                <w:b/>
                <w:bCs/>
                <w:color w:val="auto"/>
                <w:spacing w:val="-5"/>
                <w:szCs w:val="24"/>
                <w:u w:val="single" w:color="auto"/>
              </w:rPr>
              <w:t>依据</w:t>
            </w:r>
            <w:r>
              <w:rPr>
                <w:rFonts w:hint="eastAsia"/>
                <w:b/>
                <w:bCs/>
                <w:color w:val="auto"/>
                <w:spacing w:val="-5"/>
                <w:szCs w:val="24"/>
                <w:u w:val="single" w:color="auto"/>
                <w:lang w:val="en-US" w:eastAsia="zh-CN"/>
              </w:rPr>
              <w:t>项目玻璃原片及</w:t>
            </w:r>
            <w:r>
              <w:rPr>
                <w:rFonts w:hint="eastAsia"/>
                <w:b/>
                <w:bCs/>
                <w:color w:val="auto"/>
                <w:spacing w:val="-5"/>
                <w:szCs w:val="24"/>
                <w:u w:val="single" w:color="auto"/>
              </w:rPr>
              <w:t>原料</w:t>
            </w:r>
            <w:r>
              <w:rPr>
                <w:rFonts w:hint="eastAsia"/>
                <w:b/>
                <w:bCs/>
                <w:color w:val="auto"/>
                <w:spacing w:val="-5"/>
                <w:szCs w:val="24"/>
                <w:u w:val="single" w:color="auto"/>
                <w:lang w:val="en-US" w:eastAsia="zh-CN"/>
              </w:rPr>
              <w:t>靶材等</w:t>
            </w:r>
            <w:r>
              <w:rPr>
                <w:rFonts w:hint="eastAsia"/>
                <w:b/>
                <w:bCs/>
                <w:color w:val="auto"/>
                <w:spacing w:val="-5"/>
                <w:szCs w:val="24"/>
                <w:u w:val="single" w:color="auto"/>
              </w:rPr>
              <w:t>使用情况，项目</w:t>
            </w:r>
            <w:r>
              <w:rPr>
                <w:b/>
                <w:bCs/>
                <w:color w:val="auto"/>
                <w:spacing w:val="-5"/>
                <w:szCs w:val="24"/>
                <w:u w:val="single" w:color="auto"/>
              </w:rPr>
              <w:t>废</w:t>
            </w:r>
            <w:r>
              <w:rPr>
                <w:rFonts w:hint="eastAsia"/>
                <w:b/>
                <w:bCs/>
                <w:color w:val="auto"/>
                <w:spacing w:val="-5"/>
                <w:szCs w:val="24"/>
                <w:u w:val="single" w:color="auto"/>
                <w:lang w:val="en-US" w:eastAsia="zh-CN"/>
              </w:rPr>
              <w:t>原料</w:t>
            </w:r>
            <w:r>
              <w:rPr>
                <w:b/>
                <w:bCs/>
                <w:color w:val="auto"/>
                <w:spacing w:val="-5"/>
                <w:szCs w:val="24"/>
                <w:u w:val="single" w:color="auto"/>
              </w:rPr>
              <w:t>包装</w:t>
            </w:r>
            <w:r>
              <w:rPr>
                <w:rFonts w:hint="eastAsia"/>
                <w:b/>
                <w:bCs/>
                <w:color w:val="auto"/>
                <w:spacing w:val="-5"/>
                <w:szCs w:val="24"/>
                <w:u w:val="single" w:color="auto"/>
                <w:lang w:val="en-US" w:eastAsia="zh-CN"/>
              </w:rPr>
              <w:t>材料</w:t>
            </w:r>
            <w:r>
              <w:rPr>
                <w:b/>
                <w:bCs/>
                <w:color w:val="auto"/>
                <w:spacing w:val="-5"/>
                <w:szCs w:val="24"/>
                <w:u w:val="single" w:color="auto"/>
              </w:rPr>
              <w:t>产生量约为</w:t>
            </w:r>
            <w:r>
              <w:rPr>
                <w:rFonts w:hint="eastAsia" w:eastAsia="宋体"/>
                <w:b/>
                <w:bCs/>
                <w:color w:val="auto"/>
                <w:spacing w:val="-5"/>
                <w:szCs w:val="24"/>
                <w:u w:val="single" w:color="auto"/>
                <w:lang w:val="en-US" w:eastAsia="zh-CN"/>
              </w:rPr>
              <w:t>3</w:t>
            </w:r>
            <w:r>
              <w:rPr>
                <w:rFonts w:eastAsia="Times New Roman"/>
                <w:b/>
                <w:bCs/>
                <w:color w:val="auto"/>
                <w:spacing w:val="-5"/>
                <w:szCs w:val="24"/>
                <w:u w:val="single" w:color="auto"/>
              </w:rPr>
              <w:t>t/a</w:t>
            </w:r>
            <w:r>
              <w:rPr>
                <w:b/>
                <w:bCs/>
                <w:color w:val="auto"/>
                <w:spacing w:val="-5"/>
                <w:szCs w:val="24"/>
                <w:u w:val="single" w:color="auto"/>
              </w:rPr>
              <w:t>，属于</w:t>
            </w:r>
            <w:r>
              <w:rPr>
                <w:b/>
                <w:bCs/>
                <w:color w:val="auto"/>
                <w:spacing w:val="-2"/>
                <w:szCs w:val="24"/>
                <w:u w:val="single" w:color="auto"/>
              </w:rPr>
              <w:t>一般固废，收集暂存于</w:t>
            </w:r>
            <w:r>
              <w:rPr>
                <w:rFonts w:hint="eastAsia"/>
                <w:b/>
                <w:bCs/>
                <w:color w:val="auto"/>
                <w:spacing w:val="-24"/>
                <w:szCs w:val="24"/>
                <w:u w:val="single" w:color="auto"/>
                <w:lang w:val="en-US" w:eastAsia="zh-CN"/>
              </w:rPr>
              <w:t>100</w:t>
            </w:r>
            <w:r>
              <w:rPr>
                <w:rFonts w:eastAsia="Times New Roman"/>
                <w:b/>
                <w:bCs/>
                <w:color w:val="auto"/>
                <w:spacing w:val="-2"/>
                <w:szCs w:val="24"/>
                <w:u w:val="single" w:color="auto"/>
              </w:rPr>
              <w:t>m</w:t>
            </w:r>
            <w:r>
              <w:rPr>
                <w:rFonts w:eastAsia="Times New Roman"/>
                <w:b/>
                <w:bCs/>
                <w:color w:val="auto"/>
                <w:spacing w:val="-2"/>
                <w:position w:val="7"/>
                <w:sz w:val="16"/>
                <w:szCs w:val="16"/>
                <w:u w:val="single" w:color="auto"/>
              </w:rPr>
              <w:t>2</w:t>
            </w:r>
            <w:r>
              <w:rPr>
                <w:rFonts w:eastAsia="Times New Roman"/>
                <w:b/>
                <w:bCs/>
                <w:color w:val="auto"/>
                <w:spacing w:val="10"/>
                <w:w w:val="101"/>
                <w:position w:val="7"/>
                <w:sz w:val="16"/>
                <w:szCs w:val="16"/>
                <w:u w:val="single" w:color="auto"/>
              </w:rPr>
              <w:t xml:space="preserve"> </w:t>
            </w:r>
            <w:r>
              <w:rPr>
                <w:b/>
                <w:bCs/>
                <w:color w:val="auto"/>
                <w:spacing w:val="-2"/>
                <w:szCs w:val="24"/>
                <w:u w:val="single" w:color="auto"/>
              </w:rPr>
              <w:t>一般固废暂存间，定期外售</w:t>
            </w:r>
            <w:r>
              <w:rPr>
                <w:b/>
                <w:bCs/>
                <w:color w:val="auto"/>
                <w:szCs w:val="24"/>
                <w:u w:val="single" w:color="auto"/>
              </w:rPr>
              <w:t>。</w:t>
            </w:r>
          </w:p>
          <w:p w14:paraId="77F23492">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default" w:eastAsia="宋体"/>
                <w:b/>
                <w:bCs/>
                <w:color w:val="auto"/>
                <w:u w:val="single" w:color="auto"/>
                <w:lang w:val="en-US" w:eastAsia="zh-CN"/>
              </w:rPr>
            </w:pPr>
            <w:r>
              <w:rPr>
                <w:b/>
                <w:bCs/>
                <w:color w:val="auto"/>
                <w:u w:val="single" w:color="auto"/>
              </w:rPr>
              <w:fldChar w:fldCharType="begin"/>
            </w:r>
            <w:r>
              <w:rPr>
                <w:b/>
                <w:bCs/>
                <w:color w:val="auto"/>
                <w:u w:val="single" w:color="auto"/>
              </w:rPr>
              <w:instrText xml:space="preserve"> = 2 \* GB3 \* MERGEFORMAT </w:instrText>
            </w:r>
            <w:r>
              <w:rPr>
                <w:b/>
                <w:bCs/>
                <w:color w:val="auto"/>
                <w:u w:val="single" w:color="auto"/>
              </w:rPr>
              <w:fldChar w:fldCharType="separate"/>
            </w:r>
            <w:r>
              <w:rPr>
                <w:b/>
                <w:bCs/>
                <w:color w:val="auto"/>
                <w:u w:val="single" w:color="auto"/>
              </w:rPr>
              <w:t>②</w:t>
            </w:r>
            <w:r>
              <w:rPr>
                <w:b/>
                <w:bCs/>
                <w:color w:val="auto"/>
                <w:u w:val="single" w:color="auto"/>
              </w:rPr>
              <w:fldChar w:fldCharType="end"/>
            </w:r>
            <w:r>
              <w:rPr>
                <w:rFonts w:hint="eastAsia"/>
                <w:b/>
                <w:bCs/>
                <w:color w:val="auto"/>
                <w:u w:val="single" w:color="auto"/>
                <w:lang w:val="en-US" w:eastAsia="zh-CN"/>
              </w:rPr>
              <w:t>玻璃边角料</w:t>
            </w:r>
          </w:p>
          <w:p w14:paraId="478A6D0B">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eastAsia"/>
                <w:b/>
                <w:bCs/>
                <w:color w:val="auto"/>
                <w:spacing w:val="-2"/>
                <w:szCs w:val="24"/>
                <w:u w:val="single" w:color="auto"/>
                <w:lang w:eastAsia="zh-CN"/>
              </w:rPr>
            </w:pPr>
            <w:r>
              <w:rPr>
                <w:rFonts w:hint="eastAsia"/>
                <w:b/>
                <w:bCs/>
                <w:color w:val="auto"/>
                <w:u w:val="single" w:color="auto"/>
                <w:lang w:val="en-US" w:eastAsia="zh-CN"/>
              </w:rPr>
              <w:t>玻璃边角料</w:t>
            </w:r>
            <w:r>
              <w:rPr>
                <w:b/>
                <w:bCs/>
                <w:color w:val="auto"/>
                <w:u w:val="single" w:color="auto"/>
              </w:rPr>
              <w:t>产生量约</w:t>
            </w:r>
            <w:r>
              <w:rPr>
                <w:rFonts w:hint="eastAsia"/>
                <w:b/>
                <w:bCs/>
                <w:color w:val="auto"/>
                <w:u w:val="single" w:color="auto"/>
                <w:lang w:val="en-US" w:eastAsia="zh-CN"/>
              </w:rPr>
              <w:t>125</w:t>
            </w:r>
            <w:r>
              <w:rPr>
                <w:b/>
                <w:bCs/>
                <w:color w:val="auto"/>
                <w:u w:val="single" w:color="auto"/>
              </w:rPr>
              <w:t>t/a，</w:t>
            </w:r>
            <w:r>
              <w:rPr>
                <w:b/>
                <w:bCs/>
                <w:color w:val="auto"/>
                <w:spacing w:val="-5"/>
                <w:szCs w:val="24"/>
                <w:u w:val="single" w:color="auto"/>
              </w:rPr>
              <w:t>属于</w:t>
            </w:r>
            <w:r>
              <w:rPr>
                <w:b/>
                <w:bCs/>
                <w:color w:val="auto"/>
                <w:spacing w:val="-2"/>
                <w:szCs w:val="24"/>
                <w:u w:val="single" w:color="auto"/>
              </w:rPr>
              <w:t>一般固废，收集暂存于</w:t>
            </w:r>
            <w:r>
              <w:rPr>
                <w:b/>
                <w:bCs/>
                <w:color w:val="auto"/>
                <w:spacing w:val="-24"/>
                <w:szCs w:val="24"/>
                <w:u w:val="single" w:color="auto"/>
              </w:rPr>
              <w:t xml:space="preserve"> </w:t>
            </w:r>
            <w:r>
              <w:rPr>
                <w:rFonts w:eastAsia="Times New Roman"/>
                <w:b/>
                <w:bCs/>
                <w:color w:val="auto"/>
                <w:spacing w:val="-2"/>
                <w:szCs w:val="24"/>
                <w:u w:val="single" w:color="auto"/>
              </w:rPr>
              <w:t>10</w:t>
            </w:r>
            <w:r>
              <w:rPr>
                <w:rFonts w:hint="eastAsia" w:eastAsia="宋体"/>
                <w:b/>
                <w:bCs/>
                <w:color w:val="auto"/>
                <w:spacing w:val="-2"/>
                <w:szCs w:val="24"/>
                <w:u w:val="single" w:color="auto"/>
                <w:lang w:val="en-US" w:eastAsia="zh-CN"/>
              </w:rPr>
              <w:t>0</w:t>
            </w:r>
            <w:r>
              <w:rPr>
                <w:rFonts w:eastAsia="Times New Roman"/>
                <w:b/>
                <w:bCs/>
                <w:color w:val="auto"/>
                <w:spacing w:val="-2"/>
                <w:szCs w:val="24"/>
                <w:u w:val="single" w:color="auto"/>
              </w:rPr>
              <w:t>m</w:t>
            </w:r>
            <w:r>
              <w:rPr>
                <w:rFonts w:eastAsia="Times New Roman"/>
                <w:b/>
                <w:bCs/>
                <w:color w:val="auto"/>
                <w:spacing w:val="-2"/>
                <w:position w:val="7"/>
                <w:sz w:val="16"/>
                <w:szCs w:val="16"/>
                <w:u w:val="single" w:color="auto"/>
              </w:rPr>
              <w:t>2</w:t>
            </w:r>
            <w:r>
              <w:rPr>
                <w:rFonts w:eastAsia="Times New Roman"/>
                <w:b/>
                <w:bCs/>
                <w:color w:val="auto"/>
                <w:spacing w:val="10"/>
                <w:w w:val="101"/>
                <w:position w:val="7"/>
                <w:sz w:val="16"/>
                <w:szCs w:val="16"/>
                <w:u w:val="single" w:color="auto"/>
              </w:rPr>
              <w:t xml:space="preserve"> </w:t>
            </w:r>
            <w:r>
              <w:rPr>
                <w:b/>
                <w:bCs/>
                <w:color w:val="auto"/>
                <w:spacing w:val="-2"/>
                <w:szCs w:val="24"/>
                <w:u w:val="single" w:color="auto"/>
              </w:rPr>
              <w:t>一般固废暂存间，定期外售</w:t>
            </w:r>
            <w:r>
              <w:rPr>
                <w:rFonts w:hint="eastAsia"/>
                <w:b/>
                <w:bCs/>
                <w:color w:val="auto"/>
                <w:spacing w:val="-2"/>
                <w:szCs w:val="24"/>
                <w:u w:val="single" w:color="auto"/>
                <w:lang w:eastAsia="zh-CN"/>
              </w:rPr>
              <w:t>。</w:t>
            </w:r>
          </w:p>
          <w:p w14:paraId="2B9D621C">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default" w:eastAsia="宋体"/>
                <w:b/>
                <w:bCs/>
                <w:color w:val="auto"/>
                <w:u w:val="single" w:color="auto"/>
                <w:lang w:val="en-US" w:eastAsia="zh-CN"/>
              </w:rPr>
            </w:pPr>
            <w:r>
              <w:rPr>
                <w:b/>
                <w:bCs/>
                <w:color w:val="auto"/>
                <w:u w:val="single" w:color="auto"/>
              </w:rPr>
              <w:fldChar w:fldCharType="begin"/>
            </w:r>
            <w:r>
              <w:rPr>
                <w:b/>
                <w:bCs/>
                <w:color w:val="auto"/>
                <w:u w:val="single" w:color="auto"/>
              </w:rPr>
              <w:instrText xml:space="preserve"> = 3 \* GB3 \* MERGEFORMAT </w:instrText>
            </w:r>
            <w:r>
              <w:rPr>
                <w:b/>
                <w:bCs/>
                <w:color w:val="auto"/>
                <w:u w:val="single" w:color="auto"/>
              </w:rPr>
              <w:fldChar w:fldCharType="separate"/>
            </w:r>
            <w:r>
              <w:rPr>
                <w:b/>
                <w:bCs/>
                <w:color w:val="auto"/>
                <w:u w:val="single" w:color="auto"/>
              </w:rPr>
              <w:t>③</w:t>
            </w:r>
            <w:r>
              <w:rPr>
                <w:b/>
                <w:bCs/>
                <w:color w:val="auto"/>
                <w:u w:val="single" w:color="auto"/>
              </w:rPr>
              <w:fldChar w:fldCharType="end"/>
            </w:r>
            <w:r>
              <w:rPr>
                <w:rFonts w:hint="eastAsia"/>
                <w:b/>
                <w:bCs/>
                <w:color w:val="auto"/>
                <w:u w:val="single" w:color="auto"/>
                <w:lang w:val="en-US" w:eastAsia="zh-CN"/>
              </w:rPr>
              <w:t>不合格产品</w:t>
            </w:r>
          </w:p>
          <w:p w14:paraId="310B9124">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default"/>
                <w:b/>
                <w:bCs/>
                <w:color w:val="auto"/>
                <w:u w:val="single" w:color="auto"/>
                <w:lang w:val="en-US" w:eastAsia="zh-CN"/>
              </w:rPr>
            </w:pPr>
            <w:r>
              <w:rPr>
                <w:rFonts w:hint="eastAsia"/>
                <w:b/>
                <w:bCs/>
                <w:color w:val="auto"/>
                <w:u w:val="single" w:color="auto"/>
                <w:lang w:val="en-US" w:eastAsia="zh-CN"/>
              </w:rPr>
              <w:t>本项目生产过程中的检测工序会产生不合格产品，其产生量约为产品量的5%，即1875t/a，</w:t>
            </w:r>
            <w:r>
              <w:rPr>
                <w:b/>
                <w:bCs/>
                <w:color w:val="auto"/>
                <w:spacing w:val="-2"/>
                <w:szCs w:val="24"/>
                <w:u w:val="single" w:color="auto"/>
              </w:rPr>
              <w:t>收集暂存于</w:t>
            </w:r>
            <w:r>
              <w:rPr>
                <w:b/>
                <w:bCs/>
                <w:color w:val="auto"/>
                <w:spacing w:val="-24"/>
                <w:szCs w:val="24"/>
                <w:u w:val="single" w:color="auto"/>
              </w:rPr>
              <w:t xml:space="preserve"> </w:t>
            </w:r>
            <w:r>
              <w:rPr>
                <w:rFonts w:eastAsia="Times New Roman"/>
                <w:b/>
                <w:bCs/>
                <w:color w:val="auto"/>
                <w:spacing w:val="-2"/>
                <w:szCs w:val="24"/>
                <w:u w:val="single" w:color="auto"/>
              </w:rPr>
              <w:t>10</w:t>
            </w:r>
            <w:r>
              <w:rPr>
                <w:rFonts w:hint="eastAsia" w:eastAsia="宋体"/>
                <w:b/>
                <w:bCs/>
                <w:color w:val="auto"/>
                <w:spacing w:val="-2"/>
                <w:szCs w:val="24"/>
                <w:u w:val="single" w:color="auto"/>
                <w:lang w:val="en-US" w:eastAsia="zh-CN"/>
              </w:rPr>
              <w:t>0</w:t>
            </w:r>
            <w:r>
              <w:rPr>
                <w:rFonts w:eastAsia="Times New Roman"/>
                <w:b/>
                <w:bCs/>
                <w:color w:val="auto"/>
                <w:spacing w:val="-2"/>
                <w:szCs w:val="24"/>
                <w:u w:val="single" w:color="auto"/>
              </w:rPr>
              <w:t>m</w:t>
            </w:r>
            <w:r>
              <w:rPr>
                <w:rFonts w:eastAsia="Times New Roman"/>
                <w:b/>
                <w:bCs/>
                <w:color w:val="auto"/>
                <w:spacing w:val="-2"/>
                <w:position w:val="7"/>
                <w:sz w:val="16"/>
                <w:szCs w:val="16"/>
                <w:u w:val="single" w:color="auto"/>
              </w:rPr>
              <w:t>2</w:t>
            </w:r>
            <w:r>
              <w:rPr>
                <w:rFonts w:eastAsia="Times New Roman"/>
                <w:b/>
                <w:bCs/>
                <w:color w:val="auto"/>
                <w:spacing w:val="10"/>
                <w:w w:val="101"/>
                <w:position w:val="7"/>
                <w:sz w:val="16"/>
                <w:szCs w:val="16"/>
                <w:u w:val="single" w:color="auto"/>
              </w:rPr>
              <w:t xml:space="preserve"> </w:t>
            </w:r>
            <w:r>
              <w:rPr>
                <w:b/>
                <w:bCs/>
                <w:color w:val="auto"/>
                <w:spacing w:val="-2"/>
                <w:szCs w:val="24"/>
                <w:u w:val="single" w:color="auto"/>
              </w:rPr>
              <w:t>一般固废暂存间，定期外售</w:t>
            </w:r>
            <w:r>
              <w:rPr>
                <w:rFonts w:hint="eastAsia"/>
                <w:b/>
                <w:bCs/>
                <w:color w:val="auto"/>
                <w:spacing w:val="-2"/>
                <w:szCs w:val="24"/>
                <w:u w:val="single" w:color="auto"/>
                <w:lang w:eastAsia="zh-CN"/>
              </w:rPr>
              <w:t>。</w:t>
            </w:r>
          </w:p>
          <w:p w14:paraId="12B87DEE">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b/>
                <w:bCs/>
                <w:color w:val="auto"/>
                <w:u w:val="single" w:color="auto"/>
              </w:rPr>
            </w:pPr>
            <w:r>
              <w:rPr>
                <w:rFonts w:hint="eastAsia"/>
                <w:b/>
                <w:bCs/>
                <w:color w:val="auto"/>
                <w:u w:val="single" w:color="auto"/>
              </w:rPr>
              <w:fldChar w:fldCharType="begin"/>
            </w:r>
            <w:r>
              <w:rPr>
                <w:rFonts w:hint="eastAsia"/>
                <w:b/>
                <w:bCs/>
                <w:color w:val="auto"/>
                <w:u w:val="single" w:color="auto"/>
              </w:rPr>
              <w:instrText xml:space="preserve"> = 4 \* GB3 \* MERGEFORMAT </w:instrText>
            </w:r>
            <w:r>
              <w:rPr>
                <w:rFonts w:hint="eastAsia"/>
                <w:b/>
                <w:bCs/>
                <w:color w:val="auto"/>
                <w:u w:val="single" w:color="auto"/>
              </w:rPr>
              <w:fldChar w:fldCharType="separate"/>
            </w:r>
            <w:r>
              <w:rPr>
                <w:b/>
                <w:bCs/>
                <w:color w:val="auto"/>
                <w:u w:val="single" w:color="auto"/>
              </w:rPr>
              <w:t>④</w:t>
            </w:r>
            <w:r>
              <w:rPr>
                <w:rFonts w:hint="eastAsia"/>
                <w:b/>
                <w:bCs/>
                <w:color w:val="auto"/>
                <w:u w:val="single" w:color="auto"/>
              </w:rPr>
              <w:fldChar w:fldCharType="end"/>
            </w:r>
            <w:r>
              <w:rPr>
                <w:b/>
                <w:bCs/>
                <w:color w:val="auto"/>
                <w:u w:val="single" w:color="auto"/>
              </w:rPr>
              <w:t>废反渗透膜</w:t>
            </w:r>
          </w:p>
          <w:p w14:paraId="3726F212">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b/>
                <w:bCs/>
                <w:color w:val="auto"/>
                <w:u w:val="single" w:color="auto"/>
              </w:rPr>
            </w:pPr>
            <w:r>
              <w:rPr>
                <w:b/>
                <w:bCs/>
                <w:color w:val="auto"/>
                <w:u w:val="single" w:color="auto"/>
              </w:rPr>
              <w:t>纯水制备过程中的反渗透膜，需定期更换，约三年更换一次，更换量约90kg ，则废反渗透膜产生量约 0.03t/a，由生产厂家回收。</w:t>
            </w:r>
          </w:p>
          <w:p w14:paraId="5D69BD11">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default" w:eastAsia="宋体"/>
                <w:b/>
                <w:bCs/>
                <w:color w:val="auto"/>
                <w:u w:val="single" w:color="auto"/>
                <w:lang w:val="en-US" w:eastAsia="zh-CN"/>
              </w:rPr>
            </w:pPr>
            <w:r>
              <w:rPr>
                <w:rFonts w:hint="eastAsia"/>
                <w:b/>
                <w:bCs/>
                <w:color w:val="auto"/>
                <w:u w:val="single" w:color="auto"/>
                <w:lang w:eastAsia="zh-CN"/>
              </w:rPr>
              <w:t>⑤</w:t>
            </w:r>
            <w:r>
              <w:rPr>
                <w:rFonts w:hint="eastAsia"/>
                <w:b/>
                <w:bCs/>
                <w:color w:val="auto"/>
                <w:u w:val="single" w:color="auto"/>
                <w:lang w:val="en-US" w:eastAsia="zh-CN"/>
              </w:rPr>
              <w:t>沉淀池沉渣</w:t>
            </w:r>
          </w:p>
          <w:p w14:paraId="0B7AF01F">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b/>
                <w:bCs/>
                <w:color w:val="auto"/>
                <w:highlight w:val="none"/>
                <w:u w:val="single" w:color="auto"/>
              </w:rPr>
            </w:pPr>
            <w:r>
              <w:rPr>
                <w:rFonts w:hint="eastAsia"/>
                <w:b/>
                <w:bCs/>
                <w:color w:val="auto"/>
                <w:u w:val="single" w:color="auto"/>
                <w:lang w:val="en-US" w:eastAsia="zh-CN"/>
              </w:rPr>
              <w:t>类比现有项目运行经验，沉淀池沉渣</w:t>
            </w:r>
            <w:r>
              <w:rPr>
                <w:rFonts w:hint="default" w:ascii="Times New Roman" w:hAnsi="Times New Roman" w:cs="Times New Roman"/>
                <w:b/>
                <w:bCs/>
                <w:color w:val="auto"/>
                <w:sz w:val="24"/>
                <w:highlight w:val="none"/>
                <w:u w:val="single" w:color="auto"/>
                <w:lang w:val="en-US" w:eastAsia="zh-CN"/>
              </w:rPr>
              <w:t>（主要成分为</w:t>
            </w:r>
            <w:r>
              <w:rPr>
                <w:rFonts w:hint="eastAsia" w:ascii="Times New Roman" w:hAnsi="Times New Roman" w:cs="Times New Roman"/>
                <w:b/>
                <w:bCs/>
                <w:color w:val="auto"/>
                <w:sz w:val="24"/>
                <w:highlight w:val="none"/>
                <w:u w:val="single" w:color="auto"/>
                <w:lang w:val="en-US" w:eastAsia="zh-CN"/>
              </w:rPr>
              <w:t>玻璃渣、灰尘</w:t>
            </w:r>
            <w:r>
              <w:rPr>
                <w:rFonts w:hint="default" w:ascii="Times New Roman" w:hAnsi="Times New Roman" w:cs="Times New Roman"/>
                <w:b/>
                <w:bCs/>
                <w:color w:val="auto"/>
                <w:sz w:val="24"/>
                <w:highlight w:val="none"/>
                <w:u w:val="single" w:color="auto"/>
                <w:lang w:val="en-US" w:eastAsia="zh-CN"/>
              </w:rPr>
              <w:t>等杂质，不含重金属） 产生量约为</w:t>
            </w:r>
            <w:r>
              <w:rPr>
                <w:rFonts w:hint="eastAsia" w:ascii="Times New Roman" w:hAnsi="Times New Roman" w:cs="Times New Roman"/>
                <w:b/>
                <w:bCs/>
                <w:color w:val="auto"/>
                <w:sz w:val="24"/>
                <w:highlight w:val="none"/>
                <w:u w:val="single" w:color="auto"/>
                <w:lang w:val="en-US" w:eastAsia="zh-CN"/>
              </w:rPr>
              <w:t>15</w:t>
            </w:r>
            <w:r>
              <w:rPr>
                <w:rFonts w:hint="default" w:ascii="Times New Roman" w:hAnsi="Times New Roman" w:cs="Times New Roman"/>
                <w:b/>
                <w:bCs/>
                <w:color w:val="auto"/>
                <w:sz w:val="24"/>
                <w:highlight w:val="none"/>
                <w:u w:val="single" w:color="auto"/>
                <w:lang w:val="en-US" w:eastAsia="zh-CN"/>
              </w:rPr>
              <w:t>t/a ，</w:t>
            </w:r>
            <w:r>
              <w:rPr>
                <w:rFonts w:hint="eastAsia" w:cs="Times New Roman"/>
                <w:b/>
                <w:bCs/>
                <w:color w:val="auto"/>
                <w:sz w:val="24"/>
                <w:highlight w:val="none"/>
                <w:u w:val="single" w:color="auto"/>
                <w:lang w:val="en-US" w:eastAsia="zh-CN"/>
              </w:rPr>
              <w:t>定期清淘后外售</w:t>
            </w:r>
            <w:r>
              <w:rPr>
                <w:b/>
                <w:bCs/>
                <w:color w:val="auto"/>
                <w:highlight w:val="none"/>
                <w:u w:val="single" w:color="auto"/>
              </w:rPr>
              <w:t>。</w:t>
            </w:r>
          </w:p>
          <w:p w14:paraId="278F314F">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rFonts w:hint="default" w:cs="Times New Roman"/>
                <w:b/>
                <w:bCs/>
                <w:color w:val="auto"/>
                <w:sz w:val="24"/>
                <w:szCs w:val="24"/>
                <w:u w:val="single" w:color="auto"/>
                <w:lang w:val="en-US" w:eastAsia="zh-CN"/>
              </w:rPr>
            </w:pPr>
            <w:r>
              <w:rPr>
                <w:rFonts w:hint="default" w:ascii="Times New Roman" w:hAnsi="Times New Roman" w:eastAsia="宋体" w:cs="Times New Roman"/>
                <w:b/>
                <w:bCs/>
                <w:color w:val="auto"/>
                <w:sz w:val="24"/>
                <w:szCs w:val="24"/>
                <w:u w:val="single" w:color="auto"/>
              </w:rPr>
              <w:t>⑥</w:t>
            </w:r>
            <w:r>
              <w:rPr>
                <w:rFonts w:hint="eastAsia" w:cs="Times New Roman"/>
                <w:b/>
                <w:bCs/>
                <w:color w:val="auto"/>
                <w:sz w:val="24"/>
                <w:szCs w:val="24"/>
                <w:u w:val="single" w:color="auto"/>
                <w:lang w:val="en-US" w:eastAsia="zh-CN"/>
              </w:rPr>
              <w:t>废铝条</w:t>
            </w:r>
          </w:p>
          <w:p w14:paraId="15208D33">
            <w:pPr>
              <w:pStyle w:val="96"/>
              <w:keepNext w:val="0"/>
              <w:keepLines w:val="0"/>
              <w:pageBreakBefore w:val="0"/>
              <w:widowControl w:val="0"/>
              <w:kinsoku/>
              <w:wordWrap/>
              <w:overflowPunct/>
              <w:topLinePunct w:val="0"/>
              <w:autoSpaceDE/>
              <w:autoSpaceDN/>
              <w:bidi w:val="0"/>
              <w:adjustRightInd w:val="0"/>
              <w:snapToGrid w:val="0"/>
              <w:ind w:firstLine="482" w:firstLineChars="200"/>
              <w:textAlignment w:val="baseline"/>
              <w:rPr>
                <w:b/>
                <w:bCs/>
                <w:color w:val="auto"/>
                <w:highlight w:val="none"/>
                <w:u w:val="single" w:color="auto"/>
              </w:rPr>
            </w:pPr>
            <w:r>
              <w:rPr>
                <w:rFonts w:hint="eastAsia" w:cs="Times New Roman"/>
                <w:b/>
                <w:bCs/>
                <w:color w:val="auto"/>
                <w:sz w:val="24"/>
                <w:szCs w:val="24"/>
                <w:u w:val="single" w:color="auto"/>
                <w:lang w:val="en-US" w:eastAsia="zh-CN"/>
              </w:rPr>
              <w:t>本项目中空玻璃生产过程中会用到铝条，在切割过程中会产生废铝条，其产生量约为0.5t/a，经收集后外售。</w:t>
            </w:r>
          </w:p>
          <w:p w14:paraId="274BDF41">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rFonts w:hint="eastAsia" w:eastAsia="宋体"/>
                <w:b w:val="0"/>
                <w:bCs w:val="0"/>
                <w:color w:val="auto"/>
                <w:lang w:val="en-US" w:eastAsia="zh-CN"/>
              </w:rPr>
            </w:pPr>
            <w:r>
              <w:rPr>
                <w:rFonts w:hint="eastAsia"/>
                <w:b w:val="0"/>
                <w:bCs w:val="0"/>
                <w:color w:val="auto"/>
              </w:rPr>
              <w:t>（3）</w:t>
            </w:r>
            <w:r>
              <w:rPr>
                <w:rFonts w:hint="eastAsia"/>
                <w:b w:val="0"/>
                <w:bCs w:val="0"/>
                <w:color w:val="auto"/>
                <w:lang w:val="en-US" w:eastAsia="zh-CN"/>
              </w:rPr>
              <w:t>危险废物</w:t>
            </w:r>
          </w:p>
          <w:p w14:paraId="7CB8C112">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rFonts w:hint="default"/>
                <w:b w:val="0"/>
                <w:bCs w:val="0"/>
                <w:color w:val="auto"/>
                <w:lang w:val="en-US"/>
              </w:rPr>
            </w:pPr>
            <w:r>
              <w:rPr>
                <w:rFonts w:hint="eastAsia"/>
                <w:b w:val="0"/>
                <w:bCs w:val="0"/>
                <w:color w:val="auto"/>
              </w:rPr>
              <w:fldChar w:fldCharType="begin"/>
            </w:r>
            <w:r>
              <w:rPr>
                <w:rFonts w:hint="eastAsia"/>
                <w:b w:val="0"/>
                <w:bCs w:val="0"/>
                <w:color w:val="auto"/>
              </w:rPr>
              <w:instrText xml:space="preserve"> = 1 \* GB3 \* MERGEFORMAT </w:instrText>
            </w:r>
            <w:r>
              <w:rPr>
                <w:rFonts w:hint="eastAsia"/>
                <w:b w:val="0"/>
                <w:bCs w:val="0"/>
                <w:color w:val="auto"/>
              </w:rPr>
              <w:fldChar w:fldCharType="separate"/>
            </w:r>
            <w:r>
              <w:rPr>
                <w:b w:val="0"/>
                <w:bCs w:val="0"/>
                <w:color w:val="auto"/>
              </w:rPr>
              <w:t>①</w:t>
            </w:r>
            <w:r>
              <w:rPr>
                <w:rFonts w:hint="eastAsia"/>
                <w:b w:val="0"/>
                <w:bCs w:val="0"/>
                <w:color w:val="auto"/>
              </w:rPr>
              <w:fldChar w:fldCharType="end"/>
            </w:r>
            <w:r>
              <w:rPr>
                <w:rFonts w:hint="eastAsia" w:ascii="Times New Roman" w:hAnsi="Times New Roman" w:eastAsia="宋体" w:cs="Times New Roman"/>
                <w:b w:val="0"/>
                <w:bCs w:val="0"/>
                <w:color w:val="auto"/>
                <w:sz w:val="24"/>
                <w:szCs w:val="24"/>
                <w:u w:val="none"/>
                <w:lang w:val="en-US" w:eastAsia="zh-CN"/>
              </w:rPr>
              <w:t>废墨水桶、废胶桶</w:t>
            </w:r>
          </w:p>
          <w:p w14:paraId="3EF1DB29">
            <w:pPr>
              <w:pStyle w:val="96"/>
              <w:keepNext w:val="0"/>
              <w:keepLines w:val="0"/>
              <w:pageBreakBefore w:val="0"/>
              <w:widowControl w:val="0"/>
              <w:kinsoku/>
              <w:wordWrap/>
              <w:overflowPunct/>
              <w:topLinePunct w:val="0"/>
              <w:autoSpaceDE/>
              <w:autoSpaceDN/>
              <w:bidi w:val="0"/>
              <w:adjustRightInd w:val="0"/>
              <w:snapToGrid w:val="0"/>
              <w:ind w:firstLine="460" w:firstLineChars="200"/>
              <w:textAlignment w:val="baseline"/>
              <w:rPr>
                <w:rFonts w:hint="eastAsia" w:eastAsia="宋体"/>
                <w:b w:val="0"/>
                <w:bCs w:val="0"/>
                <w:color w:val="auto"/>
                <w:lang w:val="en-US" w:eastAsia="zh-CN"/>
              </w:rPr>
            </w:pPr>
            <w:r>
              <w:rPr>
                <w:rFonts w:hint="eastAsia"/>
                <w:b w:val="0"/>
                <w:bCs w:val="0"/>
                <w:color w:val="auto"/>
                <w:spacing w:val="-5"/>
                <w:szCs w:val="24"/>
              </w:rPr>
              <w:t>依据</w:t>
            </w:r>
            <w:r>
              <w:rPr>
                <w:rFonts w:hint="eastAsia"/>
                <w:b w:val="0"/>
                <w:bCs w:val="0"/>
                <w:color w:val="auto"/>
                <w:spacing w:val="-5"/>
                <w:szCs w:val="24"/>
                <w:lang w:val="en-US" w:eastAsia="zh-CN"/>
              </w:rPr>
              <w:t>油墨和丁基胶、硅酮密封胶</w:t>
            </w:r>
            <w:r>
              <w:rPr>
                <w:rFonts w:hint="eastAsia"/>
                <w:b w:val="0"/>
                <w:bCs w:val="0"/>
                <w:color w:val="auto"/>
                <w:spacing w:val="-5"/>
                <w:szCs w:val="24"/>
              </w:rPr>
              <w:t>使用情况，项目</w:t>
            </w:r>
            <w:r>
              <w:rPr>
                <w:rFonts w:hint="eastAsia"/>
                <w:b w:val="0"/>
                <w:bCs w:val="0"/>
                <w:color w:val="auto"/>
                <w:spacing w:val="-5"/>
                <w:szCs w:val="24"/>
                <w:lang w:val="en-US" w:eastAsia="zh-CN"/>
              </w:rPr>
              <w:t>废墨水桶</w:t>
            </w:r>
            <w:r>
              <w:rPr>
                <w:b w:val="0"/>
                <w:bCs w:val="0"/>
                <w:color w:val="auto"/>
                <w:spacing w:val="-5"/>
                <w:szCs w:val="24"/>
              </w:rPr>
              <w:t>产生量约为</w:t>
            </w:r>
            <w:r>
              <w:rPr>
                <w:rFonts w:hint="eastAsia" w:eastAsia="宋体"/>
                <w:b w:val="0"/>
                <w:bCs w:val="0"/>
                <w:color w:val="auto"/>
                <w:spacing w:val="-5"/>
                <w:szCs w:val="24"/>
                <w:lang w:val="en-US" w:eastAsia="zh-CN"/>
              </w:rPr>
              <w:t>0.0</w:t>
            </w:r>
            <w:r>
              <w:rPr>
                <w:rFonts w:hint="eastAsia"/>
                <w:b w:val="0"/>
                <w:bCs w:val="0"/>
                <w:color w:val="auto"/>
                <w:spacing w:val="-5"/>
                <w:szCs w:val="24"/>
                <w:lang w:val="en-US" w:eastAsia="zh-CN"/>
              </w:rPr>
              <w:t>25</w:t>
            </w:r>
            <w:r>
              <w:rPr>
                <w:rFonts w:eastAsia="Times New Roman"/>
                <w:b w:val="0"/>
                <w:bCs w:val="0"/>
                <w:color w:val="auto"/>
                <w:spacing w:val="-5"/>
                <w:szCs w:val="24"/>
              </w:rPr>
              <w:t>t/a</w:t>
            </w:r>
            <w:r>
              <w:rPr>
                <w:rFonts w:hint="eastAsia" w:eastAsia="宋体"/>
                <w:b w:val="0"/>
                <w:bCs w:val="0"/>
                <w:color w:val="auto"/>
                <w:spacing w:val="-5"/>
                <w:szCs w:val="24"/>
                <w:lang w:eastAsia="zh-CN"/>
              </w:rPr>
              <w:t>，</w:t>
            </w:r>
            <w:r>
              <w:rPr>
                <w:rFonts w:hint="eastAsia" w:eastAsia="宋体"/>
                <w:b w:val="0"/>
                <w:bCs w:val="0"/>
                <w:color w:val="auto"/>
                <w:spacing w:val="-5"/>
                <w:szCs w:val="24"/>
                <w:lang w:val="en-US" w:eastAsia="zh-CN"/>
              </w:rPr>
              <w:t>废胶桶产生量约为1.125t/a</w:t>
            </w:r>
            <w:r>
              <w:rPr>
                <w:rFonts w:hint="eastAsia" w:eastAsia="宋体"/>
                <w:b w:val="0"/>
                <w:bCs w:val="0"/>
                <w:color w:val="auto"/>
                <w:spacing w:val="-5"/>
                <w:szCs w:val="24"/>
                <w:lang w:eastAsia="zh-CN"/>
              </w:rPr>
              <w:t>。</w:t>
            </w:r>
            <w:r>
              <w:rPr>
                <w:rFonts w:hint="eastAsia"/>
                <w:b w:val="0"/>
                <w:bCs w:val="0"/>
                <w:color w:val="auto"/>
                <w:sz w:val="24"/>
                <w:u w:val="none"/>
                <w:lang w:val="en-US" w:eastAsia="zh-CN"/>
              </w:rPr>
              <w:t>经查阅《国家危险废物名录》（2025年版），本项目产生的废墨水桶、废胶桶属于“HW49 其他废物”“非特定行业”中的“900-041-49 含有或者沾染毒性、感染性危险废物的废弃的包装物、容器、过滤吸附介质”。废墨水桶、废胶桶经收集后暂存于危废暂存间，定期交由有资质的单位处理</w:t>
            </w:r>
            <w:r>
              <w:rPr>
                <w:b w:val="0"/>
                <w:bCs w:val="0"/>
                <w:color w:val="auto"/>
              </w:rPr>
              <w:t>。</w:t>
            </w:r>
          </w:p>
          <w:p w14:paraId="40A66109">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rPr>
            </w:pPr>
            <w:r>
              <w:rPr>
                <w:rFonts w:hint="eastAsia"/>
                <w:b w:val="0"/>
                <w:bCs w:val="0"/>
                <w:color w:val="auto"/>
                <w:szCs w:val="21"/>
              </w:rPr>
              <w:fldChar w:fldCharType="begin"/>
            </w:r>
            <w:r>
              <w:rPr>
                <w:rFonts w:hint="eastAsia"/>
                <w:b w:val="0"/>
                <w:bCs w:val="0"/>
                <w:color w:val="auto"/>
                <w:szCs w:val="21"/>
              </w:rPr>
              <w:instrText xml:space="preserve"> = 2 \* GB3 \* MERGEFORMAT </w:instrText>
            </w:r>
            <w:r>
              <w:rPr>
                <w:rFonts w:hint="eastAsia"/>
                <w:b w:val="0"/>
                <w:bCs w:val="0"/>
                <w:color w:val="auto"/>
                <w:szCs w:val="21"/>
              </w:rPr>
              <w:fldChar w:fldCharType="separate"/>
            </w:r>
            <w:r>
              <w:rPr>
                <w:b w:val="0"/>
                <w:bCs w:val="0"/>
                <w:color w:val="auto"/>
              </w:rPr>
              <w:t>②</w:t>
            </w:r>
            <w:r>
              <w:rPr>
                <w:rFonts w:hint="eastAsia"/>
                <w:b w:val="0"/>
                <w:bCs w:val="0"/>
                <w:color w:val="auto"/>
                <w:szCs w:val="21"/>
              </w:rPr>
              <w:fldChar w:fldCharType="end"/>
            </w:r>
            <w:r>
              <w:rPr>
                <w:rFonts w:hint="eastAsia"/>
                <w:b w:val="0"/>
                <w:bCs w:val="0"/>
                <w:color w:val="auto"/>
                <w:szCs w:val="21"/>
                <w:lang w:val="en-US" w:eastAsia="zh-CN"/>
              </w:rPr>
              <w:t>废活性炭</w:t>
            </w:r>
          </w:p>
          <w:p w14:paraId="67854155">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rPr>
            </w:pPr>
            <w:r>
              <w:rPr>
                <w:rFonts w:hint="eastAsia"/>
                <w:color w:val="000000"/>
                <w:sz w:val="24"/>
                <w:lang w:val="en-US" w:eastAsia="zh-CN"/>
              </w:rPr>
              <w:t>本项目</w:t>
            </w:r>
            <w:r>
              <w:rPr>
                <w:rFonts w:hint="eastAsia"/>
                <w:color w:val="000000"/>
                <w:sz w:val="24"/>
              </w:rPr>
              <w:t>有机废气治理设施定期更换碘值不满足要求的活性炭</w:t>
            </w:r>
            <w:r>
              <w:rPr>
                <w:rFonts w:hint="eastAsia"/>
                <w:color w:val="000000"/>
                <w:sz w:val="24"/>
                <w:lang w:eastAsia="zh-CN"/>
              </w:rPr>
              <w:t>，</w:t>
            </w:r>
            <w:r>
              <w:rPr>
                <w:rFonts w:hint="eastAsia"/>
                <w:color w:val="000000"/>
                <w:sz w:val="24"/>
                <w:lang w:val="en-US" w:eastAsia="zh-CN"/>
              </w:rPr>
              <w:t>产生少量</w:t>
            </w:r>
            <w:r>
              <w:rPr>
                <w:rFonts w:hint="eastAsia"/>
                <w:color w:val="000000"/>
                <w:sz w:val="24"/>
              </w:rPr>
              <w:t>废活性炭。经查阅相关资料，活性炭吸附材料填充量与处理气量之比应不小于1:5000，按照废气量</w:t>
            </w:r>
            <w:r>
              <w:rPr>
                <w:rFonts w:hint="eastAsia"/>
                <w:color w:val="000000"/>
                <w:sz w:val="24"/>
                <w:lang w:val="en-US" w:eastAsia="zh-CN"/>
              </w:rPr>
              <w:t>578</w:t>
            </w:r>
            <w:r>
              <w:rPr>
                <w:rFonts w:hint="eastAsia"/>
                <w:color w:val="000000"/>
                <w:sz w:val="24"/>
              </w:rPr>
              <w:t>00m</w:t>
            </w:r>
            <w:r>
              <w:rPr>
                <w:rFonts w:hint="eastAsia"/>
                <w:color w:val="000000"/>
                <w:sz w:val="24"/>
                <w:vertAlign w:val="superscript"/>
              </w:rPr>
              <w:t>3</w:t>
            </w:r>
            <w:r>
              <w:rPr>
                <w:rFonts w:hint="eastAsia"/>
                <w:color w:val="000000"/>
                <w:sz w:val="24"/>
              </w:rPr>
              <w:t>/h核算，则活性炭填充量应不低于</w:t>
            </w:r>
            <w:r>
              <w:rPr>
                <w:rFonts w:hint="eastAsia"/>
                <w:color w:val="000000"/>
                <w:sz w:val="24"/>
                <w:lang w:val="en-US" w:eastAsia="zh-CN"/>
              </w:rPr>
              <w:t>11.56</w:t>
            </w:r>
            <w:r>
              <w:rPr>
                <w:rFonts w:hint="eastAsia"/>
                <w:color w:val="000000"/>
                <w:sz w:val="24"/>
              </w:rPr>
              <w:t>m</w:t>
            </w:r>
            <w:r>
              <w:rPr>
                <w:rFonts w:hint="eastAsia"/>
                <w:color w:val="000000"/>
                <w:sz w:val="24"/>
                <w:vertAlign w:val="superscript"/>
              </w:rPr>
              <w:t>3</w:t>
            </w:r>
            <w:r>
              <w:rPr>
                <w:rFonts w:hint="eastAsia"/>
                <w:color w:val="000000"/>
                <w:sz w:val="24"/>
              </w:rPr>
              <w:t>，评价按照活性炭填充量</w:t>
            </w:r>
            <w:r>
              <w:rPr>
                <w:rFonts w:hint="eastAsia"/>
                <w:color w:val="000000"/>
                <w:sz w:val="24"/>
                <w:lang w:val="en-US" w:eastAsia="zh-CN"/>
              </w:rPr>
              <w:t>12</w:t>
            </w:r>
            <w:r>
              <w:rPr>
                <w:rFonts w:hint="eastAsia"/>
                <w:color w:val="000000"/>
                <w:sz w:val="24"/>
              </w:rPr>
              <w:t>m</w:t>
            </w:r>
            <w:r>
              <w:rPr>
                <w:rFonts w:hint="eastAsia"/>
                <w:color w:val="000000"/>
                <w:sz w:val="24"/>
                <w:vertAlign w:val="superscript"/>
              </w:rPr>
              <w:t>3</w:t>
            </w:r>
            <w:r>
              <w:rPr>
                <w:rFonts w:hint="eastAsia"/>
                <w:color w:val="000000"/>
                <w:sz w:val="24"/>
              </w:rPr>
              <w:t>，活性炭密度0.5g/cm</w:t>
            </w:r>
            <w:r>
              <w:rPr>
                <w:rFonts w:hint="eastAsia"/>
                <w:color w:val="000000"/>
                <w:sz w:val="24"/>
                <w:vertAlign w:val="superscript"/>
              </w:rPr>
              <w:t>3</w:t>
            </w:r>
            <w:r>
              <w:rPr>
                <w:rFonts w:hint="eastAsia"/>
                <w:color w:val="000000"/>
                <w:sz w:val="24"/>
              </w:rPr>
              <w:t>计算，项目活性炭填充量为</w:t>
            </w:r>
            <w:r>
              <w:rPr>
                <w:rFonts w:hint="eastAsia"/>
                <w:color w:val="000000"/>
                <w:sz w:val="24"/>
                <w:lang w:val="en-US" w:eastAsia="zh-CN"/>
              </w:rPr>
              <w:t>6</w:t>
            </w:r>
            <w:r>
              <w:rPr>
                <w:rFonts w:hint="eastAsia"/>
                <w:color w:val="000000"/>
                <w:sz w:val="24"/>
              </w:rPr>
              <w:t>t，更换周期为</w:t>
            </w:r>
            <w:r>
              <w:rPr>
                <w:rFonts w:hint="eastAsia"/>
                <w:color w:val="000000"/>
                <w:sz w:val="24"/>
                <w:lang w:val="en-US" w:eastAsia="zh-CN"/>
              </w:rPr>
              <w:t>1</w:t>
            </w:r>
            <w:r>
              <w:rPr>
                <w:rFonts w:hint="eastAsia"/>
                <w:color w:val="000000"/>
                <w:sz w:val="24"/>
              </w:rPr>
              <w:t>年。则废活性炭产生量为</w:t>
            </w:r>
            <w:r>
              <w:rPr>
                <w:rFonts w:hint="eastAsia"/>
                <w:color w:val="000000"/>
                <w:sz w:val="24"/>
                <w:lang w:val="en-US" w:eastAsia="zh-CN"/>
              </w:rPr>
              <w:t>6t/a</w:t>
            </w:r>
            <w:r>
              <w:rPr>
                <w:rFonts w:hint="eastAsia"/>
                <w:color w:val="000000"/>
                <w:sz w:val="24"/>
                <w:lang w:eastAsia="zh-CN"/>
              </w:rPr>
              <w:t>。</w:t>
            </w:r>
            <w:r>
              <w:rPr>
                <w:rFonts w:hint="eastAsia"/>
                <w:color w:val="000000"/>
                <w:sz w:val="24"/>
              </w:rPr>
              <w:t>废活性炭属于《国家危险废物名录》（202</w:t>
            </w:r>
            <w:r>
              <w:rPr>
                <w:rFonts w:hint="eastAsia"/>
                <w:color w:val="000000"/>
                <w:sz w:val="24"/>
                <w:lang w:val="en-US" w:eastAsia="zh-CN"/>
              </w:rPr>
              <w:t>5</w:t>
            </w:r>
            <w:r>
              <w:rPr>
                <w:rFonts w:hint="eastAsia"/>
                <w:color w:val="000000"/>
                <w:sz w:val="24"/>
              </w:rPr>
              <w:t>年版）规定的“HW49其他废物”中的“900-039-49烟气、VOCs治理过程（不包括餐饮行业油烟治理过程）产生的废活性炭，化学原料和化学制品脱色（不包括有机合成食品添加剂脱色）、除杂、净化过程产生的废活性炭”类危险废物，在厂区内危废暂存间暂存，定期送有资质单位处理</w:t>
            </w:r>
            <w:r>
              <w:rPr>
                <w:b w:val="0"/>
                <w:bCs w:val="0"/>
                <w:color w:val="auto"/>
              </w:rPr>
              <w:t>。</w:t>
            </w:r>
          </w:p>
          <w:p w14:paraId="174AA58E">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szCs w:val="21"/>
              </w:rPr>
            </w:pPr>
            <w:r>
              <w:rPr>
                <w:rFonts w:hint="eastAsia"/>
                <w:b w:val="0"/>
                <w:bCs w:val="0"/>
                <w:color w:val="auto"/>
                <w:szCs w:val="21"/>
                <w:lang w:eastAsia="zh-CN"/>
              </w:rPr>
              <w:t>③</w:t>
            </w:r>
            <w:r>
              <w:rPr>
                <w:b w:val="0"/>
                <w:bCs w:val="0"/>
                <w:color w:val="auto"/>
                <w:szCs w:val="21"/>
              </w:rPr>
              <w:t>废机油</w:t>
            </w:r>
          </w:p>
          <w:p w14:paraId="42CD699E">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szCs w:val="21"/>
              </w:rPr>
            </w:pPr>
            <w:r>
              <w:rPr>
                <w:rFonts w:hint="eastAsia"/>
                <w:b w:val="0"/>
                <w:bCs w:val="0"/>
                <w:color w:val="auto"/>
                <w:szCs w:val="21"/>
                <w:lang w:val="en-US" w:eastAsia="zh-CN"/>
              </w:rPr>
              <w:t>项目</w:t>
            </w:r>
            <w:r>
              <w:rPr>
                <w:b w:val="0"/>
                <w:bCs w:val="0"/>
                <w:color w:val="auto"/>
                <w:szCs w:val="21"/>
              </w:rPr>
              <w:t>废机油</w:t>
            </w:r>
            <w:r>
              <w:rPr>
                <w:b w:val="0"/>
                <w:bCs w:val="0"/>
                <w:color w:val="auto"/>
              </w:rPr>
              <w:t>产生量约为0.</w:t>
            </w:r>
            <w:r>
              <w:rPr>
                <w:rFonts w:hint="eastAsia"/>
                <w:b w:val="0"/>
                <w:bCs w:val="0"/>
                <w:color w:val="auto"/>
                <w:lang w:val="en-US" w:eastAsia="zh-CN"/>
              </w:rPr>
              <w:t>5</w:t>
            </w:r>
            <w:r>
              <w:rPr>
                <w:b w:val="0"/>
                <w:bCs w:val="0"/>
                <w:color w:val="auto"/>
              </w:rPr>
              <w:t>t/a</w:t>
            </w:r>
            <w:r>
              <w:rPr>
                <w:b w:val="0"/>
                <w:bCs w:val="0"/>
                <w:color w:val="auto"/>
                <w:szCs w:val="24"/>
              </w:rPr>
              <w:t>。根据《国家危险废物名录》（202</w:t>
            </w:r>
            <w:r>
              <w:rPr>
                <w:rFonts w:hint="eastAsia"/>
                <w:b w:val="0"/>
                <w:bCs w:val="0"/>
                <w:color w:val="auto"/>
                <w:szCs w:val="24"/>
                <w:lang w:val="en-US" w:eastAsia="zh-CN"/>
              </w:rPr>
              <w:t>5</w:t>
            </w:r>
            <w:r>
              <w:rPr>
                <w:b w:val="0"/>
                <w:bCs w:val="0"/>
                <w:color w:val="auto"/>
                <w:szCs w:val="24"/>
              </w:rPr>
              <w:t>年版），</w:t>
            </w:r>
            <w:r>
              <w:rPr>
                <w:b w:val="0"/>
                <w:bCs w:val="0"/>
                <w:color w:val="auto"/>
                <w:szCs w:val="21"/>
              </w:rPr>
              <w:t>废机油</w:t>
            </w:r>
            <w:r>
              <w:rPr>
                <w:b w:val="0"/>
                <w:bCs w:val="0"/>
                <w:color w:val="auto"/>
                <w:szCs w:val="24"/>
              </w:rPr>
              <w:t>属于危险废物，危险废物类别HW08废矿物油与含矿物油废物，代码为900-214-08</w:t>
            </w:r>
            <w:r>
              <w:rPr>
                <w:rFonts w:hint="eastAsia"/>
                <w:b w:val="0"/>
                <w:bCs w:val="0"/>
                <w:color w:val="auto"/>
                <w:szCs w:val="24"/>
                <w:lang w:eastAsia="zh-CN"/>
              </w:rPr>
              <w:t>“车辆、轮船及其它机械维修过程中产生的废发动机油、制动器油、自动变速器油、齿轮油等废润滑油”</w:t>
            </w:r>
            <w:r>
              <w:rPr>
                <w:b w:val="0"/>
                <w:bCs w:val="0"/>
                <w:color w:val="auto"/>
              </w:rPr>
              <w:t>，评价要求项目废机油采用密闭容器收集</w:t>
            </w:r>
            <w:r>
              <w:rPr>
                <w:rFonts w:hint="eastAsia"/>
                <w:b w:val="0"/>
                <w:bCs w:val="0"/>
                <w:color w:val="auto"/>
                <w:lang w:val="en-US" w:eastAsia="zh-CN"/>
              </w:rPr>
              <w:t>密封储存</w:t>
            </w:r>
            <w:r>
              <w:rPr>
                <w:b w:val="0"/>
                <w:bCs w:val="0"/>
                <w:color w:val="auto"/>
              </w:rPr>
              <w:t>，在厂区危废暂存间暂存后，定期委托有资质进行处置。</w:t>
            </w:r>
          </w:p>
          <w:p w14:paraId="645770DB">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rFonts w:hint="default"/>
                <w:b w:val="0"/>
                <w:bCs w:val="0"/>
                <w:color w:val="auto"/>
                <w:szCs w:val="24"/>
                <w:lang w:val="en-US" w:eastAsia="zh-CN"/>
              </w:rPr>
            </w:pPr>
            <w:r>
              <w:rPr>
                <w:rFonts w:hint="eastAsia"/>
                <w:b w:val="0"/>
                <w:bCs w:val="0"/>
                <w:color w:val="auto"/>
                <w:szCs w:val="24"/>
                <w:lang w:eastAsia="zh-CN"/>
              </w:rPr>
              <w:t>④</w:t>
            </w:r>
            <w:r>
              <w:rPr>
                <w:rFonts w:hint="eastAsia"/>
                <w:b w:val="0"/>
                <w:bCs w:val="0"/>
                <w:color w:val="auto"/>
                <w:szCs w:val="24"/>
                <w:lang w:val="en-US" w:eastAsia="zh-CN"/>
              </w:rPr>
              <w:t>废机油桶</w:t>
            </w:r>
          </w:p>
          <w:p w14:paraId="3FD3BECA">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rPr>
            </w:pPr>
            <w:r>
              <w:rPr>
                <w:rFonts w:hint="eastAsia"/>
                <w:b w:val="0"/>
                <w:bCs w:val="0"/>
                <w:color w:val="auto"/>
              </w:rPr>
              <w:t>依据项目</w:t>
            </w:r>
            <w:r>
              <w:rPr>
                <w:rFonts w:hint="eastAsia"/>
                <w:b w:val="0"/>
                <w:bCs w:val="0"/>
                <w:color w:val="auto"/>
                <w:lang w:val="en-US" w:eastAsia="zh-CN"/>
              </w:rPr>
              <w:t>废机油</w:t>
            </w:r>
            <w:r>
              <w:rPr>
                <w:rFonts w:hint="eastAsia"/>
                <w:b w:val="0"/>
                <w:bCs w:val="0"/>
                <w:color w:val="auto"/>
              </w:rPr>
              <w:t>包装规格及使用量计算</w:t>
            </w:r>
            <w:r>
              <w:rPr>
                <w:b w:val="0"/>
                <w:bCs w:val="0"/>
                <w:color w:val="auto"/>
              </w:rPr>
              <w:t>，</w:t>
            </w:r>
            <w:r>
              <w:rPr>
                <w:rFonts w:hint="eastAsia"/>
                <w:b w:val="0"/>
                <w:bCs w:val="0"/>
                <w:color w:val="auto"/>
                <w:lang w:val="en-US" w:eastAsia="zh-CN"/>
              </w:rPr>
              <w:t>废机油桶</w:t>
            </w:r>
            <w:r>
              <w:rPr>
                <w:b w:val="0"/>
                <w:bCs w:val="0"/>
                <w:color w:val="auto"/>
              </w:rPr>
              <w:t>产生量为</w:t>
            </w:r>
            <w:r>
              <w:rPr>
                <w:rFonts w:hint="eastAsia"/>
                <w:b w:val="0"/>
                <w:bCs w:val="0"/>
                <w:color w:val="auto"/>
                <w:lang w:val="en-US" w:eastAsia="zh-CN"/>
              </w:rPr>
              <w:t>0.04</w:t>
            </w:r>
            <w:r>
              <w:rPr>
                <w:b w:val="0"/>
                <w:bCs w:val="0"/>
                <w:color w:val="auto"/>
              </w:rPr>
              <w:t>t/a，根据《国家危险废物名录》（202</w:t>
            </w:r>
            <w:r>
              <w:rPr>
                <w:rFonts w:hint="eastAsia"/>
                <w:b w:val="0"/>
                <w:bCs w:val="0"/>
                <w:color w:val="auto"/>
                <w:lang w:val="en-US" w:eastAsia="zh-CN"/>
              </w:rPr>
              <w:t>5</w:t>
            </w:r>
            <w:r>
              <w:rPr>
                <w:b w:val="0"/>
                <w:bCs w:val="0"/>
                <w:color w:val="auto"/>
              </w:rPr>
              <w:t>年），属于危险</w:t>
            </w:r>
            <w:r>
              <w:rPr>
                <w:rFonts w:hint="eastAsia"/>
                <w:b w:val="0"/>
                <w:bCs w:val="0"/>
                <w:color w:val="auto"/>
              </w:rPr>
              <w:t>废物</w:t>
            </w:r>
            <w:r>
              <w:rPr>
                <w:b w:val="0"/>
                <w:bCs w:val="0"/>
                <w:color w:val="auto"/>
              </w:rPr>
              <w:t>，废物类别为</w:t>
            </w:r>
            <w:r>
              <w:rPr>
                <w:b w:val="0"/>
                <w:bCs w:val="0"/>
                <w:color w:val="auto"/>
                <w:szCs w:val="24"/>
              </w:rPr>
              <w:t>HW08废矿物油与含矿物油废物，代码为900-2</w:t>
            </w:r>
            <w:r>
              <w:rPr>
                <w:rFonts w:hint="eastAsia"/>
                <w:b w:val="0"/>
                <w:bCs w:val="0"/>
                <w:color w:val="auto"/>
                <w:szCs w:val="24"/>
                <w:lang w:val="en-US" w:eastAsia="zh-CN"/>
              </w:rPr>
              <w:t>49</w:t>
            </w:r>
            <w:r>
              <w:rPr>
                <w:b w:val="0"/>
                <w:bCs w:val="0"/>
                <w:color w:val="auto"/>
                <w:szCs w:val="24"/>
              </w:rPr>
              <w:t>-08</w:t>
            </w:r>
            <w:r>
              <w:rPr>
                <w:rFonts w:hint="eastAsia"/>
                <w:b w:val="0"/>
                <w:bCs w:val="0"/>
                <w:color w:val="auto"/>
                <w:szCs w:val="24"/>
                <w:lang w:eastAsia="zh-CN"/>
              </w:rPr>
              <w:t>“其他生产、销售、使用过程中产生的废矿物油及沾染矿物油的废弃包装物”</w:t>
            </w:r>
            <w:r>
              <w:rPr>
                <w:b w:val="0"/>
                <w:bCs w:val="0"/>
                <w:color w:val="auto"/>
              </w:rPr>
              <w:t>。经收集后暂存于危废暂存间，定期交由有资质单位处置。</w:t>
            </w:r>
          </w:p>
          <w:p w14:paraId="2CEEB689">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rFonts w:hint="eastAsia" w:ascii="Times New Roman" w:hAnsi="Times New Roman" w:eastAsia="宋体" w:cs="Times New Roman"/>
                <w:b w:val="0"/>
                <w:bCs w:val="0"/>
                <w:color w:val="auto"/>
                <w:szCs w:val="24"/>
                <w:lang w:val="en-US" w:eastAsia="zh-CN"/>
              </w:rPr>
            </w:pPr>
            <w:r>
              <w:rPr>
                <w:rFonts w:hint="eastAsia" w:ascii="Times New Roman" w:hAnsi="Times New Roman" w:eastAsia="宋体" w:cs="Times New Roman"/>
                <w:b w:val="0"/>
                <w:bCs w:val="0"/>
                <w:color w:val="auto"/>
                <w:szCs w:val="24"/>
                <w:lang w:eastAsia="zh-CN"/>
              </w:rPr>
              <w:t>⑤</w:t>
            </w:r>
            <w:r>
              <w:rPr>
                <w:rFonts w:hint="eastAsia" w:ascii="Times New Roman" w:hAnsi="Times New Roman" w:eastAsia="宋体" w:cs="Times New Roman"/>
                <w:b w:val="0"/>
                <w:bCs w:val="0"/>
                <w:color w:val="auto"/>
                <w:szCs w:val="24"/>
                <w:lang w:val="en-US" w:eastAsia="zh-CN"/>
              </w:rPr>
              <w:t>废靶材</w:t>
            </w:r>
          </w:p>
          <w:p w14:paraId="25951E07">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rFonts w:hint="default" w:ascii="Times New Roman" w:hAnsi="Times New Roman" w:eastAsia="宋体" w:cs="Times New Roman"/>
                <w:b w:val="0"/>
                <w:bCs w:val="0"/>
                <w:color w:val="auto"/>
                <w:kern w:val="0"/>
                <w:sz w:val="24"/>
                <w:szCs w:val="24"/>
                <w:lang w:val="en-US" w:eastAsia="zh-CN" w:bidi="ar-SA"/>
              </w:rPr>
            </w:pPr>
            <w:r>
              <w:rPr>
                <w:rFonts w:hint="eastAsia" w:ascii="Times New Roman" w:hAnsi="Times New Roman" w:eastAsia="宋体" w:cs="Times New Roman"/>
                <w:b w:val="0"/>
                <w:bCs w:val="0"/>
                <w:color w:val="auto"/>
                <w:kern w:val="0"/>
                <w:sz w:val="24"/>
                <w:szCs w:val="24"/>
                <w:lang w:val="en-US" w:eastAsia="zh-CN" w:bidi="ar-SA"/>
              </w:rPr>
              <w:t>本项目镀膜玻璃生产过程中会产生废靶材，其中主要成分为银、铝、镍、铬、</w:t>
            </w:r>
            <w:r>
              <w:rPr>
                <w:rFonts w:hint="eastAsia" w:cs="Times New Roman"/>
                <w:b w:val="0"/>
                <w:bCs w:val="0"/>
                <w:color w:val="auto"/>
                <w:kern w:val="0"/>
                <w:sz w:val="24"/>
                <w:szCs w:val="24"/>
                <w:lang w:val="en-US" w:eastAsia="zh-CN" w:bidi="ar-SA"/>
              </w:rPr>
              <w:t>锡、</w:t>
            </w:r>
            <w:r>
              <w:rPr>
                <w:rFonts w:hint="eastAsia" w:ascii="Times New Roman" w:hAnsi="Times New Roman" w:eastAsia="宋体" w:cs="Times New Roman"/>
                <w:b w:val="0"/>
                <w:bCs w:val="0"/>
                <w:color w:val="auto"/>
                <w:kern w:val="0"/>
                <w:sz w:val="24"/>
                <w:szCs w:val="24"/>
                <w:lang w:val="en-US" w:eastAsia="zh-CN" w:bidi="ar-SA"/>
              </w:rPr>
              <w:t>二氧化硅，属于混合多种金属物质，其产生量为0.01t/a,根据《国家危险废物名录》（2025年），该类危险废物按照“HW49 其他废物，代码为900-999-49“被所有者申报废弃的，或者未申报废弃但被非法排放、倾倒、利用、处置的，以及有关部门依法收缴或者接收且需要销毁的列入《危险化 学品目录》的危险化学品（不含该目录中仅具有“加压气体”物理危险性的危险化学品）”进行归类。经收集后暂存于危废暂存间，定期交由有资质单位处置</w:t>
            </w:r>
          </w:p>
          <w:p w14:paraId="71BE7984">
            <w:pPr>
              <w:pStyle w:val="96"/>
              <w:keepNext w:val="0"/>
              <w:keepLines w:val="0"/>
              <w:pageBreakBefore w:val="0"/>
              <w:widowControl w:val="0"/>
              <w:kinsoku/>
              <w:wordWrap/>
              <w:overflowPunct/>
              <w:topLinePunct w:val="0"/>
              <w:autoSpaceDE/>
              <w:autoSpaceDN/>
              <w:bidi w:val="0"/>
              <w:adjustRightInd w:val="0"/>
              <w:snapToGrid w:val="0"/>
              <w:ind w:firstLine="480" w:firstLineChars="200"/>
              <w:textAlignment w:val="baseline"/>
              <w:rPr>
                <w:b w:val="0"/>
                <w:bCs w:val="0"/>
                <w:color w:val="auto"/>
                <w:szCs w:val="24"/>
                <w:lang w:bidi="ar"/>
              </w:rPr>
            </w:pPr>
            <w:r>
              <w:rPr>
                <w:rFonts w:hint="eastAsia"/>
                <w:b w:val="0"/>
                <w:bCs w:val="0"/>
                <w:color w:val="auto"/>
                <w:szCs w:val="24"/>
                <w:lang w:val="en-US" w:eastAsia="zh-CN"/>
              </w:rPr>
              <w:t>综上分析，</w:t>
            </w:r>
            <w:r>
              <w:rPr>
                <w:b w:val="0"/>
                <w:bCs w:val="0"/>
                <w:color w:val="auto"/>
                <w:szCs w:val="24"/>
              </w:rPr>
              <w:t>本项目生产过程中固体废物的产生情况见表4-1</w:t>
            </w:r>
            <w:r>
              <w:rPr>
                <w:rFonts w:hint="eastAsia"/>
                <w:b w:val="0"/>
                <w:bCs w:val="0"/>
                <w:color w:val="auto"/>
                <w:szCs w:val="24"/>
                <w:lang w:val="en-US" w:eastAsia="zh-CN"/>
              </w:rPr>
              <w:t>6</w:t>
            </w:r>
            <w:r>
              <w:rPr>
                <w:b w:val="0"/>
                <w:bCs w:val="0"/>
                <w:color w:val="auto"/>
                <w:szCs w:val="24"/>
              </w:rPr>
              <w:t>。</w:t>
            </w:r>
          </w:p>
          <w:p w14:paraId="734E4CF7">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表4-1</w:t>
            </w:r>
            <w:r>
              <w:rPr>
                <w:rFonts w:hint="eastAsia" w:cs="Times New Roman"/>
                <w:b/>
                <w:bCs/>
                <w:snapToGrid w:val="0"/>
                <w:color w:val="auto"/>
                <w:kern w:val="0"/>
                <w:sz w:val="24"/>
                <w:szCs w:val="24"/>
                <w:lang w:val="en-US" w:eastAsia="zh-CN" w:bidi="ar-SA"/>
              </w:rPr>
              <w:t>6</w:t>
            </w:r>
            <w:r>
              <w:rPr>
                <w:rFonts w:hint="eastAsia" w:ascii="Times New Roman" w:hAnsi="Times New Roman" w:eastAsia="宋体" w:cs="Times New Roman"/>
                <w:b/>
                <w:bCs/>
                <w:snapToGrid w:val="0"/>
                <w:color w:val="auto"/>
                <w:kern w:val="0"/>
                <w:sz w:val="24"/>
                <w:szCs w:val="24"/>
                <w:lang w:val="en-US" w:eastAsia="zh-CN" w:bidi="ar-SA"/>
              </w:rPr>
              <w:t xml:space="preserve">     本项目固体废物处置及排放情况</w:t>
            </w:r>
          </w:p>
          <w:tbl>
            <w:tblPr>
              <w:tblStyle w:val="39"/>
              <w:tblW w:w="4995"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439"/>
              <w:gridCol w:w="964"/>
              <w:gridCol w:w="776"/>
              <w:gridCol w:w="988"/>
              <w:gridCol w:w="913"/>
              <w:gridCol w:w="973"/>
              <w:gridCol w:w="563"/>
              <w:gridCol w:w="768"/>
              <w:gridCol w:w="641"/>
              <w:gridCol w:w="1224"/>
            </w:tblGrid>
            <w:tr w14:paraId="076BA5D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noWrap w:val="0"/>
                  <w:vAlign w:val="center"/>
                </w:tcPr>
                <w:p w14:paraId="55F72E0D">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序号</w:t>
                  </w:r>
                </w:p>
              </w:tc>
              <w:tc>
                <w:tcPr>
                  <w:tcW w:w="584" w:type="pct"/>
                  <w:tcBorders>
                    <w:tl2br w:val="nil"/>
                    <w:tr2bl w:val="nil"/>
                  </w:tcBorders>
                  <w:noWrap w:val="0"/>
                  <w:vAlign w:val="center"/>
                </w:tcPr>
                <w:p w14:paraId="78F21708">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产生环节</w:t>
                  </w:r>
                </w:p>
              </w:tc>
              <w:tc>
                <w:tcPr>
                  <w:tcW w:w="470" w:type="pct"/>
                  <w:tcBorders>
                    <w:tl2br w:val="nil"/>
                    <w:tr2bl w:val="nil"/>
                  </w:tcBorders>
                  <w:noWrap w:val="0"/>
                  <w:vAlign w:val="center"/>
                </w:tcPr>
                <w:p w14:paraId="69C88DC9">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固废名称</w:t>
                  </w:r>
                </w:p>
              </w:tc>
              <w:tc>
                <w:tcPr>
                  <w:tcW w:w="598" w:type="pct"/>
                  <w:tcBorders>
                    <w:tl2br w:val="nil"/>
                    <w:tr2bl w:val="nil"/>
                  </w:tcBorders>
                  <w:noWrap w:val="0"/>
                  <w:vAlign w:val="center"/>
                </w:tcPr>
                <w:p w14:paraId="73810398">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属性</w:t>
                  </w:r>
                </w:p>
              </w:tc>
              <w:tc>
                <w:tcPr>
                  <w:tcW w:w="553" w:type="pct"/>
                  <w:tcBorders>
                    <w:tl2br w:val="nil"/>
                    <w:tr2bl w:val="nil"/>
                  </w:tcBorders>
                  <w:noWrap w:val="0"/>
                  <w:vAlign w:val="center"/>
                </w:tcPr>
                <w:p w14:paraId="0DFF9AC6">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废物类别及代码</w:t>
                  </w:r>
                </w:p>
              </w:tc>
              <w:tc>
                <w:tcPr>
                  <w:tcW w:w="589" w:type="pct"/>
                  <w:tcBorders>
                    <w:tl2br w:val="nil"/>
                    <w:tr2bl w:val="nil"/>
                  </w:tcBorders>
                  <w:noWrap w:val="0"/>
                  <w:vAlign w:val="center"/>
                </w:tcPr>
                <w:p w14:paraId="5D3334FF">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主要有毒有害物质名称</w:t>
                  </w:r>
                </w:p>
              </w:tc>
              <w:tc>
                <w:tcPr>
                  <w:tcW w:w="341" w:type="pct"/>
                  <w:tcBorders>
                    <w:tl2br w:val="nil"/>
                    <w:tr2bl w:val="nil"/>
                  </w:tcBorders>
                  <w:noWrap w:val="0"/>
                  <w:vAlign w:val="center"/>
                </w:tcPr>
                <w:p w14:paraId="7338BE40">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物理状态</w:t>
                  </w:r>
                </w:p>
              </w:tc>
              <w:tc>
                <w:tcPr>
                  <w:tcW w:w="465" w:type="pct"/>
                  <w:tcBorders>
                    <w:tl2br w:val="nil"/>
                    <w:tr2bl w:val="nil"/>
                  </w:tcBorders>
                  <w:noWrap w:val="0"/>
                  <w:vAlign w:val="center"/>
                </w:tcPr>
                <w:p w14:paraId="510E040E">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环境危险特性</w:t>
                  </w:r>
                </w:p>
              </w:tc>
              <w:tc>
                <w:tcPr>
                  <w:tcW w:w="388" w:type="pct"/>
                  <w:tcBorders>
                    <w:tl2br w:val="nil"/>
                    <w:tr2bl w:val="nil"/>
                  </w:tcBorders>
                  <w:noWrap w:val="0"/>
                  <w:vAlign w:val="center"/>
                </w:tcPr>
                <w:p w14:paraId="65A43EDD">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产生量t/a</w:t>
                  </w:r>
                </w:p>
              </w:tc>
              <w:tc>
                <w:tcPr>
                  <w:tcW w:w="741" w:type="pct"/>
                  <w:tcBorders>
                    <w:tl2br w:val="nil"/>
                    <w:tr2bl w:val="nil"/>
                  </w:tcBorders>
                  <w:noWrap w:val="0"/>
                  <w:vAlign w:val="center"/>
                </w:tcPr>
                <w:p w14:paraId="5BA5BB83">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利用处置方式</w:t>
                  </w:r>
                </w:p>
              </w:tc>
            </w:tr>
            <w:tr w14:paraId="6B5FBF0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noWrap w:val="0"/>
                  <w:vAlign w:val="center"/>
                </w:tcPr>
                <w:p w14:paraId="4B884A95">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1</w:t>
                  </w:r>
                </w:p>
              </w:tc>
              <w:tc>
                <w:tcPr>
                  <w:tcW w:w="584" w:type="pct"/>
                  <w:tcBorders>
                    <w:tl2br w:val="nil"/>
                    <w:tr2bl w:val="nil"/>
                  </w:tcBorders>
                  <w:noWrap w:val="0"/>
                  <w:vAlign w:val="center"/>
                </w:tcPr>
                <w:p w14:paraId="337236F7">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原料包装</w:t>
                  </w:r>
                </w:p>
              </w:tc>
              <w:tc>
                <w:tcPr>
                  <w:tcW w:w="470" w:type="pct"/>
                  <w:tcBorders>
                    <w:tl2br w:val="nil"/>
                    <w:tr2bl w:val="nil"/>
                  </w:tcBorders>
                  <w:noWrap w:val="0"/>
                  <w:vAlign w:val="center"/>
                </w:tcPr>
                <w:p w14:paraId="106C776F">
                  <w:pPr>
                    <w:pStyle w:val="115"/>
                    <w:rPr>
                      <w:rFonts w:hint="default" w:ascii="Times New Roman" w:hAnsi="Times New Roman" w:eastAsia="宋体" w:cs="Times New Roman"/>
                      <w:b w:val="0"/>
                      <w:bCs w:val="0"/>
                      <w:color w:val="auto"/>
                      <w:kern w:val="2"/>
                      <w:sz w:val="21"/>
                      <w:szCs w:val="21"/>
                      <w:lang w:val="en-US"/>
                    </w:rPr>
                  </w:pPr>
                  <w:r>
                    <w:rPr>
                      <w:rFonts w:hint="eastAsia" w:cs="Times New Roman"/>
                      <w:b w:val="0"/>
                      <w:bCs w:val="0"/>
                      <w:color w:val="auto"/>
                      <w:kern w:val="2"/>
                      <w:sz w:val="21"/>
                      <w:szCs w:val="21"/>
                      <w:lang w:val="en-US" w:eastAsia="zh-CN"/>
                    </w:rPr>
                    <w:t>废原料包装材料</w:t>
                  </w:r>
                </w:p>
              </w:tc>
              <w:tc>
                <w:tcPr>
                  <w:tcW w:w="598" w:type="pct"/>
                  <w:tcBorders>
                    <w:tl2br w:val="nil"/>
                    <w:tr2bl w:val="nil"/>
                  </w:tcBorders>
                  <w:noWrap w:val="0"/>
                  <w:vAlign w:val="center"/>
                </w:tcPr>
                <w:p w14:paraId="3A5306B6">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一般固废</w:t>
                  </w:r>
                </w:p>
              </w:tc>
              <w:tc>
                <w:tcPr>
                  <w:tcW w:w="553" w:type="pct"/>
                  <w:tcBorders>
                    <w:tl2br w:val="nil"/>
                    <w:tr2bl w:val="nil"/>
                  </w:tcBorders>
                  <w:noWrap w:val="0"/>
                  <w:vAlign w:val="center"/>
                </w:tcPr>
                <w:p w14:paraId="48F36433">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25E717B0">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0F5225B7">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67531CC7">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0E4C6B3A">
                  <w:pPr>
                    <w:pStyle w:val="115"/>
                    <w:rPr>
                      <w:rFonts w:hint="eastAsia" w:ascii="Times New Roman" w:hAnsi="Times New Roman" w:eastAsia="宋体" w:cs="Times New Roman"/>
                      <w:b w:val="0"/>
                      <w:bCs w:val="0"/>
                      <w:color w:val="auto"/>
                      <w:kern w:val="2"/>
                      <w:sz w:val="21"/>
                      <w:szCs w:val="21"/>
                      <w:lang w:eastAsia="zh-CN"/>
                    </w:rPr>
                  </w:pPr>
                  <w:r>
                    <w:rPr>
                      <w:rFonts w:hint="eastAsia" w:cs="Times New Roman"/>
                      <w:b w:val="0"/>
                      <w:bCs w:val="0"/>
                      <w:color w:val="auto"/>
                      <w:kern w:val="2"/>
                      <w:sz w:val="21"/>
                      <w:szCs w:val="21"/>
                      <w:lang w:val="en-US" w:eastAsia="zh-CN"/>
                    </w:rPr>
                    <w:t>3</w:t>
                  </w:r>
                </w:p>
              </w:tc>
              <w:tc>
                <w:tcPr>
                  <w:tcW w:w="741" w:type="pct"/>
                  <w:vMerge w:val="restart"/>
                  <w:tcBorders>
                    <w:tl2br w:val="nil"/>
                    <w:tr2bl w:val="nil"/>
                  </w:tcBorders>
                  <w:noWrap w:val="0"/>
                  <w:vAlign w:val="center"/>
                </w:tcPr>
                <w:p w14:paraId="7570976F">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暂存于一般固废暂存间，</w:t>
                  </w:r>
                  <w:r>
                    <w:rPr>
                      <w:rFonts w:hint="default" w:ascii="Times New Roman" w:hAnsi="Times New Roman" w:eastAsia="宋体" w:cs="Times New Roman"/>
                      <w:b w:val="0"/>
                      <w:bCs w:val="0"/>
                      <w:color w:val="auto"/>
                      <w:kern w:val="2"/>
                      <w:sz w:val="21"/>
                      <w:szCs w:val="21"/>
                      <w:lang w:val="en-US" w:eastAsia="zh-CN"/>
                    </w:rPr>
                    <w:t>定期</w:t>
                  </w:r>
                  <w:r>
                    <w:rPr>
                      <w:rFonts w:hint="default" w:ascii="Times New Roman" w:hAnsi="Times New Roman" w:eastAsia="宋体" w:cs="Times New Roman"/>
                      <w:b w:val="0"/>
                      <w:bCs w:val="0"/>
                      <w:color w:val="auto"/>
                      <w:kern w:val="2"/>
                      <w:sz w:val="21"/>
                      <w:szCs w:val="21"/>
                    </w:rPr>
                    <w:t>外售</w:t>
                  </w:r>
                </w:p>
              </w:tc>
            </w:tr>
            <w:tr w14:paraId="0CEBAA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noWrap w:val="0"/>
                  <w:vAlign w:val="center"/>
                </w:tcPr>
                <w:p w14:paraId="6C9D659C">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2</w:t>
                  </w:r>
                </w:p>
              </w:tc>
              <w:tc>
                <w:tcPr>
                  <w:tcW w:w="584" w:type="pct"/>
                  <w:tcBorders>
                    <w:tl2br w:val="nil"/>
                    <w:tr2bl w:val="nil"/>
                  </w:tcBorders>
                  <w:noWrap w:val="0"/>
                  <w:vAlign w:val="center"/>
                </w:tcPr>
                <w:p w14:paraId="19DA0602">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切割、钻孔等</w:t>
                  </w:r>
                </w:p>
              </w:tc>
              <w:tc>
                <w:tcPr>
                  <w:tcW w:w="470" w:type="pct"/>
                  <w:tcBorders>
                    <w:tl2br w:val="nil"/>
                    <w:tr2bl w:val="nil"/>
                  </w:tcBorders>
                  <w:noWrap w:val="0"/>
                  <w:vAlign w:val="center"/>
                </w:tcPr>
                <w:p w14:paraId="4E08F9B5">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玻璃边角料</w:t>
                  </w:r>
                </w:p>
              </w:tc>
              <w:tc>
                <w:tcPr>
                  <w:tcW w:w="598" w:type="pct"/>
                  <w:tcBorders>
                    <w:tl2br w:val="nil"/>
                    <w:tr2bl w:val="nil"/>
                  </w:tcBorders>
                  <w:noWrap w:val="0"/>
                  <w:vAlign w:val="center"/>
                </w:tcPr>
                <w:p w14:paraId="613CBB1A">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一般固废</w:t>
                  </w:r>
                </w:p>
              </w:tc>
              <w:tc>
                <w:tcPr>
                  <w:tcW w:w="553" w:type="pct"/>
                  <w:tcBorders>
                    <w:tl2br w:val="nil"/>
                    <w:tr2bl w:val="nil"/>
                  </w:tcBorders>
                  <w:noWrap w:val="0"/>
                  <w:vAlign w:val="center"/>
                </w:tcPr>
                <w:p w14:paraId="1FF56D9F">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63140984">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2F0EB0F8">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7E36B55F">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5D4E245A">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125</w:t>
                  </w:r>
                </w:p>
              </w:tc>
              <w:tc>
                <w:tcPr>
                  <w:tcW w:w="741" w:type="pct"/>
                  <w:vMerge w:val="continue"/>
                  <w:tcBorders>
                    <w:tl2br w:val="nil"/>
                    <w:tr2bl w:val="nil"/>
                  </w:tcBorders>
                  <w:noWrap w:val="0"/>
                  <w:vAlign w:val="center"/>
                </w:tcPr>
                <w:p w14:paraId="6F7E5073">
                  <w:pPr>
                    <w:pStyle w:val="115"/>
                    <w:rPr>
                      <w:rFonts w:hint="default" w:ascii="Times New Roman" w:hAnsi="Times New Roman" w:eastAsia="宋体" w:cs="Times New Roman"/>
                      <w:b w:val="0"/>
                      <w:bCs w:val="0"/>
                      <w:color w:val="auto"/>
                      <w:kern w:val="2"/>
                      <w:sz w:val="21"/>
                      <w:szCs w:val="21"/>
                    </w:rPr>
                  </w:pPr>
                </w:p>
              </w:tc>
            </w:tr>
            <w:tr w14:paraId="3107804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noWrap w:val="0"/>
                  <w:vAlign w:val="center"/>
                </w:tcPr>
                <w:p w14:paraId="630DCC8F">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rPr>
                    <w:t>3</w:t>
                  </w:r>
                </w:p>
              </w:tc>
              <w:tc>
                <w:tcPr>
                  <w:tcW w:w="584" w:type="pct"/>
                  <w:tcBorders>
                    <w:tl2br w:val="nil"/>
                    <w:tr2bl w:val="nil"/>
                  </w:tcBorders>
                  <w:noWrap w:val="0"/>
                  <w:vAlign w:val="center"/>
                </w:tcPr>
                <w:p w14:paraId="61A0D291">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检测</w:t>
                  </w:r>
                </w:p>
              </w:tc>
              <w:tc>
                <w:tcPr>
                  <w:tcW w:w="470" w:type="pct"/>
                  <w:tcBorders>
                    <w:tl2br w:val="nil"/>
                    <w:tr2bl w:val="nil"/>
                  </w:tcBorders>
                  <w:noWrap w:val="0"/>
                  <w:vAlign w:val="center"/>
                </w:tcPr>
                <w:p w14:paraId="79B5004F">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不合格产品</w:t>
                  </w:r>
                </w:p>
              </w:tc>
              <w:tc>
                <w:tcPr>
                  <w:tcW w:w="598" w:type="pct"/>
                  <w:tcBorders>
                    <w:tl2br w:val="nil"/>
                    <w:tr2bl w:val="nil"/>
                  </w:tcBorders>
                  <w:noWrap w:val="0"/>
                  <w:vAlign w:val="center"/>
                </w:tcPr>
                <w:p w14:paraId="31DF601E">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一般固废</w:t>
                  </w:r>
                </w:p>
              </w:tc>
              <w:tc>
                <w:tcPr>
                  <w:tcW w:w="553" w:type="pct"/>
                  <w:tcBorders>
                    <w:tl2br w:val="nil"/>
                    <w:tr2bl w:val="nil"/>
                  </w:tcBorders>
                  <w:noWrap w:val="0"/>
                  <w:vAlign w:val="center"/>
                </w:tcPr>
                <w:p w14:paraId="269E1942">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1DBE7457">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07622E3D">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31A6DDB9">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4289955D">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1875</w:t>
                  </w:r>
                </w:p>
              </w:tc>
              <w:tc>
                <w:tcPr>
                  <w:tcW w:w="741" w:type="pct"/>
                  <w:vMerge w:val="continue"/>
                  <w:tcBorders>
                    <w:bottom w:val="single" w:color="auto" w:sz="4" w:space="0"/>
                    <w:tl2br w:val="nil"/>
                    <w:tr2bl w:val="nil"/>
                  </w:tcBorders>
                  <w:noWrap w:val="0"/>
                  <w:vAlign w:val="center"/>
                </w:tcPr>
                <w:p w14:paraId="52D48FEB">
                  <w:pPr>
                    <w:pStyle w:val="115"/>
                    <w:rPr>
                      <w:rFonts w:hint="default" w:ascii="Times New Roman" w:hAnsi="Times New Roman" w:eastAsia="宋体" w:cs="Times New Roman"/>
                      <w:b w:val="0"/>
                      <w:bCs w:val="0"/>
                      <w:color w:val="auto"/>
                      <w:kern w:val="2"/>
                      <w:sz w:val="21"/>
                      <w:szCs w:val="21"/>
                    </w:rPr>
                  </w:pPr>
                </w:p>
              </w:tc>
            </w:tr>
            <w:tr w14:paraId="0995F39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noWrap w:val="0"/>
                  <w:vAlign w:val="center"/>
                </w:tcPr>
                <w:p w14:paraId="4D808F18">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rPr>
                    <w:t>4</w:t>
                  </w:r>
                </w:p>
              </w:tc>
              <w:tc>
                <w:tcPr>
                  <w:tcW w:w="584" w:type="pct"/>
                  <w:tcBorders>
                    <w:tl2br w:val="nil"/>
                    <w:tr2bl w:val="nil"/>
                  </w:tcBorders>
                  <w:noWrap w:val="0"/>
                  <w:vAlign w:val="center"/>
                </w:tcPr>
                <w:p w14:paraId="746DBD4E">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纯水制备</w:t>
                  </w:r>
                </w:p>
              </w:tc>
              <w:tc>
                <w:tcPr>
                  <w:tcW w:w="470" w:type="pct"/>
                  <w:tcBorders>
                    <w:tl2br w:val="nil"/>
                    <w:tr2bl w:val="nil"/>
                  </w:tcBorders>
                  <w:noWrap w:val="0"/>
                  <w:vAlign w:val="center"/>
                </w:tcPr>
                <w:p w14:paraId="2904E600">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废反渗透膜</w:t>
                  </w:r>
                </w:p>
              </w:tc>
              <w:tc>
                <w:tcPr>
                  <w:tcW w:w="598" w:type="pct"/>
                  <w:tcBorders>
                    <w:tl2br w:val="nil"/>
                    <w:tr2bl w:val="nil"/>
                  </w:tcBorders>
                  <w:noWrap w:val="0"/>
                  <w:vAlign w:val="center"/>
                </w:tcPr>
                <w:p w14:paraId="6129A67B">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一般固废</w:t>
                  </w:r>
                </w:p>
              </w:tc>
              <w:tc>
                <w:tcPr>
                  <w:tcW w:w="553" w:type="pct"/>
                  <w:tcBorders>
                    <w:tl2br w:val="nil"/>
                    <w:tr2bl w:val="nil"/>
                  </w:tcBorders>
                  <w:noWrap w:val="0"/>
                  <w:vAlign w:val="center"/>
                </w:tcPr>
                <w:p w14:paraId="3AB783D6">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07BE43AB">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77BDBE3F">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76EE3292">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0F00A106">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0.03</w:t>
                  </w:r>
                </w:p>
              </w:tc>
              <w:tc>
                <w:tcPr>
                  <w:tcW w:w="741" w:type="pct"/>
                  <w:tcBorders>
                    <w:top w:val="single" w:color="auto" w:sz="4" w:space="0"/>
                    <w:bottom w:val="single" w:color="auto" w:sz="4" w:space="0"/>
                    <w:tl2br w:val="nil"/>
                    <w:tr2bl w:val="nil"/>
                  </w:tcBorders>
                  <w:noWrap w:val="0"/>
                  <w:vAlign w:val="center"/>
                </w:tcPr>
                <w:p w14:paraId="333DD12F">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由生产厂家回收</w:t>
                  </w:r>
                </w:p>
              </w:tc>
            </w:tr>
            <w:tr w14:paraId="1E5CA40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537" w:hRule="atLeast"/>
                <w:jc w:val="center"/>
              </w:trPr>
              <w:tc>
                <w:tcPr>
                  <w:tcW w:w="266" w:type="pct"/>
                  <w:tcBorders>
                    <w:tl2br w:val="nil"/>
                    <w:tr2bl w:val="nil"/>
                  </w:tcBorders>
                  <w:noWrap w:val="0"/>
                  <w:vAlign w:val="center"/>
                </w:tcPr>
                <w:p w14:paraId="4ACB4EE2">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rPr>
                    <w:t>5</w:t>
                  </w:r>
                </w:p>
              </w:tc>
              <w:tc>
                <w:tcPr>
                  <w:tcW w:w="584" w:type="pct"/>
                  <w:tcBorders>
                    <w:tl2br w:val="nil"/>
                    <w:tr2bl w:val="nil"/>
                  </w:tcBorders>
                  <w:noWrap w:val="0"/>
                  <w:vAlign w:val="center"/>
                </w:tcPr>
                <w:p w14:paraId="2F8243F2">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沉淀池</w:t>
                  </w:r>
                </w:p>
              </w:tc>
              <w:tc>
                <w:tcPr>
                  <w:tcW w:w="470" w:type="pct"/>
                  <w:tcBorders>
                    <w:tl2br w:val="nil"/>
                    <w:tr2bl w:val="nil"/>
                  </w:tcBorders>
                  <w:noWrap w:val="0"/>
                  <w:vAlign w:val="center"/>
                </w:tcPr>
                <w:p w14:paraId="2B04F69E">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沉渣</w:t>
                  </w:r>
                </w:p>
              </w:tc>
              <w:tc>
                <w:tcPr>
                  <w:tcW w:w="598" w:type="pct"/>
                  <w:tcBorders>
                    <w:tl2br w:val="nil"/>
                    <w:tr2bl w:val="nil"/>
                  </w:tcBorders>
                  <w:noWrap w:val="0"/>
                  <w:vAlign w:val="center"/>
                </w:tcPr>
                <w:p w14:paraId="73CB1D64">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一般固废</w:t>
                  </w:r>
                </w:p>
              </w:tc>
              <w:tc>
                <w:tcPr>
                  <w:tcW w:w="553" w:type="pct"/>
                  <w:tcBorders>
                    <w:tl2br w:val="nil"/>
                    <w:tr2bl w:val="nil"/>
                  </w:tcBorders>
                  <w:noWrap w:val="0"/>
                  <w:vAlign w:val="center"/>
                </w:tcPr>
                <w:p w14:paraId="6E34C5DC">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6329B52C">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2314927E">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6E6C9378">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625AD237">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highlight w:val="none"/>
                      <w:lang w:val="en-US" w:eastAsia="zh-CN"/>
                    </w:rPr>
                    <w:t>15</w:t>
                  </w:r>
                </w:p>
              </w:tc>
              <w:tc>
                <w:tcPr>
                  <w:tcW w:w="741" w:type="pct"/>
                  <w:vMerge w:val="restart"/>
                  <w:tcBorders>
                    <w:top w:val="single" w:color="auto" w:sz="4" w:space="0"/>
                    <w:tl2br w:val="nil"/>
                    <w:tr2bl w:val="nil"/>
                  </w:tcBorders>
                  <w:noWrap w:val="0"/>
                  <w:vAlign w:val="center"/>
                </w:tcPr>
                <w:p w14:paraId="5BC22A31">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收集后</w:t>
                  </w:r>
                  <w:r>
                    <w:rPr>
                      <w:rFonts w:hint="default" w:ascii="Times New Roman" w:hAnsi="Times New Roman" w:eastAsia="宋体" w:cs="Times New Roman"/>
                      <w:b w:val="0"/>
                      <w:bCs w:val="0"/>
                      <w:color w:val="auto"/>
                      <w:kern w:val="2"/>
                      <w:sz w:val="21"/>
                      <w:szCs w:val="21"/>
                    </w:rPr>
                    <w:t>暂存于一般固废暂存间，</w:t>
                  </w:r>
                  <w:r>
                    <w:rPr>
                      <w:rFonts w:hint="default" w:ascii="Times New Roman" w:hAnsi="Times New Roman" w:eastAsia="宋体" w:cs="Times New Roman"/>
                      <w:b w:val="0"/>
                      <w:bCs w:val="0"/>
                      <w:color w:val="auto"/>
                      <w:kern w:val="2"/>
                      <w:sz w:val="21"/>
                      <w:szCs w:val="21"/>
                      <w:lang w:val="en-US" w:eastAsia="zh-CN"/>
                    </w:rPr>
                    <w:t>定期</w:t>
                  </w:r>
                  <w:r>
                    <w:rPr>
                      <w:rFonts w:hint="default" w:ascii="Times New Roman" w:hAnsi="Times New Roman" w:eastAsia="宋体" w:cs="Times New Roman"/>
                      <w:b w:val="0"/>
                      <w:bCs w:val="0"/>
                      <w:color w:val="auto"/>
                      <w:kern w:val="2"/>
                      <w:sz w:val="21"/>
                      <w:szCs w:val="21"/>
                    </w:rPr>
                    <w:t>外售</w:t>
                  </w:r>
                </w:p>
              </w:tc>
            </w:tr>
            <w:tr w14:paraId="6571B94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shd w:val="clear" w:color="auto" w:fill="auto"/>
                  <w:noWrap w:val="0"/>
                  <w:vAlign w:val="center"/>
                </w:tcPr>
                <w:p w14:paraId="7F4F3B45">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6</w:t>
                  </w:r>
                </w:p>
              </w:tc>
              <w:tc>
                <w:tcPr>
                  <w:tcW w:w="584" w:type="pct"/>
                  <w:tcBorders>
                    <w:tl2br w:val="nil"/>
                    <w:tr2bl w:val="nil"/>
                  </w:tcBorders>
                  <w:noWrap w:val="0"/>
                  <w:vAlign w:val="center"/>
                </w:tcPr>
                <w:p w14:paraId="3F61B6E3">
                  <w:pPr>
                    <w:pStyle w:val="115"/>
                    <w:rPr>
                      <w:rFonts w:hint="default"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铝条切割</w:t>
                  </w:r>
                </w:p>
              </w:tc>
              <w:tc>
                <w:tcPr>
                  <w:tcW w:w="470" w:type="pct"/>
                  <w:tcBorders>
                    <w:tl2br w:val="nil"/>
                    <w:tr2bl w:val="nil"/>
                  </w:tcBorders>
                  <w:noWrap w:val="0"/>
                  <w:vAlign w:val="center"/>
                </w:tcPr>
                <w:p w14:paraId="5656D604">
                  <w:pPr>
                    <w:pStyle w:val="115"/>
                    <w:rPr>
                      <w:rFonts w:hint="default"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废铝条</w:t>
                  </w:r>
                </w:p>
              </w:tc>
              <w:tc>
                <w:tcPr>
                  <w:tcW w:w="598" w:type="pct"/>
                  <w:tcBorders>
                    <w:tl2br w:val="nil"/>
                    <w:tr2bl w:val="nil"/>
                  </w:tcBorders>
                  <w:noWrap w:val="0"/>
                  <w:vAlign w:val="center"/>
                </w:tcPr>
                <w:p w14:paraId="3A02EB45">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一般固废</w:t>
                  </w:r>
                </w:p>
              </w:tc>
              <w:tc>
                <w:tcPr>
                  <w:tcW w:w="553" w:type="pct"/>
                  <w:tcBorders>
                    <w:tl2br w:val="nil"/>
                    <w:tr2bl w:val="nil"/>
                  </w:tcBorders>
                  <w:noWrap w:val="0"/>
                  <w:vAlign w:val="center"/>
                </w:tcPr>
                <w:p w14:paraId="5E60F548">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1636F4E4">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3D29C94D">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141419EE">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0C3ACD36">
                  <w:pPr>
                    <w:pStyle w:val="115"/>
                    <w:rPr>
                      <w:rFonts w:hint="default" w:cs="Times New Roman"/>
                      <w:b w:val="0"/>
                      <w:bCs w:val="0"/>
                      <w:color w:val="auto"/>
                      <w:kern w:val="2"/>
                      <w:sz w:val="21"/>
                      <w:szCs w:val="21"/>
                      <w:highlight w:val="none"/>
                      <w:lang w:val="en-US" w:eastAsia="zh-CN"/>
                    </w:rPr>
                  </w:pPr>
                  <w:r>
                    <w:rPr>
                      <w:rFonts w:hint="eastAsia" w:cs="Times New Roman"/>
                      <w:b w:val="0"/>
                      <w:bCs w:val="0"/>
                      <w:color w:val="auto"/>
                      <w:kern w:val="2"/>
                      <w:sz w:val="21"/>
                      <w:szCs w:val="21"/>
                      <w:highlight w:val="none"/>
                      <w:lang w:val="en-US" w:eastAsia="zh-CN"/>
                    </w:rPr>
                    <w:t>0.5</w:t>
                  </w:r>
                </w:p>
              </w:tc>
              <w:tc>
                <w:tcPr>
                  <w:tcW w:w="741" w:type="pct"/>
                  <w:vMerge w:val="continue"/>
                  <w:tcBorders>
                    <w:tl2br w:val="nil"/>
                    <w:tr2bl w:val="nil"/>
                  </w:tcBorders>
                  <w:noWrap w:val="0"/>
                  <w:vAlign w:val="center"/>
                </w:tcPr>
                <w:p w14:paraId="037A640B">
                  <w:pPr>
                    <w:pStyle w:val="115"/>
                    <w:rPr>
                      <w:rFonts w:hint="default" w:ascii="Times New Roman" w:hAnsi="Times New Roman" w:eastAsia="宋体" w:cs="Times New Roman"/>
                      <w:b w:val="0"/>
                      <w:bCs w:val="0"/>
                      <w:color w:val="auto"/>
                      <w:sz w:val="21"/>
                      <w:szCs w:val="21"/>
                    </w:rPr>
                  </w:pPr>
                </w:p>
              </w:tc>
            </w:tr>
            <w:tr w14:paraId="0EF7686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shd w:val="clear" w:color="auto" w:fill="auto"/>
                  <w:noWrap w:val="0"/>
                  <w:vAlign w:val="center"/>
                </w:tcPr>
                <w:p w14:paraId="07CBBE18">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7</w:t>
                  </w:r>
                </w:p>
              </w:tc>
              <w:tc>
                <w:tcPr>
                  <w:tcW w:w="584" w:type="pct"/>
                  <w:tcBorders>
                    <w:tl2br w:val="nil"/>
                    <w:tr2bl w:val="nil"/>
                  </w:tcBorders>
                  <w:noWrap w:val="0"/>
                  <w:vAlign w:val="center"/>
                </w:tcPr>
                <w:p w14:paraId="40CAEC25">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rPr>
                  </w:pPr>
                  <w:r>
                    <w:rPr>
                      <w:rFonts w:hint="eastAsia" w:cs="Times New Roman"/>
                      <w:b w:val="0"/>
                      <w:bCs w:val="0"/>
                      <w:color w:val="auto"/>
                      <w:sz w:val="21"/>
                      <w:szCs w:val="21"/>
                      <w:lang w:val="en-US" w:eastAsia="zh-CN"/>
                    </w:rPr>
                    <w:t>彩打成像及涂胶</w:t>
                  </w:r>
                </w:p>
              </w:tc>
              <w:tc>
                <w:tcPr>
                  <w:tcW w:w="470" w:type="pct"/>
                  <w:tcBorders>
                    <w:tl2br w:val="nil"/>
                    <w:tr2bl w:val="nil"/>
                  </w:tcBorders>
                  <w:noWrap w:val="0"/>
                  <w:vAlign w:val="center"/>
                </w:tcPr>
                <w:p w14:paraId="6D175F6E">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lang w:val="en-US" w:eastAsia="zh-CN"/>
                    </w:rPr>
                    <w:t>废墨水桶、废胶桶</w:t>
                  </w:r>
                </w:p>
              </w:tc>
              <w:tc>
                <w:tcPr>
                  <w:tcW w:w="598" w:type="pct"/>
                  <w:tcBorders>
                    <w:tl2br w:val="nil"/>
                    <w:tr2bl w:val="nil"/>
                  </w:tcBorders>
                  <w:noWrap w:val="0"/>
                  <w:vAlign w:val="center"/>
                </w:tcPr>
                <w:p w14:paraId="00D14AF1">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危险废物</w:t>
                  </w:r>
                </w:p>
              </w:tc>
              <w:tc>
                <w:tcPr>
                  <w:tcW w:w="553" w:type="pct"/>
                  <w:tcBorders>
                    <w:tl2br w:val="nil"/>
                    <w:tr2bl w:val="nil"/>
                  </w:tcBorders>
                  <w:noWrap w:val="0"/>
                  <w:vAlign w:val="center"/>
                </w:tcPr>
                <w:p w14:paraId="77C729AC">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HW49</w:t>
                  </w:r>
                </w:p>
                <w:p w14:paraId="34DA15E1">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900-041-49</w:t>
                  </w:r>
                </w:p>
              </w:tc>
              <w:tc>
                <w:tcPr>
                  <w:tcW w:w="589" w:type="pct"/>
                  <w:tcBorders>
                    <w:tl2br w:val="nil"/>
                    <w:tr2bl w:val="nil"/>
                  </w:tcBorders>
                  <w:noWrap w:val="0"/>
                  <w:vAlign w:val="center"/>
                </w:tcPr>
                <w:p w14:paraId="17D7418B">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油墨、丁基胶、硅酮密封胶</w:t>
                  </w:r>
                </w:p>
              </w:tc>
              <w:tc>
                <w:tcPr>
                  <w:tcW w:w="341" w:type="pct"/>
                  <w:tcBorders>
                    <w:tl2br w:val="nil"/>
                    <w:tr2bl w:val="nil"/>
                  </w:tcBorders>
                  <w:noWrap w:val="0"/>
                  <w:vAlign w:val="center"/>
                </w:tcPr>
                <w:p w14:paraId="66E3004F">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198FF364">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rPr>
                  </w:pPr>
                  <w:r>
                    <w:rPr>
                      <w:rFonts w:hint="default" w:ascii="Times New Roman" w:hAnsi="Times New Roman" w:eastAsia="宋体" w:cs="Times New Roman"/>
                      <w:b w:val="0"/>
                      <w:bCs w:val="0"/>
                      <w:color w:val="auto"/>
                      <w:kern w:val="2"/>
                      <w:sz w:val="21"/>
                      <w:szCs w:val="21"/>
                      <w:highlight w:val="none"/>
                    </w:rPr>
                    <w:t>T/In</w:t>
                  </w:r>
                </w:p>
              </w:tc>
              <w:tc>
                <w:tcPr>
                  <w:tcW w:w="388" w:type="pct"/>
                  <w:tcBorders>
                    <w:tl2br w:val="nil"/>
                    <w:tr2bl w:val="nil"/>
                  </w:tcBorders>
                  <w:noWrap w:val="0"/>
                  <w:vAlign w:val="center"/>
                </w:tcPr>
                <w:p w14:paraId="2AC97718">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1.15</w:t>
                  </w:r>
                </w:p>
              </w:tc>
              <w:tc>
                <w:tcPr>
                  <w:tcW w:w="741" w:type="pct"/>
                  <w:vMerge w:val="restart"/>
                  <w:tcBorders>
                    <w:top w:val="single" w:color="auto" w:sz="4" w:space="0"/>
                    <w:tl2br w:val="nil"/>
                    <w:tr2bl w:val="nil"/>
                  </w:tcBorders>
                  <w:noWrap w:val="0"/>
                  <w:vAlign w:val="center"/>
                </w:tcPr>
                <w:p w14:paraId="4C90BFD5">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暂存于危废暂存间，委托有资质进行处置</w:t>
                  </w:r>
                </w:p>
                <w:p w14:paraId="5C86DB47">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p>
              </w:tc>
            </w:tr>
            <w:tr w14:paraId="2DA4103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shd w:val="clear" w:color="auto" w:fill="auto"/>
                  <w:noWrap w:val="0"/>
                  <w:vAlign w:val="center"/>
                </w:tcPr>
                <w:p w14:paraId="4F7D95C6">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8</w:t>
                  </w:r>
                </w:p>
              </w:tc>
              <w:tc>
                <w:tcPr>
                  <w:tcW w:w="584" w:type="pct"/>
                  <w:tcBorders>
                    <w:tl2br w:val="nil"/>
                    <w:tr2bl w:val="nil"/>
                  </w:tcBorders>
                  <w:noWrap w:val="0"/>
                  <w:vAlign w:val="center"/>
                </w:tcPr>
                <w:p w14:paraId="798FBF94">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有机废气治理</w:t>
                  </w:r>
                </w:p>
              </w:tc>
              <w:tc>
                <w:tcPr>
                  <w:tcW w:w="470" w:type="pct"/>
                  <w:tcBorders>
                    <w:tl2br w:val="nil"/>
                    <w:tr2bl w:val="nil"/>
                  </w:tcBorders>
                  <w:noWrap w:val="0"/>
                  <w:vAlign w:val="center"/>
                </w:tcPr>
                <w:p w14:paraId="24A0EE7A">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废活性炭</w:t>
                  </w:r>
                </w:p>
              </w:tc>
              <w:tc>
                <w:tcPr>
                  <w:tcW w:w="598" w:type="pct"/>
                  <w:tcBorders>
                    <w:tl2br w:val="nil"/>
                    <w:tr2bl w:val="nil"/>
                  </w:tcBorders>
                  <w:noWrap w:val="0"/>
                  <w:vAlign w:val="center"/>
                </w:tcPr>
                <w:p w14:paraId="0BC8AE79">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危险废物</w:t>
                  </w:r>
                </w:p>
              </w:tc>
              <w:tc>
                <w:tcPr>
                  <w:tcW w:w="553" w:type="pct"/>
                  <w:tcBorders>
                    <w:tl2br w:val="nil"/>
                    <w:tr2bl w:val="nil"/>
                  </w:tcBorders>
                  <w:noWrap w:val="0"/>
                  <w:vAlign w:val="center"/>
                </w:tcPr>
                <w:p w14:paraId="0D481582">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HW49</w:t>
                  </w:r>
                </w:p>
                <w:p w14:paraId="7A5D27B1">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900-0</w:t>
                  </w:r>
                  <w:r>
                    <w:rPr>
                      <w:rFonts w:hint="eastAsia" w:cs="Times New Roman"/>
                      <w:b w:val="0"/>
                      <w:bCs w:val="0"/>
                      <w:color w:val="auto"/>
                      <w:kern w:val="2"/>
                      <w:sz w:val="21"/>
                      <w:szCs w:val="21"/>
                      <w:lang w:val="en-US" w:eastAsia="zh-CN"/>
                    </w:rPr>
                    <w:t>39</w:t>
                  </w:r>
                  <w:r>
                    <w:rPr>
                      <w:rFonts w:hint="default" w:ascii="Times New Roman" w:hAnsi="Times New Roman" w:eastAsia="宋体" w:cs="Times New Roman"/>
                      <w:b w:val="0"/>
                      <w:bCs w:val="0"/>
                      <w:color w:val="auto"/>
                      <w:kern w:val="2"/>
                      <w:sz w:val="21"/>
                      <w:szCs w:val="21"/>
                    </w:rPr>
                    <w:t>-49</w:t>
                  </w:r>
                </w:p>
              </w:tc>
              <w:tc>
                <w:tcPr>
                  <w:tcW w:w="589" w:type="pct"/>
                  <w:tcBorders>
                    <w:tl2br w:val="nil"/>
                    <w:tr2bl w:val="nil"/>
                  </w:tcBorders>
                  <w:noWrap w:val="0"/>
                  <w:vAlign w:val="center"/>
                </w:tcPr>
                <w:p w14:paraId="26747106">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有机废气</w:t>
                  </w:r>
                </w:p>
              </w:tc>
              <w:tc>
                <w:tcPr>
                  <w:tcW w:w="341" w:type="pct"/>
                  <w:tcBorders>
                    <w:tl2br w:val="nil"/>
                    <w:tr2bl w:val="nil"/>
                  </w:tcBorders>
                  <w:noWrap w:val="0"/>
                  <w:vAlign w:val="center"/>
                </w:tcPr>
                <w:p w14:paraId="6E3FC523">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2715DD6C">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rPr>
                    <w:t>T</w:t>
                  </w:r>
                </w:p>
              </w:tc>
              <w:tc>
                <w:tcPr>
                  <w:tcW w:w="388" w:type="pct"/>
                  <w:tcBorders>
                    <w:tl2br w:val="nil"/>
                    <w:tr2bl w:val="nil"/>
                  </w:tcBorders>
                  <w:noWrap w:val="0"/>
                  <w:vAlign w:val="center"/>
                </w:tcPr>
                <w:p w14:paraId="7069A599">
                  <w:pPr>
                    <w:pStyle w:val="115"/>
                    <w:keepNext w:val="0"/>
                    <w:keepLines w:val="0"/>
                    <w:pageBreakBefore w:val="0"/>
                    <w:widowControl/>
                    <w:kinsoku/>
                    <w:wordWrap/>
                    <w:overflowPunct/>
                    <w:topLinePunct w:val="0"/>
                    <w:autoSpaceDE/>
                    <w:autoSpaceDN/>
                    <w:bidi w:val="0"/>
                    <w:adjustRightInd/>
                    <w:snapToGrid w:val="0"/>
                    <w:textAlignment w:val="auto"/>
                    <w:rPr>
                      <w:rFonts w:hint="eastAsia"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6</w:t>
                  </w:r>
                </w:p>
              </w:tc>
              <w:tc>
                <w:tcPr>
                  <w:tcW w:w="741" w:type="pct"/>
                  <w:vMerge w:val="continue"/>
                  <w:tcBorders>
                    <w:tl2br w:val="nil"/>
                    <w:tr2bl w:val="nil"/>
                  </w:tcBorders>
                  <w:noWrap w:val="0"/>
                  <w:vAlign w:val="center"/>
                </w:tcPr>
                <w:p w14:paraId="3F9A9D54">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p>
              </w:tc>
            </w:tr>
            <w:tr w14:paraId="3FF5E23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shd w:val="clear" w:color="auto" w:fill="auto"/>
                  <w:noWrap w:val="0"/>
                  <w:vAlign w:val="center"/>
                </w:tcPr>
                <w:p w14:paraId="12B85ECA">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9</w:t>
                  </w:r>
                </w:p>
              </w:tc>
              <w:tc>
                <w:tcPr>
                  <w:tcW w:w="584" w:type="pct"/>
                  <w:vMerge w:val="restart"/>
                  <w:tcBorders>
                    <w:tl2br w:val="nil"/>
                    <w:tr2bl w:val="nil"/>
                  </w:tcBorders>
                  <w:noWrap w:val="0"/>
                  <w:vAlign w:val="center"/>
                </w:tcPr>
                <w:p w14:paraId="508FDA13">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设备维护</w:t>
                  </w:r>
                </w:p>
              </w:tc>
              <w:tc>
                <w:tcPr>
                  <w:tcW w:w="470" w:type="pct"/>
                  <w:tcBorders>
                    <w:tl2br w:val="nil"/>
                    <w:tr2bl w:val="nil"/>
                  </w:tcBorders>
                  <w:noWrap w:val="0"/>
                  <w:vAlign w:val="center"/>
                </w:tcPr>
                <w:p w14:paraId="422A6F63">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废机油</w:t>
                  </w:r>
                </w:p>
              </w:tc>
              <w:tc>
                <w:tcPr>
                  <w:tcW w:w="598" w:type="pct"/>
                  <w:tcBorders>
                    <w:tl2br w:val="nil"/>
                    <w:tr2bl w:val="nil"/>
                  </w:tcBorders>
                  <w:noWrap w:val="0"/>
                  <w:vAlign w:val="center"/>
                </w:tcPr>
                <w:p w14:paraId="494B448C">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危险废物</w:t>
                  </w:r>
                </w:p>
              </w:tc>
              <w:tc>
                <w:tcPr>
                  <w:tcW w:w="553" w:type="pct"/>
                  <w:tcBorders>
                    <w:tl2br w:val="nil"/>
                    <w:tr2bl w:val="nil"/>
                  </w:tcBorders>
                  <w:noWrap w:val="0"/>
                  <w:vAlign w:val="center"/>
                </w:tcPr>
                <w:p w14:paraId="1774F1EA">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HW08</w:t>
                  </w:r>
                </w:p>
                <w:p w14:paraId="1AE5C514">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900-214-08</w:t>
                  </w:r>
                </w:p>
              </w:tc>
              <w:tc>
                <w:tcPr>
                  <w:tcW w:w="589" w:type="pct"/>
                  <w:tcBorders>
                    <w:tl2br w:val="nil"/>
                    <w:tr2bl w:val="nil"/>
                  </w:tcBorders>
                  <w:noWrap w:val="0"/>
                  <w:vAlign w:val="center"/>
                </w:tcPr>
                <w:p w14:paraId="5DA98DF0">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机油</w:t>
                  </w:r>
                </w:p>
              </w:tc>
              <w:tc>
                <w:tcPr>
                  <w:tcW w:w="341" w:type="pct"/>
                  <w:tcBorders>
                    <w:tl2br w:val="nil"/>
                    <w:tr2bl w:val="nil"/>
                  </w:tcBorders>
                  <w:noWrap w:val="0"/>
                  <w:vAlign w:val="center"/>
                </w:tcPr>
                <w:p w14:paraId="29F03507">
                  <w:pPr>
                    <w:pStyle w:val="115"/>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lang w:val="en-US" w:eastAsia="zh-CN"/>
                    </w:rPr>
                    <w:t>液态</w:t>
                  </w:r>
                </w:p>
              </w:tc>
              <w:tc>
                <w:tcPr>
                  <w:tcW w:w="465" w:type="pct"/>
                  <w:tcBorders>
                    <w:tl2br w:val="nil"/>
                    <w:tr2bl w:val="nil"/>
                  </w:tcBorders>
                  <w:noWrap w:val="0"/>
                  <w:vAlign w:val="center"/>
                </w:tcPr>
                <w:p w14:paraId="20811929">
                  <w:pPr>
                    <w:pStyle w:val="115"/>
                    <w:rPr>
                      <w:rFonts w:hint="default" w:ascii="Times New Roman" w:hAnsi="Times New Roman" w:eastAsia="宋体" w:cs="Times New Roman"/>
                      <w:b w:val="0"/>
                      <w:bCs w:val="0"/>
                      <w:color w:val="auto"/>
                      <w:kern w:val="2"/>
                      <w:sz w:val="21"/>
                      <w:szCs w:val="21"/>
                      <w:highlight w:val="none"/>
                    </w:rPr>
                  </w:pPr>
                  <w:r>
                    <w:rPr>
                      <w:rFonts w:hint="default" w:ascii="Times New Roman" w:hAnsi="Times New Roman" w:eastAsia="宋体" w:cs="Times New Roman"/>
                      <w:b w:val="0"/>
                      <w:bCs w:val="0"/>
                      <w:color w:val="auto"/>
                      <w:kern w:val="2"/>
                      <w:sz w:val="21"/>
                      <w:szCs w:val="21"/>
                      <w:highlight w:val="none"/>
                    </w:rPr>
                    <w:t>T，I</w:t>
                  </w:r>
                </w:p>
              </w:tc>
              <w:tc>
                <w:tcPr>
                  <w:tcW w:w="388" w:type="pct"/>
                  <w:tcBorders>
                    <w:tl2br w:val="nil"/>
                    <w:tr2bl w:val="nil"/>
                  </w:tcBorders>
                  <w:noWrap w:val="0"/>
                  <w:vAlign w:val="center"/>
                </w:tcPr>
                <w:p w14:paraId="4E57EA12">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0.5</w:t>
                  </w:r>
                </w:p>
              </w:tc>
              <w:tc>
                <w:tcPr>
                  <w:tcW w:w="741" w:type="pct"/>
                  <w:vMerge w:val="continue"/>
                  <w:tcBorders>
                    <w:tl2br w:val="nil"/>
                    <w:tr2bl w:val="nil"/>
                  </w:tcBorders>
                  <w:noWrap w:val="0"/>
                  <w:vAlign w:val="center"/>
                </w:tcPr>
                <w:p w14:paraId="7688FA27">
                  <w:pPr>
                    <w:pStyle w:val="115"/>
                    <w:rPr>
                      <w:rFonts w:hint="default" w:ascii="Times New Roman" w:hAnsi="Times New Roman" w:eastAsia="宋体" w:cs="Times New Roman"/>
                      <w:b w:val="0"/>
                      <w:bCs w:val="0"/>
                      <w:color w:val="auto"/>
                      <w:kern w:val="2"/>
                      <w:sz w:val="21"/>
                      <w:szCs w:val="21"/>
                    </w:rPr>
                  </w:pPr>
                </w:p>
              </w:tc>
            </w:tr>
            <w:tr w14:paraId="40FC4AD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shd w:val="clear" w:color="auto" w:fill="auto"/>
                  <w:noWrap w:val="0"/>
                  <w:vAlign w:val="center"/>
                </w:tcPr>
                <w:p w14:paraId="466EDC2C">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10</w:t>
                  </w:r>
                </w:p>
              </w:tc>
              <w:tc>
                <w:tcPr>
                  <w:tcW w:w="584" w:type="pct"/>
                  <w:vMerge w:val="continue"/>
                  <w:tcBorders>
                    <w:tl2br w:val="nil"/>
                    <w:tr2bl w:val="nil"/>
                  </w:tcBorders>
                  <w:noWrap w:val="0"/>
                  <w:vAlign w:val="center"/>
                </w:tcPr>
                <w:p w14:paraId="0E49E95C">
                  <w:pPr>
                    <w:pStyle w:val="115"/>
                    <w:rPr>
                      <w:rFonts w:hint="default" w:ascii="Times New Roman" w:hAnsi="Times New Roman" w:eastAsia="宋体" w:cs="Times New Roman"/>
                      <w:b w:val="0"/>
                      <w:bCs w:val="0"/>
                      <w:color w:val="auto"/>
                      <w:kern w:val="2"/>
                      <w:sz w:val="21"/>
                      <w:szCs w:val="21"/>
                    </w:rPr>
                  </w:pPr>
                </w:p>
              </w:tc>
              <w:tc>
                <w:tcPr>
                  <w:tcW w:w="470" w:type="pct"/>
                  <w:tcBorders>
                    <w:tl2br w:val="nil"/>
                    <w:tr2bl w:val="nil"/>
                  </w:tcBorders>
                  <w:noWrap w:val="0"/>
                  <w:vAlign w:val="center"/>
                </w:tcPr>
                <w:p w14:paraId="484321E5">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pacing w:val="-12"/>
                      <w:sz w:val="21"/>
                      <w:szCs w:val="21"/>
                    </w:rPr>
                    <w:t>废机油桶</w:t>
                  </w:r>
                </w:p>
              </w:tc>
              <w:tc>
                <w:tcPr>
                  <w:tcW w:w="598" w:type="pct"/>
                  <w:tcBorders>
                    <w:tl2br w:val="nil"/>
                    <w:tr2bl w:val="nil"/>
                  </w:tcBorders>
                  <w:noWrap w:val="0"/>
                  <w:vAlign w:val="center"/>
                </w:tcPr>
                <w:p w14:paraId="0587BE3B">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危险废物</w:t>
                  </w:r>
                </w:p>
              </w:tc>
              <w:tc>
                <w:tcPr>
                  <w:tcW w:w="553" w:type="pct"/>
                  <w:tcBorders>
                    <w:tl2br w:val="nil"/>
                    <w:tr2bl w:val="nil"/>
                  </w:tcBorders>
                  <w:noWrap w:val="0"/>
                  <w:vAlign w:val="center"/>
                </w:tcPr>
                <w:p w14:paraId="3FF1217A">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HW08</w:t>
                  </w:r>
                </w:p>
                <w:p w14:paraId="08922036">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w:t>
                  </w:r>
                  <w:r>
                    <w:rPr>
                      <w:rFonts w:hint="default" w:ascii="Times New Roman" w:hAnsi="Times New Roman" w:eastAsia="宋体" w:cs="Times New Roman"/>
                      <w:b w:val="0"/>
                      <w:bCs w:val="0"/>
                      <w:color w:val="auto"/>
                      <w:kern w:val="2"/>
                      <w:sz w:val="21"/>
                      <w:szCs w:val="21"/>
                      <w:lang w:val="en-US" w:eastAsia="zh-CN"/>
                    </w:rPr>
                    <w:t>249</w:t>
                  </w:r>
                  <w:r>
                    <w:rPr>
                      <w:rFonts w:hint="default" w:ascii="Times New Roman" w:hAnsi="Times New Roman" w:eastAsia="宋体" w:cs="Times New Roman"/>
                      <w:b w:val="0"/>
                      <w:bCs w:val="0"/>
                      <w:color w:val="auto"/>
                      <w:kern w:val="2"/>
                      <w:sz w:val="21"/>
                      <w:szCs w:val="21"/>
                    </w:rPr>
                    <w:t>-08</w:t>
                  </w:r>
                </w:p>
              </w:tc>
              <w:tc>
                <w:tcPr>
                  <w:tcW w:w="589" w:type="pct"/>
                  <w:tcBorders>
                    <w:tl2br w:val="nil"/>
                    <w:tr2bl w:val="nil"/>
                  </w:tcBorders>
                  <w:noWrap w:val="0"/>
                  <w:vAlign w:val="center"/>
                </w:tcPr>
                <w:p w14:paraId="7B45B2EA">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机油</w:t>
                  </w:r>
                </w:p>
              </w:tc>
              <w:tc>
                <w:tcPr>
                  <w:tcW w:w="341" w:type="pct"/>
                  <w:tcBorders>
                    <w:tl2br w:val="nil"/>
                    <w:tr2bl w:val="nil"/>
                  </w:tcBorders>
                  <w:noWrap w:val="0"/>
                  <w:vAlign w:val="center"/>
                </w:tcPr>
                <w:p w14:paraId="4D8C9A8C">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2F0392DD">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rPr>
                    <w:t>T，I</w:t>
                  </w:r>
                </w:p>
              </w:tc>
              <w:tc>
                <w:tcPr>
                  <w:tcW w:w="388" w:type="pct"/>
                  <w:tcBorders>
                    <w:tl2br w:val="nil"/>
                    <w:tr2bl w:val="nil"/>
                  </w:tcBorders>
                  <w:noWrap w:val="0"/>
                  <w:vAlign w:val="center"/>
                </w:tcPr>
                <w:p w14:paraId="70B08136">
                  <w:pPr>
                    <w:pStyle w:val="115"/>
                    <w:rPr>
                      <w:rFonts w:hint="eastAsia"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0.00</w:t>
                  </w:r>
                  <w:r>
                    <w:rPr>
                      <w:rFonts w:hint="eastAsia" w:cs="Times New Roman"/>
                      <w:b w:val="0"/>
                      <w:bCs w:val="0"/>
                      <w:color w:val="auto"/>
                      <w:kern w:val="2"/>
                      <w:sz w:val="21"/>
                      <w:szCs w:val="21"/>
                      <w:lang w:val="en-US" w:eastAsia="zh-CN"/>
                    </w:rPr>
                    <w:t>4</w:t>
                  </w:r>
                </w:p>
              </w:tc>
              <w:tc>
                <w:tcPr>
                  <w:tcW w:w="741" w:type="pct"/>
                  <w:vMerge w:val="continue"/>
                  <w:tcBorders>
                    <w:tl2br w:val="nil"/>
                    <w:tr2bl w:val="nil"/>
                  </w:tcBorders>
                  <w:noWrap w:val="0"/>
                  <w:vAlign w:val="center"/>
                </w:tcPr>
                <w:p w14:paraId="4DDF1188">
                  <w:pPr>
                    <w:pStyle w:val="115"/>
                    <w:rPr>
                      <w:rFonts w:hint="default" w:ascii="Times New Roman" w:hAnsi="Times New Roman" w:eastAsia="宋体" w:cs="Times New Roman"/>
                      <w:b w:val="0"/>
                      <w:bCs w:val="0"/>
                      <w:color w:val="auto"/>
                      <w:kern w:val="2"/>
                      <w:sz w:val="21"/>
                      <w:szCs w:val="21"/>
                    </w:rPr>
                  </w:pPr>
                </w:p>
              </w:tc>
            </w:tr>
            <w:tr w14:paraId="3DDC689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shd w:val="clear" w:color="auto" w:fill="auto"/>
                  <w:noWrap w:val="0"/>
                  <w:vAlign w:val="center"/>
                </w:tcPr>
                <w:p w14:paraId="42A96610">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11</w:t>
                  </w:r>
                </w:p>
              </w:tc>
              <w:tc>
                <w:tcPr>
                  <w:tcW w:w="584" w:type="pct"/>
                  <w:tcBorders>
                    <w:tl2br w:val="nil"/>
                    <w:tr2bl w:val="nil"/>
                  </w:tcBorders>
                  <w:noWrap w:val="0"/>
                  <w:vAlign w:val="center"/>
                </w:tcPr>
                <w:p w14:paraId="1B3C2561">
                  <w:pPr>
                    <w:pStyle w:val="115"/>
                    <w:rPr>
                      <w:rFonts w:hint="default" w:ascii="Times New Roman" w:hAnsi="Times New Roman" w:eastAsia="宋体" w:cs="Times New Roman"/>
                      <w:b w:val="0"/>
                      <w:bCs w:val="0"/>
                      <w:color w:val="auto"/>
                      <w:kern w:val="2"/>
                      <w:sz w:val="21"/>
                      <w:szCs w:val="21"/>
                      <w:lang w:val="en-US"/>
                    </w:rPr>
                  </w:pPr>
                  <w:r>
                    <w:rPr>
                      <w:rFonts w:hint="default" w:ascii="Times New Roman" w:hAnsi="Times New Roman" w:eastAsia="宋体" w:cs="Times New Roman"/>
                      <w:b w:val="0"/>
                      <w:bCs w:val="0"/>
                      <w:color w:val="auto"/>
                      <w:kern w:val="2"/>
                      <w:sz w:val="21"/>
                      <w:szCs w:val="21"/>
                      <w:lang w:val="en-US" w:eastAsia="zh-CN"/>
                    </w:rPr>
                    <w:t>镀膜</w:t>
                  </w:r>
                  <w:r>
                    <w:rPr>
                      <w:rFonts w:hint="eastAsia" w:cs="Times New Roman"/>
                      <w:b w:val="0"/>
                      <w:bCs w:val="0"/>
                      <w:color w:val="auto"/>
                      <w:kern w:val="2"/>
                      <w:sz w:val="21"/>
                      <w:szCs w:val="21"/>
                      <w:lang w:val="en-US" w:eastAsia="zh-CN"/>
                    </w:rPr>
                    <w:t>工序</w:t>
                  </w:r>
                </w:p>
              </w:tc>
              <w:tc>
                <w:tcPr>
                  <w:tcW w:w="470" w:type="pct"/>
                  <w:tcBorders>
                    <w:tl2br w:val="nil"/>
                    <w:tr2bl w:val="nil"/>
                  </w:tcBorders>
                  <w:noWrap w:val="0"/>
                  <w:vAlign w:val="center"/>
                </w:tcPr>
                <w:p w14:paraId="0C78C8BB">
                  <w:pPr>
                    <w:pStyle w:val="115"/>
                    <w:rPr>
                      <w:rFonts w:hint="default" w:ascii="Times New Roman" w:hAnsi="Times New Roman" w:eastAsia="宋体" w:cs="Times New Roman"/>
                      <w:b w:val="0"/>
                      <w:bCs w:val="0"/>
                      <w:color w:val="auto"/>
                      <w:spacing w:val="-12"/>
                      <w:sz w:val="21"/>
                      <w:szCs w:val="21"/>
                      <w:lang w:val="en-US" w:eastAsia="zh-CN"/>
                    </w:rPr>
                  </w:pPr>
                  <w:r>
                    <w:rPr>
                      <w:rFonts w:hint="eastAsia" w:cs="Times New Roman"/>
                      <w:b w:val="0"/>
                      <w:bCs w:val="0"/>
                      <w:color w:val="auto"/>
                      <w:spacing w:val="-12"/>
                      <w:sz w:val="21"/>
                      <w:szCs w:val="21"/>
                      <w:lang w:val="en-US" w:eastAsia="zh-CN"/>
                    </w:rPr>
                    <w:t>废靶材</w:t>
                  </w:r>
                </w:p>
              </w:tc>
              <w:tc>
                <w:tcPr>
                  <w:tcW w:w="598" w:type="pct"/>
                  <w:tcBorders>
                    <w:tl2br w:val="nil"/>
                    <w:tr2bl w:val="nil"/>
                  </w:tcBorders>
                  <w:noWrap w:val="0"/>
                  <w:vAlign w:val="center"/>
                </w:tcPr>
                <w:p w14:paraId="081BE7B5">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危险废物</w:t>
                  </w:r>
                </w:p>
              </w:tc>
              <w:tc>
                <w:tcPr>
                  <w:tcW w:w="553" w:type="pct"/>
                  <w:tcBorders>
                    <w:tl2br w:val="nil"/>
                    <w:tr2bl w:val="nil"/>
                  </w:tcBorders>
                  <w:noWrap w:val="0"/>
                  <w:vAlign w:val="center"/>
                </w:tcPr>
                <w:p w14:paraId="0DC4B4BC">
                  <w:pPr>
                    <w:pStyle w:val="115"/>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rPr>
                    <w:t>HW</w:t>
                  </w:r>
                  <w:r>
                    <w:rPr>
                      <w:rFonts w:hint="eastAsia" w:ascii="Times New Roman" w:hAnsi="Times New Roman" w:eastAsia="宋体" w:cs="Times New Roman"/>
                      <w:b w:val="0"/>
                      <w:bCs w:val="0"/>
                      <w:color w:val="auto"/>
                      <w:kern w:val="2"/>
                      <w:sz w:val="21"/>
                      <w:szCs w:val="21"/>
                      <w:lang w:val="en-US" w:eastAsia="zh-CN"/>
                    </w:rPr>
                    <w:t>49</w:t>
                  </w:r>
                </w:p>
                <w:p w14:paraId="1C3D6FB3">
                  <w:pPr>
                    <w:pStyle w:val="115"/>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rPr>
                    <w:t>900-</w:t>
                  </w:r>
                  <w:r>
                    <w:rPr>
                      <w:rFonts w:hint="eastAsia" w:ascii="Times New Roman" w:hAnsi="Times New Roman" w:eastAsia="宋体" w:cs="Times New Roman"/>
                      <w:b w:val="0"/>
                      <w:bCs w:val="0"/>
                      <w:color w:val="auto"/>
                      <w:kern w:val="2"/>
                      <w:sz w:val="21"/>
                      <w:szCs w:val="21"/>
                      <w:lang w:val="en-US" w:eastAsia="zh-CN"/>
                    </w:rPr>
                    <w:t>99</w:t>
                  </w:r>
                  <w:r>
                    <w:rPr>
                      <w:rFonts w:hint="default" w:ascii="Times New Roman" w:hAnsi="Times New Roman" w:eastAsia="宋体" w:cs="Times New Roman"/>
                      <w:b w:val="0"/>
                      <w:bCs w:val="0"/>
                      <w:color w:val="auto"/>
                      <w:kern w:val="2"/>
                      <w:sz w:val="21"/>
                      <w:szCs w:val="21"/>
                      <w:lang w:val="en-US" w:eastAsia="zh-CN"/>
                    </w:rPr>
                    <w:t>9</w:t>
                  </w:r>
                  <w:r>
                    <w:rPr>
                      <w:rFonts w:hint="default" w:ascii="Times New Roman" w:hAnsi="Times New Roman" w:eastAsia="宋体" w:cs="Times New Roman"/>
                      <w:b w:val="0"/>
                      <w:bCs w:val="0"/>
                      <w:color w:val="auto"/>
                      <w:kern w:val="2"/>
                      <w:sz w:val="21"/>
                      <w:szCs w:val="21"/>
                    </w:rPr>
                    <w:t>-</w:t>
                  </w:r>
                  <w:r>
                    <w:rPr>
                      <w:rFonts w:hint="eastAsia" w:ascii="Times New Roman" w:hAnsi="Times New Roman" w:eastAsia="宋体" w:cs="Times New Roman"/>
                      <w:b w:val="0"/>
                      <w:bCs w:val="0"/>
                      <w:color w:val="auto"/>
                      <w:kern w:val="2"/>
                      <w:sz w:val="21"/>
                      <w:szCs w:val="21"/>
                      <w:lang w:val="en-US" w:eastAsia="zh-CN"/>
                    </w:rPr>
                    <w:t>49</w:t>
                  </w:r>
                </w:p>
              </w:tc>
              <w:tc>
                <w:tcPr>
                  <w:tcW w:w="589" w:type="pct"/>
                  <w:tcBorders>
                    <w:tl2br w:val="nil"/>
                    <w:tr2bl w:val="nil"/>
                  </w:tcBorders>
                  <w:noWrap w:val="0"/>
                  <w:vAlign w:val="center"/>
                </w:tcPr>
                <w:p w14:paraId="4DBD4B8C">
                  <w:pPr>
                    <w:pStyle w:val="115"/>
                    <w:rPr>
                      <w:rFonts w:hint="default" w:ascii="Times New Roman" w:hAnsi="Times New Roman" w:eastAsia="宋体" w:cs="Times New Roman"/>
                      <w:b w:val="0"/>
                      <w:bCs w:val="0"/>
                      <w:color w:val="auto"/>
                      <w:kern w:val="2"/>
                      <w:sz w:val="21"/>
                      <w:szCs w:val="21"/>
                      <w:lang w:val="en-US"/>
                    </w:rPr>
                  </w:pPr>
                  <w:r>
                    <w:rPr>
                      <w:rFonts w:hint="default" w:ascii="Times New Roman" w:hAnsi="Times New Roman" w:eastAsia="宋体" w:cs="Times New Roman"/>
                      <w:b w:val="0"/>
                      <w:bCs w:val="0"/>
                      <w:color w:val="auto"/>
                      <w:kern w:val="2"/>
                      <w:sz w:val="21"/>
                      <w:szCs w:val="21"/>
                      <w:lang w:val="en-US" w:eastAsia="zh-CN"/>
                    </w:rPr>
                    <w:t>银、铝、镍、铬、锡、二氧化硅</w:t>
                  </w:r>
                  <w:r>
                    <w:rPr>
                      <w:rFonts w:hint="eastAsia" w:cs="Times New Roman"/>
                      <w:b w:val="0"/>
                      <w:bCs w:val="0"/>
                      <w:color w:val="auto"/>
                      <w:kern w:val="2"/>
                      <w:sz w:val="21"/>
                      <w:szCs w:val="21"/>
                      <w:lang w:val="en-US" w:eastAsia="zh-CN"/>
                    </w:rPr>
                    <w:t>等</w:t>
                  </w:r>
                </w:p>
              </w:tc>
              <w:tc>
                <w:tcPr>
                  <w:tcW w:w="341" w:type="pct"/>
                  <w:tcBorders>
                    <w:tl2br w:val="nil"/>
                    <w:tr2bl w:val="nil"/>
                  </w:tcBorders>
                  <w:noWrap w:val="0"/>
                  <w:vAlign w:val="center"/>
                </w:tcPr>
                <w:p w14:paraId="55AA0345">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固态</w:t>
                  </w:r>
                </w:p>
              </w:tc>
              <w:tc>
                <w:tcPr>
                  <w:tcW w:w="465" w:type="pct"/>
                  <w:tcBorders>
                    <w:tl2br w:val="nil"/>
                    <w:tr2bl w:val="nil"/>
                  </w:tcBorders>
                  <w:noWrap w:val="0"/>
                  <w:vAlign w:val="center"/>
                </w:tcPr>
                <w:p w14:paraId="1210C071">
                  <w:pPr>
                    <w:pStyle w:val="115"/>
                    <w:rPr>
                      <w:rFonts w:hint="default" w:ascii="Times New Roman" w:hAnsi="Times New Roman" w:eastAsia="宋体" w:cs="Times New Roman"/>
                      <w:b w:val="0"/>
                      <w:bCs w:val="0"/>
                      <w:color w:val="auto"/>
                      <w:kern w:val="2"/>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rPr>
                    <w:t>T/C/I/R</w:t>
                  </w:r>
                </w:p>
                <w:p w14:paraId="54FD50E7">
                  <w:pPr>
                    <w:pStyle w:val="115"/>
                    <w:rPr>
                      <w:rFonts w:hint="default" w:ascii="Times New Roman" w:hAnsi="Times New Roman" w:eastAsia="宋体" w:cs="Times New Roman"/>
                      <w:b w:val="0"/>
                      <w:bCs w:val="0"/>
                      <w:color w:val="auto"/>
                      <w:kern w:val="2"/>
                      <w:sz w:val="21"/>
                      <w:szCs w:val="21"/>
                      <w:highlight w:val="none"/>
                    </w:rPr>
                  </w:pPr>
                </w:p>
              </w:tc>
              <w:tc>
                <w:tcPr>
                  <w:tcW w:w="388" w:type="pct"/>
                  <w:tcBorders>
                    <w:tl2br w:val="nil"/>
                    <w:tr2bl w:val="nil"/>
                  </w:tcBorders>
                  <w:noWrap w:val="0"/>
                  <w:vAlign w:val="center"/>
                </w:tcPr>
                <w:p w14:paraId="41C02F0C">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0.01</w:t>
                  </w:r>
                </w:p>
              </w:tc>
              <w:tc>
                <w:tcPr>
                  <w:tcW w:w="741" w:type="pct"/>
                  <w:vMerge w:val="continue"/>
                  <w:tcBorders>
                    <w:bottom w:val="single" w:color="auto" w:sz="4" w:space="0"/>
                    <w:tl2br w:val="nil"/>
                    <w:tr2bl w:val="nil"/>
                  </w:tcBorders>
                  <w:noWrap w:val="0"/>
                  <w:vAlign w:val="center"/>
                </w:tcPr>
                <w:p w14:paraId="53F8D581">
                  <w:pPr>
                    <w:pStyle w:val="115"/>
                    <w:rPr>
                      <w:rFonts w:hint="default" w:ascii="Times New Roman" w:hAnsi="Times New Roman" w:eastAsia="宋体" w:cs="Times New Roman"/>
                      <w:b w:val="0"/>
                      <w:bCs w:val="0"/>
                      <w:color w:val="auto"/>
                      <w:kern w:val="2"/>
                      <w:sz w:val="21"/>
                      <w:szCs w:val="21"/>
                    </w:rPr>
                  </w:pPr>
                </w:p>
              </w:tc>
            </w:tr>
            <w:tr w14:paraId="0191193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397" w:hRule="atLeast"/>
                <w:jc w:val="center"/>
              </w:trPr>
              <w:tc>
                <w:tcPr>
                  <w:tcW w:w="266" w:type="pct"/>
                  <w:tcBorders>
                    <w:tl2br w:val="nil"/>
                    <w:tr2bl w:val="nil"/>
                  </w:tcBorders>
                  <w:noWrap w:val="0"/>
                  <w:vAlign w:val="center"/>
                </w:tcPr>
                <w:p w14:paraId="0E3C8B64">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12</w:t>
                  </w:r>
                </w:p>
              </w:tc>
              <w:tc>
                <w:tcPr>
                  <w:tcW w:w="584" w:type="pct"/>
                  <w:tcBorders>
                    <w:tl2br w:val="nil"/>
                    <w:tr2bl w:val="nil"/>
                  </w:tcBorders>
                  <w:noWrap w:val="0"/>
                  <w:vAlign w:val="center"/>
                </w:tcPr>
                <w:p w14:paraId="4A8506BC">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职工办公</w:t>
                  </w:r>
                </w:p>
              </w:tc>
              <w:tc>
                <w:tcPr>
                  <w:tcW w:w="470" w:type="pct"/>
                  <w:tcBorders>
                    <w:tl2br w:val="nil"/>
                    <w:tr2bl w:val="nil"/>
                  </w:tcBorders>
                  <w:noWrap w:val="0"/>
                  <w:vAlign w:val="center"/>
                </w:tcPr>
                <w:p w14:paraId="6E1A8497">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生活垃圾</w:t>
                  </w:r>
                </w:p>
              </w:tc>
              <w:tc>
                <w:tcPr>
                  <w:tcW w:w="598" w:type="pct"/>
                  <w:tcBorders>
                    <w:tl2br w:val="nil"/>
                    <w:tr2bl w:val="nil"/>
                  </w:tcBorders>
                  <w:noWrap w:val="0"/>
                  <w:vAlign w:val="center"/>
                </w:tcPr>
                <w:p w14:paraId="7992F261">
                  <w:pPr>
                    <w:pStyle w:val="115"/>
                    <w:rPr>
                      <w:rFonts w:hint="eastAsia" w:ascii="Times New Roman" w:hAnsi="Times New Roman" w:eastAsia="宋体" w:cs="Times New Roman"/>
                      <w:b w:val="0"/>
                      <w:bCs w:val="0"/>
                      <w:color w:val="auto"/>
                      <w:kern w:val="2"/>
                      <w:sz w:val="21"/>
                      <w:szCs w:val="21"/>
                      <w:lang w:eastAsia="zh-CN"/>
                    </w:rPr>
                  </w:pPr>
                  <w:r>
                    <w:rPr>
                      <w:rFonts w:hint="eastAsia" w:cs="Times New Roman"/>
                      <w:b w:val="0"/>
                      <w:bCs w:val="0"/>
                      <w:color w:val="auto"/>
                      <w:kern w:val="2"/>
                      <w:sz w:val="21"/>
                      <w:szCs w:val="21"/>
                      <w:lang w:val="en-US" w:eastAsia="zh-CN"/>
                    </w:rPr>
                    <w:t>/</w:t>
                  </w:r>
                </w:p>
              </w:tc>
              <w:tc>
                <w:tcPr>
                  <w:tcW w:w="553" w:type="pct"/>
                  <w:tcBorders>
                    <w:tl2br w:val="nil"/>
                    <w:tr2bl w:val="nil"/>
                  </w:tcBorders>
                  <w:noWrap w:val="0"/>
                  <w:vAlign w:val="center"/>
                </w:tcPr>
                <w:p w14:paraId="04FEA3E7">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589" w:type="pct"/>
                  <w:tcBorders>
                    <w:tl2br w:val="nil"/>
                    <w:tr2bl w:val="nil"/>
                  </w:tcBorders>
                  <w:noWrap w:val="0"/>
                  <w:vAlign w:val="center"/>
                </w:tcPr>
                <w:p w14:paraId="2FB183CD">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41" w:type="pct"/>
                  <w:tcBorders>
                    <w:tl2br w:val="nil"/>
                    <w:tr2bl w:val="nil"/>
                  </w:tcBorders>
                  <w:noWrap w:val="0"/>
                  <w:vAlign w:val="center"/>
                </w:tcPr>
                <w:p w14:paraId="2FDF40BD">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固态</w:t>
                  </w:r>
                </w:p>
              </w:tc>
              <w:tc>
                <w:tcPr>
                  <w:tcW w:w="465" w:type="pct"/>
                  <w:tcBorders>
                    <w:tl2br w:val="nil"/>
                    <w:tr2bl w:val="nil"/>
                  </w:tcBorders>
                  <w:noWrap w:val="0"/>
                  <w:vAlign w:val="center"/>
                </w:tcPr>
                <w:p w14:paraId="6D5772E1">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w:t>
                  </w:r>
                </w:p>
              </w:tc>
              <w:tc>
                <w:tcPr>
                  <w:tcW w:w="388" w:type="pct"/>
                  <w:tcBorders>
                    <w:tl2br w:val="nil"/>
                    <w:tr2bl w:val="nil"/>
                  </w:tcBorders>
                  <w:noWrap w:val="0"/>
                  <w:vAlign w:val="center"/>
                </w:tcPr>
                <w:p w14:paraId="5D91263A">
                  <w:pPr>
                    <w:pStyle w:val="115"/>
                    <w:rPr>
                      <w:rFonts w:hint="default" w:ascii="Times New Roman" w:hAnsi="Times New Roman" w:eastAsia="宋体"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15</w:t>
                  </w:r>
                </w:p>
              </w:tc>
              <w:tc>
                <w:tcPr>
                  <w:tcW w:w="741" w:type="pct"/>
                  <w:tcBorders>
                    <w:top w:val="single" w:color="auto" w:sz="4" w:space="0"/>
                    <w:tl2br w:val="nil"/>
                    <w:tr2bl w:val="nil"/>
                  </w:tcBorders>
                  <w:noWrap w:val="0"/>
                  <w:vAlign w:val="center"/>
                </w:tcPr>
                <w:p w14:paraId="04B94F8F">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统一收集后交由环卫部门进行处理</w:t>
                  </w:r>
                </w:p>
              </w:tc>
            </w:tr>
          </w:tbl>
          <w:p w14:paraId="68DBF2E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val="0"/>
                <w:bCs w:val="0"/>
                <w:snapToGrid w:val="0"/>
                <w:color w:val="auto"/>
                <w:kern w:val="0"/>
                <w:sz w:val="24"/>
                <w:szCs w:val="24"/>
                <w:lang w:val="en-US" w:eastAsia="zh-CN" w:bidi="ar-SA"/>
              </w:rPr>
            </w:pPr>
          </w:p>
          <w:p w14:paraId="09442D96">
            <w:pPr>
              <w:pStyle w:val="96"/>
              <w:rPr>
                <w:b w:val="0"/>
                <w:bCs w:val="0"/>
                <w:color w:val="auto"/>
              </w:rPr>
            </w:pPr>
            <w:r>
              <w:rPr>
                <w:b w:val="0"/>
                <w:bCs w:val="0"/>
                <w:color w:val="auto"/>
              </w:rPr>
              <w:t>本项目建设1座10</w:t>
            </w:r>
            <w:r>
              <w:rPr>
                <w:rFonts w:hint="eastAsia"/>
                <w:b w:val="0"/>
                <w:bCs w:val="0"/>
                <w:color w:val="auto"/>
                <w:lang w:val="en-US" w:eastAsia="zh-CN"/>
              </w:rPr>
              <w:t>0</w:t>
            </w:r>
            <w:r>
              <w:rPr>
                <w:b w:val="0"/>
                <w:bCs w:val="0"/>
                <w:color w:val="auto"/>
              </w:rPr>
              <w:t>m</w:t>
            </w:r>
            <w:r>
              <w:rPr>
                <w:b w:val="0"/>
                <w:bCs w:val="0"/>
                <w:color w:val="auto"/>
                <w:vertAlign w:val="superscript"/>
              </w:rPr>
              <w:t>2</w:t>
            </w:r>
            <w:r>
              <w:rPr>
                <w:b w:val="0"/>
                <w:bCs w:val="0"/>
                <w:color w:val="auto"/>
              </w:rPr>
              <w:t>一般固废暂存</w:t>
            </w:r>
            <w:r>
              <w:rPr>
                <w:rFonts w:hint="eastAsia"/>
                <w:b w:val="0"/>
                <w:bCs w:val="0"/>
                <w:color w:val="auto"/>
              </w:rPr>
              <w:t>间</w:t>
            </w:r>
            <w:r>
              <w:rPr>
                <w:b w:val="0"/>
                <w:bCs w:val="0"/>
                <w:color w:val="auto"/>
              </w:rPr>
              <w:t>，</w:t>
            </w:r>
            <w:r>
              <w:rPr>
                <w:rFonts w:hint="eastAsia"/>
                <w:b w:val="0"/>
                <w:bCs w:val="0"/>
                <w:color w:val="auto"/>
              </w:rPr>
              <w:t>参照</w:t>
            </w:r>
            <w:r>
              <w:rPr>
                <w:b w:val="0"/>
                <w:bCs w:val="0"/>
                <w:color w:val="auto"/>
              </w:rPr>
              <w:t>《</w:t>
            </w:r>
            <w:r>
              <w:rPr>
                <w:b w:val="0"/>
                <w:bCs w:val="0"/>
                <w:color w:val="auto"/>
              </w:rPr>
              <w:fldChar w:fldCharType="begin"/>
            </w:r>
            <w:r>
              <w:rPr>
                <w:b w:val="0"/>
                <w:bCs w:val="0"/>
                <w:color w:val="auto"/>
              </w:rPr>
              <w:instrText xml:space="preserve"> HYPERLINK "http://www.mee.gov.cn/ywgz/fgbz/bz/bzwb/gthw/gtfwwrkzbz/202012/W020201218695845325455.pdf" </w:instrText>
            </w:r>
            <w:r>
              <w:rPr>
                <w:b w:val="0"/>
                <w:bCs w:val="0"/>
                <w:color w:val="auto"/>
              </w:rPr>
              <w:fldChar w:fldCharType="separate"/>
            </w:r>
            <w:r>
              <w:rPr>
                <w:b w:val="0"/>
                <w:bCs w:val="0"/>
                <w:color w:val="auto"/>
              </w:rPr>
              <w:t>一般工业固体废物贮存和填埋污染控制标准</w:t>
            </w:r>
            <w:r>
              <w:rPr>
                <w:b w:val="0"/>
                <w:bCs w:val="0"/>
                <w:color w:val="auto"/>
              </w:rPr>
              <w:fldChar w:fldCharType="end"/>
            </w:r>
            <w:r>
              <w:rPr>
                <w:b w:val="0"/>
                <w:bCs w:val="0"/>
                <w:color w:val="auto"/>
              </w:rPr>
              <w:t>》（GB 18599-2020）的要求建设：具有“</w:t>
            </w:r>
            <w:r>
              <w:rPr>
                <w:rFonts w:hint="eastAsia"/>
                <w:b w:val="0"/>
                <w:bCs w:val="0"/>
                <w:color w:val="auto"/>
                <w:lang w:val="en-US" w:eastAsia="zh-CN"/>
              </w:rPr>
              <w:t>三</w:t>
            </w:r>
            <w:r>
              <w:rPr>
                <w:b w:val="0"/>
                <w:bCs w:val="0"/>
                <w:color w:val="auto"/>
              </w:rPr>
              <w:t>防”功能（防渗漏、防雨淋、防扬尘）；采用天然或人工材料构筑防渗层；设置图形或文字标识牌。</w:t>
            </w:r>
          </w:p>
          <w:p w14:paraId="052953D4">
            <w:pPr>
              <w:adjustRightInd w:val="0"/>
              <w:snapToGrid w:val="0"/>
              <w:spacing w:line="360" w:lineRule="auto"/>
              <w:ind w:firstLine="480" w:firstLineChars="200"/>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本项目运营期间产生的危险废物由企业收集后分类分区存放至危废暂存间，</w:t>
            </w:r>
            <w:r>
              <w:rPr>
                <w:rFonts w:hint="eastAsia" w:ascii="Times New Roman" w:hAnsi="Times New Roman" w:eastAsia="宋体" w:cs="Times New Roman"/>
                <w:b w:val="0"/>
                <w:bCs w:val="0"/>
                <w:color w:val="auto"/>
                <w:sz w:val="24"/>
                <w:szCs w:val="24"/>
                <w:u w:val="none"/>
                <w:lang w:val="en-US" w:eastAsia="zh-CN"/>
              </w:rPr>
              <w:t>合理</w:t>
            </w:r>
            <w:r>
              <w:rPr>
                <w:rFonts w:hint="default" w:ascii="Times New Roman" w:hAnsi="Times New Roman" w:eastAsia="宋体" w:cs="Times New Roman"/>
                <w:b w:val="0"/>
                <w:bCs w:val="0"/>
                <w:color w:val="auto"/>
                <w:sz w:val="24"/>
                <w:szCs w:val="24"/>
                <w:u w:val="none"/>
              </w:rPr>
              <w:t>处置。根据《建设项目危险废物环境影响评价指南》，本项目危险废物情况见下表。</w:t>
            </w:r>
          </w:p>
          <w:p w14:paraId="6AF524E1">
            <w:pPr>
              <w:adjustRightInd w:val="0"/>
              <w:snapToGrid w:val="0"/>
              <w:spacing w:line="360" w:lineRule="auto"/>
              <w:ind w:firstLine="1928" w:firstLineChars="800"/>
              <w:rPr>
                <w:rFonts w:hint="default"/>
                <w:b/>
                <w:bCs/>
                <w:color w:val="auto"/>
                <w:sz w:val="24"/>
                <w:szCs w:val="24"/>
              </w:rPr>
            </w:pPr>
            <w:r>
              <w:rPr>
                <w:rFonts w:hint="eastAsia"/>
                <w:b/>
                <w:bCs/>
                <w:color w:val="auto"/>
                <w:sz w:val="24"/>
                <w:szCs w:val="24"/>
                <w:lang w:val="en-US" w:eastAsia="zh-CN"/>
              </w:rPr>
              <w:t xml:space="preserve">表4-17  </w:t>
            </w:r>
            <w:r>
              <w:rPr>
                <w:rFonts w:hint="default"/>
                <w:b/>
                <w:bCs/>
                <w:color w:val="auto"/>
                <w:sz w:val="24"/>
                <w:szCs w:val="24"/>
              </w:rPr>
              <w:t xml:space="preserve"> </w:t>
            </w:r>
            <w:r>
              <w:rPr>
                <w:rFonts w:hint="eastAsia"/>
                <w:b/>
                <w:bCs/>
                <w:color w:val="auto"/>
                <w:sz w:val="24"/>
                <w:szCs w:val="24"/>
                <w:lang w:val="en-US" w:eastAsia="zh-CN"/>
              </w:rPr>
              <w:t xml:space="preserve">  </w:t>
            </w:r>
            <w:r>
              <w:rPr>
                <w:rFonts w:hint="default"/>
                <w:b/>
                <w:bCs/>
                <w:color w:val="auto"/>
                <w:sz w:val="24"/>
                <w:szCs w:val="24"/>
              </w:rPr>
              <w:t>危险废物产生量及处置情况一览表</w:t>
            </w:r>
          </w:p>
          <w:tbl>
            <w:tblPr>
              <w:tblStyle w:val="3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1"/>
              <w:gridCol w:w="909"/>
              <w:gridCol w:w="1321"/>
              <w:gridCol w:w="987"/>
              <w:gridCol w:w="780"/>
              <w:gridCol w:w="690"/>
              <w:gridCol w:w="881"/>
              <w:gridCol w:w="726"/>
              <w:gridCol w:w="708"/>
              <w:gridCol w:w="854"/>
            </w:tblGrid>
            <w:tr w14:paraId="2538F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248" w:type="pct"/>
                  <w:tcBorders>
                    <w:tl2br w:val="nil"/>
                    <w:tr2bl w:val="nil"/>
                  </w:tcBorders>
                  <w:noWrap w:val="0"/>
                  <w:vAlign w:val="center"/>
                </w:tcPr>
                <w:p w14:paraId="7275766F">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序号</w:t>
                  </w:r>
                </w:p>
              </w:tc>
              <w:tc>
                <w:tcPr>
                  <w:tcW w:w="549" w:type="pct"/>
                  <w:tcBorders>
                    <w:tl2br w:val="nil"/>
                    <w:tr2bl w:val="nil"/>
                  </w:tcBorders>
                  <w:noWrap w:val="0"/>
                  <w:vAlign w:val="center"/>
                </w:tcPr>
                <w:p w14:paraId="1B5D4F0C">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危险废物名称</w:t>
                  </w:r>
                </w:p>
              </w:tc>
              <w:tc>
                <w:tcPr>
                  <w:tcW w:w="798" w:type="pct"/>
                  <w:tcBorders>
                    <w:tl2br w:val="nil"/>
                    <w:tr2bl w:val="nil"/>
                  </w:tcBorders>
                  <w:noWrap w:val="0"/>
                  <w:vAlign w:val="center"/>
                </w:tcPr>
                <w:p w14:paraId="27DEB082">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危险废物类别</w:t>
                  </w:r>
                </w:p>
              </w:tc>
              <w:tc>
                <w:tcPr>
                  <w:tcW w:w="596" w:type="pct"/>
                  <w:tcBorders>
                    <w:tl2br w:val="nil"/>
                    <w:tr2bl w:val="nil"/>
                  </w:tcBorders>
                  <w:noWrap w:val="0"/>
                  <w:vAlign w:val="center"/>
                </w:tcPr>
                <w:p w14:paraId="2D597838">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危险废物代码</w:t>
                  </w:r>
                </w:p>
              </w:tc>
              <w:tc>
                <w:tcPr>
                  <w:tcW w:w="471" w:type="pct"/>
                  <w:tcBorders>
                    <w:tl2br w:val="nil"/>
                    <w:tr2bl w:val="nil"/>
                  </w:tcBorders>
                  <w:noWrap w:val="0"/>
                  <w:vAlign w:val="center"/>
                </w:tcPr>
                <w:p w14:paraId="26499CCC">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eastAsia="宋体"/>
                      <w:color w:val="auto"/>
                      <w:sz w:val="21"/>
                      <w:szCs w:val="21"/>
                      <w:lang w:eastAsia="zh-CN"/>
                    </w:rPr>
                  </w:pPr>
                  <w:r>
                    <w:rPr>
                      <w:color w:val="auto"/>
                      <w:sz w:val="21"/>
                      <w:szCs w:val="21"/>
                    </w:rPr>
                    <w:t>产生量</w:t>
                  </w:r>
                  <w:r>
                    <w:rPr>
                      <w:rFonts w:hint="eastAsia"/>
                      <w:color w:val="auto"/>
                      <w:sz w:val="21"/>
                      <w:szCs w:val="21"/>
                      <w:lang w:eastAsia="zh-CN"/>
                    </w:rPr>
                    <w:t>（</w:t>
                  </w:r>
                  <w:r>
                    <w:rPr>
                      <w:rFonts w:hint="eastAsia"/>
                      <w:color w:val="auto"/>
                      <w:sz w:val="21"/>
                      <w:szCs w:val="21"/>
                      <w:lang w:val="en-US" w:eastAsia="zh-CN"/>
                    </w:rPr>
                    <w:t>t/a</w:t>
                  </w:r>
                  <w:r>
                    <w:rPr>
                      <w:rFonts w:hint="eastAsia"/>
                      <w:color w:val="auto"/>
                      <w:sz w:val="21"/>
                      <w:szCs w:val="21"/>
                      <w:lang w:eastAsia="zh-CN"/>
                    </w:rPr>
                    <w:t>）</w:t>
                  </w:r>
                </w:p>
              </w:tc>
              <w:tc>
                <w:tcPr>
                  <w:tcW w:w="417" w:type="pct"/>
                  <w:tcBorders>
                    <w:tl2br w:val="nil"/>
                    <w:tr2bl w:val="nil"/>
                  </w:tcBorders>
                  <w:noWrap w:val="0"/>
                  <w:vAlign w:val="center"/>
                </w:tcPr>
                <w:p w14:paraId="097BB229">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形态</w:t>
                  </w:r>
                </w:p>
              </w:tc>
              <w:tc>
                <w:tcPr>
                  <w:tcW w:w="532" w:type="pct"/>
                  <w:tcBorders>
                    <w:tl2br w:val="nil"/>
                    <w:tr2bl w:val="nil"/>
                  </w:tcBorders>
                  <w:noWrap w:val="0"/>
                  <w:vAlign w:val="center"/>
                </w:tcPr>
                <w:p w14:paraId="77E6F784">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主要</w:t>
                  </w:r>
                  <w:r>
                    <w:rPr>
                      <w:rFonts w:hint="eastAsia"/>
                      <w:color w:val="auto"/>
                      <w:sz w:val="21"/>
                      <w:szCs w:val="21"/>
                    </w:rPr>
                    <w:t>有害</w:t>
                  </w:r>
                  <w:r>
                    <w:rPr>
                      <w:color w:val="auto"/>
                      <w:sz w:val="21"/>
                      <w:szCs w:val="21"/>
                    </w:rPr>
                    <w:t>成分</w:t>
                  </w:r>
                </w:p>
              </w:tc>
              <w:tc>
                <w:tcPr>
                  <w:tcW w:w="439" w:type="pct"/>
                  <w:tcBorders>
                    <w:tl2br w:val="nil"/>
                    <w:tr2bl w:val="nil"/>
                  </w:tcBorders>
                  <w:noWrap w:val="0"/>
                  <w:vAlign w:val="center"/>
                </w:tcPr>
                <w:p w14:paraId="25E9BF11">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产生周期</w:t>
                  </w:r>
                </w:p>
              </w:tc>
              <w:tc>
                <w:tcPr>
                  <w:tcW w:w="428" w:type="pct"/>
                  <w:tcBorders>
                    <w:tl2br w:val="nil"/>
                    <w:tr2bl w:val="nil"/>
                  </w:tcBorders>
                  <w:noWrap w:val="0"/>
                  <w:vAlign w:val="center"/>
                </w:tcPr>
                <w:p w14:paraId="348ABC88">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危险特性</w:t>
                  </w:r>
                </w:p>
              </w:tc>
              <w:tc>
                <w:tcPr>
                  <w:tcW w:w="516" w:type="pct"/>
                  <w:tcBorders>
                    <w:tl2br w:val="nil"/>
                    <w:tr2bl w:val="nil"/>
                  </w:tcBorders>
                  <w:noWrap w:val="0"/>
                  <w:vAlign w:val="center"/>
                </w:tcPr>
                <w:p w14:paraId="62548A8F">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color w:val="auto"/>
                      <w:sz w:val="21"/>
                      <w:szCs w:val="21"/>
                    </w:rPr>
                    <w:t>污染防治措施</w:t>
                  </w:r>
                </w:p>
              </w:tc>
            </w:tr>
            <w:tr w14:paraId="7255C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8" w:hRule="atLeast"/>
                <w:jc w:val="center"/>
              </w:trPr>
              <w:tc>
                <w:tcPr>
                  <w:tcW w:w="248" w:type="pct"/>
                  <w:tcBorders>
                    <w:tl2br w:val="nil"/>
                    <w:tr2bl w:val="nil"/>
                  </w:tcBorders>
                  <w:noWrap w:val="0"/>
                  <w:vAlign w:val="center"/>
                </w:tcPr>
                <w:p w14:paraId="2DE9D8B2">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ascii="Times New Roman" w:hAnsi="Times New Roman" w:eastAsia="宋体" w:cs="Times New Roman"/>
                      <w:color w:val="auto"/>
                      <w:spacing w:val="8"/>
                      <w:kern w:val="2"/>
                      <w:sz w:val="21"/>
                      <w:szCs w:val="21"/>
                      <w:lang w:val="en-US" w:eastAsia="zh-CN" w:bidi="ar-SA"/>
                    </w:rPr>
                  </w:pPr>
                  <w:r>
                    <w:rPr>
                      <w:color w:val="auto"/>
                      <w:sz w:val="21"/>
                      <w:szCs w:val="21"/>
                    </w:rPr>
                    <w:t>1</w:t>
                  </w:r>
                </w:p>
              </w:tc>
              <w:tc>
                <w:tcPr>
                  <w:tcW w:w="549" w:type="pct"/>
                  <w:tcBorders>
                    <w:tl2br w:val="nil"/>
                    <w:tr2bl w:val="nil"/>
                  </w:tcBorders>
                  <w:noWrap w:val="0"/>
                  <w:vAlign w:val="center"/>
                </w:tcPr>
                <w:p w14:paraId="16191C76">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rPr>
                    <w:t>废墨水桶、废胶桶</w:t>
                  </w:r>
                </w:p>
              </w:tc>
              <w:tc>
                <w:tcPr>
                  <w:tcW w:w="798" w:type="pct"/>
                  <w:tcBorders>
                    <w:tl2br w:val="nil"/>
                    <w:tr2bl w:val="nil"/>
                  </w:tcBorders>
                  <w:noWrap w:val="0"/>
                  <w:vAlign w:val="center"/>
                </w:tcPr>
                <w:p w14:paraId="3CAE90D9">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HW49 其他废物</w:t>
                  </w:r>
                </w:p>
              </w:tc>
              <w:tc>
                <w:tcPr>
                  <w:tcW w:w="596" w:type="pct"/>
                  <w:tcBorders>
                    <w:tl2br w:val="nil"/>
                    <w:tr2bl w:val="nil"/>
                  </w:tcBorders>
                  <w:noWrap w:val="0"/>
                  <w:vAlign w:val="center"/>
                </w:tcPr>
                <w:p w14:paraId="3CA36965">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HW49</w:t>
                  </w:r>
                </w:p>
                <w:p w14:paraId="3679B3A4">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900-041-49</w:t>
                  </w:r>
                </w:p>
              </w:tc>
              <w:tc>
                <w:tcPr>
                  <w:tcW w:w="471" w:type="pct"/>
                  <w:tcBorders>
                    <w:tl2br w:val="nil"/>
                    <w:tr2bl w:val="nil"/>
                  </w:tcBorders>
                  <w:noWrap w:val="0"/>
                  <w:vAlign w:val="center"/>
                </w:tcPr>
                <w:p w14:paraId="5365A484">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1.15</w:t>
                  </w:r>
                </w:p>
              </w:tc>
              <w:tc>
                <w:tcPr>
                  <w:tcW w:w="417" w:type="pct"/>
                  <w:tcBorders>
                    <w:tl2br w:val="nil"/>
                    <w:tr2bl w:val="nil"/>
                  </w:tcBorders>
                  <w:noWrap w:val="0"/>
                  <w:vAlign w:val="center"/>
                </w:tcPr>
                <w:p w14:paraId="73EF2F67">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rPr>
                    <w:t>固态</w:t>
                  </w:r>
                </w:p>
              </w:tc>
              <w:tc>
                <w:tcPr>
                  <w:tcW w:w="532" w:type="pct"/>
                  <w:tcBorders>
                    <w:tl2br w:val="nil"/>
                    <w:tr2bl w:val="nil"/>
                  </w:tcBorders>
                  <w:noWrap w:val="0"/>
                  <w:vAlign w:val="center"/>
                </w:tcPr>
                <w:p w14:paraId="307F8E71">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油墨、丁基胶、硅酮密封胶</w:t>
                  </w:r>
                </w:p>
              </w:tc>
              <w:tc>
                <w:tcPr>
                  <w:tcW w:w="439" w:type="pct"/>
                  <w:tcBorders>
                    <w:tl2br w:val="nil"/>
                    <w:tr2bl w:val="nil"/>
                  </w:tcBorders>
                  <w:noWrap w:val="0"/>
                  <w:vAlign w:val="center"/>
                </w:tcPr>
                <w:p w14:paraId="3748D973">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kern w:val="2"/>
                      <w:sz w:val="21"/>
                      <w:szCs w:val="21"/>
                      <w:lang w:val="en-US" w:eastAsia="zh-CN" w:bidi="ar-SA"/>
                    </w:rPr>
                    <w:t>1天</w:t>
                  </w:r>
                </w:p>
              </w:tc>
              <w:tc>
                <w:tcPr>
                  <w:tcW w:w="428" w:type="pct"/>
                  <w:tcBorders>
                    <w:tl2br w:val="nil"/>
                    <w:tr2bl w:val="nil"/>
                  </w:tcBorders>
                  <w:noWrap w:val="0"/>
                  <w:vAlign w:val="center"/>
                </w:tcPr>
                <w:p w14:paraId="3CB60125">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highlight w:val="none"/>
                    </w:rPr>
                    <w:t>T/In</w:t>
                  </w:r>
                </w:p>
              </w:tc>
              <w:tc>
                <w:tcPr>
                  <w:tcW w:w="516" w:type="pct"/>
                  <w:vMerge w:val="restart"/>
                  <w:tcBorders>
                    <w:tl2br w:val="nil"/>
                    <w:tr2bl w:val="nil"/>
                  </w:tcBorders>
                  <w:noWrap w:val="0"/>
                  <w:vAlign w:val="center"/>
                </w:tcPr>
                <w:p w14:paraId="0469EBAF">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eastAsia="宋体"/>
                      <w:color w:val="auto"/>
                      <w:sz w:val="21"/>
                      <w:szCs w:val="21"/>
                      <w:lang w:val="en-US" w:eastAsia="zh-CN"/>
                    </w:rPr>
                  </w:pPr>
                  <w:r>
                    <w:rPr>
                      <w:color w:val="auto"/>
                      <w:sz w:val="21"/>
                      <w:szCs w:val="21"/>
                    </w:rPr>
                    <w:t>暂存于</w:t>
                  </w:r>
                  <w:r>
                    <w:rPr>
                      <w:rFonts w:hint="eastAsia"/>
                      <w:color w:val="auto"/>
                      <w:sz w:val="21"/>
                      <w:szCs w:val="21"/>
                      <w:lang w:val="en-US" w:eastAsia="zh-CN"/>
                    </w:rPr>
                    <w:t>50</w:t>
                  </w:r>
                  <w:r>
                    <w:rPr>
                      <w:color w:val="auto"/>
                      <w:sz w:val="21"/>
                      <w:szCs w:val="21"/>
                    </w:rPr>
                    <w:t>m</w:t>
                  </w:r>
                  <w:r>
                    <w:rPr>
                      <w:color w:val="auto"/>
                      <w:sz w:val="21"/>
                      <w:szCs w:val="21"/>
                      <w:vertAlign w:val="superscript"/>
                    </w:rPr>
                    <w:t>2</w:t>
                  </w:r>
                  <w:r>
                    <w:rPr>
                      <w:color w:val="auto"/>
                      <w:sz w:val="21"/>
                      <w:szCs w:val="21"/>
                    </w:rPr>
                    <w:t>危废暂存间，</w:t>
                  </w:r>
                  <w:r>
                    <w:rPr>
                      <w:rFonts w:hint="eastAsia"/>
                      <w:color w:val="auto"/>
                      <w:sz w:val="21"/>
                      <w:szCs w:val="21"/>
                      <w:lang w:val="en-US" w:eastAsia="zh-CN"/>
                    </w:rPr>
                    <w:t>合理处置</w:t>
                  </w:r>
                </w:p>
              </w:tc>
            </w:tr>
            <w:tr w14:paraId="39F08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8" w:type="pct"/>
                  <w:tcBorders>
                    <w:tl2br w:val="nil"/>
                    <w:tr2bl w:val="nil"/>
                  </w:tcBorders>
                  <w:noWrap w:val="0"/>
                  <w:vAlign w:val="center"/>
                </w:tcPr>
                <w:p w14:paraId="07703CA8">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r>
                    <w:rPr>
                      <w:rFonts w:hint="eastAsia"/>
                      <w:color w:val="auto"/>
                      <w:sz w:val="21"/>
                      <w:szCs w:val="21"/>
                    </w:rPr>
                    <w:t>2</w:t>
                  </w:r>
                </w:p>
              </w:tc>
              <w:tc>
                <w:tcPr>
                  <w:tcW w:w="549" w:type="pct"/>
                  <w:tcBorders>
                    <w:tl2br w:val="nil"/>
                    <w:tr2bl w:val="nil"/>
                  </w:tcBorders>
                  <w:noWrap w:val="0"/>
                  <w:vAlign w:val="center"/>
                </w:tcPr>
                <w:p w14:paraId="3CE711B5">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kern w:val="2"/>
                      <w:sz w:val="21"/>
                      <w:szCs w:val="21"/>
                      <w:lang w:val="en-US" w:eastAsia="zh-CN" w:bidi="ar-SA"/>
                    </w:rPr>
                    <w:t>废活性炭</w:t>
                  </w:r>
                </w:p>
              </w:tc>
              <w:tc>
                <w:tcPr>
                  <w:tcW w:w="798" w:type="pct"/>
                  <w:tcBorders>
                    <w:tl2br w:val="nil"/>
                    <w:tr2bl w:val="nil"/>
                  </w:tcBorders>
                  <w:noWrap w:val="0"/>
                  <w:vAlign w:val="center"/>
                </w:tcPr>
                <w:p w14:paraId="378B7A42">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HW49 其他废物</w:t>
                  </w:r>
                </w:p>
              </w:tc>
              <w:tc>
                <w:tcPr>
                  <w:tcW w:w="596" w:type="pct"/>
                  <w:tcBorders>
                    <w:tl2br w:val="nil"/>
                    <w:tr2bl w:val="nil"/>
                  </w:tcBorders>
                  <w:noWrap w:val="0"/>
                  <w:vAlign w:val="center"/>
                </w:tcPr>
                <w:p w14:paraId="7B502FB6">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HW49</w:t>
                  </w:r>
                </w:p>
                <w:p w14:paraId="422617E6">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900-0</w:t>
                  </w:r>
                  <w:r>
                    <w:rPr>
                      <w:rFonts w:hint="eastAsia" w:cs="Times New Roman"/>
                      <w:b w:val="0"/>
                      <w:bCs w:val="0"/>
                      <w:color w:val="auto"/>
                      <w:kern w:val="2"/>
                      <w:sz w:val="21"/>
                      <w:szCs w:val="21"/>
                      <w:lang w:val="en-US" w:eastAsia="zh-CN"/>
                    </w:rPr>
                    <w:t>39</w:t>
                  </w:r>
                  <w:r>
                    <w:rPr>
                      <w:rFonts w:hint="default" w:ascii="Times New Roman" w:hAnsi="Times New Roman" w:eastAsia="宋体" w:cs="Times New Roman"/>
                      <w:b w:val="0"/>
                      <w:bCs w:val="0"/>
                      <w:color w:val="auto"/>
                      <w:kern w:val="2"/>
                      <w:sz w:val="21"/>
                      <w:szCs w:val="21"/>
                    </w:rPr>
                    <w:t>-49</w:t>
                  </w:r>
                </w:p>
              </w:tc>
              <w:tc>
                <w:tcPr>
                  <w:tcW w:w="471" w:type="pct"/>
                  <w:tcBorders>
                    <w:tl2br w:val="nil"/>
                    <w:tr2bl w:val="nil"/>
                  </w:tcBorders>
                  <w:noWrap w:val="0"/>
                  <w:vAlign w:val="center"/>
                </w:tcPr>
                <w:p w14:paraId="0563E518">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6</w:t>
                  </w:r>
                </w:p>
              </w:tc>
              <w:tc>
                <w:tcPr>
                  <w:tcW w:w="417" w:type="pct"/>
                  <w:tcBorders>
                    <w:tl2br w:val="nil"/>
                    <w:tr2bl w:val="nil"/>
                  </w:tcBorders>
                  <w:noWrap w:val="0"/>
                  <w:vAlign w:val="center"/>
                </w:tcPr>
                <w:p w14:paraId="49DACF15">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rPr>
                    <w:t>固态</w:t>
                  </w:r>
                </w:p>
              </w:tc>
              <w:tc>
                <w:tcPr>
                  <w:tcW w:w="532" w:type="pct"/>
                  <w:tcBorders>
                    <w:tl2br w:val="nil"/>
                    <w:tr2bl w:val="nil"/>
                  </w:tcBorders>
                  <w:noWrap w:val="0"/>
                  <w:vAlign w:val="center"/>
                </w:tcPr>
                <w:p w14:paraId="22064973">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有机废气</w:t>
                  </w:r>
                </w:p>
              </w:tc>
              <w:tc>
                <w:tcPr>
                  <w:tcW w:w="439" w:type="pct"/>
                  <w:tcBorders>
                    <w:tl2br w:val="nil"/>
                    <w:tr2bl w:val="nil"/>
                  </w:tcBorders>
                  <w:noWrap w:val="0"/>
                  <w:vAlign w:val="center"/>
                </w:tcPr>
                <w:p w14:paraId="2EE72D0C">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kern w:val="2"/>
                      <w:sz w:val="21"/>
                      <w:szCs w:val="21"/>
                      <w:lang w:val="en-US" w:eastAsia="zh-CN" w:bidi="ar-SA"/>
                    </w:rPr>
                    <w:t>1年</w:t>
                  </w:r>
                </w:p>
              </w:tc>
              <w:tc>
                <w:tcPr>
                  <w:tcW w:w="428" w:type="pct"/>
                  <w:tcBorders>
                    <w:tl2br w:val="nil"/>
                    <w:tr2bl w:val="nil"/>
                  </w:tcBorders>
                  <w:noWrap w:val="0"/>
                  <w:vAlign w:val="center"/>
                </w:tcPr>
                <w:p w14:paraId="4906F2DB">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kern w:val="2"/>
                      <w:sz w:val="21"/>
                      <w:szCs w:val="21"/>
                      <w:highlight w:val="none"/>
                    </w:rPr>
                    <w:t>T</w:t>
                  </w:r>
                </w:p>
              </w:tc>
              <w:tc>
                <w:tcPr>
                  <w:tcW w:w="516" w:type="pct"/>
                  <w:vMerge w:val="continue"/>
                  <w:tcBorders>
                    <w:tl2br w:val="nil"/>
                    <w:tr2bl w:val="nil"/>
                  </w:tcBorders>
                  <w:noWrap w:val="0"/>
                  <w:vAlign w:val="center"/>
                </w:tcPr>
                <w:p w14:paraId="7E8CB495">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p>
              </w:tc>
            </w:tr>
            <w:tr w14:paraId="259BA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8" w:type="pct"/>
                  <w:tcBorders>
                    <w:tl2br w:val="nil"/>
                    <w:tr2bl w:val="nil"/>
                  </w:tcBorders>
                  <w:noWrap w:val="0"/>
                  <w:vAlign w:val="center"/>
                </w:tcPr>
                <w:p w14:paraId="54F3EFCC">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lang w:val="en-US" w:eastAsia="zh-CN"/>
                    </w:rPr>
                    <w:t>3</w:t>
                  </w:r>
                </w:p>
              </w:tc>
              <w:tc>
                <w:tcPr>
                  <w:tcW w:w="549" w:type="pct"/>
                  <w:tcBorders>
                    <w:tl2br w:val="nil"/>
                    <w:tr2bl w:val="nil"/>
                  </w:tcBorders>
                  <w:noWrap w:val="0"/>
                  <w:vAlign w:val="center"/>
                </w:tcPr>
                <w:p w14:paraId="7543D5E8">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废机油</w:t>
                  </w:r>
                </w:p>
              </w:tc>
              <w:tc>
                <w:tcPr>
                  <w:tcW w:w="798" w:type="pct"/>
                  <w:tcBorders>
                    <w:tl2br w:val="nil"/>
                    <w:tr2bl w:val="nil"/>
                  </w:tcBorders>
                  <w:noWrap w:val="0"/>
                  <w:vAlign w:val="center"/>
                </w:tcPr>
                <w:p w14:paraId="139C1DF8">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HW08</w:t>
                  </w:r>
                </w:p>
                <w:p w14:paraId="2D5F5E94">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 xml:space="preserve"> 废矿物油与含矿物油废物</w:t>
                  </w:r>
                </w:p>
              </w:tc>
              <w:tc>
                <w:tcPr>
                  <w:tcW w:w="596" w:type="pct"/>
                  <w:tcBorders>
                    <w:tl2br w:val="nil"/>
                    <w:tr2bl w:val="nil"/>
                  </w:tcBorders>
                  <w:noWrap w:val="0"/>
                  <w:vAlign w:val="center"/>
                </w:tcPr>
                <w:p w14:paraId="3606176C">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HW08</w:t>
                  </w:r>
                </w:p>
                <w:p w14:paraId="346C034D">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900-214-08</w:t>
                  </w:r>
                </w:p>
              </w:tc>
              <w:tc>
                <w:tcPr>
                  <w:tcW w:w="471" w:type="pct"/>
                  <w:tcBorders>
                    <w:tl2br w:val="nil"/>
                    <w:tr2bl w:val="nil"/>
                  </w:tcBorders>
                  <w:noWrap w:val="0"/>
                  <w:vAlign w:val="center"/>
                </w:tcPr>
                <w:p w14:paraId="3976D0C2">
                  <w:pPr>
                    <w:pStyle w:val="115"/>
                    <w:rPr>
                      <w:rFonts w:hint="eastAsia"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0.5</w:t>
                  </w:r>
                </w:p>
              </w:tc>
              <w:tc>
                <w:tcPr>
                  <w:tcW w:w="417" w:type="pct"/>
                  <w:tcBorders>
                    <w:tl2br w:val="nil"/>
                    <w:tr2bl w:val="nil"/>
                  </w:tcBorders>
                  <w:noWrap w:val="0"/>
                  <w:vAlign w:val="center"/>
                </w:tcPr>
                <w:p w14:paraId="6A424515">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lang w:val="en-US" w:eastAsia="zh-CN"/>
                    </w:rPr>
                    <w:t>液态</w:t>
                  </w:r>
                </w:p>
              </w:tc>
              <w:tc>
                <w:tcPr>
                  <w:tcW w:w="532" w:type="pct"/>
                  <w:tcBorders>
                    <w:tl2br w:val="nil"/>
                    <w:tr2bl w:val="nil"/>
                  </w:tcBorders>
                  <w:noWrap w:val="0"/>
                  <w:vAlign w:val="center"/>
                </w:tcPr>
                <w:p w14:paraId="0D42119D">
                  <w:pPr>
                    <w:pStyle w:val="115"/>
                    <w:rPr>
                      <w:rFonts w:hint="eastAsia"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机油</w:t>
                  </w:r>
                </w:p>
              </w:tc>
              <w:tc>
                <w:tcPr>
                  <w:tcW w:w="439" w:type="pct"/>
                  <w:tcBorders>
                    <w:tl2br w:val="nil"/>
                    <w:tr2bl w:val="nil"/>
                  </w:tcBorders>
                  <w:noWrap w:val="0"/>
                  <w:vAlign w:val="center"/>
                </w:tcPr>
                <w:p w14:paraId="300981B4">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kern w:val="2"/>
                      <w:sz w:val="21"/>
                      <w:szCs w:val="21"/>
                      <w:lang w:val="en-US" w:eastAsia="zh-CN" w:bidi="ar-SA"/>
                    </w:rPr>
                    <w:t>1天</w:t>
                  </w:r>
                </w:p>
              </w:tc>
              <w:tc>
                <w:tcPr>
                  <w:tcW w:w="428" w:type="pct"/>
                  <w:tcBorders>
                    <w:tl2br w:val="nil"/>
                    <w:tr2bl w:val="nil"/>
                  </w:tcBorders>
                  <w:noWrap w:val="0"/>
                  <w:vAlign w:val="center"/>
                </w:tcPr>
                <w:p w14:paraId="6336F295">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highlight w:val="none"/>
                    </w:rPr>
                    <w:t>T，I</w:t>
                  </w:r>
                </w:p>
              </w:tc>
              <w:tc>
                <w:tcPr>
                  <w:tcW w:w="516" w:type="pct"/>
                  <w:vMerge w:val="continue"/>
                  <w:tcBorders>
                    <w:tl2br w:val="nil"/>
                    <w:tr2bl w:val="nil"/>
                  </w:tcBorders>
                  <w:noWrap w:val="0"/>
                  <w:vAlign w:val="center"/>
                </w:tcPr>
                <w:p w14:paraId="5E33CF39">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p>
              </w:tc>
            </w:tr>
            <w:tr w14:paraId="01F37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8" w:type="pct"/>
                  <w:tcBorders>
                    <w:tl2br w:val="nil"/>
                    <w:tr2bl w:val="nil"/>
                  </w:tcBorders>
                  <w:noWrap w:val="0"/>
                  <w:vAlign w:val="center"/>
                </w:tcPr>
                <w:p w14:paraId="3547E180">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lang w:val="en-US" w:eastAsia="zh-CN"/>
                    </w:rPr>
                    <w:t>4</w:t>
                  </w:r>
                </w:p>
              </w:tc>
              <w:tc>
                <w:tcPr>
                  <w:tcW w:w="549" w:type="pct"/>
                  <w:tcBorders>
                    <w:tl2br w:val="nil"/>
                    <w:tr2bl w:val="nil"/>
                  </w:tcBorders>
                  <w:noWrap w:val="0"/>
                  <w:vAlign w:val="center"/>
                </w:tcPr>
                <w:p w14:paraId="21F4143A">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pacing w:val="-12"/>
                      <w:sz w:val="21"/>
                      <w:szCs w:val="21"/>
                    </w:rPr>
                    <w:t>废机油桶</w:t>
                  </w:r>
                </w:p>
              </w:tc>
              <w:tc>
                <w:tcPr>
                  <w:tcW w:w="798" w:type="pct"/>
                  <w:tcBorders>
                    <w:tl2br w:val="nil"/>
                    <w:tr2bl w:val="nil"/>
                  </w:tcBorders>
                  <w:noWrap w:val="0"/>
                  <w:vAlign w:val="center"/>
                </w:tcPr>
                <w:p w14:paraId="5EECA889">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HW08</w:t>
                  </w:r>
                </w:p>
                <w:p w14:paraId="68B30757">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 xml:space="preserve"> 废矿物油与含矿物油废物</w:t>
                  </w:r>
                </w:p>
              </w:tc>
              <w:tc>
                <w:tcPr>
                  <w:tcW w:w="596" w:type="pct"/>
                  <w:tcBorders>
                    <w:tl2br w:val="nil"/>
                    <w:tr2bl w:val="nil"/>
                  </w:tcBorders>
                  <w:noWrap w:val="0"/>
                  <w:vAlign w:val="center"/>
                </w:tcPr>
                <w:p w14:paraId="23B10D0E">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HW08</w:t>
                  </w:r>
                </w:p>
                <w:p w14:paraId="2D466305">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w:t>
                  </w:r>
                  <w:r>
                    <w:rPr>
                      <w:rFonts w:hint="default" w:ascii="Times New Roman" w:hAnsi="Times New Roman" w:eastAsia="宋体" w:cs="Times New Roman"/>
                      <w:b w:val="0"/>
                      <w:bCs w:val="0"/>
                      <w:color w:val="auto"/>
                      <w:kern w:val="2"/>
                      <w:sz w:val="21"/>
                      <w:szCs w:val="21"/>
                      <w:lang w:val="en-US" w:eastAsia="zh-CN"/>
                    </w:rPr>
                    <w:t>249</w:t>
                  </w:r>
                  <w:r>
                    <w:rPr>
                      <w:rFonts w:hint="default" w:ascii="Times New Roman" w:hAnsi="Times New Roman" w:eastAsia="宋体" w:cs="Times New Roman"/>
                      <w:b w:val="0"/>
                      <w:bCs w:val="0"/>
                      <w:color w:val="auto"/>
                      <w:kern w:val="2"/>
                      <w:sz w:val="21"/>
                      <w:szCs w:val="21"/>
                    </w:rPr>
                    <w:t>-08</w:t>
                  </w:r>
                </w:p>
              </w:tc>
              <w:tc>
                <w:tcPr>
                  <w:tcW w:w="471" w:type="pct"/>
                  <w:tcBorders>
                    <w:tl2br w:val="nil"/>
                    <w:tr2bl w:val="nil"/>
                  </w:tcBorders>
                  <w:noWrap w:val="0"/>
                  <w:vAlign w:val="center"/>
                </w:tcPr>
                <w:p w14:paraId="2D78D095">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0.00</w:t>
                  </w:r>
                  <w:r>
                    <w:rPr>
                      <w:rFonts w:hint="eastAsia" w:cs="Times New Roman"/>
                      <w:b w:val="0"/>
                      <w:bCs w:val="0"/>
                      <w:color w:val="auto"/>
                      <w:kern w:val="2"/>
                      <w:sz w:val="21"/>
                      <w:szCs w:val="21"/>
                      <w:lang w:val="en-US" w:eastAsia="zh-CN"/>
                    </w:rPr>
                    <w:t>4</w:t>
                  </w:r>
                </w:p>
              </w:tc>
              <w:tc>
                <w:tcPr>
                  <w:tcW w:w="417" w:type="pct"/>
                  <w:tcBorders>
                    <w:tl2br w:val="nil"/>
                    <w:tr2bl w:val="nil"/>
                  </w:tcBorders>
                  <w:noWrap w:val="0"/>
                  <w:vAlign w:val="center"/>
                </w:tcPr>
                <w:p w14:paraId="35338658">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rPr>
                    <w:t>固态</w:t>
                  </w:r>
                </w:p>
              </w:tc>
              <w:tc>
                <w:tcPr>
                  <w:tcW w:w="532" w:type="pct"/>
                  <w:tcBorders>
                    <w:tl2br w:val="nil"/>
                    <w:tr2bl w:val="nil"/>
                  </w:tcBorders>
                  <w:noWrap w:val="0"/>
                  <w:vAlign w:val="center"/>
                </w:tcPr>
                <w:p w14:paraId="5964D479">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机油</w:t>
                  </w:r>
                </w:p>
              </w:tc>
              <w:tc>
                <w:tcPr>
                  <w:tcW w:w="439" w:type="pct"/>
                  <w:tcBorders>
                    <w:tl2br w:val="nil"/>
                    <w:tr2bl w:val="nil"/>
                  </w:tcBorders>
                  <w:noWrap w:val="0"/>
                  <w:vAlign w:val="center"/>
                </w:tcPr>
                <w:p w14:paraId="64088A3A">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kern w:val="2"/>
                      <w:sz w:val="21"/>
                      <w:szCs w:val="21"/>
                      <w:lang w:val="en-US" w:eastAsia="zh-CN" w:bidi="ar-SA"/>
                    </w:rPr>
                    <w:t>1天</w:t>
                  </w:r>
                </w:p>
              </w:tc>
              <w:tc>
                <w:tcPr>
                  <w:tcW w:w="428" w:type="pct"/>
                  <w:tcBorders>
                    <w:tl2br w:val="nil"/>
                    <w:tr2bl w:val="nil"/>
                  </w:tcBorders>
                  <w:noWrap w:val="0"/>
                  <w:vAlign w:val="center"/>
                </w:tcPr>
                <w:p w14:paraId="2B3E1443">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highlight w:val="none"/>
                    </w:rPr>
                    <w:t>T，I</w:t>
                  </w:r>
                </w:p>
              </w:tc>
              <w:tc>
                <w:tcPr>
                  <w:tcW w:w="516" w:type="pct"/>
                  <w:vMerge w:val="continue"/>
                  <w:tcBorders>
                    <w:tl2br w:val="nil"/>
                    <w:tr2bl w:val="nil"/>
                  </w:tcBorders>
                  <w:noWrap w:val="0"/>
                  <w:vAlign w:val="center"/>
                </w:tcPr>
                <w:p w14:paraId="0D446882">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p>
              </w:tc>
            </w:tr>
            <w:tr w14:paraId="50F07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8" w:type="pct"/>
                  <w:tcBorders>
                    <w:tl2br w:val="nil"/>
                    <w:tr2bl w:val="nil"/>
                  </w:tcBorders>
                  <w:noWrap w:val="0"/>
                  <w:vAlign w:val="center"/>
                </w:tcPr>
                <w:p w14:paraId="0EF66101">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lang w:val="en-US" w:eastAsia="zh-CN"/>
                    </w:rPr>
                    <w:t>5</w:t>
                  </w:r>
                </w:p>
              </w:tc>
              <w:tc>
                <w:tcPr>
                  <w:tcW w:w="549" w:type="pct"/>
                  <w:tcBorders>
                    <w:tl2br w:val="nil"/>
                    <w:tr2bl w:val="nil"/>
                  </w:tcBorders>
                  <w:noWrap w:val="0"/>
                  <w:vAlign w:val="center"/>
                </w:tcPr>
                <w:p w14:paraId="320DF8C5">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spacing w:val="-12"/>
                      <w:sz w:val="21"/>
                      <w:szCs w:val="21"/>
                      <w:lang w:val="en-US" w:eastAsia="zh-CN"/>
                    </w:rPr>
                    <w:t>废靶材</w:t>
                  </w:r>
                </w:p>
              </w:tc>
              <w:tc>
                <w:tcPr>
                  <w:tcW w:w="798" w:type="pct"/>
                  <w:tcBorders>
                    <w:tl2br w:val="nil"/>
                    <w:tr2bl w:val="nil"/>
                  </w:tcBorders>
                  <w:noWrap w:val="0"/>
                  <w:vAlign w:val="center"/>
                </w:tcPr>
                <w:p w14:paraId="0BEC6BE9">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HW49 其他废物</w:t>
                  </w:r>
                </w:p>
              </w:tc>
              <w:tc>
                <w:tcPr>
                  <w:tcW w:w="596" w:type="pct"/>
                  <w:tcBorders>
                    <w:tl2br w:val="nil"/>
                    <w:tr2bl w:val="nil"/>
                  </w:tcBorders>
                  <w:noWrap w:val="0"/>
                  <w:vAlign w:val="center"/>
                </w:tcPr>
                <w:p w14:paraId="3BC3EF5D">
                  <w:pPr>
                    <w:pStyle w:val="115"/>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rPr>
                    <w:t>HW</w:t>
                  </w:r>
                  <w:r>
                    <w:rPr>
                      <w:rFonts w:hint="eastAsia" w:ascii="Times New Roman" w:hAnsi="Times New Roman" w:eastAsia="宋体" w:cs="Times New Roman"/>
                      <w:b w:val="0"/>
                      <w:bCs w:val="0"/>
                      <w:color w:val="auto"/>
                      <w:kern w:val="2"/>
                      <w:sz w:val="21"/>
                      <w:szCs w:val="21"/>
                      <w:lang w:val="en-US" w:eastAsia="zh-CN"/>
                    </w:rPr>
                    <w:t>49</w:t>
                  </w:r>
                </w:p>
                <w:p w14:paraId="2C7F23F4">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w:t>
                  </w:r>
                  <w:r>
                    <w:rPr>
                      <w:rFonts w:hint="eastAsia" w:ascii="Times New Roman" w:hAnsi="Times New Roman" w:eastAsia="宋体" w:cs="Times New Roman"/>
                      <w:b w:val="0"/>
                      <w:bCs w:val="0"/>
                      <w:color w:val="auto"/>
                      <w:kern w:val="2"/>
                      <w:sz w:val="21"/>
                      <w:szCs w:val="21"/>
                      <w:lang w:val="en-US" w:eastAsia="zh-CN"/>
                    </w:rPr>
                    <w:t>99</w:t>
                  </w:r>
                  <w:r>
                    <w:rPr>
                      <w:rFonts w:hint="default" w:ascii="Times New Roman" w:hAnsi="Times New Roman" w:eastAsia="宋体" w:cs="Times New Roman"/>
                      <w:b w:val="0"/>
                      <w:bCs w:val="0"/>
                      <w:color w:val="auto"/>
                      <w:kern w:val="2"/>
                      <w:sz w:val="21"/>
                      <w:szCs w:val="21"/>
                      <w:lang w:val="en-US" w:eastAsia="zh-CN"/>
                    </w:rPr>
                    <w:t>9</w:t>
                  </w:r>
                  <w:r>
                    <w:rPr>
                      <w:rFonts w:hint="default" w:ascii="Times New Roman" w:hAnsi="Times New Roman" w:eastAsia="宋体" w:cs="Times New Roman"/>
                      <w:b w:val="0"/>
                      <w:bCs w:val="0"/>
                      <w:color w:val="auto"/>
                      <w:kern w:val="2"/>
                      <w:sz w:val="21"/>
                      <w:szCs w:val="21"/>
                    </w:rPr>
                    <w:t>-</w:t>
                  </w:r>
                  <w:r>
                    <w:rPr>
                      <w:rFonts w:hint="eastAsia" w:ascii="Times New Roman" w:hAnsi="Times New Roman" w:eastAsia="宋体" w:cs="Times New Roman"/>
                      <w:b w:val="0"/>
                      <w:bCs w:val="0"/>
                      <w:color w:val="auto"/>
                      <w:kern w:val="2"/>
                      <w:sz w:val="21"/>
                      <w:szCs w:val="21"/>
                      <w:lang w:val="en-US" w:eastAsia="zh-CN"/>
                    </w:rPr>
                    <w:t>49</w:t>
                  </w:r>
                </w:p>
              </w:tc>
              <w:tc>
                <w:tcPr>
                  <w:tcW w:w="471" w:type="pct"/>
                  <w:tcBorders>
                    <w:tl2br w:val="nil"/>
                    <w:tr2bl w:val="nil"/>
                  </w:tcBorders>
                  <w:noWrap w:val="0"/>
                  <w:vAlign w:val="center"/>
                </w:tcPr>
                <w:p w14:paraId="793A3CE3">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kern w:val="2"/>
                      <w:sz w:val="21"/>
                      <w:szCs w:val="21"/>
                      <w:lang w:val="en-US" w:eastAsia="zh-CN"/>
                    </w:rPr>
                    <w:t>0.01</w:t>
                  </w:r>
                </w:p>
              </w:tc>
              <w:tc>
                <w:tcPr>
                  <w:tcW w:w="417" w:type="pct"/>
                  <w:tcBorders>
                    <w:tl2br w:val="nil"/>
                    <w:tr2bl w:val="nil"/>
                  </w:tcBorders>
                  <w:noWrap w:val="0"/>
                  <w:vAlign w:val="center"/>
                </w:tcPr>
                <w:p w14:paraId="11B5FC31">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eastAsia" w:ascii="Times New Roman" w:hAnsi="Times New Roman" w:eastAsia="宋体" w:cs="Times New Roman"/>
                      <w:color w:val="auto"/>
                      <w:spacing w:val="8"/>
                      <w:kern w:val="2"/>
                      <w:sz w:val="21"/>
                      <w:szCs w:val="21"/>
                      <w:lang w:val="en-US" w:eastAsia="zh-CN" w:bidi="ar-SA"/>
                    </w:rPr>
                  </w:pPr>
                  <w:r>
                    <w:rPr>
                      <w:rFonts w:hint="eastAsia"/>
                      <w:color w:val="auto"/>
                      <w:sz w:val="21"/>
                      <w:szCs w:val="21"/>
                    </w:rPr>
                    <w:t>固态</w:t>
                  </w:r>
                </w:p>
              </w:tc>
              <w:tc>
                <w:tcPr>
                  <w:tcW w:w="532" w:type="pct"/>
                  <w:tcBorders>
                    <w:tl2br w:val="nil"/>
                    <w:tr2bl w:val="nil"/>
                  </w:tcBorders>
                  <w:noWrap w:val="0"/>
                  <w:vAlign w:val="center"/>
                </w:tcPr>
                <w:p w14:paraId="6C9B947F">
                  <w:pPr>
                    <w:pStyle w:val="115"/>
                    <w:rPr>
                      <w:rFonts w:hint="eastAsia"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rPr>
                    <w:t>银、铝、镍、铬、二氧化硅</w:t>
                  </w:r>
                  <w:r>
                    <w:rPr>
                      <w:rFonts w:hint="eastAsia" w:cs="Times New Roman"/>
                      <w:b w:val="0"/>
                      <w:bCs w:val="0"/>
                      <w:color w:val="auto"/>
                      <w:kern w:val="2"/>
                      <w:sz w:val="21"/>
                      <w:szCs w:val="21"/>
                      <w:lang w:val="en-US" w:eastAsia="zh-CN"/>
                    </w:rPr>
                    <w:t>等</w:t>
                  </w:r>
                </w:p>
              </w:tc>
              <w:tc>
                <w:tcPr>
                  <w:tcW w:w="439" w:type="pct"/>
                  <w:tcBorders>
                    <w:tl2br w:val="nil"/>
                    <w:tr2bl w:val="nil"/>
                  </w:tcBorders>
                  <w:noWrap w:val="0"/>
                  <w:vAlign w:val="center"/>
                </w:tcPr>
                <w:p w14:paraId="792D10F2">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kern w:val="2"/>
                      <w:sz w:val="21"/>
                      <w:szCs w:val="21"/>
                      <w:lang w:val="en-US" w:eastAsia="zh-CN" w:bidi="ar-SA"/>
                    </w:rPr>
                    <w:t>半年</w:t>
                  </w:r>
                </w:p>
              </w:tc>
              <w:tc>
                <w:tcPr>
                  <w:tcW w:w="428" w:type="pct"/>
                  <w:tcBorders>
                    <w:tl2br w:val="nil"/>
                    <w:tr2bl w:val="nil"/>
                  </w:tcBorders>
                  <w:noWrap w:val="0"/>
                  <w:vAlign w:val="center"/>
                </w:tcPr>
                <w:p w14:paraId="5B1B85CC">
                  <w:pPr>
                    <w:pStyle w:val="115"/>
                    <w:rPr>
                      <w:rFonts w:hint="default" w:ascii="Times New Roman" w:hAnsi="Times New Roman" w:eastAsia="宋体" w:cs="Times New Roman"/>
                      <w:b w:val="0"/>
                      <w:bCs w:val="0"/>
                      <w:color w:val="auto"/>
                      <w:kern w:val="2"/>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rPr>
                    <w:t>T/C/I/R</w:t>
                  </w:r>
                </w:p>
                <w:p w14:paraId="6079DAF3">
                  <w:pPr>
                    <w:pStyle w:val="115"/>
                    <w:rPr>
                      <w:rFonts w:hint="default" w:ascii="Times New Roman" w:hAnsi="Times New Roman" w:eastAsia="宋体" w:cs="Times New Roman"/>
                      <w:b w:val="0"/>
                      <w:bCs w:val="0"/>
                      <w:color w:val="auto"/>
                      <w:kern w:val="2"/>
                      <w:sz w:val="21"/>
                      <w:szCs w:val="21"/>
                      <w:lang w:val="en-US" w:eastAsia="zh-CN" w:bidi="ar-SA"/>
                    </w:rPr>
                  </w:pPr>
                </w:p>
              </w:tc>
              <w:tc>
                <w:tcPr>
                  <w:tcW w:w="516" w:type="pct"/>
                  <w:vMerge w:val="continue"/>
                  <w:tcBorders>
                    <w:tl2br w:val="nil"/>
                    <w:tr2bl w:val="nil"/>
                  </w:tcBorders>
                  <w:noWrap w:val="0"/>
                  <w:vAlign w:val="center"/>
                </w:tcPr>
                <w:p w14:paraId="4E768569">
                  <w:pPr>
                    <w:pStyle w:val="141"/>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color w:val="auto"/>
                      <w:sz w:val="21"/>
                      <w:szCs w:val="21"/>
                    </w:rPr>
                  </w:pPr>
                </w:p>
              </w:tc>
            </w:tr>
          </w:tbl>
          <w:p w14:paraId="14351B18">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0" w:firstLineChars="200"/>
              <w:textAlignment w:val="auto"/>
              <w:rPr>
                <w:rFonts w:hint="eastAsia" w:ascii="Times New Roman" w:hAnsi="Times New Roman" w:eastAsia="宋体" w:cs="Times New Roman"/>
                <w:b w:val="0"/>
                <w:bCs w:val="0"/>
                <w:color w:val="auto"/>
                <w:sz w:val="24"/>
                <w:szCs w:val="24"/>
                <w:u w:val="none"/>
              </w:rPr>
            </w:pPr>
            <w:r>
              <w:rPr>
                <w:rFonts w:hint="eastAsia" w:ascii="Times New Roman" w:hAnsi="Times New Roman" w:eastAsia="宋体" w:cs="Times New Roman"/>
                <w:b w:val="0"/>
                <w:bCs w:val="0"/>
                <w:color w:val="auto"/>
                <w:sz w:val="24"/>
                <w:szCs w:val="24"/>
                <w:u w:val="none"/>
              </w:rPr>
              <w:t>评价要求项目危险废物应按照《危险废物贮存污染控制标准》（GB 18597-2023）的相关要求，暂存于危废暂存间，</w:t>
            </w:r>
            <w:r>
              <w:rPr>
                <w:rFonts w:hint="eastAsia" w:ascii="Times New Roman" w:hAnsi="Times New Roman" w:eastAsia="宋体" w:cs="Times New Roman"/>
                <w:b w:val="0"/>
                <w:bCs w:val="0"/>
                <w:color w:val="auto"/>
                <w:sz w:val="24"/>
                <w:szCs w:val="24"/>
                <w:u w:val="none"/>
                <w:lang w:val="en-US" w:eastAsia="zh-CN"/>
              </w:rPr>
              <w:t>合理</w:t>
            </w:r>
            <w:r>
              <w:rPr>
                <w:rFonts w:hint="eastAsia" w:ascii="Times New Roman" w:hAnsi="Times New Roman" w:eastAsia="宋体" w:cs="Times New Roman"/>
                <w:b w:val="0"/>
                <w:bCs w:val="0"/>
                <w:color w:val="auto"/>
                <w:sz w:val="24"/>
                <w:szCs w:val="24"/>
                <w:u w:val="none"/>
              </w:rPr>
              <w:t>处置。危废暂存间应按规定设置环境保护图形标志，并建立检查维护制度，严格执行《危险废物贮存污染控制标准》（GB 18597-2023）中的有关规定对危险废物进行贮存、暂存。</w:t>
            </w:r>
          </w:p>
          <w:p w14:paraId="73E16DE3">
            <w:pPr>
              <w:adjustRightInd w:val="0"/>
              <w:snapToGrid w:val="0"/>
              <w:spacing w:line="360" w:lineRule="auto"/>
              <w:ind w:firstLine="480" w:firstLineChars="200"/>
              <w:rPr>
                <w:rFonts w:hint="default" w:ascii="Times New Roman" w:hAnsi="Times New Roman" w:eastAsia="宋体" w:cs="Times New Roman"/>
                <w:b w:val="0"/>
                <w:bCs w:val="0"/>
                <w:color w:val="auto"/>
                <w:sz w:val="24"/>
                <w:szCs w:val="24"/>
                <w:u w:val="none"/>
              </w:rPr>
            </w:pPr>
            <w:r>
              <w:rPr>
                <w:rFonts w:hint="eastAsia" w:ascii="Times New Roman" w:hAnsi="Times New Roman" w:eastAsia="宋体" w:cs="Times New Roman"/>
                <w:b w:val="0"/>
                <w:bCs w:val="0"/>
                <w:color w:val="auto"/>
                <w:sz w:val="24"/>
                <w:szCs w:val="24"/>
                <w:u w:val="none"/>
              </w:rPr>
              <w:t>危险废物贮存场所（设施）基本情况见下表。</w:t>
            </w:r>
          </w:p>
          <w:p w14:paraId="2F975E33">
            <w:pPr>
              <w:pStyle w:val="85"/>
              <w:tabs>
                <w:tab w:val="left" w:pos="420"/>
              </w:tabs>
              <w:bidi w:val="0"/>
              <w:spacing w:line="240" w:lineRule="auto"/>
              <w:ind w:left="0" w:leftChars="0" w:firstLine="0" w:firstLineChars="0"/>
              <w:jc w:val="center"/>
              <w:rPr>
                <w:rFonts w:hint="eastAsia" w:ascii="Times New Roman" w:hAnsi="Times New Roman" w:eastAsia="宋体" w:cs="Times New Roman"/>
                <w:b/>
                <w:bCs/>
                <w:snapToGrid/>
                <w:color w:val="auto"/>
                <w:kern w:val="2"/>
                <w:sz w:val="24"/>
                <w:szCs w:val="24"/>
                <w:lang w:val="en-US" w:eastAsia="zh-CN" w:bidi="ar-SA"/>
              </w:rPr>
            </w:pPr>
          </w:p>
          <w:p w14:paraId="14D4216F">
            <w:pPr>
              <w:pStyle w:val="85"/>
              <w:tabs>
                <w:tab w:val="left" w:pos="420"/>
              </w:tabs>
              <w:bidi w:val="0"/>
              <w:spacing w:line="240" w:lineRule="auto"/>
              <w:ind w:left="0" w:leftChars="0" w:firstLine="0" w:firstLineChars="0"/>
              <w:jc w:val="center"/>
              <w:rPr>
                <w:rFonts w:hint="eastAsia" w:ascii="Times New Roman" w:hAnsi="Times New Roman" w:eastAsia="宋体" w:cs="Times New Roman"/>
                <w:b/>
                <w:bCs/>
                <w:snapToGrid/>
                <w:color w:val="auto"/>
                <w:kern w:val="2"/>
                <w:sz w:val="24"/>
                <w:szCs w:val="24"/>
                <w:lang w:val="en-US" w:eastAsia="zh-CN" w:bidi="ar-SA"/>
              </w:rPr>
            </w:pPr>
          </w:p>
          <w:p w14:paraId="5E55E928">
            <w:pPr>
              <w:pStyle w:val="85"/>
              <w:tabs>
                <w:tab w:val="left" w:pos="420"/>
              </w:tabs>
              <w:bidi w:val="0"/>
              <w:spacing w:line="240" w:lineRule="auto"/>
              <w:ind w:left="0" w:leftChars="0" w:firstLine="0" w:firstLineChars="0"/>
              <w:jc w:val="center"/>
              <w:rPr>
                <w:rFonts w:hint="eastAsia" w:ascii="Times New Roman" w:hAnsi="Times New Roman" w:eastAsia="宋体" w:cs="Times New Roman"/>
                <w:b/>
                <w:bCs/>
                <w:snapToGrid/>
                <w:color w:val="auto"/>
                <w:kern w:val="2"/>
                <w:sz w:val="24"/>
                <w:szCs w:val="24"/>
                <w:lang w:val="en-US" w:eastAsia="zh-CN" w:bidi="ar-SA"/>
              </w:rPr>
            </w:pPr>
          </w:p>
          <w:p w14:paraId="7F2EC1D3">
            <w:pPr>
              <w:pStyle w:val="85"/>
              <w:tabs>
                <w:tab w:val="left" w:pos="420"/>
              </w:tabs>
              <w:bidi w:val="0"/>
              <w:spacing w:line="240" w:lineRule="auto"/>
              <w:ind w:left="0" w:leftChars="0" w:firstLine="0" w:firstLineChars="0"/>
              <w:jc w:val="center"/>
              <w:rPr>
                <w:rFonts w:hint="default"/>
                <w:color w:val="auto"/>
                <w:sz w:val="24"/>
                <w:szCs w:val="24"/>
              </w:rPr>
            </w:pPr>
            <w:r>
              <w:rPr>
                <w:rFonts w:hint="eastAsia" w:ascii="Times New Roman" w:hAnsi="Times New Roman" w:eastAsia="宋体" w:cs="Times New Roman"/>
                <w:b/>
                <w:bCs/>
                <w:snapToGrid/>
                <w:color w:val="auto"/>
                <w:kern w:val="2"/>
                <w:sz w:val="24"/>
                <w:szCs w:val="24"/>
                <w:lang w:val="en-US" w:eastAsia="zh-CN" w:bidi="ar-SA"/>
              </w:rPr>
              <w:t>表4-18</w:t>
            </w:r>
            <w:r>
              <w:rPr>
                <w:rFonts w:hint="default" w:ascii="Times New Roman" w:hAnsi="Times New Roman" w:eastAsia="宋体" w:cs="Times New Roman"/>
                <w:b/>
                <w:bCs/>
                <w:snapToGrid/>
                <w:color w:val="auto"/>
                <w:kern w:val="2"/>
                <w:sz w:val="24"/>
                <w:szCs w:val="24"/>
                <w:lang w:val="en-US" w:eastAsia="zh-CN" w:bidi="ar-SA"/>
              </w:rPr>
              <w:t xml:space="preserve"> </w:t>
            </w:r>
            <w:r>
              <w:rPr>
                <w:rFonts w:hint="eastAsia" w:ascii="Times New Roman" w:hAnsi="Times New Roman" w:eastAsia="宋体" w:cs="Times New Roman"/>
                <w:b/>
                <w:bCs/>
                <w:snapToGrid/>
                <w:color w:val="auto"/>
                <w:kern w:val="2"/>
                <w:sz w:val="24"/>
                <w:szCs w:val="24"/>
                <w:lang w:val="en-US" w:eastAsia="zh-CN" w:bidi="ar-SA"/>
              </w:rPr>
              <w:t xml:space="preserve">    </w:t>
            </w:r>
            <w:r>
              <w:rPr>
                <w:rFonts w:hint="default" w:ascii="Times New Roman" w:hAnsi="Times New Roman" w:eastAsia="宋体" w:cs="Times New Roman"/>
                <w:b/>
                <w:bCs/>
                <w:snapToGrid/>
                <w:color w:val="auto"/>
                <w:kern w:val="2"/>
                <w:sz w:val="24"/>
                <w:szCs w:val="24"/>
                <w:lang w:val="en-US" w:eastAsia="zh-CN" w:bidi="ar-SA"/>
              </w:rPr>
              <w:t>本项目危险废物贮存场所基本情况</w:t>
            </w:r>
          </w:p>
          <w:tbl>
            <w:tblPr>
              <w:tblStyle w:val="39"/>
              <w:tblW w:w="49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4"/>
              <w:gridCol w:w="1159"/>
              <w:gridCol w:w="1575"/>
              <w:gridCol w:w="1013"/>
              <w:gridCol w:w="516"/>
              <w:gridCol w:w="762"/>
              <w:gridCol w:w="789"/>
              <w:gridCol w:w="692"/>
              <w:gridCol w:w="709"/>
            </w:tblGrid>
            <w:tr w14:paraId="44AF9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626" w:type="pct"/>
                  <w:tcBorders>
                    <w:tl2br w:val="nil"/>
                    <w:tr2bl w:val="nil"/>
                  </w:tcBorders>
                  <w:noWrap w:val="0"/>
                  <w:vAlign w:val="center"/>
                </w:tcPr>
                <w:p w14:paraId="13BFE2BE">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贮存场所</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设施</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名称</w:t>
                  </w:r>
                </w:p>
              </w:tc>
              <w:tc>
                <w:tcPr>
                  <w:tcW w:w="702" w:type="pct"/>
                  <w:tcBorders>
                    <w:tl2br w:val="nil"/>
                    <w:tr2bl w:val="nil"/>
                  </w:tcBorders>
                  <w:noWrap w:val="0"/>
                  <w:vAlign w:val="center"/>
                </w:tcPr>
                <w:p w14:paraId="139E4ABA">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危险废物名称</w:t>
                  </w:r>
                </w:p>
              </w:tc>
              <w:tc>
                <w:tcPr>
                  <w:tcW w:w="954" w:type="pct"/>
                  <w:tcBorders>
                    <w:tl2br w:val="nil"/>
                    <w:tr2bl w:val="nil"/>
                  </w:tcBorders>
                  <w:noWrap w:val="0"/>
                  <w:vAlign w:val="center"/>
                </w:tcPr>
                <w:p w14:paraId="7C9BE59A">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危险废物类别</w:t>
                  </w:r>
                </w:p>
              </w:tc>
              <w:tc>
                <w:tcPr>
                  <w:tcW w:w="614" w:type="pct"/>
                  <w:tcBorders>
                    <w:tl2br w:val="nil"/>
                    <w:tr2bl w:val="nil"/>
                  </w:tcBorders>
                  <w:noWrap w:val="0"/>
                  <w:vAlign w:val="center"/>
                </w:tcPr>
                <w:p w14:paraId="232B841B">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危险废物代码</w:t>
                  </w:r>
                </w:p>
              </w:tc>
              <w:tc>
                <w:tcPr>
                  <w:tcW w:w="312" w:type="pct"/>
                  <w:tcBorders>
                    <w:tl2br w:val="nil"/>
                    <w:tr2bl w:val="nil"/>
                  </w:tcBorders>
                  <w:noWrap w:val="0"/>
                  <w:vAlign w:val="center"/>
                </w:tcPr>
                <w:p w14:paraId="4B23869F">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位置</w:t>
                  </w:r>
                </w:p>
              </w:tc>
              <w:tc>
                <w:tcPr>
                  <w:tcW w:w="461" w:type="pct"/>
                  <w:tcBorders>
                    <w:tl2br w:val="nil"/>
                    <w:tr2bl w:val="nil"/>
                  </w:tcBorders>
                  <w:noWrap w:val="0"/>
                  <w:vAlign w:val="center"/>
                </w:tcPr>
                <w:p w14:paraId="0D2C46A3">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占地面积</w:t>
                  </w:r>
                </w:p>
              </w:tc>
              <w:tc>
                <w:tcPr>
                  <w:tcW w:w="478" w:type="pct"/>
                  <w:tcBorders>
                    <w:tl2br w:val="nil"/>
                    <w:tr2bl w:val="nil"/>
                  </w:tcBorders>
                  <w:noWrap w:val="0"/>
                  <w:vAlign w:val="center"/>
                </w:tcPr>
                <w:p w14:paraId="22E98EB1">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贮存方式</w:t>
                  </w:r>
                </w:p>
              </w:tc>
              <w:tc>
                <w:tcPr>
                  <w:tcW w:w="419" w:type="pct"/>
                  <w:tcBorders>
                    <w:tl2br w:val="nil"/>
                    <w:tr2bl w:val="nil"/>
                  </w:tcBorders>
                  <w:noWrap w:val="0"/>
                  <w:vAlign w:val="center"/>
                </w:tcPr>
                <w:p w14:paraId="79718120">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贮存能力</w:t>
                  </w:r>
                </w:p>
              </w:tc>
              <w:tc>
                <w:tcPr>
                  <w:tcW w:w="429" w:type="pct"/>
                  <w:tcBorders>
                    <w:tl2br w:val="nil"/>
                    <w:tr2bl w:val="nil"/>
                  </w:tcBorders>
                  <w:noWrap w:val="0"/>
                  <w:vAlign w:val="center"/>
                </w:tcPr>
                <w:p w14:paraId="222BD5FF">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贮存周期</w:t>
                  </w:r>
                </w:p>
              </w:tc>
            </w:tr>
            <w:tr w14:paraId="5F744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6" w:type="pct"/>
                  <w:vMerge w:val="restart"/>
                  <w:tcBorders>
                    <w:tl2br w:val="nil"/>
                    <w:tr2bl w:val="nil"/>
                  </w:tcBorders>
                  <w:noWrap w:val="0"/>
                  <w:vAlign w:val="center"/>
                </w:tcPr>
                <w:p w14:paraId="24C6C5B6">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危废暂存间</w:t>
                  </w:r>
                </w:p>
              </w:tc>
              <w:tc>
                <w:tcPr>
                  <w:tcW w:w="702" w:type="pct"/>
                  <w:tcBorders>
                    <w:tl2br w:val="nil"/>
                    <w:tr2bl w:val="nil"/>
                  </w:tcBorders>
                  <w:noWrap w:val="0"/>
                  <w:vAlign w:val="center"/>
                </w:tcPr>
                <w:p w14:paraId="3D27710F">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rPr>
                    <w:t>废墨水桶、废胶桶</w:t>
                  </w:r>
                </w:p>
              </w:tc>
              <w:tc>
                <w:tcPr>
                  <w:tcW w:w="954" w:type="pct"/>
                  <w:tcBorders>
                    <w:tl2br w:val="nil"/>
                    <w:tr2bl w:val="nil"/>
                  </w:tcBorders>
                  <w:noWrap w:val="0"/>
                  <w:vAlign w:val="center"/>
                </w:tcPr>
                <w:p w14:paraId="624E9FEF">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HW49 其他废物</w:t>
                  </w:r>
                </w:p>
              </w:tc>
              <w:tc>
                <w:tcPr>
                  <w:tcW w:w="614" w:type="pct"/>
                  <w:tcBorders>
                    <w:tl2br w:val="nil"/>
                    <w:tr2bl w:val="nil"/>
                  </w:tcBorders>
                  <w:noWrap w:val="0"/>
                  <w:vAlign w:val="center"/>
                </w:tcPr>
                <w:p w14:paraId="364DE4EB">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HW49</w:t>
                  </w:r>
                </w:p>
                <w:p w14:paraId="2117AF5F">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900-041-49</w:t>
                  </w:r>
                </w:p>
              </w:tc>
              <w:tc>
                <w:tcPr>
                  <w:tcW w:w="312" w:type="pct"/>
                  <w:vMerge w:val="restart"/>
                  <w:tcBorders>
                    <w:tl2br w:val="nil"/>
                    <w:tr2bl w:val="nil"/>
                  </w:tcBorders>
                  <w:noWrap w:val="0"/>
                  <w:vAlign w:val="center"/>
                </w:tcPr>
                <w:p w14:paraId="1ECE6756">
                  <w:pPr>
                    <w:autoSpaceDN/>
                    <w:adjustRightIn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highlight w:val="none"/>
                      <w:lang w:val="en-US" w:eastAsia="zh-CN"/>
                    </w:rPr>
                    <w:t>生产车间东</w:t>
                  </w:r>
                  <w:r>
                    <w:rPr>
                      <w:rFonts w:hint="eastAsia" w:cs="Times New Roman"/>
                      <w:color w:val="auto"/>
                      <w:sz w:val="21"/>
                      <w:szCs w:val="21"/>
                      <w:highlight w:val="none"/>
                      <w:lang w:val="en-US" w:eastAsia="zh-CN"/>
                    </w:rPr>
                    <w:t>北</w:t>
                  </w:r>
                </w:p>
              </w:tc>
              <w:tc>
                <w:tcPr>
                  <w:tcW w:w="461" w:type="pct"/>
                  <w:vMerge w:val="restart"/>
                  <w:tcBorders>
                    <w:tl2br w:val="nil"/>
                    <w:tr2bl w:val="nil"/>
                  </w:tcBorders>
                  <w:noWrap w:val="0"/>
                  <w:vAlign w:val="center"/>
                </w:tcPr>
                <w:p w14:paraId="03152016">
                  <w:pPr>
                    <w:autoSpaceDN/>
                    <w:adjustRightInd w:val="0"/>
                    <w:spacing w:line="240" w:lineRule="auto"/>
                    <w:ind w:firstLine="0" w:firstLineChars="0"/>
                    <w:jc w:val="center"/>
                    <w:rPr>
                      <w:rFonts w:hint="default" w:ascii="Times New Roman" w:hAnsi="Times New Roman" w:cs="Times New Roman"/>
                      <w:color w:val="auto"/>
                      <w:sz w:val="21"/>
                      <w:szCs w:val="21"/>
                    </w:rPr>
                  </w:pPr>
                  <w:r>
                    <w:rPr>
                      <w:rFonts w:hint="eastAsia" w:ascii="Times New Roman" w:hAnsi="Times New Roman" w:cs="Times New Roman"/>
                      <w:color w:val="auto"/>
                      <w:sz w:val="21"/>
                      <w:szCs w:val="21"/>
                      <w:lang w:val="en-US" w:eastAsia="zh-CN"/>
                    </w:rPr>
                    <w:t>50</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2</w:t>
                  </w:r>
                </w:p>
              </w:tc>
              <w:tc>
                <w:tcPr>
                  <w:tcW w:w="478" w:type="pct"/>
                  <w:tcBorders>
                    <w:tl2br w:val="nil"/>
                    <w:tr2bl w:val="nil"/>
                  </w:tcBorders>
                  <w:noWrap w:val="0"/>
                  <w:vAlign w:val="center"/>
                </w:tcPr>
                <w:p w14:paraId="41F73890">
                  <w:pPr>
                    <w:autoSpaceDN/>
                    <w:adjustRightInd w:val="0"/>
                    <w:spacing w:line="240" w:lineRule="auto"/>
                    <w:ind w:firstLine="0" w:firstLineChars="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rPr>
                    <w:t>密封</w:t>
                  </w:r>
                  <w:r>
                    <w:rPr>
                      <w:rFonts w:hint="eastAsia" w:ascii="Times New Roman" w:hAnsi="Times New Roman" w:cs="Times New Roman"/>
                      <w:color w:val="auto"/>
                      <w:sz w:val="21"/>
                      <w:szCs w:val="21"/>
                      <w:lang w:val="en-US" w:eastAsia="zh-CN"/>
                    </w:rPr>
                    <w:t>贮存</w:t>
                  </w:r>
                </w:p>
              </w:tc>
              <w:tc>
                <w:tcPr>
                  <w:tcW w:w="419" w:type="pct"/>
                  <w:tcBorders>
                    <w:tl2br w:val="nil"/>
                    <w:tr2bl w:val="nil"/>
                  </w:tcBorders>
                  <w:noWrap w:val="0"/>
                  <w:vAlign w:val="center"/>
                </w:tcPr>
                <w:p w14:paraId="42F4AB1A">
                  <w:pPr>
                    <w:autoSpaceDN/>
                    <w:adjustRightInd w:val="0"/>
                    <w:spacing w:line="240" w:lineRule="auto"/>
                    <w:ind w:firstLine="0" w:firstLineChars="0"/>
                    <w:jc w:val="center"/>
                    <w:rPr>
                      <w:rFonts w:hint="default" w:ascii="Times New Roman" w:hAnsi="Times New Roman"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0.5</w:t>
                  </w:r>
                  <w:r>
                    <w:rPr>
                      <w:rFonts w:hint="default" w:ascii="Times New Roman" w:hAnsi="Times New Roman" w:cs="Times New Roman"/>
                      <w:color w:val="auto"/>
                      <w:sz w:val="21"/>
                      <w:szCs w:val="21"/>
                    </w:rPr>
                    <w:t>t</w:t>
                  </w:r>
                </w:p>
              </w:tc>
              <w:tc>
                <w:tcPr>
                  <w:tcW w:w="429" w:type="pct"/>
                  <w:tcBorders>
                    <w:tl2br w:val="nil"/>
                    <w:tr2bl w:val="nil"/>
                  </w:tcBorders>
                  <w:noWrap w:val="0"/>
                  <w:vAlign w:val="center"/>
                </w:tcPr>
                <w:p w14:paraId="3D201FA5">
                  <w:pPr>
                    <w:autoSpaceDN/>
                    <w:adjustRightInd w:val="0"/>
                    <w:spacing w:line="240" w:lineRule="auto"/>
                    <w:ind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1个月</w:t>
                  </w:r>
                </w:p>
              </w:tc>
            </w:tr>
            <w:tr w14:paraId="5143B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6" w:type="pct"/>
                  <w:vMerge w:val="continue"/>
                  <w:tcBorders>
                    <w:tl2br w:val="nil"/>
                    <w:tr2bl w:val="nil"/>
                  </w:tcBorders>
                  <w:noWrap w:val="0"/>
                  <w:vAlign w:val="center"/>
                </w:tcPr>
                <w:p w14:paraId="0DF2B065">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702" w:type="pct"/>
                  <w:tcBorders>
                    <w:tl2br w:val="nil"/>
                    <w:tr2bl w:val="nil"/>
                  </w:tcBorders>
                  <w:noWrap w:val="0"/>
                  <w:vAlign w:val="center"/>
                </w:tcPr>
                <w:p w14:paraId="66740380">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废活性炭</w:t>
                  </w:r>
                </w:p>
              </w:tc>
              <w:tc>
                <w:tcPr>
                  <w:tcW w:w="954" w:type="pct"/>
                  <w:tcBorders>
                    <w:tl2br w:val="nil"/>
                    <w:tr2bl w:val="nil"/>
                  </w:tcBorders>
                  <w:noWrap w:val="0"/>
                  <w:vAlign w:val="center"/>
                </w:tcPr>
                <w:p w14:paraId="784B4987">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HW49 其他废物</w:t>
                  </w:r>
                </w:p>
              </w:tc>
              <w:tc>
                <w:tcPr>
                  <w:tcW w:w="614" w:type="pct"/>
                  <w:tcBorders>
                    <w:tl2br w:val="nil"/>
                    <w:tr2bl w:val="nil"/>
                  </w:tcBorders>
                  <w:noWrap w:val="0"/>
                  <w:vAlign w:val="center"/>
                </w:tcPr>
                <w:p w14:paraId="2B21E62F">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HW49</w:t>
                  </w:r>
                </w:p>
                <w:p w14:paraId="28C1B947">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900-0</w:t>
                  </w:r>
                  <w:r>
                    <w:rPr>
                      <w:rFonts w:hint="eastAsia" w:cs="Times New Roman"/>
                      <w:b w:val="0"/>
                      <w:bCs w:val="0"/>
                      <w:color w:val="auto"/>
                      <w:kern w:val="2"/>
                      <w:sz w:val="21"/>
                      <w:szCs w:val="21"/>
                      <w:lang w:val="en-US" w:eastAsia="zh-CN"/>
                    </w:rPr>
                    <w:t>39</w:t>
                  </w:r>
                  <w:r>
                    <w:rPr>
                      <w:rFonts w:hint="default" w:ascii="Times New Roman" w:hAnsi="Times New Roman" w:eastAsia="宋体" w:cs="Times New Roman"/>
                      <w:b w:val="0"/>
                      <w:bCs w:val="0"/>
                      <w:color w:val="auto"/>
                      <w:kern w:val="2"/>
                      <w:sz w:val="21"/>
                      <w:szCs w:val="21"/>
                    </w:rPr>
                    <w:t>-49</w:t>
                  </w:r>
                </w:p>
              </w:tc>
              <w:tc>
                <w:tcPr>
                  <w:tcW w:w="312" w:type="pct"/>
                  <w:vMerge w:val="continue"/>
                  <w:tcBorders>
                    <w:tl2br w:val="nil"/>
                    <w:tr2bl w:val="nil"/>
                  </w:tcBorders>
                  <w:noWrap w:val="0"/>
                  <w:vAlign w:val="center"/>
                </w:tcPr>
                <w:p w14:paraId="0CCECBE7">
                  <w:pPr>
                    <w:autoSpaceDN/>
                    <w:adjustRightInd w:val="0"/>
                    <w:spacing w:line="240" w:lineRule="auto"/>
                    <w:ind w:firstLine="0" w:firstLineChars="0"/>
                    <w:jc w:val="center"/>
                    <w:rPr>
                      <w:rFonts w:hint="eastAsia" w:ascii="Times New Roman" w:hAnsi="Times New Roman" w:cs="Times New Roman"/>
                      <w:color w:val="auto"/>
                      <w:sz w:val="21"/>
                      <w:szCs w:val="21"/>
                      <w:highlight w:val="none"/>
                      <w:lang w:val="en-US" w:eastAsia="zh-CN"/>
                    </w:rPr>
                  </w:pPr>
                </w:p>
              </w:tc>
              <w:tc>
                <w:tcPr>
                  <w:tcW w:w="461" w:type="pct"/>
                  <w:vMerge w:val="continue"/>
                  <w:tcBorders>
                    <w:tl2br w:val="nil"/>
                    <w:tr2bl w:val="nil"/>
                  </w:tcBorders>
                  <w:noWrap w:val="0"/>
                  <w:vAlign w:val="center"/>
                </w:tcPr>
                <w:p w14:paraId="63A8BEC1">
                  <w:pPr>
                    <w:autoSpaceDN/>
                    <w:adjustRightInd w:val="0"/>
                    <w:spacing w:line="240" w:lineRule="auto"/>
                    <w:ind w:firstLine="0" w:firstLineChars="0"/>
                    <w:jc w:val="center"/>
                    <w:rPr>
                      <w:rFonts w:hint="eastAsia" w:ascii="Times New Roman" w:hAnsi="Times New Roman" w:cs="Times New Roman"/>
                      <w:color w:val="auto"/>
                      <w:sz w:val="21"/>
                      <w:szCs w:val="21"/>
                      <w:lang w:val="en-US" w:eastAsia="zh-CN"/>
                    </w:rPr>
                  </w:pPr>
                </w:p>
              </w:tc>
              <w:tc>
                <w:tcPr>
                  <w:tcW w:w="478" w:type="pct"/>
                  <w:tcBorders>
                    <w:tl2br w:val="nil"/>
                    <w:tr2bl w:val="nil"/>
                  </w:tcBorders>
                  <w:noWrap w:val="0"/>
                  <w:vAlign w:val="center"/>
                </w:tcPr>
                <w:p w14:paraId="5E2C368F">
                  <w:pPr>
                    <w:autoSpaceDN/>
                    <w:adjustRightInd w:val="0"/>
                    <w:spacing w:line="240" w:lineRule="auto"/>
                    <w:ind w:firstLine="0" w:firstLineChars="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rPr>
                    <w:t>密封</w:t>
                  </w:r>
                  <w:r>
                    <w:rPr>
                      <w:rFonts w:hint="eastAsia" w:ascii="Times New Roman" w:hAnsi="Times New Roman" w:cs="Times New Roman"/>
                      <w:color w:val="auto"/>
                      <w:sz w:val="21"/>
                      <w:szCs w:val="21"/>
                      <w:lang w:val="en-US" w:eastAsia="zh-CN"/>
                    </w:rPr>
                    <w:t>袋</w:t>
                  </w:r>
                  <w:r>
                    <w:rPr>
                      <w:rFonts w:hint="default" w:ascii="Times New Roman" w:hAnsi="Times New Roman" w:cs="Times New Roman"/>
                      <w:color w:val="auto"/>
                      <w:sz w:val="21"/>
                      <w:szCs w:val="21"/>
                    </w:rPr>
                    <w:t>装</w:t>
                  </w:r>
                </w:p>
              </w:tc>
              <w:tc>
                <w:tcPr>
                  <w:tcW w:w="419" w:type="pct"/>
                  <w:tcBorders>
                    <w:tl2br w:val="nil"/>
                    <w:tr2bl w:val="nil"/>
                  </w:tcBorders>
                  <w:noWrap w:val="0"/>
                  <w:vAlign w:val="center"/>
                </w:tcPr>
                <w:p w14:paraId="7A12282F">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u w:val="none"/>
                      <w:lang w:val="en-US" w:eastAsia="zh-CN" w:bidi="ar-SA"/>
                    </w:rPr>
                  </w:pPr>
                  <w:r>
                    <w:rPr>
                      <w:rFonts w:hint="eastAsia" w:ascii="Times New Roman" w:hAnsi="Times New Roman" w:eastAsia="宋体" w:cs="Times New Roman"/>
                      <w:b w:val="0"/>
                      <w:bCs w:val="0"/>
                      <w:color w:val="auto"/>
                      <w:sz w:val="21"/>
                      <w:szCs w:val="21"/>
                      <w:lang w:val="en-US" w:eastAsia="zh-CN"/>
                    </w:rPr>
                    <w:t>10</w:t>
                  </w:r>
                  <w:r>
                    <w:rPr>
                      <w:rFonts w:hint="default" w:ascii="Times New Roman" w:hAnsi="Times New Roman" w:cs="Times New Roman"/>
                      <w:color w:val="auto"/>
                      <w:sz w:val="21"/>
                      <w:szCs w:val="21"/>
                    </w:rPr>
                    <w:t>t</w:t>
                  </w:r>
                </w:p>
              </w:tc>
              <w:tc>
                <w:tcPr>
                  <w:tcW w:w="429" w:type="pct"/>
                  <w:tcBorders>
                    <w:tl2br w:val="nil"/>
                    <w:tr2bl w:val="nil"/>
                  </w:tcBorders>
                  <w:noWrap w:val="0"/>
                  <w:vAlign w:val="center"/>
                </w:tcPr>
                <w:p w14:paraId="56E3D8AF">
                  <w:pPr>
                    <w:autoSpaceDN/>
                    <w:adjustRightInd w:val="0"/>
                    <w:spacing w:line="240" w:lineRule="auto"/>
                    <w:ind w:firstLine="0" w:firstLineChars="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1个月</w:t>
                  </w:r>
                </w:p>
              </w:tc>
            </w:tr>
            <w:tr w14:paraId="030A2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6" w:type="pct"/>
                  <w:vMerge w:val="continue"/>
                  <w:tcBorders>
                    <w:tl2br w:val="nil"/>
                    <w:tr2bl w:val="nil"/>
                  </w:tcBorders>
                  <w:noWrap w:val="0"/>
                  <w:vAlign w:val="center"/>
                </w:tcPr>
                <w:p w14:paraId="0D5EC0A0">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702" w:type="pct"/>
                  <w:tcBorders>
                    <w:tl2br w:val="nil"/>
                    <w:tr2bl w:val="nil"/>
                  </w:tcBorders>
                  <w:noWrap w:val="0"/>
                  <w:vAlign w:val="center"/>
                </w:tcPr>
                <w:p w14:paraId="19CE7796">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废机油</w:t>
                  </w:r>
                </w:p>
              </w:tc>
              <w:tc>
                <w:tcPr>
                  <w:tcW w:w="954" w:type="pct"/>
                  <w:tcBorders>
                    <w:tl2br w:val="nil"/>
                    <w:tr2bl w:val="nil"/>
                  </w:tcBorders>
                  <w:noWrap w:val="0"/>
                  <w:vAlign w:val="center"/>
                </w:tcPr>
                <w:p w14:paraId="5CCC5307">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HW08</w:t>
                  </w:r>
                </w:p>
                <w:p w14:paraId="0AD295BC">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 xml:space="preserve"> 废矿物油与含矿物油废物</w:t>
                  </w:r>
                </w:p>
              </w:tc>
              <w:tc>
                <w:tcPr>
                  <w:tcW w:w="614" w:type="pct"/>
                  <w:tcBorders>
                    <w:tl2br w:val="nil"/>
                    <w:tr2bl w:val="nil"/>
                  </w:tcBorders>
                  <w:noWrap w:val="0"/>
                  <w:vAlign w:val="center"/>
                </w:tcPr>
                <w:p w14:paraId="63ECACA6">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HW08</w:t>
                  </w:r>
                </w:p>
                <w:p w14:paraId="050CEAB9">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900-214-08</w:t>
                  </w:r>
                </w:p>
              </w:tc>
              <w:tc>
                <w:tcPr>
                  <w:tcW w:w="312" w:type="pct"/>
                  <w:vMerge w:val="continue"/>
                  <w:tcBorders>
                    <w:tl2br w:val="nil"/>
                    <w:tr2bl w:val="nil"/>
                  </w:tcBorders>
                  <w:noWrap w:val="0"/>
                  <w:vAlign w:val="center"/>
                </w:tcPr>
                <w:p w14:paraId="1200162A">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461" w:type="pct"/>
                  <w:vMerge w:val="continue"/>
                  <w:tcBorders>
                    <w:tl2br w:val="nil"/>
                    <w:tr2bl w:val="nil"/>
                  </w:tcBorders>
                  <w:noWrap w:val="0"/>
                  <w:vAlign w:val="center"/>
                </w:tcPr>
                <w:p w14:paraId="5A8BFA00">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478" w:type="pct"/>
                  <w:tcBorders>
                    <w:tl2br w:val="nil"/>
                    <w:tr2bl w:val="nil"/>
                  </w:tcBorders>
                  <w:noWrap w:val="0"/>
                  <w:vAlign w:val="center"/>
                </w:tcPr>
                <w:p w14:paraId="03A64E93">
                  <w:pPr>
                    <w:autoSpaceDN/>
                    <w:adjustRightInd w:val="0"/>
                    <w:spacing w:line="240" w:lineRule="auto"/>
                    <w:ind w:firstLine="0" w:firstLineChars="0"/>
                    <w:jc w:val="center"/>
                    <w:rPr>
                      <w:rFonts w:hint="eastAsia"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rPr>
                    <w:t>密封桶装</w:t>
                  </w:r>
                </w:p>
              </w:tc>
              <w:tc>
                <w:tcPr>
                  <w:tcW w:w="419" w:type="pct"/>
                  <w:tcBorders>
                    <w:tl2br w:val="nil"/>
                    <w:tr2bl w:val="nil"/>
                  </w:tcBorders>
                  <w:noWrap w:val="0"/>
                  <w:vAlign w:val="center"/>
                </w:tcPr>
                <w:p w14:paraId="63F4CFC2">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sz w:val="21"/>
                      <w:szCs w:val="21"/>
                      <w:lang w:val="en-US" w:eastAsia="zh-CN"/>
                    </w:rPr>
                    <w:t>1</w:t>
                  </w:r>
                  <w:r>
                    <w:rPr>
                      <w:rFonts w:hint="default" w:ascii="Times New Roman" w:hAnsi="Times New Roman" w:cs="Times New Roman"/>
                      <w:color w:val="auto"/>
                      <w:sz w:val="21"/>
                      <w:szCs w:val="21"/>
                    </w:rPr>
                    <w:t>t</w:t>
                  </w:r>
                </w:p>
              </w:tc>
              <w:tc>
                <w:tcPr>
                  <w:tcW w:w="429" w:type="pct"/>
                  <w:tcBorders>
                    <w:tl2br w:val="nil"/>
                    <w:tr2bl w:val="nil"/>
                  </w:tcBorders>
                  <w:noWrap w:val="0"/>
                  <w:vAlign w:val="center"/>
                </w:tcPr>
                <w:p w14:paraId="39563774">
                  <w:pPr>
                    <w:autoSpaceDN/>
                    <w:adjustRightInd w:val="0"/>
                    <w:spacing w:line="240" w:lineRule="auto"/>
                    <w:ind w:firstLine="0" w:firstLineChars="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1个月</w:t>
                  </w:r>
                </w:p>
              </w:tc>
            </w:tr>
            <w:tr w14:paraId="13143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6" w:type="pct"/>
                  <w:vMerge w:val="continue"/>
                  <w:noWrap w:val="0"/>
                  <w:vAlign w:val="top"/>
                </w:tcPr>
                <w:p w14:paraId="4C248883">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702" w:type="pct"/>
                  <w:noWrap w:val="0"/>
                  <w:vAlign w:val="center"/>
                </w:tcPr>
                <w:p w14:paraId="74866DA3">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spacing w:val="-12"/>
                      <w:sz w:val="21"/>
                      <w:szCs w:val="21"/>
                    </w:rPr>
                    <w:t>废机油桶</w:t>
                  </w:r>
                </w:p>
              </w:tc>
              <w:tc>
                <w:tcPr>
                  <w:tcW w:w="954" w:type="pct"/>
                  <w:noWrap w:val="0"/>
                  <w:vAlign w:val="center"/>
                </w:tcPr>
                <w:p w14:paraId="59A492D7">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HW08</w:t>
                  </w:r>
                </w:p>
                <w:p w14:paraId="5BD85D5E">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 xml:space="preserve"> 废矿物油与含矿物油废物</w:t>
                  </w:r>
                </w:p>
              </w:tc>
              <w:tc>
                <w:tcPr>
                  <w:tcW w:w="614" w:type="pct"/>
                  <w:noWrap w:val="0"/>
                  <w:vAlign w:val="center"/>
                </w:tcPr>
                <w:p w14:paraId="0C7D44C9">
                  <w:pPr>
                    <w:pStyle w:val="115"/>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HW08</w:t>
                  </w:r>
                </w:p>
                <w:p w14:paraId="1B2CE676">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w:t>
                  </w:r>
                  <w:r>
                    <w:rPr>
                      <w:rFonts w:hint="default" w:ascii="Times New Roman" w:hAnsi="Times New Roman" w:eastAsia="宋体" w:cs="Times New Roman"/>
                      <w:b w:val="0"/>
                      <w:bCs w:val="0"/>
                      <w:color w:val="auto"/>
                      <w:kern w:val="2"/>
                      <w:sz w:val="21"/>
                      <w:szCs w:val="21"/>
                      <w:lang w:val="en-US" w:eastAsia="zh-CN"/>
                    </w:rPr>
                    <w:t>249</w:t>
                  </w:r>
                  <w:r>
                    <w:rPr>
                      <w:rFonts w:hint="default" w:ascii="Times New Roman" w:hAnsi="Times New Roman" w:eastAsia="宋体" w:cs="Times New Roman"/>
                      <w:b w:val="0"/>
                      <w:bCs w:val="0"/>
                      <w:color w:val="auto"/>
                      <w:kern w:val="2"/>
                      <w:sz w:val="21"/>
                      <w:szCs w:val="21"/>
                    </w:rPr>
                    <w:t>-08</w:t>
                  </w:r>
                </w:p>
              </w:tc>
              <w:tc>
                <w:tcPr>
                  <w:tcW w:w="312" w:type="pct"/>
                  <w:vMerge w:val="continue"/>
                  <w:noWrap w:val="0"/>
                  <w:vAlign w:val="top"/>
                </w:tcPr>
                <w:p w14:paraId="7481805B">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461" w:type="pct"/>
                  <w:vMerge w:val="continue"/>
                  <w:noWrap w:val="0"/>
                  <w:vAlign w:val="top"/>
                </w:tcPr>
                <w:p w14:paraId="66F9D3D8">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478" w:type="pct"/>
                  <w:noWrap w:val="0"/>
                  <w:vAlign w:val="center"/>
                </w:tcPr>
                <w:p w14:paraId="752A7FA4">
                  <w:pPr>
                    <w:autoSpaceDN/>
                    <w:adjustRightInd w:val="0"/>
                    <w:spacing w:line="240" w:lineRule="auto"/>
                    <w:ind w:firstLine="0" w:firstLineChars="0"/>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密封桶装</w:t>
                  </w:r>
                </w:p>
              </w:tc>
              <w:tc>
                <w:tcPr>
                  <w:tcW w:w="419" w:type="pct"/>
                  <w:noWrap w:val="0"/>
                  <w:vAlign w:val="center"/>
                </w:tcPr>
                <w:p w14:paraId="05F0F91D">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kern w:val="2"/>
                      <w:sz w:val="21"/>
                      <w:szCs w:val="21"/>
                      <w:lang w:val="en-US" w:eastAsia="zh-CN" w:bidi="ar-SA"/>
                    </w:rPr>
                    <w:t>0.1</w:t>
                  </w:r>
                  <w:r>
                    <w:rPr>
                      <w:rFonts w:hint="default" w:ascii="Times New Roman" w:hAnsi="Times New Roman" w:cs="Times New Roman"/>
                      <w:color w:val="auto"/>
                      <w:sz w:val="21"/>
                      <w:szCs w:val="21"/>
                    </w:rPr>
                    <w:t>t</w:t>
                  </w:r>
                </w:p>
              </w:tc>
              <w:tc>
                <w:tcPr>
                  <w:tcW w:w="429" w:type="pct"/>
                  <w:noWrap w:val="0"/>
                  <w:vAlign w:val="center"/>
                </w:tcPr>
                <w:p w14:paraId="559FDDAB">
                  <w:pPr>
                    <w:autoSpaceDN/>
                    <w:adjustRightInd w:val="0"/>
                    <w:spacing w:line="240" w:lineRule="auto"/>
                    <w:ind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1个月</w:t>
                  </w:r>
                </w:p>
              </w:tc>
            </w:tr>
            <w:tr w14:paraId="1C339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6" w:type="pct"/>
                  <w:vMerge w:val="continue"/>
                  <w:noWrap w:val="0"/>
                  <w:vAlign w:val="top"/>
                </w:tcPr>
                <w:p w14:paraId="524976D7">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702" w:type="pct"/>
                  <w:noWrap w:val="0"/>
                  <w:vAlign w:val="center"/>
                </w:tcPr>
                <w:p w14:paraId="289CECFB">
                  <w:pPr>
                    <w:pStyle w:val="115"/>
                    <w:rPr>
                      <w:rFonts w:hint="default" w:ascii="Times New Roman" w:hAnsi="Times New Roman" w:eastAsia="宋体" w:cs="Times New Roman"/>
                      <w:b w:val="0"/>
                      <w:bCs w:val="0"/>
                      <w:color w:val="auto"/>
                      <w:kern w:val="2"/>
                      <w:sz w:val="21"/>
                      <w:szCs w:val="21"/>
                      <w:lang w:val="en-US" w:eastAsia="zh-CN" w:bidi="ar-SA"/>
                    </w:rPr>
                  </w:pPr>
                  <w:r>
                    <w:rPr>
                      <w:rFonts w:hint="eastAsia" w:cs="Times New Roman"/>
                      <w:b w:val="0"/>
                      <w:bCs w:val="0"/>
                      <w:color w:val="auto"/>
                      <w:spacing w:val="-12"/>
                      <w:sz w:val="21"/>
                      <w:szCs w:val="21"/>
                      <w:lang w:val="en-US" w:eastAsia="zh-CN"/>
                    </w:rPr>
                    <w:t>废靶材</w:t>
                  </w:r>
                </w:p>
              </w:tc>
              <w:tc>
                <w:tcPr>
                  <w:tcW w:w="954" w:type="pct"/>
                  <w:noWrap w:val="0"/>
                  <w:vAlign w:val="center"/>
                </w:tcPr>
                <w:p w14:paraId="0D2710F1">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HW49 其他废物</w:t>
                  </w:r>
                </w:p>
              </w:tc>
              <w:tc>
                <w:tcPr>
                  <w:tcW w:w="614" w:type="pct"/>
                  <w:noWrap w:val="0"/>
                  <w:vAlign w:val="center"/>
                </w:tcPr>
                <w:p w14:paraId="301EDE43">
                  <w:pPr>
                    <w:pStyle w:val="115"/>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rPr>
                    <w:t>HW</w:t>
                  </w:r>
                  <w:r>
                    <w:rPr>
                      <w:rFonts w:hint="eastAsia" w:ascii="Times New Roman" w:hAnsi="Times New Roman" w:eastAsia="宋体" w:cs="Times New Roman"/>
                      <w:b w:val="0"/>
                      <w:bCs w:val="0"/>
                      <w:color w:val="auto"/>
                      <w:kern w:val="2"/>
                      <w:sz w:val="21"/>
                      <w:szCs w:val="21"/>
                      <w:lang w:val="en-US" w:eastAsia="zh-CN"/>
                    </w:rPr>
                    <w:t>49</w:t>
                  </w:r>
                </w:p>
                <w:p w14:paraId="64DA9766">
                  <w:pPr>
                    <w:pStyle w:val="115"/>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rPr>
                    <w:t>900-</w:t>
                  </w:r>
                  <w:r>
                    <w:rPr>
                      <w:rFonts w:hint="eastAsia" w:ascii="Times New Roman" w:hAnsi="Times New Roman" w:eastAsia="宋体" w:cs="Times New Roman"/>
                      <w:b w:val="0"/>
                      <w:bCs w:val="0"/>
                      <w:color w:val="auto"/>
                      <w:kern w:val="2"/>
                      <w:sz w:val="21"/>
                      <w:szCs w:val="21"/>
                      <w:lang w:val="en-US" w:eastAsia="zh-CN"/>
                    </w:rPr>
                    <w:t>99</w:t>
                  </w:r>
                  <w:r>
                    <w:rPr>
                      <w:rFonts w:hint="default" w:ascii="Times New Roman" w:hAnsi="Times New Roman" w:eastAsia="宋体" w:cs="Times New Roman"/>
                      <w:b w:val="0"/>
                      <w:bCs w:val="0"/>
                      <w:color w:val="auto"/>
                      <w:kern w:val="2"/>
                      <w:sz w:val="21"/>
                      <w:szCs w:val="21"/>
                      <w:lang w:val="en-US" w:eastAsia="zh-CN"/>
                    </w:rPr>
                    <w:t>9</w:t>
                  </w:r>
                  <w:r>
                    <w:rPr>
                      <w:rFonts w:hint="default" w:ascii="Times New Roman" w:hAnsi="Times New Roman" w:eastAsia="宋体" w:cs="Times New Roman"/>
                      <w:b w:val="0"/>
                      <w:bCs w:val="0"/>
                      <w:color w:val="auto"/>
                      <w:kern w:val="2"/>
                      <w:sz w:val="21"/>
                      <w:szCs w:val="21"/>
                    </w:rPr>
                    <w:t>-</w:t>
                  </w:r>
                  <w:r>
                    <w:rPr>
                      <w:rFonts w:hint="eastAsia" w:ascii="Times New Roman" w:hAnsi="Times New Roman" w:eastAsia="宋体" w:cs="Times New Roman"/>
                      <w:b w:val="0"/>
                      <w:bCs w:val="0"/>
                      <w:color w:val="auto"/>
                      <w:kern w:val="2"/>
                      <w:sz w:val="21"/>
                      <w:szCs w:val="21"/>
                      <w:lang w:val="en-US" w:eastAsia="zh-CN"/>
                    </w:rPr>
                    <w:t>49</w:t>
                  </w:r>
                </w:p>
              </w:tc>
              <w:tc>
                <w:tcPr>
                  <w:tcW w:w="312" w:type="pct"/>
                  <w:vMerge w:val="continue"/>
                  <w:noWrap w:val="0"/>
                  <w:vAlign w:val="top"/>
                </w:tcPr>
                <w:p w14:paraId="052C86C6">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461" w:type="pct"/>
                  <w:vMerge w:val="continue"/>
                  <w:noWrap w:val="0"/>
                  <w:vAlign w:val="top"/>
                </w:tcPr>
                <w:p w14:paraId="379AC5A2">
                  <w:pPr>
                    <w:autoSpaceDN/>
                    <w:adjustRightInd w:val="0"/>
                    <w:spacing w:line="240" w:lineRule="auto"/>
                    <w:ind w:firstLine="0" w:firstLineChars="0"/>
                    <w:jc w:val="center"/>
                    <w:rPr>
                      <w:rFonts w:hint="default" w:ascii="Times New Roman" w:hAnsi="Times New Roman" w:cs="Times New Roman"/>
                      <w:color w:val="auto"/>
                      <w:sz w:val="21"/>
                      <w:szCs w:val="21"/>
                    </w:rPr>
                  </w:pPr>
                </w:p>
              </w:tc>
              <w:tc>
                <w:tcPr>
                  <w:tcW w:w="478" w:type="pct"/>
                  <w:noWrap w:val="0"/>
                  <w:vAlign w:val="center"/>
                </w:tcPr>
                <w:p w14:paraId="61FFA585">
                  <w:pPr>
                    <w:autoSpaceDN/>
                    <w:adjustRightInd w:val="0"/>
                    <w:spacing w:line="240" w:lineRule="auto"/>
                    <w:ind w:firstLine="0" w:firstLineChars="0"/>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密封</w:t>
                  </w:r>
                  <w:r>
                    <w:rPr>
                      <w:rFonts w:hint="eastAsia" w:ascii="Times New Roman" w:hAnsi="Times New Roman" w:cs="Times New Roman"/>
                      <w:color w:val="auto"/>
                      <w:sz w:val="21"/>
                      <w:szCs w:val="21"/>
                      <w:lang w:val="en-US" w:eastAsia="zh-CN"/>
                    </w:rPr>
                    <w:t>袋</w:t>
                  </w:r>
                  <w:r>
                    <w:rPr>
                      <w:rFonts w:hint="default" w:ascii="Times New Roman" w:hAnsi="Times New Roman" w:cs="Times New Roman"/>
                      <w:color w:val="auto"/>
                      <w:sz w:val="21"/>
                      <w:szCs w:val="21"/>
                    </w:rPr>
                    <w:t>装</w:t>
                  </w:r>
                </w:p>
              </w:tc>
              <w:tc>
                <w:tcPr>
                  <w:tcW w:w="419" w:type="pct"/>
                  <w:noWrap w:val="0"/>
                  <w:vAlign w:val="center"/>
                </w:tcPr>
                <w:p w14:paraId="1402DA6C">
                  <w:pPr>
                    <w:pStyle w:val="100"/>
                    <w:keepNext w:val="0"/>
                    <w:keepLines w:val="0"/>
                    <w:pageBreakBefore w:val="0"/>
                    <w:kinsoku/>
                    <w:wordWrap/>
                    <w:overflowPunct/>
                    <w:topLinePunct w:val="0"/>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b w:val="0"/>
                      <w:bCs w:val="0"/>
                      <w:color w:val="auto"/>
                      <w:kern w:val="2"/>
                      <w:sz w:val="21"/>
                      <w:szCs w:val="21"/>
                      <w:lang w:val="en-US" w:eastAsia="zh-CN" w:bidi="ar-SA"/>
                    </w:rPr>
                    <w:t>0.1</w:t>
                  </w:r>
                  <w:r>
                    <w:rPr>
                      <w:rFonts w:hint="default" w:ascii="Times New Roman" w:hAnsi="Times New Roman" w:cs="Times New Roman"/>
                      <w:color w:val="auto"/>
                      <w:sz w:val="21"/>
                      <w:szCs w:val="21"/>
                    </w:rPr>
                    <w:t>t</w:t>
                  </w:r>
                </w:p>
              </w:tc>
              <w:tc>
                <w:tcPr>
                  <w:tcW w:w="429" w:type="pct"/>
                  <w:noWrap w:val="0"/>
                  <w:vAlign w:val="center"/>
                </w:tcPr>
                <w:p w14:paraId="049FB970">
                  <w:pPr>
                    <w:autoSpaceDN/>
                    <w:adjustRightInd w:val="0"/>
                    <w:spacing w:line="240" w:lineRule="auto"/>
                    <w:ind w:firstLine="0" w:firstLineChars="0"/>
                    <w:jc w:val="center"/>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lang w:val="en-US" w:eastAsia="zh-CN"/>
                    </w:rPr>
                    <w:t>1个月</w:t>
                  </w:r>
                </w:p>
              </w:tc>
            </w:tr>
          </w:tbl>
          <w:p w14:paraId="167D88DC">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0" w:firstLineChars="200"/>
              <w:textAlignment w:val="auto"/>
              <w:rPr>
                <w:rFonts w:hint="default"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危险废物贮存污染控制标准要求如下：</w:t>
            </w:r>
          </w:p>
          <w:p w14:paraId="11EA690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A.贮存设施污染控制要求</w:t>
            </w:r>
          </w:p>
          <w:p w14:paraId="2122FE7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①贮存设施应根据危险废物的形态、物理化学性质、包装形式和污染物迁移途径，采取必要的防风、防晒、防雨、防漏、防渗、防腐以及其他环境污染防治措施，不应露天堆放危险废物。</w:t>
            </w:r>
          </w:p>
          <w:p w14:paraId="12A2E34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②贮存设施应根据危险废物的类别、数量、形态、物理化学性质和污染防治等要求设置必要的贮存分区，避免不相容的危险废物接触、混合。</w:t>
            </w:r>
          </w:p>
          <w:p w14:paraId="02AA05E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③贮存设施或贮存分区内地面、墙面</w:t>
            </w:r>
            <w:r>
              <w:rPr>
                <w:rFonts w:hint="eastAsia" w:ascii="Times New Roman" w:hAnsi="Times New Roman" w:eastAsia="宋体" w:cs="Times New Roman"/>
                <w:b w:val="0"/>
                <w:bCs w:val="0"/>
                <w:color w:val="auto"/>
                <w:sz w:val="24"/>
                <w:szCs w:val="24"/>
                <w:u w:val="none"/>
                <w:lang w:eastAsia="zh-CN"/>
              </w:rPr>
              <w:t>裙角</w:t>
            </w:r>
            <w:r>
              <w:rPr>
                <w:rFonts w:hint="default" w:ascii="Times New Roman" w:hAnsi="Times New Roman" w:eastAsia="宋体" w:cs="Times New Roman"/>
                <w:b w:val="0"/>
                <w:bCs w:val="0"/>
                <w:color w:val="auto"/>
                <w:sz w:val="24"/>
                <w:szCs w:val="24"/>
                <w:u w:val="none"/>
              </w:rPr>
              <w:t>、堵截泄漏的围堰、接触危险废物的隔板和墙体等应采用坚固的材料建造，表面无裂缝。</w:t>
            </w:r>
          </w:p>
          <w:p w14:paraId="1BB4B2E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④贮存设施地面与裙脚应采取表面防渗措施；表面防渗材料应与所接触的物料或污染物相容，可采用抗渗混凝土、高密度聚乙烯膜、钠基膨润土防水毯或其他防渗性能等效的材料。贮存的危险废物直接接触地面的，还应进行基础防渗，防渗层为至少1m厚黏土层（渗透系数不大于10</w:t>
            </w:r>
            <w:r>
              <w:rPr>
                <w:rFonts w:hint="eastAsia" w:ascii="Times New Roman" w:hAnsi="Times New Roman" w:eastAsia="宋体" w:cs="Times New Roman"/>
                <w:b w:val="0"/>
                <w:bCs w:val="0"/>
                <w:color w:val="auto"/>
                <w:sz w:val="24"/>
                <w:szCs w:val="24"/>
                <w:u w:val="none"/>
                <w:vertAlign w:val="superscript"/>
                <w:lang w:val="en-US" w:eastAsia="zh-CN"/>
              </w:rPr>
              <w:t>-7</w:t>
            </w:r>
            <w:r>
              <w:rPr>
                <w:rFonts w:hint="default" w:ascii="Times New Roman" w:hAnsi="Times New Roman" w:eastAsia="宋体" w:cs="Times New Roman"/>
                <w:b w:val="0"/>
                <w:bCs w:val="0"/>
                <w:color w:val="auto"/>
                <w:sz w:val="24"/>
                <w:szCs w:val="24"/>
                <w:u w:val="none"/>
              </w:rPr>
              <w:t>cm/s），或至少2mm厚高密度聚乙烯膜等人工防渗材料（渗透系数不大于10</w:t>
            </w:r>
            <w:r>
              <w:rPr>
                <w:rFonts w:hint="eastAsia" w:ascii="Times New Roman" w:hAnsi="Times New Roman" w:eastAsia="宋体" w:cs="Times New Roman"/>
                <w:b w:val="0"/>
                <w:bCs w:val="0"/>
                <w:color w:val="auto"/>
                <w:sz w:val="24"/>
                <w:szCs w:val="24"/>
                <w:u w:val="none"/>
                <w:vertAlign w:val="superscript"/>
                <w:lang w:val="en-US" w:eastAsia="zh-CN"/>
              </w:rPr>
              <w:t>-10</w:t>
            </w:r>
            <w:r>
              <w:rPr>
                <w:rFonts w:hint="default" w:ascii="Times New Roman" w:hAnsi="Times New Roman" w:eastAsia="宋体" w:cs="Times New Roman"/>
                <w:b w:val="0"/>
                <w:bCs w:val="0"/>
                <w:color w:val="auto"/>
                <w:sz w:val="24"/>
                <w:szCs w:val="24"/>
                <w:u w:val="none"/>
              </w:rPr>
              <w:t>cm/s），或其他防渗性能等效的材料。</w:t>
            </w:r>
          </w:p>
          <w:p w14:paraId="00FD5F0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⑤同一贮存设施宜采用相同的防渗、防腐工艺（包括防渗、防腐结构或材料），防渗、防腐材料应覆盖所有可能与废物及其渗滤液、渗漏液等接触的构筑物表面；采用不同防渗、防腐工艺应分别建设贮存分区。</w:t>
            </w:r>
          </w:p>
          <w:p w14:paraId="1C52A06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⑥贮存设施应采取技术和管理措施防止无关人员进入。</w:t>
            </w:r>
          </w:p>
          <w:p w14:paraId="122CF44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⑦贮存库内不同贮存分区之间应采取隔离措施。隔离措施可根据危险废物特性采用过道、隔板或隔墙等方式。</w:t>
            </w:r>
          </w:p>
          <w:p w14:paraId="429B477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⑧在贮存库内或通过贮存分区方式贮存液态危险废物的，应具有液体泄漏堵截设施，堵截设施最小容积不应低于对应贮存区域最大液态废物容器容积或液态废物总储量1/10（二者取较大者）；用于贮存可能产生渗滤液的危险废物的贮存库或贮存分区应设计渗滤液收集设施，收集设施容积应满足渗滤液的收集要求。</w:t>
            </w:r>
          </w:p>
          <w:p w14:paraId="2C563FF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⑨本项目危废暂存间废气就近引入本项目设置的两级活性炭吸附装置处理装置，处理后经1根15m高排气筒排放。</w:t>
            </w:r>
          </w:p>
          <w:p w14:paraId="06E2B6D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B.容器和包装物污染控制要求</w:t>
            </w:r>
          </w:p>
          <w:p w14:paraId="5CE5795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①容器和包装物材质、内衬应与盛装的危险废物相容。</w:t>
            </w:r>
          </w:p>
          <w:p w14:paraId="497F83C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②针对不同类别、形态、物理化学性质的危险废物，其容器和包装物应满足相应的防渗、防漏、防腐和强度等要求。</w:t>
            </w:r>
          </w:p>
          <w:p w14:paraId="1317C02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③硬质容器和包装物及其支护结构堆叠码放时不应有明显变形，无破损泄漏。</w:t>
            </w:r>
          </w:p>
          <w:p w14:paraId="2DDFCCF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④柔性容器和包装物堆叠码放时应封口严密，无破损泄漏。</w:t>
            </w:r>
          </w:p>
          <w:p w14:paraId="10B6B9B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⑤使用容器盛装液态、半固态危险废物时，容器内部应留有适当的空间，以适应因温度变化等可能引发的收缩和膨胀，防止其导致容器渗漏或永久变形。</w:t>
            </w:r>
          </w:p>
          <w:p w14:paraId="2575AA3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⑥容器和包装物外表面应保持清洁。</w:t>
            </w:r>
          </w:p>
          <w:p w14:paraId="667B029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eastAsia" w:ascii="Times New Roman" w:hAnsi="Times New Roman" w:eastAsia="宋体" w:cs="Times New Roman"/>
                <w:b w:val="0"/>
                <w:bCs w:val="0"/>
                <w:color w:val="auto"/>
                <w:sz w:val="24"/>
                <w:szCs w:val="24"/>
                <w:u w:val="none"/>
                <w:lang w:val="en-US" w:eastAsia="zh-CN"/>
              </w:rPr>
              <w:t>C</w:t>
            </w:r>
            <w:r>
              <w:rPr>
                <w:rFonts w:hint="default" w:ascii="Times New Roman" w:hAnsi="Times New Roman" w:eastAsia="宋体" w:cs="Times New Roman"/>
                <w:b w:val="0"/>
                <w:bCs w:val="0"/>
                <w:color w:val="auto"/>
                <w:sz w:val="24"/>
                <w:szCs w:val="24"/>
                <w:u w:val="none"/>
              </w:rPr>
              <w:t>贮存过程污染控制要求</w:t>
            </w:r>
          </w:p>
          <w:p w14:paraId="2F62F11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C.1贮存设施运行环境管理要求</w:t>
            </w:r>
          </w:p>
          <w:p w14:paraId="7255F18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①危险废物存入贮存设施前应对危险废物类别和特性与危险废物标签等危险废物识别标志的一致性进行核验，不一致的或类别、特性不明的不应存入。</w:t>
            </w:r>
          </w:p>
          <w:p w14:paraId="77AF7A6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②应定期检查危险废物的贮存状况，及时清理贮存设施地面，更换破损泄漏的危险废物贮存容器和包装物，保证堆存危险废物的防雨、防风、防扬尘等设施功能完好。</w:t>
            </w:r>
          </w:p>
          <w:p w14:paraId="50B2E2D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③作业设备及车辆等结束作业离开贮存设施时，应对其残留的危险废物进行清理，清理的废物或清洗废水应收集处理。</w:t>
            </w:r>
          </w:p>
          <w:p w14:paraId="2CB0BD8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④贮存设施运行期间，应按国家有关标准和规定建立危险废物管理台账并保存。</w:t>
            </w:r>
          </w:p>
          <w:p w14:paraId="4E362CB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⑤贮存设施所有者或运营者应建立贮存设施环境管理制度、管理人员岗位职责制度、设施运行操作制度、人员岗位培训制度等。</w:t>
            </w:r>
          </w:p>
          <w:p w14:paraId="09A1BDD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⑥贮存设施所有者或运营者应依据国家土壤和地下水污染防治的有关规定，结合贮存设施特点建立土壤和地下水污染隐患排查制度，并定期开展隐患排查；发现隐患应及时采取措施消除隐患，并建立档案。</w:t>
            </w:r>
          </w:p>
          <w:p w14:paraId="5849FF8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⑦贮存设施所有者或运营者应建立贮存设施全部档案，包括设计、施工、验收、运行、监测和环境应急等，应按国家有关档案管理的法律法规进行整理和归档。</w:t>
            </w:r>
          </w:p>
          <w:p w14:paraId="387DBAE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C.2贮存点环境管理要求</w:t>
            </w:r>
          </w:p>
          <w:p w14:paraId="14CB754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①贮存点应具有固定的区域边界，并应采取与其他区域进行隔离的措施。</w:t>
            </w:r>
          </w:p>
          <w:p w14:paraId="6AE1A2E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②贮存点应采取防风、防雨、防晒和防止危险废物流失、扬散等措施。</w:t>
            </w:r>
          </w:p>
          <w:p w14:paraId="4C345F1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③贮存点贮存的危险废物应置于容器或包装物中，不应直接散堆。</w:t>
            </w:r>
          </w:p>
          <w:p w14:paraId="6E1ACB3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④贮存点应根据危险废物的形态、物理化学性质、包装形式等，采取防渗、防漏等污染防治措施或采用具有相应功能的装置。</w:t>
            </w:r>
          </w:p>
          <w:p w14:paraId="654E015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szCs w:val="24"/>
                <w:u w:val="none"/>
                <w:lang w:val="en-US" w:eastAsia="zh-CN"/>
              </w:rPr>
            </w:pPr>
            <w:r>
              <w:rPr>
                <w:rFonts w:hint="eastAsia" w:ascii="Times New Roman" w:hAnsi="Times New Roman" w:eastAsia="宋体" w:cs="Times New Roman"/>
                <w:b w:val="0"/>
                <w:bCs w:val="0"/>
                <w:color w:val="auto"/>
                <w:sz w:val="24"/>
                <w:szCs w:val="24"/>
                <w:u w:val="none"/>
                <w:lang w:val="en-US" w:eastAsia="zh-CN"/>
              </w:rPr>
              <w:t>⑤贮存点应及时清运贮存的危险废物，实时贮存量不应超过3吨。</w:t>
            </w:r>
          </w:p>
          <w:p w14:paraId="58A3792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lang w:val="en-US"/>
              </w:rPr>
            </w:pPr>
            <w:r>
              <w:rPr>
                <w:rFonts w:hint="eastAsia" w:ascii="Times New Roman" w:hAnsi="Times New Roman" w:eastAsia="宋体" w:cs="Times New Roman"/>
                <w:b w:val="0"/>
                <w:bCs w:val="0"/>
                <w:color w:val="auto"/>
                <w:sz w:val="24"/>
                <w:szCs w:val="24"/>
                <w:u w:val="none"/>
                <w:lang w:val="en-US" w:eastAsia="zh-CN"/>
              </w:rPr>
              <w:t>D.环境应急要求</w:t>
            </w:r>
          </w:p>
          <w:p w14:paraId="28BBCF8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①贮存设施所有者或运营者应按照国家有关规定编制突发环境事件应急预案，定期开展必要的培训和环境应急演练，并做好培训、演练记录。</w:t>
            </w:r>
          </w:p>
          <w:p w14:paraId="3B0E53A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②贮存设施所有者或运营者应配备</w:t>
            </w:r>
            <w:r>
              <w:rPr>
                <w:rFonts w:hint="eastAsia" w:ascii="Times New Roman" w:hAnsi="Times New Roman" w:eastAsia="宋体" w:cs="Times New Roman"/>
                <w:b w:val="0"/>
                <w:bCs w:val="0"/>
                <w:color w:val="auto"/>
                <w:sz w:val="24"/>
                <w:szCs w:val="24"/>
                <w:u w:val="none"/>
                <w:lang w:eastAsia="zh-CN"/>
              </w:rPr>
              <w:t>满足</w:t>
            </w:r>
            <w:r>
              <w:rPr>
                <w:rFonts w:hint="default" w:ascii="Times New Roman" w:hAnsi="Times New Roman" w:eastAsia="宋体" w:cs="Times New Roman"/>
                <w:b w:val="0"/>
                <w:bCs w:val="0"/>
                <w:color w:val="auto"/>
                <w:sz w:val="24"/>
                <w:szCs w:val="24"/>
                <w:u w:val="none"/>
              </w:rPr>
              <w:t>突发环境事件应急要求的应急人员、装备和物资，并应设置应急照明系统。</w:t>
            </w:r>
          </w:p>
          <w:p w14:paraId="37C551E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u w:val="none"/>
              </w:rPr>
            </w:pPr>
            <w:r>
              <w:rPr>
                <w:rFonts w:hint="default" w:ascii="Times New Roman" w:hAnsi="Times New Roman" w:eastAsia="宋体" w:cs="Times New Roman"/>
                <w:b w:val="0"/>
                <w:bCs w:val="0"/>
                <w:color w:val="auto"/>
                <w:sz w:val="24"/>
                <w:szCs w:val="24"/>
                <w:u w:val="none"/>
              </w:rPr>
              <w:t>③相关部门发布自然灾害或恶劣天气预警后，贮存设施所有者或运营者应启动相应防控措施，若有必要可将危险废物转移至其他具有防护条件的地点贮存。</w:t>
            </w:r>
          </w:p>
          <w:p w14:paraId="4A368F6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b w:val="0"/>
                <w:bCs w:val="0"/>
                <w:color w:val="auto"/>
                <w:sz w:val="24"/>
                <w:u w:val="none"/>
                <w:lang w:eastAsia="zh-CN"/>
              </w:rPr>
            </w:pPr>
            <w:r>
              <w:rPr>
                <w:rFonts w:hint="default" w:ascii="Times New Roman" w:hAnsi="Times New Roman" w:eastAsia="宋体" w:cs="Times New Roman"/>
                <w:b w:val="0"/>
                <w:bCs w:val="0"/>
                <w:color w:val="auto"/>
                <w:sz w:val="24"/>
                <w:szCs w:val="24"/>
                <w:u w:val="none"/>
              </w:rPr>
              <w:t>综上所述，项目危险废物管理满足标准要求，不会对环境造成二次污染</w:t>
            </w:r>
            <w:r>
              <w:rPr>
                <w:rFonts w:hint="eastAsia" w:ascii="Times New Roman" w:hAnsi="Times New Roman" w:eastAsia="宋体" w:cs="Times New Roman"/>
                <w:b w:val="0"/>
                <w:bCs w:val="0"/>
                <w:color w:val="auto"/>
                <w:sz w:val="24"/>
                <w:szCs w:val="24"/>
                <w:u w:val="none"/>
                <w:lang w:eastAsia="zh-CN"/>
              </w:rPr>
              <w:t>。</w:t>
            </w:r>
          </w:p>
          <w:p w14:paraId="7614812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sz w:val="24"/>
                <w:szCs w:val="24"/>
                <w:u w:val="none"/>
              </w:rPr>
            </w:pPr>
            <w:r>
              <w:rPr>
                <w:rFonts w:hint="eastAsia" w:ascii="Times New Roman" w:hAnsi="Times New Roman" w:eastAsia="宋体" w:cs="Times New Roman"/>
                <w:b w:val="0"/>
                <w:bCs w:val="0"/>
                <w:color w:val="auto"/>
                <w:sz w:val="24"/>
                <w:u w:val="none"/>
                <w:lang w:eastAsia="zh-CN"/>
              </w:rPr>
              <w:t>（</w:t>
            </w:r>
            <w:r>
              <w:rPr>
                <w:rFonts w:hint="eastAsia" w:ascii="Times New Roman" w:hAnsi="Times New Roman" w:eastAsia="宋体" w:cs="Times New Roman"/>
                <w:b w:val="0"/>
                <w:bCs w:val="0"/>
                <w:color w:val="auto"/>
                <w:sz w:val="24"/>
                <w:u w:val="none"/>
                <w:lang w:val="en-US" w:eastAsia="zh-CN"/>
              </w:rPr>
              <w:t>3</w:t>
            </w:r>
            <w:r>
              <w:rPr>
                <w:rFonts w:hint="eastAsia" w:ascii="Times New Roman" w:hAnsi="Times New Roman" w:eastAsia="宋体" w:cs="Times New Roman"/>
                <w:b w:val="0"/>
                <w:bCs w:val="0"/>
                <w:color w:val="auto"/>
                <w:sz w:val="24"/>
                <w:u w:val="none"/>
                <w:lang w:eastAsia="zh-CN"/>
              </w:rPr>
              <w:t>）</w:t>
            </w:r>
            <w:r>
              <w:rPr>
                <w:rFonts w:hint="default" w:ascii="Times New Roman" w:hAnsi="Times New Roman" w:eastAsia="宋体" w:cs="Times New Roman"/>
                <w:b w:val="0"/>
                <w:bCs w:val="0"/>
                <w:sz w:val="24"/>
                <w:szCs w:val="24"/>
                <w:u w:val="none"/>
              </w:rPr>
              <w:t>生活垃圾</w:t>
            </w:r>
          </w:p>
          <w:p w14:paraId="22F10A4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sz w:val="24"/>
                <w:szCs w:val="24"/>
                <w:u w:val="none"/>
              </w:rPr>
            </w:pPr>
            <w:r>
              <w:rPr>
                <w:rFonts w:hint="default" w:ascii="Times New Roman" w:hAnsi="Times New Roman" w:eastAsia="宋体" w:cs="Times New Roman"/>
                <w:b w:val="0"/>
                <w:bCs w:val="0"/>
                <w:sz w:val="24"/>
                <w:szCs w:val="24"/>
                <w:u w:val="none"/>
              </w:rPr>
              <w:t>项目设置垃圾收集箱，生活垃圾收集后由环卫部门清运至生活垃圾中转站。</w:t>
            </w:r>
          </w:p>
          <w:p w14:paraId="277E6403">
            <w:pPr>
              <w:pStyle w:val="96"/>
              <w:ind w:firstLine="480"/>
              <w:rPr>
                <w:rFonts w:hint="default" w:eastAsia="宋体"/>
                <w:b w:val="0"/>
                <w:bCs w:val="0"/>
                <w:color w:val="auto"/>
                <w:szCs w:val="24"/>
                <w:lang w:val="en-US" w:eastAsia="zh-CN"/>
              </w:rPr>
            </w:pPr>
            <w:r>
              <w:rPr>
                <w:rFonts w:hint="default" w:ascii="Times New Roman" w:hAnsi="Times New Roman" w:eastAsia="宋体" w:cs="Times New Roman"/>
                <w:b w:val="0"/>
                <w:bCs w:val="0"/>
                <w:sz w:val="24"/>
                <w:szCs w:val="24"/>
                <w:u w:val="none"/>
              </w:rPr>
              <w:t>综上所述，本项目营运期间产生的固废均得到合理处置和综合利用，对周边环境影响较小</w:t>
            </w:r>
            <w:r>
              <w:rPr>
                <w:rFonts w:hint="eastAsia"/>
                <w:b w:val="0"/>
                <w:bCs w:val="0"/>
                <w:color w:val="auto"/>
                <w:szCs w:val="24"/>
                <w:lang w:val="en-US" w:eastAsia="zh-CN"/>
              </w:rPr>
              <w:t>。</w:t>
            </w:r>
          </w:p>
          <w:p w14:paraId="7C00C5DD">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default" w:ascii="Times New Roman" w:hAnsi="Times New Roman" w:eastAsia="宋体" w:cs="Times New Roman"/>
                <w:b/>
                <w:bCs w:val="0"/>
                <w:spacing w:val="-7"/>
                <w:kern w:val="2"/>
                <w:sz w:val="24"/>
                <w:szCs w:val="24"/>
                <w:highlight w:val="none"/>
                <w:u w:val="none"/>
                <w:lang w:val="en-US" w:eastAsia="zh-CN" w:bidi="ar-SA"/>
              </w:rPr>
            </w:pPr>
            <w:r>
              <w:rPr>
                <w:rFonts w:hint="default" w:ascii="Times New Roman" w:hAnsi="Times New Roman" w:eastAsia="宋体" w:cs="Times New Roman"/>
                <w:b/>
                <w:bCs w:val="0"/>
                <w:spacing w:val="-7"/>
                <w:kern w:val="2"/>
                <w:sz w:val="24"/>
                <w:szCs w:val="24"/>
                <w:highlight w:val="none"/>
                <w:u w:val="none"/>
                <w:lang w:val="en-US" w:eastAsia="zh-CN" w:bidi="ar-SA"/>
              </w:rPr>
              <w:t>4.2环境管理要求</w:t>
            </w:r>
          </w:p>
          <w:p w14:paraId="605487B4">
            <w:pPr>
              <w:pStyle w:val="96"/>
              <w:ind w:firstLine="480"/>
              <w:rPr>
                <w:b w:val="0"/>
                <w:bCs w:val="0"/>
                <w:color w:val="auto"/>
              </w:rPr>
            </w:pPr>
            <w:r>
              <w:rPr>
                <w:b w:val="0"/>
                <w:bCs w:val="0"/>
                <w:color w:val="auto"/>
              </w:rPr>
              <w:t>（1）危险废物收集</w:t>
            </w:r>
          </w:p>
          <w:p w14:paraId="2EEB3AB9">
            <w:pPr>
              <w:pStyle w:val="96"/>
              <w:ind w:firstLine="480"/>
              <w:rPr>
                <w:b w:val="0"/>
                <w:bCs w:val="0"/>
                <w:color w:val="auto"/>
              </w:rPr>
            </w:pPr>
            <w:r>
              <w:rPr>
                <w:b w:val="0"/>
                <w:bCs w:val="0"/>
                <w:color w:val="auto"/>
              </w:rPr>
              <w:t>项目危险废物的收集包括两个方面：一是在危险废物产生节点将危险废物集中到适当的包装容器中或车辆上的活动；二是将已包装或装到运输车辆上的危险废物集中到危险废物暂存仓库的内部转运。项目危险废物的收集须严格按照《危险废物收集贮存运输技术规范》（HJ2025-2012）的要求：</w:t>
            </w:r>
          </w:p>
          <w:p w14:paraId="26EFB20B">
            <w:pPr>
              <w:pStyle w:val="96"/>
              <w:ind w:firstLine="480"/>
              <w:rPr>
                <w:b w:val="0"/>
                <w:bCs w:val="0"/>
                <w:color w:val="auto"/>
              </w:rPr>
            </w:pPr>
            <w:r>
              <w:rPr>
                <w:b w:val="0"/>
                <w:bCs w:val="0"/>
                <w:color w:val="auto"/>
              </w:rPr>
              <w:fldChar w:fldCharType="begin"/>
            </w:r>
            <w:r>
              <w:rPr>
                <w:b w:val="0"/>
                <w:bCs w:val="0"/>
                <w:color w:val="auto"/>
              </w:rPr>
              <w:instrText xml:space="preserve"> = 1 \* GB3 </w:instrText>
            </w:r>
            <w:r>
              <w:rPr>
                <w:b w:val="0"/>
                <w:bCs w:val="0"/>
                <w:color w:val="auto"/>
              </w:rPr>
              <w:fldChar w:fldCharType="separate"/>
            </w:r>
            <w:r>
              <w:rPr>
                <w:rFonts w:hint="eastAsia" w:ascii="宋体" w:hAnsi="宋体" w:cs="宋体"/>
                <w:b w:val="0"/>
                <w:bCs w:val="0"/>
                <w:color w:val="auto"/>
              </w:rPr>
              <w:t>①</w:t>
            </w:r>
            <w:r>
              <w:rPr>
                <w:b w:val="0"/>
                <w:bCs w:val="0"/>
                <w:color w:val="auto"/>
              </w:rPr>
              <w:fldChar w:fldCharType="end"/>
            </w:r>
            <w:r>
              <w:rPr>
                <w:b w:val="0"/>
                <w:bCs w:val="0"/>
                <w:color w:val="auto"/>
              </w:rPr>
              <w:t>根据危险废物产生的工艺特征、排放周期、特性、管理计划等因素制定详细的收集计划。收集计划包括收集任务概述、收集目标及原则、危险废物特性评估、危险废物收集量估算、收集作业范围和方法、收集设备与包装容器、安全生产与个人防护、工程防护与事故应急、进度安排与组织管理等。</w:t>
            </w:r>
          </w:p>
          <w:p w14:paraId="26528C26">
            <w:pPr>
              <w:pStyle w:val="96"/>
              <w:ind w:firstLine="480"/>
              <w:rPr>
                <w:b w:val="0"/>
                <w:bCs w:val="0"/>
                <w:color w:val="auto"/>
              </w:rPr>
            </w:pPr>
            <w:r>
              <w:rPr>
                <w:b w:val="0"/>
                <w:bCs w:val="0"/>
                <w:color w:val="auto"/>
              </w:rPr>
              <w:fldChar w:fldCharType="begin"/>
            </w:r>
            <w:r>
              <w:rPr>
                <w:b w:val="0"/>
                <w:bCs w:val="0"/>
                <w:color w:val="auto"/>
              </w:rPr>
              <w:instrText xml:space="preserve"> = 2 \* GB3 </w:instrText>
            </w:r>
            <w:r>
              <w:rPr>
                <w:b w:val="0"/>
                <w:bCs w:val="0"/>
                <w:color w:val="auto"/>
              </w:rPr>
              <w:fldChar w:fldCharType="separate"/>
            </w:r>
            <w:r>
              <w:rPr>
                <w:rFonts w:hint="eastAsia" w:ascii="宋体" w:hAnsi="宋体" w:cs="宋体"/>
                <w:b w:val="0"/>
                <w:bCs w:val="0"/>
                <w:color w:val="auto"/>
              </w:rPr>
              <w:t>②</w:t>
            </w:r>
            <w:r>
              <w:rPr>
                <w:b w:val="0"/>
                <w:bCs w:val="0"/>
                <w:color w:val="auto"/>
              </w:rPr>
              <w:fldChar w:fldCharType="end"/>
            </w:r>
            <w:r>
              <w:rPr>
                <w:b w:val="0"/>
                <w:bCs w:val="0"/>
                <w:color w:val="auto"/>
              </w:rPr>
              <w:t>制定危险废物收集操作规程，内容包括适用范围、操作程序和方法、通用设备和工具、转移和交接、安全保障和应急防护等。</w:t>
            </w:r>
          </w:p>
          <w:p w14:paraId="611D0757">
            <w:pPr>
              <w:pStyle w:val="96"/>
              <w:ind w:firstLine="480"/>
              <w:rPr>
                <w:b w:val="0"/>
                <w:bCs w:val="0"/>
                <w:color w:val="auto"/>
              </w:rPr>
            </w:pPr>
            <w:r>
              <w:rPr>
                <w:b w:val="0"/>
                <w:bCs w:val="0"/>
                <w:color w:val="auto"/>
              </w:rPr>
              <w:fldChar w:fldCharType="begin"/>
            </w:r>
            <w:r>
              <w:rPr>
                <w:b w:val="0"/>
                <w:bCs w:val="0"/>
                <w:color w:val="auto"/>
              </w:rPr>
              <w:instrText xml:space="preserve"> = 3 \* GB3 </w:instrText>
            </w:r>
            <w:r>
              <w:rPr>
                <w:b w:val="0"/>
                <w:bCs w:val="0"/>
                <w:color w:val="auto"/>
              </w:rPr>
              <w:fldChar w:fldCharType="separate"/>
            </w:r>
            <w:r>
              <w:rPr>
                <w:rFonts w:hint="eastAsia" w:ascii="宋体" w:hAnsi="宋体" w:cs="宋体"/>
                <w:b w:val="0"/>
                <w:bCs w:val="0"/>
                <w:color w:val="auto"/>
              </w:rPr>
              <w:t>③</w:t>
            </w:r>
            <w:r>
              <w:rPr>
                <w:b w:val="0"/>
                <w:bCs w:val="0"/>
                <w:color w:val="auto"/>
              </w:rPr>
              <w:fldChar w:fldCharType="end"/>
            </w:r>
            <w:r>
              <w:rPr>
                <w:b w:val="0"/>
                <w:bCs w:val="0"/>
                <w:color w:val="auto"/>
              </w:rPr>
              <w:t>危险废物收集和转运作业人员根据工作需要配备必要的个人防护装备，如手套、防护镜、防护服、防毒面具或口罩等。</w:t>
            </w:r>
          </w:p>
          <w:p w14:paraId="7081066A">
            <w:pPr>
              <w:pStyle w:val="96"/>
              <w:ind w:firstLine="480"/>
              <w:rPr>
                <w:b w:val="0"/>
                <w:bCs w:val="0"/>
                <w:color w:val="auto"/>
              </w:rPr>
            </w:pPr>
            <w:r>
              <w:rPr>
                <w:b w:val="0"/>
                <w:bCs w:val="0"/>
                <w:color w:val="auto"/>
              </w:rPr>
              <w:fldChar w:fldCharType="begin"/>
            </w:r>
            <w:r>
              <w:rPr>
                <w:b w:val="0"/>
                <w:bCs w:val="0"/>
                <w:color w:val="auto"/>
              </w:rPr>
              <w:instrText xml:space="preserve"> = 4 \* GB3 </w:instrText>
            </w:r>
            <w:r>
              <w:rPr>
                <w:b w:val="0"/>
                <w:bCs w:val="0"/>
                <w:color w:val="auto"/>
              </w:rPr>
              <w:fldChar w:fldCharType="separate"/>
            </w:r>
            <w:r>
              <w:rPr>
                <w:rFonts w:hint="eastAsia" w:ascii="宋体" w:hAnsi="宋体" w:cs="宋体"/>
                <w:b w:val="0"/>
                <w:bCs w:val="0"/>
                <w:color w:val="auto"/>
              </w:rPr>
              <w:t>④</w:t>
            </w:r>
            <w:r>
              <w:rPr>
                <w:b w:val="0"/>
                <w:bCs w:val="0"/>
                <w:color w:val="auto"/>
              </w:rPr>
              <w:fldChar w:fldCharType="end"/>
            </w:r>
            <w:r>
              <w:rPr>
                <w:b w:val="0"/>
                <w:bCs w:val="0"/>
                <w:color w:val="auto"/>
              </w:rPr>
              <w:t>在危险废物收集和转运过程中，采取相应的安全防护和污染防治措施，包括</w:t>
            </w:r>
            <w:r>
              <w:rPr>
                <w:rFonts w:hint="eastAsia"/>
                <w:b w:val="0"/>
                <w:bCs w:val="0"/>
                <w:color w:val="auto"/>
                <w:lang w:eastAsia="zh-CN"/>
              </w:rPr>
              <w:t>“</w:t>
            </w:r>
            <w:r>
              <w:rPr>
                <w:b w:val="0"/>
                <w:bCs w:val="0"/>
                <w:color w:val="auto"/>
              </w:rPr>
              <w:t>防风、防晒、防雨、防漏、防渗、防腐</w:t>
            </w:r>
            <w:r>
              <w:rPr>
                <w:rFonts w:hint="eastAsia"/>
                <w:b w:val="0"/>
                <w:bCs w:val="0"/>
                <w:color w:val="auto"/>
                <w:lang w:eastAsia="zh-CN"/>
              </w:rPr>
              <w:t>”</w:t>
            </w:r>
            <w:r>
              <w:rPr>
                <w:b w:val="0"/>
                <w:bCs w:val="0"/>
                <w:color w:val="auto"/>
              </w:rPr>
              <w:t>以及其他环境污染防治措施。</w:t>
            </w:r>
          </w:p>
          <w:p w14:paraId="756FC8F5">
            <w:pPr>
              <w:pStyle w:val="96"/>
              <w:ind w:firstLine="480"/>
              <w:rPr>
                <w:b w:val="0"/>
                <w:bCs w:val="0"/>
                <w:color w:val="auto"/>
              </w:rPr>
            </w:pPr>
            <w:r>
              <w:rPr>
                <w:b w:val="0"/>
                <w:bCs w:val="0"/>
                <w:color w:val="auto"/>
              </w:rPr>
              <w:fldChar w:fldCharType="begin"/>
            </w:r>
            <w:r>
              <w:rPr>
                <w:b w:val="0"/>
                <w:bCs w:val="0"/>
                <w:color w:val="auto"/>
              </w:rPr>
              <w:instrText xml:space="preserve"> = 5 \* GB3 </w:instrText>
            </w:r>
            <w:r>
              <w:rPr>
                <w:b w:val="0"/>
                <w:bCs w:val="0"/>
                <w:color w:val="auto"/>
              </w:rPr>
              <w:fldChar w:fldCharType="separate"/>
            </w:r>
            <w:r>
              <w:rPr>
                <w:rFonts w:hint="eastAsia" w:ascii="宋体" w:hAnsi="宋体" w:cs="宋体"/>
                <w:b w:val="0"/>
                <w:bCs w:val="0"/>
                <w:color w:val="auto"/>
              </w:rPr>
              <w:t>⑤</w:t>
            </w:r>
            <w:r>
              <w:rPr>
                <w:b w:val="0"/>
                <w:bCs w:val="0"/>
                <w:color w:val="auto"/>
              </w:rPr>
              <w:fldChar w:fldCharType="end"/>
            </w:r>
            <w:r>
              <w:rPr>
                <w:b w:val="0"/>
                <w:bCs w:val="0"/>
                <w:color w:val="auto"/>
              </w:rPr>
              <w:t>危险废物收集时应根据危险废物的种类、数量、危险特性、物理形态、运输要求等因素选择合适的包装形式。</w:t>
            </w:r>
          </w:p>
          <w:p w14:paraId="4EFADBE3">
            <w:pPr>
              <w:pStyle w:val="96"/>
              <w:ind w:firstLine="480"/>
              <w:rPr>
                <w:b w:val="0"/>
                <w:bCs w:val="0"/>
                <w:color w:val="auto"/>
              </w:rPr>
            </w:pPr>
            <w:r>
              <w:rPr>
                <w:b w:val="0"/>
                <w:bCs w:val="0"/>
                <w:color w:val="auto"/>
              </w:rPr>
              <w:t>（2）暂存要求</w:t>
            </w:r>
          </w:p>
          <w:p w14:paraId="51F27116">
            <w:pPr>
              <w:pStyle w:val="96"/>
              <w:ind w:firstLine="480"/>
              <w:rPr>
                <w:b w:val="0"/>
                <w:bCs w:val="0"/>
                <w:color w:val="auto"/>
              </w:rPr>
            </w:pPr>
            <w:r>
              <w:rPr>
                <w:b w:val="0"/>
                <w:bCs w:val="0"/>
                <w:color w:val="auto"/>
              </w:rPr>
              <w:t>1） 暂存间内不同危险废物进行隔离存放，隔离区应留出搬运通道；且库房内要有安全照明设施和观察窗口。</w:t>
            </w:r>
          </w:p>
          <w:p w14:paraId="12F10415">
            <w:pPr>
              <w:pStyle w:val="96"/>
              <w:ind w:firstLine="480"/>
              <w:rPr>
                <w:b w:val="0"/>
                <w:bCs w:val="0"/>
                <w:color w:val="auto"/>
              </w:rPr>
            </w:pPr>
            <w:r>
              <w:rPr>
                <w:b w:val="0"/>
                <w:bCs w:val="0"/>
                <w:color w:val="auto"/>
              </w:rPr>
              <w:t>2） 企业须健全危险废物相关管理制度，并严格落实。</w:t>
            </w:r>
          </w:p>
          <w:p w14:paraId="20F7D1B9">
            <w:pPr>
              <w:pStyle w:val="96"/>
              <w:ind w:firstLine="480"/>
              <w:rPr>
                <w:b w:val="0"/>
                <w:bCs w:val="0"/>
                <w:color w:val="auto"/>
              </w:rPr>
            </w:pPr>
            <w:r>
              <w:rPr>
                <w:b w:val="0"/>
                <w:bCs w:val="0"/>
                <w:color w:val="auto"/>
              </w:rPr>
              <w:fldChar w:fldCharType="begin"/>
            </w:r>
            <w:r>
              <w:rPr>
                <w:b w:val="0"/>
                <w:bCs w:val="0"/>
                <w:color w:val="auto"/>
              </w:rPr>
              <w:instrText xml:space="preserve"> = 1 \* GB3 </w:instrText>
            </w:r>
            <w:r>
              <w:rPr>
                <w:b w:val="0"/>
                <w:bCs w:val="0"/>
                <w:color w:val="auto"/>
              </w:rPr>
              <w:fldChar w:fldCharType="separate"/>
            </w:r>
            <w:r>
              <w:rPr>
                <w:rFonts w:hint="eastAsia" w:ascii="宋体" w:hAnsi="宋体" w:cs="宋体"/>
                <w:b w:val="0"/>
                <w:bCs w:val="0"/>
                <w:color w:val="auto"/>
              </w:rPr>
              <w:t>①</w:t>
            </w:r>
            <w:r>
              <w:rPr>
                <w:b w:val="0"/>
                <w:bCs w:val="0"/>
                <w:color w:val="auto"/>
              </w:rPr>
              <w:fldChar w:fldCharType="end"/>
            </w:r>
            <w:r>
              <w:rPr>
                <w:b w:val="0"/>
                <w:bCs w:val="0"/>
                <w:color w:val="auto"/>
              </w:rPr>
              <w:t>企业须配备专业技术人员和管理人员专门负责企业危险废物统计、收集、暂存、转运和管理工作，并对有关危废产生部门员工进行定期教育和培训，强化危险废物管理；</w:t>
            </w:r>
          </w:p>
          <w:p w14:paraId="39DE062D">
            <w:pPr>
              <w:pStyle w:val="96"/>
              <w:ind w:firstLine="480"/>
              <w:rPr>
                <w:b w:val="0"/>
                <w:bCs w:val="0"/>
                <w:color w:val="auto"/>
              </w:rPr>
            </w:pPr>
            <w:r>
              <w:rPr>
                <w:b w:val="0"/>
                <w:bCs w:val="0"/>
                <w:color w:val="auto"/>
              </w:rPr>
              <w:fldChar w:fldCharType="begin"/>
            </w:r>
            <w:r>
              <w:rPr>
                <w:b w:val="0"/>
                <w:bCs w:val="0"/>
                <w:color w:val="auto"/>
              </w:rPr>
              <w:instrText xml:space="preserve"> = 2 \* GB3 </w:instrText>
            </w:r>
            <w:r>
              <w:rPr>
                <w:b w:val="0"/>
                <w:bCs w:val="0"/>
                <w:color w:val="auto"/>
              </w:rPr>
              <w:fldChar w:fldCharType="separate"/>
            </w:r>
            <w:r>
              <w:rPr>
                <w:rFonts w:hint="eastAsia" w:ascii="宋体" w:hAnsi="宋体" w:cs="宋体"/>
                <w:b w:val="0"/>
                <w:bCs w:val="0"/>
                <w:color w:val="auto"/>
              </w:rPr>
              <w:t>②</w:t>
            </w:r>
            <w:r>
              <w:rPr>
                <w:b w:val="0"/>
                <w:bCs w:val="0"/>
                <w:color w:val="auto"/>
              </w:rPr>
              <w:fldChar w:fldCharType="end"/>
            </w:r>
            <w:r>
              <w:rPr>
                <w:b w:val="0"/>
                <w:bCs w:val="0"/>
                <w:color w:val="auto"/>
              </w:rPr>
              <w:t>企业须建立危险废物收集操作规程、危险废物转运操作规程、危险废物暂存管理规程等相关制度，并认真落实；</w:t>
            </w:r>
          </w:p>
          <w:p w14:paraId="4DC0C92E">
            <w:pPr>
              <w:pStyle w:val="96"/>
              <w:ind w:firstLine="480"/>
              <w:rPr>
                <w:b w:val="0"/>
                <w:bCs w:val="0"/>
                <w:color w:val="auto"/>
              </w:rPr>
            </w:pPr>
            <w:r>
              <w:rPr>
                <w:b w:val="0"/>
                <w:bCs w:val="0"/>
                <w:color w:val="auto"/>
              </w:rPr>
              <w:fldChar w:fldCharType="begin"/>
            </w:r>
            <w:r>
              <w:rPr>
                <w:b w:val="0"/>
                <w:bCs w:val="0"/>
                <w:color w:val="auto"/>
              </w:rPr>
              <w:instrText xml:space="preserve"> = 3 \* GB3 </w:instrText>
            </w:r>
            <w:r>
              <w:rPr>
                <w:b w:val="0"/>
                <w:bCs w:val="0"/>
                <w:color w:val="auto"/>
              </w:rPr>
              <w:fldChar w:fldCharType="separate"/>
            </w:r>
            <w:r>
              <w:rPr>
                <w:rFonts w:hint="eastAsia" w:ascii="宋体" w:hAnsi="宋体" w:cs="宋体"/>
                <w:b w:val="0"/>
                <w:bCs w:val="0"/>
                <w:color w:val="auto"/>
              </w:rPr>
              <w:t>③</w:t>
            </w:r>
            <w:r>
              <w:rPr>
                <w:b w:val="0"/>
                <w:bCs w:val="0"/>
                <w:color w:val="auto"/>
              </w:rPr>
              <w:fldChar w:fldCharType="end"/>
            </w:r>
            <w:r>
              <w:rPr>
                <w:b w:val="0"/>
                <w:bCs w:val="0"/>
                <w:color w:val="auto"/>
              </w:rPr>
              <w:t>企业须对危险废物包装物张贴警示标签；</w:t>
            </w:r>
          </w:p>
          <w:p w14:paraId="37766E09">
            <w:pPr>
              <w:pStyle w:val="96"/>
              <w:ind w:firstLine="480"/>
              <w:rPr>
                <w:rFonts w:hint="eastAsia" w:eastAsia="宋体"/>
                <w:b w:val="0"/>
                <w:bCs w:val="0"/>
                <w:color w:val="auto"/>
                <w:lang w:val="en-US" w:eastAsia="zh-CN"/>
              </w:rPr>
            </w:pPr>
            <w:r>
              <w:rPr>
                <w:b w:val="0"/>
                <w:bCs w:val="0"/>
                <w:color w:val="auto"/>
              </w:rPr>
              <w:fldChar w:fldCharType="begin"/>
            </w:r>
            <w:r>
              <w:rPr>
                <w:b w:val="0"/>
                <w:bCs w:val="0"/>
                <w:color w:val="auto"/>
              </w:rPr>
              <w:instrText xml:space="preserve"> = 4 \* GB3 </w:instrText>
            </w:r>
            <w:r>
              <w:rPr>
                <w:b w:val="0"/>
                <w:bCs w:val="0"/>
                <w:color w:val="auto"/>
              </w:rPr>
              <w:fldChar w:fldCharType="separate"/>
            </w:r>
            <w:r>
              <w:rPr>
                <w:rFonts w:hint="eastAsia" w:ascii="宋体" w:hAnsi="宋体" w:cs="宋体"/>
                <w:b w:val="0"/>
                <w:bCs w:val="0"/>
                <w:color w:val="auto"/>
              </w:rPr>
              <w:t>④</w:t>
            </w:r>
            <w:r>
              <w:rPr>
                <w:b w:val="0"/>
                <w:bCs w:val="0"/>
                <w:color w:val="auto"/>
              </w:rPr>
              <w:fldChar w:fldCharType="end"/>
            </w:r>
            <w:r>
              <w:rPr>
                <w:b w:val="0"/>
                <w:bCs w:val="0"/>
                <w:color w:val="auto"/>
              </w:rPr>
              <w:t>规范危险废物统计、建立危险废物收集及储运有关档案，认真填写《危险废物项目区内转运记录表》，作好危险废物情况的记录，记录上须注明危险废物的名称、来源、数量、特性和包装容器的类别、入库日期、存放库位、废物出库日期及接收单位名称等，并</w:t>
            </w:r>
            <w:r>
              <w:rPr>
                <w:rFonts w:hint="eastAsia"/>
                <w:b w:val="0"/>
                <w:bCs w:val="0"/>
                <w:color w:val="auto"/>
                <w:lang w:val="en-US" w:eastAsia="zh-CN"/>
              </w:rPr>
              <w:t>及时</w:t>
            </w:r>
            <w:r>
              <w:rPr>
                <w:b w:val="0"/>
                <w:bCs w:val="0"/>
                <w:color w:val="auto"/>
              </w:rPr>
              <w:t>存档以备查阅。按照要求建立完善的危废管理台账，且危废管理台账至少保存</w:t>
            </w:r>
            <w:r>
              <w:rPr>
                <w:rFonts w:hint="eastAsia"/>
                <w:b w:val="0"/>
                <w:bCs w:val="0"/>
                <w:color w:val="auto"/>
                <w:lang w:val="en-US" w:eastAsia="zh-CN"/>
              </w:rPr>
              <w:t>5</w:t>
            </w:r>
            <w:r>
              <w:rPr>
                <w:b w:val="0"/>
                <w:bCs w:val="0"/>
                <w:color w:val="auto"/>
              </w:rPr>
              <w:t>年</w:t>
            </w:r>
            <w:r>
              <w:rPr>
                <w:rFonts w:hint="eastAsia"/>
                <w:b w:val="0"/>
                <w:bCs w:val="0"/>
                <w:color w:val="auto"/>
                <w:lang w:eastAsia="zh-CN"/>
              </w:rPr>
              <w:t>。</w:t>
            </w:r>
          </w:p>
          <w:p w14:paraId="6CE25F1A">
            <w:pPr>
              <w:pStyle w:val="96"/>
              <w:ind w:firstLine="480"/>
              <w:rPr>
                <w:b w:val="0"/>
                <w:bCs w:val="0"/>
                <w:color w:val="auto"/>
              </w:rPr>
            </w:pPr>
            <w:r>
              <w:rPr>
                <w:b w:val="0"/>
                <w:bCs w:val="0"/>
                <w:color w:val="auto"/>
              </w:rPr>
              <w:t>3）危险废物在危险废物暂存间内暂存期间应严格按照《危险废物贮存污染控制标准》（GB18597-20</w:t>
            </w:r>
            <w:r>
              <w:rPr>
                <w:rFonts w:hint="eastAsia"/>
                <w:b w:val="0"/>
                <w:bCs w:val="0"/>
                <w:color w:val="auto"/>
                <w:lang w:val="en-US" w:eastAsia="zh-CN"/>
              </w:rPr>
              <w:t>23</w:t>
            </w:r>
            <w:r>
              <w:rPr>
                <w:b w:val="0"/>
                <w:bCs w:val="0"/>
                <w:color w:val="auto"/>
              </w:rPr>
              <w:t>）和《危险废物收集贮存运输技术规范》（HJ 2025-2012）的相关要求进行存储和管理。</w:t>
            </w:r>
          </w:p>
          <w:p w14:paraId="655F35AE">
            <w:pPr>
              <w:pStyle w:val="96"/>
              <w:ind w:firstLine="480"/>
              <w:rPr>
                <w:b w:val="0"/>
                <w:bCs w:val="0"/>
                <w:color w:val="auto"/>
              </w:rPr>
            </w:pPr>
            <w:r>
              <w:rPr>
                <w:b w:val="0"/>
                <w:bCs w:val="0"/>
                <w:color w:val="auto"/>
              </w:rPr>
              <w:fldChar w:fldCharType="begin"/>
            </w:r>
            <w:r>
              <w:rPr>
                <w:b w:val="0"/>
                <w:bCs w:val="0"/>
                <w:color w:val="auto"/>
              </w:rPr>
              <w:instrText xml:space="preserve"> = 1 \* GB3 </w:instrText>
            </w:r>
            <w:r>
              <w:rPr>
                <w:b w:val="0"/>
                <w:bCs w:val="0"/>
                <w:color w:val="auto"/>
              </w:rPr>
              <w:fldChar w:fldCharType="separate"/>
            </w:r>
            <w:r>
              <w:rPr>
                <w:rFonts w:hint="eastAsia" w:ascii="宋体" w:hAnsi="宋体" w:cs="宋体"/>
                <w:b w:val="0"/>
                <w:bCs w:val="0"/>
                <w:color w:val="auto"/>
              </w:rPr>
              <w:t>①</w:t>
            </w:r>
            <w:r>
              <w:rPr>
                <w:b w:val="0"/>
                <w:bCs w:val="0"/>
                <w:color w:val="auto"/>
              </w:rPr>
              <w:fldChar w:fldCharType="end"/>
            </w:r>
            <w:r>
              <w:rPr>
                <w:b w:val="0"/>
                <w:bCs w:val="0"/>
                <w:color w:val="auto"/>
              </w:rPr>
              <w:t>必须将危险废物装入容器内进行密封装运，禁止将不相容（相互反应）的危险废物在盛装危险废物的容器应当符合标准，材质要满足相应的强度要求且必须完好无损，容器材质和衬里要与危险废物相容（不相互反应）；</w:t>
            </w:r>
          </w:p>
          <w:p w14:paraId="10808F74">
            <w:pPr>
              <w:pStyle w:val="96"/>
              <w:ind w:firstLine="480"/>
              <w:rPr>
                <w:b w:val="0"/>
                <w:bCs w:val="0"/>
                <w:color w:val="auto"/>
              </w:rPr>
            </w:pPr>
            <w:r>
              <w:rPr>
                <w:b w:val="0"/>
                <w:bCs w:val="0"/>
                <w:color w:val="auto"/>
              </w:rPr>
              <w:fldChar w:fldCharType="begin"/>
            </w:r>
            <w:r>
              <w:rPr>
                <w:b w:val="0"/>
                <w:bCs w:val="0"/>
                <w:color w:val="auto"/>
              </w:rPr>
              <w:instrText xml:space="preserve"> = 2 \* GB3 </w:instrText>
            </w:r>
            <w:r>
              <w:rPr>
                <w:b w:val="0"/>
                <w:bCs w:val="0"/>
                <w:color w:val="auto"/>
              </w:rPr>
              <w:fldChar w:fldCharType="separate"/>
            </w:r>
            <w:r>
              <w:rPr>
                <w:rFonts w:hint="eastAsia" w:ascii="宋体" w:hAnsi="宋体" w:cs="宋体"/>
                <w:b w:val="0"/>
                <w:bCs w:val="0"/>
                <w:color w:val="auto"/>
              </w:rPr>
              <w:t>②</w:t>
            </w:r>
            <w:r>
              <w:rPr>
                <w:b w:val="0"/>
                <w:bCs w:val="0"/>
                <w:color w:val="auto"/>
              </w:rPr>
              <w:fldChar w:fldCharType="end"/>
            </w:r>
            <w:r>
              <w:rPr>
                <w:b w:val="0"/>
                <w:bCs w:val="0"/>
                <w:color w:val="auto"/>
              </w:rPr>
              <w:t>危险废物贮存前应进行检验，确保同预定接收的危险废物一致，并登记注册，不得接收未粘贴符合规定的标签或标签没按规定填写的危险废物；</w:t>
            </w:r>
          </w:p>
          <w:p w14:paraId="2B66FBED">
            <w:pPr>
              <w:pStyle w:val="96"/>
              <w:ind w:firstLine="480"/>
              <w:rPr>
                <w:b w:val="0"/>
                <w:bCs w:val="0"/>
                <w:color w:val="auto"/>
              </w:rPr>
            </w:pPr>
            <w:r>
              <w:rPr>
                <w:b w:val="0"/>
                <w:bCs w:val="0"/>
                <w:color w:val="auto"/>
              </w:rPr>
              <w:fldChar w:fldCharType="begin"/>
            </w:r>
            <w:r>
              <w:rPr>
                <w:b w:val="0"/>
                <w:bCs w:val="0"/>
                <w:color w:val="auto"/>
              </w:rPr>
              <w:instrText xml:space="preserve"> = 3 \* GB3 </w:instrText>
            </w:r>
            <w:r>
              <w:rPr>
                <w:b w:val="0"/>
                <w:bCs w:val="0"/>
                <w:color w:val="auto"/>
              </w:rPr>
              <w:fldChar w:fldCharType="separate"/>
            </w:r>
            <w:r>
              <w:rPr>
                <w:rFonts w:hint="eastAsia" w:ascii="宋体" w:hAnsi="宋体" w:cs="宋体"/>
                <w:b w:val="0"/>
                <w:bCs w:val="0"/>
                <w:color w:val="auto"/>
              </w:rPr>
              <w:t>③</w:t>
            </w:r>
            <w:r>
              <w:rPr>
                <w:b w:val="0"/>
                <w:bCs w:val="0"/>
                <w:color w:val="auto"/>
              </w:rPr>
              <w:fldChar w:fldCharType="end"/>
            </w:r>
            <w:r>
              <w:rPr>
                <w:b w:val="0"/>
                <w:bCs w:val="0"/>
                <w:color w:val="auto"/>
              </w:rPr>
              <w:t>必须定期对所贮存的危险废物包装容器及贮存设施进行检查，发现破损，应及时采取措施清理更换。</w:t>
            </w:r>
          </w:p>
          <w:p w14:paraId="19B1011D">
            <w:pPr>
              <w:pStyle w:val="96"/>
              <w:ind w:firstLine="480"/>
              <w:rPr>
                <w:b w:val="0"/>
                <w:bCs w:val="0"/>
                <w:color w:val="auto"/>
              </w:rPr>
            </w:pPr>
            <w:r>
              <w:rPr>
                <w:b w:val="0"/>
                <w:bCs w:val="0"/>
                <w:color w:val="auto"/>
              </w:rPr>
              <w:t>（3）危险废物的转运</w:t>
            </w:r>
          </w:p>
          <w:p w14:paraId="40F49B1F">
            <w:pPr>
              <w:pStyle w:val="96"/>
              <w:ind w:firstLine="480"/>
              <w:rPr>
                <w:b w:val="0"/>
                <w:bCs w:val="0"/>
                <w:color w:val="auto"/>
              </w:rPr>
            </w:pPr>
            <w:r>
              <w:rPr>
                <w:b w:val="0"/>
                <w:bCs w:val="0"/>
                <w:color w:val="auto"/>
              </w:rPr>
              <w:t>项目固体废物转运过程中采取篷布遮盖、防滴漏等措施，减少固体废物运输过程给环境带来污染。危险废物的转运按照《危险废物收集贮存运输技术规范》（HJ 2025-2012）的要求进行。</w:t>
            </w:r>
          </w:p>
          <w:p w14:paraId="0533D4B8">
            <w:pPr>
              <w:pStyle w:val="96"/>
              <w:ind w:firstLine="480"/>
              <w:rPr>
                <w:b w:val="0"/>
                <w:bCs w:val="0"/>
                <w:color w:val="auto"/>
              </w:rPr>
            </w:pPr>
            <w:r>
              <w:rPr>
                <w:b w:val="0"/>
                <w:bCs w:val="0"/>
                <w:color w:val="auto"/>
              </w:rPr>
              <w:t>综上，本项目固废得到有效处置，处置率为100%，对周围环境影响较小。</w:t>
            </w:r>
          </w:p>
          <w:p w14:paraId="1FE686A2">
            <w:pPr>
              <w:pStyle w:val="96"/>
              <w:ind w:firstLine="480"/>
              <w:rPr>
                <w:b w:val="0"/>
                <w:bCs w:val="0"/>
                <w:color w:val="auto"/>
              </w:rPr>
            </w:pPr>
          </w:p>
          <w:p w14:paraId="59BB886C">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360" w:lineRule="auto"/>
              <w:textAlignment w:val="auto"/>
              <w:rPr>
                <w:rFonts w:hint="eastAsia" w:ascii="Times New Roman" w:hAnsi="Times New Roman" w:eastAsia="宋体" w:cs="Times New Roman"/>
                <w:b/>
                <w:bCs/>
                <w:color w:val="auto"/>
                <w:sz w:val="24"/>
                <w:szCs w:val="24"/>
                <w:lang w:val="en-US" w:eastAsia="zh-CN"/>
              </w:rPr>
            </w:pPr>
            <w:bookmarkStart w:id="100" w:name="_Toc31725"/>
            <w:bookmarkStart w:id="101" w:name="_Toc2088"/>
            <w:r>
              <w:rPr>
                <w:rFonts w:hint="eastAsia" w:ascii="Times New Roman" w:hAnsi="Times New Roman" w:eastAsia="宋体" w:cs="Times New Roman"/>
                <w:b/>
                <w:bCs/>
                <w:color w:val="auto"/>
                <w:sz w:val="24"/>
                <w:szCs w:val="24"/>
                <w:lang w:val="en-US" w:eastAsia="zh-CN"/>
              </w:rPr>
              <w:t>环境风险分析</w:t>
            </w:r>
            <w:bookmarkEnd w:id="100"/>
            <w:bookmarkEnd w:id="101"/>
          </w:p>
          <w:p w14:paraId="5F0FA1E5">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default"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5</w:t>
            </w:r>
            <w:r>
              <w:rPr>
                <w:rFonts w:hint="default" w:ascii="Times New Roman" w:hAnsi="Times New Roman" w:eastAsia="宋体" w:cs="Times New Roman"/>
                <w:b/>
                <w:bCs w:val="0"/>
                <w:spacing w:val="-7"/>
                <w:kern w:val="2"/>
                <w:sz w:val="24"/>
                <w:szCs w:val="24"/>
                <w:highlight w:val="none"/>
                <w:u w:val="none"/>
                <w:lang w:val="en-US" w:eastAsia="zh-CN" w:bidi="ar-SA"/>
              </w:rPr>
              <w:t>.1主要危险物质和风险源分布</w:t>
            </w:r>
          </w:p>
          <w:p w14:paraId="14F3FC30">
            <w:pPr>
              <w:pStyle w:val="96"/>
              <w:ind w:firstLine="480"/>
              <w:rPr>
                <w:rFonts w:hint="eastAsia" w:ascii="Times New Roman" w:hAnsi="Times New Roman" w:eastAsia="宋体" w:cs="Times New Roman"/>
                <w:b w:val="0"/>
                <w:bCs w:val="0"/>
                <w:snapToGrid w:val="0"/>
                <w:color w:val="auto"/>
                <w:kern w:val="0"/>
                <w:sz w:val="24"/>
                <w:szCs w:val="24"/>
                <w:lang w:val="en-US" w:eastAsia="zh-CN" w:bidi="ar-SA"/>
              </w:rPr>
            </w:pPr>
            <w:r>
              <w:rPr>
                <w:b w:val="0"/>
                <w:bCs w:val="0"/>
                <w:color w:val="auto"/>
              </w:rPr>
              <w:t>根据《建设项目环境风险评价技术导则》（HJ169-2018）中附录B重点关注的危险物质及临界量，本项目生产中涉及到的</w:t>
            </w:r>
            <w:r>
              <w:rPr>
                <w:rFonts w:hint="eastAsia"/>
                <w:b w:val="0"/>
                <w:bCs w:val="0"/>
                <w:color w:val="auto"/>
                <w:lang w:val="en-US" w:eastAsia="zh-CN"/>
              </w:rPr>
              <w:t>风险</w:t>
            </w:r>
            <w:r>
              <w:rPr>
                <w:b w:val="0"/>
                <w:bCs w:val="0"/>
                <w:color w:val="auto"/>
              </w:rPr>
              <w:t>物质主要为</w:t>
            </w:r>
            <w:r>
              <w:rPr>
                <w:rFonts w:hint="eastAsia"/>
                <w:b w:val="0"/>
                <w:bCs w:val="0"/>
                <w:color w:val="auto"/>
                <w:lang w:val="en-US" w:eastAsia="zh-CN"/>
              </w:rPr>
              <w:t>废机油及油墨等</w:t>
            </w:r>
            <w:r>
              <w:rPr>
                <w:rFonts w:hint="eastAsia"/>
                <w:b w:val="0"/>
                <w:bCs w:val="0"/>
                <w:color w:val="auto"/>
                <w:lang w:eastAsia="zh-CN"/>
              </w:rPr>
              <w:t>，</w:t>
            </w:r>
            <w:r>
              <w:rPr>
                <w:b w:val="0"/>
                <w:bCs w:val="0"/>
                <w:color w:val="auto"/>
              </w:rPr>
              <w:t>主要</w:t>
            </w:r>
            <w:r>
              <w:rPr>
                <w:rFonts w:hint="eastAsia"/>
                <w:b w:val="0"/>
                <w:bCs w:val="0"/>
                <w:color w:val="auto"/>
                <w:lang w:val="en-US" w:eastAsia="zh-CN"/>
              </w:rPr>
              <w:t>风险</w:t>
            </w:r>
            <w:r>
              <w:rPr>
                <w:b w:val="0"/>
                <w:bCs w:val="0"/>
                <w:color w:val="auto"/>
              </w:rPr>
              <w:t>物质和风险源分布具体见</w:t>
            </w:r>
            <w:r>
              <w:rPr>
                <w:rFonts w:hint="eastAsia"/>
                <w:b w:val="0"/>
                <w:bCs w:val="0"/>
                <w:color w:val="auto"/>
                <w:lang w:val="en-US" w:eastAsia="zh-CN"/>
              </w:rPr>
              <w:t>下</w:t>
            </w:r>
            <w:r>
              <w:rPr>
                <w:b w:val="0"/>
                <w:bCs w:val="0"/>
                <w:color w:val="auto"/>
              </w:rPr>
              <w:t>表。</w:t>
            </w:r>
          </w:p>
          <w:p w14:paraId="6D5FE956">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u w:val="single"/>
                <w:lang w:val="en-US" w:eastAsia="zh-CN" w:bidi="ar-SA"/>
              </w:rPr>
            </w:pPr>
            <w:r>
              <w:rPr>
                <w:rFonts w:hint="eastAsia" w:ascii="Times New Roman" w:hAnsi="Times New Roman" w:eastAsia="宋体" w:cs="Times New Roman"/>
                <w:b/>
                <w:bCs/>
                <w:snapToGrid w:val="0"/>
                <w:color w:val="auto"/>
                <w:kern w:val="0"/>
                <w:sz w:val="24"/>
                <w:szCs w:val="24"/>
                <w:u w:val="single"/>
                <w:lang w:val="en-US" w:eastAsia="zh-CN" w:bidi="ar-SA"/>
              </w:rPr>
              <w:t>表4-</w:t>
            </w:r>
            <w:r>
              <w:rPr>
                <w:rFonts w:hint="eastAsia" w:cs="Times New Roman"/>
                <w:b/>
                <w:bCs/>
                <w:snapToGrid w:val="0"/>
                <w:color w:val="auto"/>
                <w:kern w:val="0"/>
                <w:sz w:val="24"/>
                <w:szCs w:val="24"/>
                <w:u w:val="single"/>
                <w:lang w:val="en-US" w:eastAsia="zh-CN" w:bidi="ar-SA"/>
              </w:rPr>
              <w:t>19</w:t>
            </w:r>
            <w:r>
              <w:rPr>
                <w:rFonts w:hint="eastAsia" w:ascii="Times New Roman" w:hAnsi="Times New Roman" w:eastAsia="宋体" w:cs="Times New Roman"/>
                <w:b/>
                <w:bCs/>
                <w:snapToGrid w:val="0"/>
                <w:color w:val="auto"/>
                <w:kern w:val="0"/>
                <w:sz w:val="24"/>
                <w:szCs w:val="24"/>
                <w:u w:val="single"/>
                <w:lang w:val="en-US" w:eastAsia="zh-CN" w:bidi="ar-SA"/>
              </w:rPr>
              <w:t xml:space="preserve">   </w:t>
            </w:r>
            <w:r>
              <w:rPr>
                <w:rFonts w:hint="eastAsia" w:cs="Times New Roman"/>
                <w:b/>
                <w:bCs/>
                <w:snapToGrid w:val="0"/>
                <w:color w:val="auto"/>
                <w:kern w:val="0"/>
                <w:sz w:val="24"/>
                <w:szCs w:val="24"/>
                <w:u w:val="single"/>
                <w:lang w:val="en-US" w:eastAsia="zh-CN" w:bidi="ar-SA"/>
              </w:rPr>
              <w:t xml:space="preserve"> </w:t>
            </w:r>
            <w:r>
              <w:rPr>
                <w:rFonts w:hint="eastAsia" w:ascii="Times New Roman" w:hAnsi="Times New Roman" w:eastAsia="宋体" w:cs="Times New Roman"/>
                <w:b/>
                <w:bCs/>
                <w:snapToGrid w:val="0"/>
                <w:color w:val="auto"/>
                <w:kern w:val="0"/>
                <w:sz w:val="24"/>
                <w:szCs w:val="24"/>
                <w:u w:val="single"/>
                <w:lang w:val="en-US" w:eastAsia="zh-CN" w:bidi="ar-SA"/>
              </w:rPr>
              <w:t>本项目主要风险物质和风险源分布一览表</w:t>
            </w:r>
          </w:p>
          <w:tbl>
            <w:tblPr>
              <w:tblStyle w:val="39"/>
              <w:tblW w:w="5000"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28" w:type="dxa"/>
                <w:left w:w="108" w:type="dxa"/>
                <w:bottom w:w="28" w:type="dxa"/>
                <w:right w:w="108" w:type="dxa"/>
              </w:tblCellMar>
            </w:tblPr>
            <w:tblGrid>
              <w:gridCol w:w="432"/>
              <w:gridCol w:w="1613"/>
              <w:gridCol w:w="919"/>
              <w:gridCol w:w="1220"/>
              <w:gridCol w:w="1366"/>
              <w:gridCol w:w="699"/>
              <w:gridCol w:w="966"/>
              <w:gridCol w:w="1052"/>
            </w:tblGrid>
            <w:tr w14:paraId="6858153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28" w:type="dxa"/>
                  <w:left w:w="108" w:type="dxa"/>
                  <w:bottom w:w="28" w:type="dxa"/>
                  <w:right w:w="108" w:type="dxa"/>
                </w:tblCellMar>
              </w:tblPrEx>
              <w:trPr>
                <w:trHeight w:val="270" w:hRule="atLeast"/>
                <w:tblHeader/>
              </w:trPr>
              <w:tc>
                <w:tcPr>
                  <w:tcW w:w="261" w:type="pct"/>
                  <w:tcBorders>
                    <w:tl2br w:val="nil"/>
                    <w:tr2bl w:val="nil"/>
                  </w:tcBorders>
                  <w:noWrap w:val="0"/>
                  <w:vAlign w:val="center"/>
                </w:tcPr>
                <w:p w14:paraId="791DF9D5">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序号</w:t>
                  </w:r>
                </w:p>
              </w:tc>
              <w:tc>
                <w:tcPr>
                  <w:tcW w:w="975" w:type="pct"/>
                  <w:tcBorders>
                    <w:tl2br w:val="nil"/>
                    <w:tr2bl w:val="nil"/>
                  </w:tcBorders>
                  <w:noWrap w:val="0"/>
                  <w:vAlign w:val="center"/>
                </w:tcPr>
                <w:p w14:paraId="64F245FB">
                  <w:pPr>
                    <w:jc w:val="center"/>
                    <w:rPr>
                      <w:rFonts w:hint="default" w:ascii="Times New Roman" w:hAnsi="Times New Roman" w:cs="Times New Roman"/>
                      <w:b/>
                      <w:bCs/>
                      <w:color w:val="auto"/>
                      <w:kern w:val="0"/>
                      <w:sz w:val="21"/>
                      <w:szCs w:val="21"/>
                    </w:rPr>
                  </w:pPr>
                  <w:r>
                    <w:rPr>
                      <w:rFonts w:hint="default" w:ascii="Times New Roman" w:hAnsi="Times New Roman" w:cs="Times New Roman"/>
                      <w:b/>
                      <w:bCs/>
                      <w:color w:val="auto"/>
                      <w:sz w:val="21"/>
                      <w:szCs w:val="21"/>
                    </w:rPr>
                    <w:t>危险物质名称</w:t>
                  </w:r>
                </w:p>
              </w:tc>
              <w:tc>
                <w:tcPr>
                  <w:tcW w:w="555" w:type="pct"/>
                  <w:tcBorders>
                    <w:tl2br w:val="nil"/>
                    <w:tr2bl w:val="nil"/>
                  </w:tcBorders>
                  <w:noWrap w:val="0"/>
                  <w:vAlign w:val="center"/>
                </w:tcPr>
                <w:p w14:paraId="6B80EF92">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分布情况</w:t>
                  </w:r>
                </w:p>
              </w:tc>
              <w:tc>
                <w:tcPr>
                  <w:tcW w:w="737" w:type="pct"/>
                  <w:tcBorders>
                    <w:tl2br w:val="nil"/>
                    <w:tr2bl w:val="nil"/>
                  </w:tcBorders>
                  <w:noWrap w:val="0"/>
                  <w:vAlign w:val="center"/>
                </w:tcPr>
                <w:p w14:paraId="726EC44C">
                  <w:pPr>
                    <w:pStyle w:val="99"/>
                    <w:kinsoku w:val="0"/>
                    <w:overflowPunct w:val="0"/>
                    <w:ind w:left="103"/>
                    <w:jc w:val="center"/>
                    <w:rPr>
                      <w:rFonts w:hint="default" w:ascii="Times New Roman" w:hAnsi="Times New Roman" w:cs="Times New Roman"/>
                      <w:b/>
                      <w:bCs/>
                      <w:color w:val="auto"/>
                      <w:spacing w:val="-6"/>
                      <w:sz w:val="21"/>
                      <w:szCs w:val="21"/>
                      <w:lang w:eastAsia="zh-CN"/>
                    </w:rPr>
                  </w:pPr>
                  <w:r>
                    <w:rPr>
                      <w:rFonts w:hint="default" w:ascii="Times New Roman" w:hAnsi="Times New Roman" w:eastAsia="Times New Roman" w:cs="Times New Roman"/>
                      <w:b/>
                      <w:bCs/>
                      <w:color w:val="auto"/>
                      <w:spacing w:val="-6"/>
                      <w:sz w:val="21"/>
                      <w:szCs w:val="21"/>
                    </w:rPr>
                    <w:t>CAS</w:t>
                  </w:r>
                  <w:r>
                    <w:rPr>
                      <w:rFonts w:hint="default" w:ascii="Times New Roman" w:hAnsi="Times New Roman" w:eastAsia="Times New Roman" w:cs="Times New Roman"/>
                      <w:b/>
                      <w:bCs/>
                      <w:color w:val="auto"/>
                      <w:spacing w:val="-11"/>
                      <w:sz w:val="21"/>
                      <w:szCs w:val="21"/>
                    </w:rPr>
                    <w:t xml:space="preserve"> </w:t>
                  </w:r>
                  <w:r>
                    <w:rPr>
                      <w:rFonts w:hint="default" w:ascii="Times New Roman" w:hAnsi="Times New Roman" w:cs="Times New Roman"/>
                      <w:b/>
                      <w:bCs/>
                      <w:color w:val="auto"/>
                      <w:sz w:val="21"/>
                      <w:szCs w:val="21"/>
                    </w:rPr>
                    <w:t>号</w:t>
                  </w:r>
                </w:p>
              </w:tc>
              <w:tc>
                <w:tcPr>
                  <w:tcW w:w="826" w:type="pct"/>
                  <w:tcBorders>
                    <w:tl2br w:val="nil"/>
                    <w:tr2bl w:val="nil"/>
                  </w:tcBorders>
                  <w:noWrap w:val="0"/>
                  <w:vAlign w:val="center"/>
                </w:tcPr>
                <w:p w14:paraId="41C72CBC">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最大一次储存量（t）</w:t>
                  </w:r>
                </w:p>
              </w:tc>
              <w:tc>
                <w:tcPr>
                  <w:tcW w:w="422" w:type="pct"/>
                  <w:tcBorders>
                    <w:tl2br w:val="nil"/>
                    <w:tr2bl w:val="nil"/>
                  </w:tcBorders>
                  <w:noWrap w:val="0"/>
                  <w:vAlign w:val="center"/>
                </w:tcPr>
                <w:p w14:paraId="59A11E46">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临界量（t）</w:t>
                  </w:r>
                </w:p>
              </w:tc>
              <w:tc>
                <w:tcPr>
                  <w:tcW w:w="584" w:type="pct"/>
                  <w:tcBorders>
                    <w:tl2br w:val="nil"/>
                    <w:tr2bl w:val="nil"/>
                  </w:tcBorders>
                  <w:noWrap w:val="0"/>
                  <w:vAlign w:val="center"/>
                </w:tcPr>
                <w:p w14:paraId="6B28415F">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∑q</w:t>
                  </w:r>
                  <w:r>
                    <w:rPr>
                      <w:rFonts w:hint="default" w:ascii="Times New Roman" w:hAnsi="Times New Roman" w:cs="Times New Roman"/>
                      <w:b/>
                      <w:bCs/>
                      <w:color w:val="auto"/>
                      <w:sz w:val="21"/>
                      <w:szCs w:val="21"/>
                      <w:vertAlign w:val="subscript"/>
                    </w:rPr>
                    <w:t>n</w:t>
                  </w:r>
                  <w:r>
                    <w:rPr>
                      <w:rFonts w:hint="default" w:ascii="Times New Roman" w:hAnsi="Times New Roman" w:cs="Times New Roman"/>
                      <w:b/>
                      <w:bCs/>
                      <w:color w:val="auto"/>
                      <w:sz w:val="21"/>
                      <w:szCs w:val="21"/>
                    </w:rPr>
                    <w:t>/Q</w:t>
                  </w:r>
                  <w:r>
                    <w:rPr>
                      <w:rFonts w:hint="default" w:ascii="Times New Roman" w:hAnsi="Times New Roman" w:cs="Times New Roman"/>
                      <w:b/>
                      <w:bCs/>
                      <w:color w:val="auto"/>
                      <w:sz w:val="21"/>
                      <w:szCs w:val="21"/>
                      <w:vertAlign w:val="subscript"/>
                    </w:rPr>
                    <w:t>n</w:t>
                  </w:r>
                </w:p>
              </w:tc>
              <w:tc>
                <w:tcPr>
                  <w:tcW w:w="636" w:type="pct"/>
                  <w:tcBorders>
                    <w:tl2br w:val="nil"/>
                    <w:tr2bl w:val="nil"/>
                  </w:tcBorders>
                  <w:noWrap w:val="0"/>
                  <w:vAlign w:val="center"/>
                </w:tcPr>
                <w:p w14:paraId="08DA8AE7">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备注</w:t>
                  </w:r>
                </w:p>
              </w:tc>
            </w:tr>
            <w:tr w14:paraId="478325E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trHeight w:val="270" w:hRule="atLeast"/>
                <w:tblHeader/>
              </w:trPr>
              <w:tc>
                <w:tcPr>
                  <w:tcW w:w="261" w:type="pct"/>
                  <w:tcBorders>
                    <w:tl2br w:val="nil"/>
                    <w:tr2bl w:val="nil"/>
                  </w:tcBorders>
                  <w:noWrap w:val="0"/>
                  <w:vAlign w:val="center"/>
                </w:tcPr>
                <w:p w14:paraId="6E49806F">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1</w:t>
                  </w:r>
                </w:p>
              </w:tc>
              <w:tc>
                <w:tcPr>
                  <w:tcW w:w="975" w:type="pct"/>
                  <w:tcBorders>
                    <w:tl2br w:val="nil"/>
                    <w:tr2bl w:val="nil"/>
                  </w:tcBorders>
                  <w:shd w:val="clear" w:color="auto" w:fill="auto"/>
                  <w:noWrap w:val="0"/>
                  <w:vAlign w:val="center"/>
                </w:tcPr>
                <w:p w14:paraId="6CB63B6F">
                  <w:pPr>
                    <w:jc w:val="center"/>
                    <w:rPr>
                      <w:rFonts w:hint="default" w:ascii="Times New Roman" w:hAnsi="Times New Roman" w:eastAsia="宋体" w:cs="Times New Roman"/>
                      <w:b/>
                      <w:bCs/>
                      <w:color w:val="auto"/>
                      <w:spacing w:val="10"/>
                      <w:kern w:val="2"/>
                      <w:sz w:val="21"/>
                      <w:szCs w:val="21"/>
                      <w:lang w:val="en-US" w:eastAsia="zh-CN" w:bidi="ar-SA"/>
                    </w:rPr>
                  </w:pPr>
                  <w:r>
                    <w:rPr>
                      <w:rFonts w:hint="eastAsia" w:cs="Times New Roman"/>
                      <w:b/>
                      <w:bCs/>
                      <w:color w:val="auto"/>
                      <w:spacing w:val="10"/>
                      <w:sz w:val="21"/>
                      <w:szCs w:val="21"/>
                      <w:lang w:val="en-US" w:eastAsia="zh-CN"/>
                    </w:rPr>
                    <w:t>废机油</w:t>
                  </w:r>
                </w:p>
              </w:tc>
              <w:tc>
                <w:tcPr>
                  <w:tcW w:w="555" w:type="pct"/>
                  <w:tcBorders>
                    <w:tl2br w:val="nil"/>
                    <w:tr2bl w:val="nil"/>
                  </w:tcBorders>
                  <w:shd w:val="clear" w:color="auto" w:fill="auto"/>
                  <w:noWrap w:val="0"/>
                  <w:vAlign w:val="center"/>
                </w:tcPr>
                <w:p w14:paraId="6653FC88">
                  <w:pPr>
                    <w:jc w:val="center"/>
                    <w:rPr>
                      <w:rFonts w:hint="default" w:ascii="Times New Roman" w:hAnsi="Times New Roman" w:eastAsia="宋体" w:cs="Times New Roman"/>
                      <w:b/>
                      <w:bCs/>
                      <w:color w:val="auto"/>
                      <w:kern w:val="2"/>
                      <w:sz w:val="21"/>
                      <w:szCs w:val="21"/>
                      <w:lang w:val="en-US" w:eastAsia="zh-CN" w:bidi="ar-SA"/>
                    </w:rPr>
                  </w:pPr>
                  <w:r>
                    <w:rPr>
                      <w:rFonts w:hint="eastAsia" w:cs="Times New Roman"/>
                      <w:b/>
                      <w:bCs/>
                      <w:color w:val="auto"/>
                      <w:sz w:val="21"/>
                      <w:szCs w:val="21"/>
                      <w:lang w:val="en-US" w:eastAsia="zh-CN"/>
                    </w:rPr>
                    <w:t>危废暂存间</w:t>
                  </w:r>
                </w:p>
              </w:tc>
              <w:tc>
                <w:tcPr>
                  <w:tcW w:w="737" w:type="pct"/>
                  <w:tcBorders>
                    <w:tl2br w:val="nil"/>
                    <w:tr2bl w:val="nil"/>
                  </w:tcBorders>
                  <w:shd w:val="clear" w:color="auto" w:fill="auto"/>
                  <w:noWrap w:val="0"/>
                  <w:vAlign w:val="center"/>
                </w:tcPr>
                <w:p w14:paraId="38499BAD">
                  <w:pPr>
                    <w:jc w:val="center"/>
                    <w:rPr>
                      <w:rFonts w:hint="default" w:ascii="Times New Roman" w:hAnsi="Times New Roman" w:eastAsia="宋体" w:cs="Times New Roman"/>
                      <w:b/>
                      <w:bCs/>
                      <w:color w:val="auto"/>
                      <w:kern w:val="2"/>
                      <w:sz w:val="21"/>
                      <w:szCs w:val="21"/>
                      <w:lang w:val="en-US" w:eastAsia="en-US" w:bidi="ar-SA"/>
                    </w:rPr>
                  </w:pPr>
                  <w:r>
                    <w:rPr>
                      <w:rFonts w:hint="eastAsia" w:cs="Times New Roman"/>
                      <w:b/>
                      <w:bCs/>
                      <w:color w:val="auto"/>
                      <w:sz w:val="21"/>
                      <w:szCs w:val="21"/>
                      <w:lang w:val="en-US" w:eastAsia="zh-CN"/>
                    </w:rPr>
                    <w:t>/</w:t>
                  </w:r>
                </w:p>
              </w:tc>
              <w:tc>
                <w:tcPr>
                  <w:tcW w:w="826" w:type="pct"/>
                  <w:tcBorders>
                    <w:tl2br w:val="nil"/>
                    <w:tr2bl w:val="nil"/>
                  </w:tcBorders>
                  <w:shd w:val="clear" w:color="auto" w:fill="auto"/>
                  <w:noWrap w:val="0"/>
                  <w:vAlign w:val="center"/>
                </w:tcPr>
                <w:p w14:paraId="41CD743D">
                  <w:pPr>
                    <w:jc w:val="center"/>
                    <w:rPr>
                      <w:rFonts w:hint="default" w:ascii="Times New Roman" w:hAnsi="Times New Roman" w:eastAsia="宋体" w:cs="Times New Roman"/>
                      <w:b/>
                      <w:bCs/>
                      <w:color w:val="auto"/>
                      <w:kern w:val="2"/>
                      <w:sz w:val="21"/>
                      <w:szCs w:val="21"/>
                      <w:lang w:val="en-US" w:eastAsia="zh-CN" w:bidi="ar-SA"/>
                    </w:rPr>
                  </w:pPr>
                  <w:r>
                    <w:rPr>
                      <w:rFonts w:hint="eastAsia" w:cs="Times New Roman"/>
                      <w:b/>
                      <w:bCs/>
                      <w:color w:val="auto"/>
                      <w:sz w:val="21"/>
                      <w:szCs w:val="21"/>
                      <w:lang w:val="en-US" w:eastAsia="zh-CN"/>
                    </w:rPr>
                    <w:t>0.5</w:t>
                  </w:r>
                </w:p>
              </w:tc>
              <w:tc>
                <w:tcPr>
                  <w:tcW w:w="422" w:type="pct"/>
                  <w:tcBorders>
                    <w:tl2br w:val="nil"/>
                    <w:tr2bl w:val="nil"/>
                  </w:tcBorders>
                  <w:shd w:val="clear" w:color="auto" w:fill="auto"/>
                  <w:noWrap w:val="0"/>
                  <w:vAlign w:val="center"/>
                </w:tcPr>
                <w:p w14:paraId="18FB69D2">
                  <w:pPr>
                    <w:jc w:val="center"/>
                    <w:rPr>
                      <w:rFonts w:hint="eastAsia" w:ascii="Times New Roman" w:hAnsi="Times New Roman" w:eastAsia="宋体" w:cs="Times New Roman"/>
                      <w:b/>
                      <w:bCs/>
                      <w:color w:val="auto"/>
                      <w:kern w:val="2"/>
                      <w:sz w:val="21"/>
                      <w:szCs w:val="21"/>
                      <w:lang w:val="en-US" w:eastAsia="zh-CN" w:bidi="ar-SA"/>
                    </w:rPr>
                  </w:pPr>
                  <w:r>
                    <w:rPr>
                      <w:rFonts w:hint="eastAsia" w:cs="Times New Roman"/>
                      <w:b/>
                      <w:bCs/>
                      <w:color w:val="auto"/>
                      <w:sz w:val="21"/>
                      <w:szCs w:val="21"/>
                      <w:lang w:val="en-US" w:eastAsia="zh-CN"/>
                    </w:rPr>
                    <w:t>2500</w:t>
                  </w:r>
                </w:p>
              </w:tc>
              <w:tc>
                <w:tcPr>
                  <w:tcW w:w="584" w:type="pct"/>
                  <w:tcBorders>
                    <w:tl2br w:val="nil"/>
                    <w:tr2bl w:val="nil"/>
                  </w:tcBorders>
                  <w:shd w:val="clear" w:color="auto" w:fill="auto"/>
                  <w:noWrap w:val="0"/>
                  <w:vAlign w:val="center"/>
                </w:tcPr>
                <w:p w14:paraId="3E548FD1">
                  <w:pPr>
                    <w:jc w:val="center"/>
                    <w:rPr>
                      <w:rFonts w:hint="default" w:ascii="Times New Roman" w:hAnsi="Times New Roman" w:eastAsia="宋体" w:cs="Times New Roman"/>
                      <w:b/>
                      <w:bCs/>
                      <w:color w:val="auto"/>
                      <w:kern w:val="2"/>
                      <w:sz w:val="21"/>
                      <w:szCs w:val="21"/>
                      <w:lang w:val="en-US" w:eastAsia="zh-CN" w:bidi="ar-SA"/>
                    </w:rPr>
                  </w:pPr>
                  <w:r>
                    <w:rPr>
                      <w:rFonts w:hint="eastAsia" w:cs="Times New Roman"/>
                      <w:b/>
                      <w:bCs/>
                      <w:color w:val="auto"/>
                      <w:sz w:val="21"/>
                      <w:szCs w:val="21"/>
                      <w:lang w:val="en-US" w:eastAsia="zh-CN"/>
                    </w:rPr>
                    <w:t>0.0002</w:t>
                  </w:r>
                </w:p>
              </w:tc>
              <w:tc>
                <w:tcPr>
                  <w:tcW w:w="636" w:type="pct"/>
                  <w:tcBorders>
                    <w:tl2br w:val="nil"/>
                    <w:tr2bl w:val="nil"/>
                  </w:tcBorders>
                  <w:shd w:val="clear" w:color="auto" w:fill="auto"/>
                  <w:noWrap w:val="0"/>
                  <w:vAlign w:val="center"/>
                </w:tcPr>
                <w:p w14:paraId="45FC859B">
                  <w:pPr>
                    <w:jc w:val="center"/>
                    <w:rPr>
                      <w:rFonts w:hint="default" w:ascii="Times New Roman" w:hAnsi="Times New Roman" w:eastAsia="宋体" w:cs="Times New Roman"/>
                      <w:b/>
                      <w:bCs/>
                      <w:color w:val="auto"/>
                      <w:kern w:val="2"/>
                      <w:sz w:val="21"/>
                      <w:szCs w:val="21"/>
                      <w:lang w:val="en-US" w:eastAsia="zh-CN" w:bidi="ar-SA"/>
                    </w:rPr>
                  </w:pPr>
                  <w:r>
                    <w:rPr>
                      <w:rFonts w:hint="eastAsia" w:cs="Times New Roman"/>
                      <w:b/>
                      <w:bCs/>
                      <w:color w:val="auto"/>
                      <w:sz w:val="21"/>
                      <w:szCs w:val="21"/>
                      <w:lang w:val="en-US" w:eastAsia="zh-CN"/>
                    </w:rPr>
                    <w:t>危险废物</w:t>
                  </w:r>
                </w:p>
              </w:tc>
            </w:tr>
            <w:tr w14:paraId="687C7CD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28" w:type="dxa"/>
                  <w:left w:w="108" w:type="dxa"/>
                  <w:bottom w:w="28" w:type="dxa"/>
                  <w:right w:w="108" w:type="dxa"/>
                </w:tblCellMar>
              </w:tblPrEx>
              <w:trPr>
                <w:trHeight w:val="270" w:hRule="atLeast"/>
                <w:tblHeader/>
              </w:trPr>
              <w:tc>
                <w:tcPr>
                  <w:tcW w:w="261" w:type="pct"/>
                  <w:tcBorders>
                    <w:tl2br w:val="nil"/>
                    <w:tr2bl w:val="nil"/>
                  </w:tcBorders>
                  <w:noWrap w:val="0"/>
                  <w:vAlign w:val="center"/>
                </w:tcPr>
                <w:p w14:paraId="27CB7910">
                  <w:pPr>
                    <w:jc w:val="center"/>
                    <w:rPr>
                      <w:rFonts w:hint="default" w:ascii="Times New Roman" w:hAnsi="Times New Roman" w:cs="Times New Roman"/>
                      <w:b/>
                      <w:bCs/>
                      <w:color w:val="auto"/>
                      <w:sz w:val="21"/>
                      <w:szCs w:val="21"/>
                    </w:rPr>
                  </w:pPr>
                  <w:r>
                    <w:rPr>
                      <w:rFonts w:hint="eastAsia" w:cs="Times New Roman"/>
                      <w:b/>
                      <w:bCs/>
                      <w:color w:val="auto"/>
                      <w:sz w:val="21"/>
                      <w:szCs w:val="21"/>
                      <w:lang w:val="en-US" w:eastAsia="zh-CN"/>
                    </w:rPr>
                    <w:t>2</w:t>
                  </w:r>
                </w:p>
              </w:tc>
              <w:tc>
                <w:tcPr>
                  <w:tcW w:w="975" w:type="pct"/>
                  <w:tcBorders>
                    <w:tl2br w:val="nil"/>
                    <w:tr2bl w:val="nil"/>
                  </w:tcBorders>
                  <w:shd w:val="clear" w:color="auto" w:fill="auto"/>
                  <w:noWrap w:val="0"/>
                  <w:vAlign w:val="center"/>
                </w:tcPr>
                <w:p w14:paraId="79C384E0">
                  <w:pPr>
                    <w:jc w:val="both"/>
                    <w:rPr>
                      <w:rFonts w:hint="default" w:cs="Times New Roman"/>
                      <w:b/>
                      <w:bCs/>
                      <w:color w:val="auto"/>
                      <w:spacing w:val="10"/>
                      <w:sz w:val="21"/>
                      <w:szCs w:val="21"/>
                      <w:lang w:val="en-US" w:eastAsia="zh-CN"/>
                    </w:rPr>
                  </w:pPr>
                  <w:r>
                    <w:rPr>
                      <w:rFonts w:hint="eastAsia" w:cs="Times New Roman"/>
                      <w:b/>
                      <w:bCs/>
                      <w:color w:val="auto"/>
                      <w:spacing w:val="10"/>
                      <w:sz w:val="21"/>
                      <w:szCs w:val="21"/>
                      <w:lang w:val="en-US" w:eastAsia="zh-CN"/>
                    </w:rPr>
                    <w:t>油墨（二丙二醇甲醚醋酸酯、丙二醇甲醚醋酸酯等物质）</w:t>
                  </w:r>
                </w:p>
              </w:tc>
              <w:tc>
                <w:tcPr>
                  <w:tcW w:w="555" w:type="pct"/>
                  <w:tcBorders>
                    <w:tl2br w:val="nil"/>
                    <w:tr2bl w:val="nil"/>
                  </w:tcBorders>
                  <w:shd w:val="clear" w:color="auto" w:fill="auto"/>
                  <w:noWrap w:val="0"/>
                  <w:vAlign w:val="center"/>
                </w:tcPr>
                <w:p w14:paraId="6EE327E2">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油墨储存间、彩色成像玻璃彩打区</w:t>
                  </w:r>
                </w:p>
              </w:tc>
              <w:tc>
                <w:tcPr>
                  <w:tcW w:w="737" w:type="pct"/>
                  <w:tcBorders>
                    <w:tl2br w:val="nil"/>
                    <w:tr2bl w:val="nil"/>
                  </w:tcBorders>
                  <w:shd w:val="clear" w:color="auto" w:fill="auto"/>
                  <w:noWrap w:val="0"/>
                  <w:vAlign w:val="center"/>
                </w:tcPr>
                <w:p w14:paraId="19B55403">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w:t>
                  </w:r>
                </w:p>
              </w:tc>
              <w:tc>
                <w:tcPr>
                  <w:tcW w:w="826" w:type="pct"/>
                  <w:tcBorders>
                    <w:tl2br w:val="nil"/>
                    <w:tr2bl w:val="nil"/>
                  </w:tcBorders>
                  <w:shd w:val="clear" w:color="auto" w:fill="auto"/>
                  <w:noWrap w:val="0"/>
                  <w:vAlign w:val="center"/>
                </w:tcPr>
                <w:p w14:paraId="5C76D006">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0.25</w:t>
                  </w:r>
                </w:p>
              </w:tc>
              <w:tc>
                <w:tcPr>
                  <w:tcW w:w="422" w:type="pct"/>
                  <w:tcBorders>
                    <w:tl2br w:val="nil"/>
                    <w:tr2bl w:val="nil"/>
                  </w:tcBorders>
                  <w:shd w:val="clear" w:color="auto" w:fill="auto"/>
                  <w:noWrap w:val="0"/>
                  <w:vAlign w:val="center"/>
                </w:tcPr>
                <w:p w14:paraId="0DA86DF6">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100</w:t>
                  </w:r>
                </w:p>
              </w:tc>
              <w:tc>
                <w:tcPr>
                  <w:tcW w:w="584" w:type="pct"/>
                  <w:tcBorders>
                    <w:tl2br w:val="nil"/>
                    <w:tr2bl w:val="nil"/>
                  </w:tcBorders>
                  <w:shd w:val="clear" w:color="auto" w:fill="auto"/>
                  <w:noWrap w:val="0"/>
                  <w:vAlign w:val="center"/>
                </w:tcPr>
                <w:p w14:paraId="625C3825">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0.0025</w:t>
                  </w:r>
                </w:p>
              </w:tc>
              <w:tc>
                <w:tcPr>
                  <w:tcW w:w="636" w:type="pct"/>
                  <w:tcBorders>
                    <w:tl2br w:val="nil"/>
                    <w:tr2bl w:val="nil"/>
                  </w:tcBorders>
                  <w:shd w:val="clear" w:color="auto" w:fill="auto"/>
                  <w:noWrap w:val="0"/>
                  <w:vAlign w:val="center"/>
                </w:tcPr>
                <w:p w14:paraId="3CAA763F">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w:t>
                  </w:r>
                </w:p>
              </w:tc>
            </w:tr>
            <w:tr w14:paraId="0FFA2A9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28" w:type="dxa"/>
                  <w:left w:w="108" w:type="dxa"/>
                  <w:bottom w:w="28" w:type="dxa"/>
                  <w:right w:w="108" w:type="dxa"/>
                </w:tblCellMar>
              </w:tblPrEx>
              <w:trPr>
                <w:trHeight w:val="270" w:hRule="atLeast"/>
                <w:tblHeader/>
              </w:trPr>
              <w:tc>
                <w:tcPr>
                  <w:tcW w:w="261" w:type="pct"/>
                  <w:tcBorders>
                    <w:tl2br w:val="nil"/>
                    <w:tr2bl w:val="nil"/>
                  </w:tcBorders>
                  <w:noWrap w:val="0"/>
                  <w:vAlign w:val="center"/>
                </w:tcPr>
                <w:p w14:paraId="658513C4">
                  <w:pPr>
                    <w:jc w:val="center"/>
                    <w:rPr>
                      <w:rFonts w:hint="default" w:cs="Times New Roman"/>
                      <w:b/>
                      <w:bCs/>
                      <w:color w:val="auto"/>
                      <w:sz w:val="21"/>
                      <w:szCs w:val="21"/>
                      <w:lang w:val="en-US" w:eastAsia="zh-CN"/>
                    </w:rPr>
                  </w:pPr>
                </w:p>
              </w:tc>
              <w:tc>
                <w:tcPr>
                  <w:tcW w:w="3518" w:type="pct"/>
                  <w:gridSpan w:val="5"/>
                  <w:tcBorders>
                    <w:tl2br w:val="nil"/>
                    <w:tr2bl w:val="nil"/>
                  </w:tcBorders>
                  <w:noWrap w:val="0"/>
                  <w:vAlign w:val="center"/>
                </w:tcPr>
                <w:p w14:paraId="30369061">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合计</w:t>
                  </w:r>
                </w:p>
              </w:tc>
              <w:tc>
                <w:tcPr>
                  <w:tcW w:w="584" w:type="pct"/>
                  <w:tcBorders>
                    <w:tl2br w:val="nil"/>
                    <w:tr2bl w:val="nil"/>
                  </w:tcBorders>
                  <w:noWrap w:val="0"/>
                  <w:vAlign w:val="center"/>
                </w:tcPr>
                <w:p w14:paraId="2FABF171">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0.0027</w:t>
                  </w:r>
                </w:p>
              </w:tc>
              <w:tc>
                <w:tcPr>
                  <w:tcW w:w="636" w:type="pct"/>
                  <w:tcBorders>
                    <w:tl2br w:val="nil"/>
                    <w:tr2bl w:val="nil"/>
                  </w:tcBorders>
                  <w:noWrap w:val="0"/>
                  <w:vAlign w:val="center"/>
                </w:tcPr>
                <w:p w14:paraId="20EA5280">
                  <w:pPr>
                    <w:jc w:val="center"/>
                    <w:rPr>
                      <w:rFonts w:hint="default" w:cs="Times New Roman"/>
                      <w:b/>
                      <w:bCs/>
                      <w:color w:val="auto"/>
                      <w:sz w:val="21"/>
                      <w:szCs w:val="21"/>
                      <w:lang w:val="en-US" w:eastAsia="zh-CN"/>
                    </w:rPr>
                  </w:pPr>
                  <w:r>
                    <w:rPr>
                      <w:rFonts w:hint="eastAsia" w:cs="Times New Roman"/>
                      <w:b/>
                      <w:bCs/>
                      <w:color w:val="auto"/>
                      <w:sz w:val="21"/>
                      <w:szCs w:val="21"/>
                      <w:lang w:val="en-US" w:eastAsia="zh-CN"/>
                    </w:rPr>
                    <w:t>/</w:t>
                  </w:r>
                </w:p>
              </w:tc>
            </w:tr>
            <w:tr w14:paraId="705DE0C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28" w:type="dxa"/>
                  <w:left w:w="108" w:type="dxa"/>
                  <w:bottom w:w="28" w:type="dxa"/>
                  <w:right w:w="108" w:type="dxa"/>
                </w:tblCellMar>
              </w:tblPrEx>
              <w:trPr>
                <w:trHeight w:val="145" w:hRule="atLeast"/>
              </w:trPr>
              <w:tc>
                <w:tcPr>
                  <w:tcW w:w="5000" w:type="pct"/>
                  <w:gridSpan w:val="8"/>
                  <w:tcBorders>
                    <w:tl2br w:val="nil"/>
                    <w:tr2bl w:val="nil"/>
                  </w:tcBorders>
                  <w:noWrap w:val="0"/>
                  <w:vAlign w:val="center"/>
                </w:tcPr>
                <w:p w14:paraId="7122FBE6">
                  <w:pPr>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 xml:space="preserve">    本项目厂区危险物质数量与临界量的比值（Q）：∑qn/Qn=</w:t>
                  </w:r>
                  <w:r>
                    <w:rPr>
                      <w:rFonts w:hint="eastAsia" w:cs="Times New Roman"/>
                      <w:b/>
                      <w:bCs/>
                      <w:color w:val="auto"/>
                      <w:sz w:val="21"/>
                      <w:szCs w:val="21"/>
                      <w:lang w:val="en-US" w:eastAsia="zh-CN"/>
                    </w:rPr>
                    <w:t>0.0027</w:t>
                  </w:r>
                  <w:r>
                    <w:rPr>
                      <w:rFonts w:hint="default" w:ascii="Times New Roman" w:hAnsi="Times New Roman" w:cs="Times New Roman"/>
                      <w:b/>
                      <w:bCs/>
                      <w:color w:val="auto"/>
                      <w:sz w:val="21"/>
                      <w:szCs w:val="21"/>
                    </w:rPr>
                    <w:t>&lt;1，根据《建设项目环境风险评价技术导则》（HJ169-2018）附录C，环境风险潜势为I</w:t>
                  </w:r>
                </w:p>
              </w:tc>
            </w:tr>
          </w:tbl>
          <w:p w14:paraId="28E342A1">
            <w:pPr>
              <w:keepNext w:val="0"/>
              <w:keepLines w:val="0"/>
              <w:pageBreakBefore w:val="0"/>
              <w:widowControl w:val="0"/>
              <w:tabs>
                <w:tab w:val="left" w:pos="9496"/>
              </w:tabs>
              <w:kinsoku/>
              <w:wordWrap/>
              <w:overflowPunct/>
              <w:topLinePunct w:val="0"/>
              <w:autoSpaceDE/>
              <w:autoSpaceDN/>
              <w:bidi w:val="0"/>
              <w:adjustRightInd w:val="0"/>
              <w:snapToGrid w:val="0"/>
              <w:spacing w:before="157" w:beforeLines="50"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5.2 环境影响途径及危害后果</w:t>
            </w:r>
          </w:p>
          <w:p w14:paraId="68ABDA68">
            <w:pPr>
              <w:pStyle w:val="96"/>
              <w:ind w:firstLine="480"/>
              <w:rPr>
                <w:rFonts w:eastAsia="黑体"/>
                <w:b w:val="0"/>
                <w:bCs w:val="0"/>
                <w:color w:val="auto"/>
              </w:rPr>
            </w:pPr>
            <w:r>
              <w:rPr>
                <w:rFonts w:hint="eastAsia"/>
                <w:b w:val="0"/>
                <w:bCs w:val="0"/>
                <w:color w:val="auto"/>
              </w:rPr>
              <w:t>本项目</w:t>
            </w:r>
            <w:r>
              <w:rPr>
                <w:b w:val="0"/>
                <w:bCs w:val="0"/>
                <w:color w:val="auto"/>
              </w:rPr>
              <w:t>废机油</w:t>
            </w:r>
            <w:r>
              <w:rPr>
                <w:rFonts w:hint="eastAsia"/>
                <w:b w:val="0"/>
                <w:bCs w:val="0"/>
                <w:color w:val="auto"/>
                <w:lang w:eastAsia="zh-CN"/>
              </w:rPr>
              <w:t>、</w:t>
            </w:r>
            <w:r>
              <w:rPr>
                <w:rFonts w:hint="eastAsia"/>
                <w:b w:val="0"/>
                <w:bCs w:val="0"/>
                <w:color w:val="auto"/>
                <w:lang w:val="en-US" w:eastAsia="zh-CN"/>
              </w:rPr>
              <w:t>油墨</w:t>
            </w:r>
            <w:r>
              <w:rPr>
                <w:b w:val="0"/>
                <w:bCs w:val="0"/>
                <w:color w:val="auto"/>
              </w:rPr>
              <w:t>等储存管理不严，或由于管理、操作不当或设备损害等因素，存在泄漏风险，会通过土壤、地表下渗进而污染地下水，从而对土壤和地下水产生不良影响；遇明火易发生火灾。火灾事故主要表现为热辐射、燃烧废气、消防废水对环境的影响，其中燃烧废气将会对下风向环境空气质量造成一定影响，也会对人群健康形成一定影响，但在经过一个较短的周期后，可恢复到原有水平；同时消防废水可能会进入土壤，对土壤及地下水造成一定的影响。</w:t>
            </w:r>
          </w:p>
          <w:p w14:paraId="121CFA8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表4-2</w:t>
            </w:r>
            <w:r>
              <w:rPr>
                <w:rFonts w:hint="eastAsia" w:cs="Times New Roman"/>
                <w:b/>
                <w:bCs/>
                <w:snapToGrid w:val="0"/>
                <w:color w:val="auto"/>
                <w:kern w:val="0"/>
                <w:sz w:val="24"/>
                <w:szCs w:val="24"/>
                <w:lang w:val="en-US" w:eastAsia="zh-CN" w:bidi="ar-SA"/>
              </w:rPr>
              <w:t>0</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本项目主要风险物质环境影响途径及危害后果</w:t>
            </w:r>
          </w:p>
          <w:tbl>
            <w:tblPr>
              <w:tblStyle w:val="39"/>
              <w:tblW w:w="4995"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6"/>
              <w:gridCol w:w="974"/>
              <w:gridCol w:w="979"/>
              <w:gridCol w:w="1695"/>
              <w:gridCol w:w="1149"/>
              <w:gridCol w:w="2386"/>
            </w:tblGrid>
            <w:tr w14:paraId="51C6D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46" w:type="pct"/>
                  <w:tcBorders>
                    <w:tl2br w:val="nil"/>
                    <w:tr2bl w:val="nil"/>
                  </w:tcBorders>
                  <w:noWrap w:val="0"/>
                  <w:vAlign w:val="center"/>
                </w:tcPr>
                <w:p w14:paraId="353E375F">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功能单元</w:t>
                  </w:r>
                </w:p>
              </w:tc>
              <w:tc>
                <w:tcPr>
                  <w:tcW w:w="590" w:type="pct"/>
                  <w:tcBorders>
                    <w:tl2br w:val="nil"/>
                    <w:tr2bl w:val="nil"/>
                  </w:tcBorders>
                  <w:noWrap w:val="0"/>
                  <w:vAlign w:val="center"/>
                </w:tcPr>
                <w:p w14:paraId="0384D462">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风险物质</w:t>
                  </w:r>
                </w:p>
              </w:tc>
              <w:tc>
                <w:tcPr>
                  <w:tcW w:w="593" w:type="pct"/>
                  <w:tcBorders>
                    <w:tl2br w:val="nil"/>
                    <w:tr2bl w:val="nil"/>
                  </w:tcBorders>
                  <w:noWrap w:val="0"/>
                  <w:vAlign w:val="center"/>
                </w:tcPr>
                <w:p w14:paraId="12DCD6D5">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潜在事故</w:t>
                  </w:r>
                </w:p>
              </w:tc>
              <w:tc>
                <w:tcPr>
                  <w:tcW w:w="1027" w:type="pct"/>
                  <w:tcBorders>
                    <w:tl2br w:val="nil"/>
                    <w:tr2bl w:val="nil"/>
                  </w:tcBorders>
                  <w:noWrap w:val="0"/>
                  <w:vAlign w:val="center"/>
                </w:tcPr>
                <w:p w14:paraId="2774BD59">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发生的原因</w:t>
                  </w:r>
                </w:p>
              </w:tc>
              <w:tc>
                <w:tcPr>
                  <w:tcW w:w="696" w:type="pct"/>
                  <w:tcBorders>
                    <w:tl2br w:val="nil"/>
                    <w:tr2bl w:val="nil"/>
                  </w:tcBorders>
                  <w:noWrap w:val="0"/>
                  <w:vAlign w:val="center"/>
                </w:tcPr>
                <w:p w14:paraId="46228A54">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影响途径</w:t>
                  </w:r>
                </w:p>
              </w:tc>
              <w:tc>
                <w:tcPr>
                  <w:tcW w:w="1446" w:type="pct"/>
                  <w:tcBorders>
                    <w:tl2br w:val="nil"/>
                    <w:tr2bl w:val="nil"/>
                  </w:tcBorders>
                  <w:noWrap w:val="0"/>
                  <w:vAlign w:val="center"/>
                </w:tcPr>
                <w:p w14:paraId="6735EDCA">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对周围环境影响</w:t>
                  </w:r>
                </w:p>
              </w:tc>
            </w:tr>
            <w:tr w14:paraId="5F94B9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46" w:type="pct"/>
                  <w:tcBorders>
                    <w:tl2br w:val="nil"/>
                    <w:tr2bl w:val="nil"/>
                  </w:tcBorders>
                  <w:noWrap w:val="0"/>
                  <w:vAlign w:val="center"/>
                </w:tcPr>
                <w:p w14:paraId="310CB485">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危废暂存间</w:t>
                  </w:r>
                </w:p>
              </w:tc>
              <w:tc>
                <w:tcPr>
                  <w:tcW w:w="590" w:type="pct"/>
                  <w:tcBorders>
                    <w:tl2br w:val="nil"/>
                    <w:tr2bl w:val="nil"/>
                  </w:tcBorders>
                  <w:noWrap w:val="0"/>
                  <w:vAlign w:val="center"/>
                </w:tcPr>
                <w:p w14:paraId="4D4A1ECE">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废机油</w:t>
                  </w:r>
                </w:p>
              </w:tc>
              <w:tc>
                <w:tcPr>
                  <w:tcW w:w="593" w:type="pct"/>
                  <w:tcBorders>
                    <w:tl2br w:val="nil"/>
                    <w:tr2bl w:val="nil"/>
                  </w:tcBorders>
                  <w:noWrap w:val="0"/>
                  <w:vAlign w:val="center"/>
                </w:tcPr>
                <w:p w14:paraId="34CBAE63">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rFonts w:hint="eastAsia"/>
                      <w:b w:val="0"/>
                      <w:bCs w:val="0"/>
                      <w:color w:val="auto"/>
                      <w:lang w:val="en-US" w:eastAsia="zh-CN"/>
                    </w:rPr>
                    <w:t>泄漏</w:t>
                  </w:r>
                  <w:r>
                    <w:rPr>
                      <w:b w:val="0"/>
                      <w:bCs w:val="0"/>
                      <w:color w:val="auto"/>
                    </w:rPr>
                    <w:t>、火灾</w:t>
                  </w:r>
                </w:p>
              </w:tc>
              <w:tc>
                <w:tcPr>
                  <w:tcW w:w="1027" w:type="pct"/>
                  <w:tcBorders>
                    <w:tl2br w:val="nil"/>
                    <w:tr2bl w:val="nil"/>
                  </w:tcBorders>
                  <w:noWrap w:val="0"/>
                  <w:vAlign w:val="center"/>
                </w:tcPr>
                <w:p w14:paraId="7190DAD2">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储存管理不严，或由于操作不当或设备损害等因素</w:t>
                  </w:r>
                </w:p>
              </w:tc>
              <w:tc>
                <w:tcPr>
                  <w:tcW w:w="696" w:type="pct"/>
                  <w:tcBorders>
                    <w:tl2br w:val="nil"/>
                    <w:tr2bl w:val="nil"/>
                  </w:tcBorders>
                  <w:noWrap w:val="0"/>
                  <w:vAlign w:val="center"/>
                </w:tcPr>
                <w:p w14:paraId="5B618A36">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大气、地表水、地下水、土壤</w:t>
                  </w:r>
                </w:p>
              </w:tc>
              <w:tc>
                <w:tcPr>
                  <w:tcW w:w="1446" w:type="pct"/>
                  <w:tcBorders>
                    <w:tl2br w:val="nil"/>
                    <w:tr2bl w:val="nil"/>
                  </w:tcBorders>
                  <w:noWrap w:val="0"/>
                  <w:vAlign w:val="center"/>
                </w:tcPr>
                <w:p w14:paraId="7B1D284B">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rFonts w:hint="eastAsia"/>
                      <w:b w:val="0"/>
                      <w:bCs w:val="0"/>
                      <w:color w:val="auto"/>
                      <w:lang w:val="en-US" w:eastAsia="zh-CN"/>
                    </w:rPr>
                    <w:t>泄漏</w:t>
                  </w:r>
                  <w:r>
                    <w:rPr>
                      <w:b w:val="0"/>
                      <w:bCs w:val="0"/>
                      <w:color w:val="auto"/>
                    </w:rPr>
                    <w:t>通过土壤、地表下渗进而污染地下水，从而对土壤和地下水产生不良影响</w:t>
                  </w:r>
                </w:p>
              </w:tc>
            </w:tr>
            <w:tr w14:paraId="161CA6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46" w:type="pct"/>
                  <w:tcBorders>
                    <w:tl2br w:val="nil"/>
                    <w:tr2bl w:val="nil"/>
                  </w:tcBorders>
                  <w:noWrap w:val="0"/>
                  <w:vAlign w:val="center"/>
                </w:tcPr>
                <w:p w14:paraId="76BCB439">
                  <w:pPr>
                    <w:pStyle w:val="115"/>
                    <w:keepNext w:val="0"/>
                    <w:keepLines w:val="0"/>
                    <w:pageBreakBefore w:val="0"/>
                    <w:widowControl/>
                    <w:kinsoku/>
                    <w:wordWrap/>
                    <w:overflowPunct/>
                    <w:topLinePunct w:val="0"/>
                    <w:autoSpaceDE/>
                    <w:autoSpaceDN/>
                    <w:bidi w:val="0"/>
                    <w:adjustRightInd/>
                    <w:snapToGrid w:val="0"/>
                    <w:jc w:val="center"/>
                    <w:textAlignment w:val="auto"/>
                    <w:rPr>
                      <w:rFonts w:hint="default" w:eastAsia="宋体"/>
                      <w:b w:val="0"/>
                      <w:bCs w:val="0"/>
                      <w:color w:val="auto"/>
                      <w:lang w:val="en-US" w:eastAsia="zh-CN"/>
                    </w:rPr>
                  </w:pPr>
                  <w:r>
                    <w:rPr>
                      <w:rFonts w:hint="eastAsia"/>
                      <w:b w:val="0"/>
                      <w:bCs w:val="0"/>
                      <w:color w:val="auto"/>
                      <w:lang w:val="en-US" w:eastAsia="zh-CN"/>
                    </w:rPr>
                    <w:t>油墨储存区、彩色成像玻璃彩打区</w:t>
                  </w:r>
                </w:p>
              </w:tc>
              <w:tc>
                <w:tcPr>
                  <w:tcW w:w="590" w:type="pct"/>
                  <w:tcBorders>
                    <w:tl2br w:val="nil"/>
                    <w:tr2bl w:val="nil"/>
                  </w:tcBorders>
                  <w:noWrap w:val="0"/>
                  <w:vAlign w:val="center"/>
                </w:tcPr>
                <w:p w14:paraId="56F799E0">
                  <w:pPr>
                    <w:pStyle w:val="115"/>
                    <w:keepNext w:val="0"/>
                    <w:keepLines w:val="0"/>
                    <w:pageBreakBefore w:val="0"/>
                    <w:widowControl/>
                    <w:kinsoku/>
                    <w:wordWrap/>
                    <w:overflowPunct/>
                    <w:topLinePunct w:val="0"/>
                    <w:autoSpaceDE/>
                    <w:autoSpaceDN/>
                    <w:bidi w:val="0"/>
                    <w:adjustRightInd/>
                    <w:snapToGrid w:val="0"/>
                    <w:jc w:val="center"/>
                    <w:textAlignment w:val="auto"/>
                    <w:rPr>
                      <w:rFonts w:hint="default" w:eastAsia="宋体"/>
                      <w:b w:val="0"/>
                      <w:bCs w:val="0"/>
                      <w:color w:val="auto"/>
                      <w:lang w:val="en-US" w:eastAsia="zh-CN"/>
                    </w:rPr>
                  </w:pPr>
                  <w:r>
                    <w:rPr>
                      <w:rFonts w:hint="eastAsia"/>
                      <w:b w:val="0"/>
                      <w:bCs w:val="0"/>
                      <w:color w:val="auto"/>
                      <w:lang w:val="en-US" w:eastAsia="zh-CN"/>
                    </w:rPr>
                    <w:t>油墨</w:t>
                  </w:r>
                </w:p>
              </w:tc>
              <w:tc>
                <w:tcPr>
                  <w:tcW w:w="593" w:type="pct"/>
                  <w:tcBorders>
                    <w:tl2br w:val="nil"/>
                    <w:tr2bl w:val="nil"/>
                  </w:tcBorders>
                  <w:noWrap w:val="0"/>
                  <w:vAlign w:val="center"/>
                </w:tcPr>
                <w:p w14:paraId="0594ECB6">
                  <w:pPr>
                    <w:pStyle w:val="115"/>
                    <w:keepNext w:val="0"/>
                    <w:keepLines w:val="0"/>
                    <w:pageBreakBefore w:val="0"/>
                    <w:widowControl/>
                    <w:kinsoku/>
                    <w:wordWrap/>
                    <w:overflowPunct/>
                    <w:topLinePunct w:val="0"/>
                    <w:autoSpaceDE/>
                    <w:autoSpaceDN/>
                    <w:bidi w:val="0"/>
                    <w:adjustRightInd/>
                    <w:snapToGrid w:val="0"/>
                    <w:jc w:val="center"/>
                    <w:textAlignment w:val="auto"/>
                    <w:rPr>
                      <w:rFonts w:hint="eastAsia"/>
                      <w:b w:val="0"/>
                      <w:bCs w:val="0"/>
                      <w:color w:val="auto"/>
                      <w:lang w:val="en-US" w:eastAsia="zh-CN"/>
                    </w:rPr>
                  </w:pPr>
                  <w:r>
                    <w:rPr>
                      <w:rFonts w:hint="eastAsia"/>
                      <w:b w:val="0"/>
                      <w:bCs w:val="0"/>
                      <w:color w:val="auto"/>
                      <w:lang w:val="en-US" w:eastAsia="zh-CN"/>
                    </w:rPr>
                    <w:t>泄漏</w:t>
                  </w:r>
                </w:p>
              </w:tc>
              <w:tc>
                <w:tcPr>
                  <w:tcW w:w="1027" w:type="pct"/>
                  <w:tcBorders>
                    <w:tl2br w:val="nil"/>
                    <w:tr2bl w:val="nil"/>
                  </w:tcBorders>
                  <w:shd w:val="clear" w:color="auto" w:fill="auto"/>
                  <w:noWrap w:val="0"/>
                  <w:vAlign w:val="center"/>
                </w:tcPr>
                <w:p w14:paraId="00573679">
                  <w:pPr>
                    <w:pStyle w:val="115"/>
                    <w:keepNext w:val="0"/>
                    <w:keepLines w:val="0"/>
                    <w:pageBreakBefore w:val="0"/>
                    <w:widowControl/>
                    <w:kinsoku/>
                    <w:wordWrap/>
                    <w:overflowPunct/>
                    <w:topLinePunct w:val="0"/>
                    <w:autoSpaceDE/>
                    <w:autoSpaceDN/>
                    <w:bidi w:val="0"/>
                    <w:adjustRightInd/>
                    <w:snapToGrid w:val="0"/>
                    <w:jc w:val="center"/>
                    <w:textAlignment w:val="auto"/>
                    <w:rPr>
                      <w:rFonts w:ascii="Times New Roman" w:hAnsi="Times New Roman" w:eastAsia="宋体" w:cs="Times New Roman"/>
                      <w:b w:val="0"/>
                      <w:bCs w:val="0"/>
                      <w:color w:val="auto"/>
                      <w:sz w:val="21"/>
                      <w:lang w:val="en-US" w:eastAsia="zh-CN" w:bidi="ar-SA"/>
                    </w:rPr>
                  </w:pPr>
                  <w:r>
                    <w:rPr>
                      <w:b w:val="0"/>
                      <w:bCs w:val="0"/>
                      <w:color w:val="auto"/>
                    </w:rPr>
                    <w:t>储存管理不严，或由于操作不当或设备损害等因素</w:t>
                  </w:r>
                </w:p>
              </w:tc>
              <w:tc>
                <w:tcPr>
                  <w:tcW w:w="696" w:type="pct"/>
                  <w:tcBorders>
                    <w:tl2br w:val="nil"/>
                    <w:tr2bl w:val="nil"/>
                  </w:tcBorders>
                  <w:noWrap w:val="0"/>
                  <w:vAlign w:val="center"/>
                </w:tcPr>
                <w:p w14:paraId="0F56FE2C">
                  <w:pPr>
                    <w:pStyle w:val="115"/>
                    <w:keepNext w:val="0"/>
                    <w:keepLines w:val="0"/>
                    <w:pageBreakBefore w:val="0"/>
                    <w:widowControl/>
                    <w:kinsoku/>
                    <w:wordWrap/>
                    <w:overflowPunct/>
                    <w:topLinePunct w:val="0"/>
                    <w:autoSpaceDE/>
                    <w:autoSpaceDN/>
                    <w:bidi w:val="0"/>
                    <w:adjustRightInd/>
                    <w:snapToGrid w:val="0"/>
                    <w:jc w:val="center"/>
                    <w:textAlignment w:val="auto"/>
                    <w:rPr>
                      <w:b w:val="0"/>
                      <w:bCs w:val="0"/>
                      <w:color w:val="auto"/>
                    </w:rPr>
                  </w:pPr>
                  <w:r>
                    <w:rPr>
                      <w:b w:val="0"/>
                      <w:bCs w:val="0"/>
                      <w:color w:val="auto"/>
                    </w:rPr>
                    <w:t>地表水、地下水、土壤</w:t>
                  </w:r>
                </w:p>
              </w:tc>
              <w:tc>
                <w:tcPr>
                  <w:tcW w:w="1446" w:type="pct"/>
                  <w:tcBorders>
                    <w:tl2br w:val="nil"/>
                    <w:tr2bl w:val="nil"/>
                  </w:tcBorders>
                  <w:noWrap w:val="0"/>
                  <w:vAlign w:val="center"/>
                </w:tcPr>
                <w:p w14:paraId="7F9D36A5">
                  <w:pPr>
                    <w:pStyle w:val="115"/>
                    <w:keepNext w:val="0"/>
                    <w:keepLines w:val="0"/>
                    <w:pageBreakBefore w:val="0"/>
                    <w:widowControl/>
                    <w:kinsoku/>
                    <w:wordWrap/>
                    <w:overflowPunct/>
                    <w:topLinePunct w:val="0"/>
                    <w:autoSpaceDE/>
                    <w:autoSpaceDN/>
                    <w:bidi w:val="0"/>
                    <w:adjustRightInd/>
                    <w:snapToGrid w:val="0"/>
                    <w:jc w:val="center"/>
                    <w:textAlignment w:val="auto"/>
                    <w:rPr>
                      <w:rFonts w:hint="eastAsia"/>
                      <w:b w:val="0"/>
                      <w:bCs w:val="0"/>
                      <w:color w:val="auto"/>
                      <w:lang w:val="en-US" w:eastAsia="zh-CN"/>
                    </w:rPr>
                  </w:pPr>
                  <w:r>
                    <w:rPr>
                      <w:rFonts w:hint="eastAsia"/>
                      <w:b w:val="0"/>
                      <w:bCs w:val="0"/>
                      <w:color w:val="auto"/>
                      <w:lang w:val="en-US" w:eastAsia="zh-CN"/>
                    </w:rPr>
                    <w:t>泄漏</w:t>
                  </w:r>
                  <w:r>
                    <w:rPr>
                      <w:b w:val="0"/>
                      <w:bCs w:val="0"/>
                      <w:color w:val="auto"/>
                    </w:rPr>
                    <w:t>通过土壤、地表下渗进而污染地下水，从而对土壤和地下水产生不良影响</w:t>
                  </w:r>
                </w:p>
              </w:tc>
            </w:tr>
          </w:tbl>
          <w:p w14:paraId="2DC5E2AB">
            <w:pPr>
              <w:keepNext w:val="0"/>
              <w:keepLines w:val="0"/>
              <w:pageBreakBefore w:val="0"/>
              <w:widowControl w:val="0"/>
              <w:tabs>
                <w:tab w:val="left" w:pos="9496"/>
              </w:tabs>
              <w:kinsoku/>
              <w:wordWrap/>
              <w:overflowPunct/>
              <w:topLinePunct w:val="0"/>
              <w:autoSpaceDE/>
              <w:autoSpaceDN/>
              <w:bidi w:val="0"/>
              <w:adjustRightInd w:val="0"/>
              <w:snapToGrid w:val="0"/>
              <w:spacing w:before="157" w:beforeLines="50"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5.3环境风险防范措施</w:t>
            </w:r>
          </w:p>
          <w:p w14:paraId="6F331C68">
            <w:pPr>
              <w:pStyle w:val="96"/>
              <w:ind w:firstLine="480"/>
              <w:rPr>
                <w:b/>
                <w:bCs/>
                <w:color w:val="auto"/>
                <w:u w:val="single"/>
              </w:rPr>
            </w:pPr>
            <w:r>
              <w:rPr>
                <w:b/>
                <w:bCs/>
                <w:color w:val="auto"/>
                <w:u w:val="single"/>
              </w:rPr>
              <w:t>本项目在运行过程中，建议采取以下环境风险措施：</w:t>
            </w:r>
          </w:p>
          <w:p w14:paraId="43DEB3E5">
            <w:pPr>
              <w:pStyle w:val="96"/>
              <w:ind w:firstLine="480"/>
              <w:rPr>
                <w:b/>
                <w:bCs/>
                <w:color w:val="auto"/>
                <w:u w:val="single"/>
              </w:rPr>
            </w:pPr>
            <w:r>
              <w:rPr>
                <w:b/>
                <w:bCs/>
                <w:color w:val="auto"/>
                <w:u w:val="single"/>
              </w:rPr>
              <w:t>（1）危废暂存间</w:t>
            </w:r>
            <w:r>
              <w:rPr>
                <w:rFonts w:hint="eastAsia"/>
                <w:b/>
                <w:bCs/>
                <w:color w:val="auto"/>
                <w:u w:val="single"/>
                <w:lang w:val="en-US" w:eastAsia="zh-CN"/>
              </w:rPr>
              <w:t>、油墨储存区及彩色成像玻璃彩打区</w:t>
            </w:r>
            <w:r>
              <w:rPr>
                <w:b/>
                <w:bCs/>
                <w:color w:val="auto"/>
                <w:u w:val="single"/>
              </w:rPr>
              <w:t>根据相关规定进行防腐防渗，渗透系数≤10</w:t>
            </w:r>
            <w:r>
              <w:rPr>
                <w:b/>
                <w:bCs/>
                <w:color w:val="auto"/>
                <w:u w:val="single"/>
                <w:vertAlign w:val="superscript"/>
              </w:rPr>
              <w:t>-10</w:t>
            </w:r>
            <w:r>
              <w:rPr>
                <w:b/>
                <w:bCs/>
                <w:color w:val="auto"/>
                <w:u w:val="single"/>
              </w:rPr>
              <w:t>cm/s。危废暂存间内设置围堰。各类危险废物分别由专用危废储存容器存放，并分类分区存放于暂存间内，存放时确保储存容器完好无损，并粘贴危废标签；临时贮存间地面与裙角需用防渗混凝土建造，表层无裂痕，存放区设堵截泄露危废裙角，以免危废容器破裂。</w:t>
            </w:r>
          </w:p>
          <w:p w14:paraId="253B628E">
            <w:pPr>
              <w:pStyle w:val="96"/>
              <w:ind w:firstLine="480"/>
              <w:rPr>
                <w:b/>
                <w:bCs/>
                <w:color w:val="auto"/>
                <w:u w:val="single"/>
              </w:rPr>
            </w:pPr>
            <w:r>
              <w:rPr>
                <w:b/>
                <w:bCs/>
                <w:color w:val="auto"/>
                <w:u w:val="single"/>
              </w:rPr>
              <w:t>（</w:t>
            </w:r>
            <w:r>
              <w:rPr>
                <w:rFonts w:hint="eastAsia"/>
                <w:b/>
                <w:bCs/>
                <w:color w:val="auto"/>
                <w:u w:val="single"/>
              </w:rPr>
              <w:t>2</w:t>
            </w:r>
            <w:r>
              <w:rPr>
                <w:b/>
                <w:bCs/>
                <w:color w:val="auto"/>
                <w:u w:val="single"/>
              </w:rPr>
              <w:t>）生产线所在区域地面做硬化及防渗处理，内表面均采取防渗、防腐蚀的处理；</w:t>
            </w:r>
            <w:r>
              <w:rPr>
                <w:rFonts w:hint="eastAsia"/>
                <w:b/>
                <w:bCs/>
                <w:color w:val="auto"/>
                <w:u w:val="single"/>
                <w:lang w:val="en-US" w:eastAsia="zh-CN"/>
              </w:rPr>
              <w:t>油墨采用桶装进行密闭储存，</w:t>
            </w:r>
            <w:r>
              <w:rPr>
                <w:rFonts w:hint="eastAsia"/>
                <w:b/>
                <w:bCs/>
                <w:color w:val="auto"/>
                <w:u w:val="single"/>
              </w:rPr>
              <w:t>废</w:t>
            </w:r>
            <w:r>
              <w:rPr>
                <w:b/>
                <w:bCs/>
                <w:color w:val="auto"/>
                <w:u w:val="single"/>
              </w:rPr>
              <w:t>机油用密闭容器储存，不得敞口，存放时确保储存容器完好无损。</w:t>
            </w:r>
          </w:p>
          <w:p w14:paraId="48DD8903">
            <w:pPr>
              <w:pStyle w:val="96"/>
              <w:ind w:firstLine="480"/>
              <w:rPr>
                <w:b/>
                <w:bCs/>
                <w:color w:val="auto"/>
                <w:u w:val="single"/>
              </w:rPr>
            </w:pPr>
            <w:r>
              <w:rPr>
                <w:b/>
                <w:bCs/>
                <w:color w:val="auto"/>
                <w:u w:val="single"/>
              </w:rPr>
              <w:t>（</w:t>
            </w:r>
            <w:r>
              <w:rPr>
                <w:rFonts w:hint="eastAsia"/>
                <w:b/>
                <w:bCs/>
                <w:color w:val="auto"/>
                <w:u w:val="single"/>
              </w:rPr>
              <w:t>3</w:t>
            </w:r>
            <w:r>
              <w:rPr>
                <w:b/>
                <w:bCs/>
                <w:color w:val="auto"/>
                <w:u w:val="single"/>
              </w:rPr>
              <w:t>）厂区内配置灭火器，灭火器的设置应符合《建筑灭火设计规范》相关要求。</w:t>
            </w:r>
          </w:p>
          <w:p w14:paraId="61ACDDC2">
            <w:pPr>
              <w:pStyle w:val="96"/>
              <w:ind w:firstLine="480"/>
              <w:rPr>
                <w:b/>
                <w:bCs/>
                <w:color w:val="FF0000"/>
                <w:u w:val="single"/>
              </w:rPr>
            </w:pPr>
            <w:r>
              <w:rPr>
                <w:b/>
                <w:bCs/>
                <w:color w:val="auto"/>
                <w:u w:val="single"/>
              </w:rPr>
              <w:t>（</w:t>
            </w:r>
            <w:r>
              <w:rPr>
                <w:rFonts w:hint="eastAsia"/>
                <w:b/>
                <w:bCs/>
                <w:color w:val="auto"/>
                <w:u w:val="single"/>
              </w:rPr>
              <w:t>4</w:t>
            </w:r>
            <w:r>
              <w:rPr>
                <w:b/>
                <w:bCs/>
                <w:color w:val="auto"/>
                <w:u w:val="single"/>
              </w:rPr>
              <w:t>）针对营运期可能发生的异常现象和存在的安全隐患，建设单位还应制定完善的安全管理制度、安全生产责任制和安全操作规程。制定突发环境事件应急预案，一旦发生事故，要做到快速、高效、安全处置，及时对下风向进行环境监测，采取相应的措施降低对附近居民的影响。</w:t>
            </w:r>
          </w:p>
          <w:p w14:paraId="04A44C9C">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5.4 分析结论</w:t>
            </w:r>
          </w:p>
          <w:p w14:paraId="7AB6CD10">
            <w:pPr>
              <w:pStyle w:val="96"/>
              <w:ind w:firstLine="480"/>
              <w:rPr>
                <w:b w:val="0"/>
                <w:bCs w:val="0"/>
                <w:color w:val="auto"/>
              </w:rPr>
            </w:pPr>
            <w:r>
              <w:rPr>
                <w:b w:val="0"/>
                <w:bCs w:val="0"/>
                <w:color w:val="auto"/>
              </w:rPr>
              <w:t>建设单位只要认真落实相关风险防范措施、严格管理，将能有效地防止火灾、爆炸等事故的发生；一旦发生事故，依靠完善的安全防护设施和事故应急措施则能及时控制事故，防止事故的蔓延；在此基础上，项目的环境风险影响是可以接受的。</w:t>
            </w:r>
          </w:p>
          <w:p w14:paraId="465D8109">
            <w:pPr>
              <w:keepNext w:val="0"/>
              <w:keepLines w:val="0"/>
              <w:pageBreakBefore w:val="0"/>
              <w:widowControl w:val="0"/>
              <w:tabs>
                <w:tab w:val="left" w:pos="9496"/>
              </w:tabs>
              <w:kinsoku/>
              <w:wordWrap/>
              <w:overflowPunct/>
              <w:topLinePunct w:val="0"/>
              <w:autoSpaceDE/>
              <w:autoSpaceDN/>
              <w:bidi w:val="0"/>
              <w:adjustRightInd w:val="0"/>
              <w:snapToGrid w:val="0"/>
              <w:spacing w:line="360" w:lineRule="auto"/>
              <w:ind w:firstLine="454" w:firstLineChars="200"/>
              <w:jc w:val="both"/>
              <w:textAlignment w:val="auto"/>
              <w:rPr>
                <w:rFonts w:hint="eastAsia" w:ascii="Times New Roman" w:hAnsi="Times New Roman" w:eastAsia="宋体" w:cs="Times New Roman"/>
                <w:b/>
                <w:bCs w:val="0"/>
                <w:spacing w:val="-7"/>
                <w:kern w:val="2"/>
                <w:sz w:val="24"/>
                <w:szCs w:val="24"/>
                <w:highlight w:val="none"/>
                <w:u w:val="none"/>
                <w:lang w:val="en-US" w:eastAsia="zh-CN" w:bidi="ar-SA"/>
              </w:rPr>
            </w:pPr>
            <w:r>
              <w:rPr>
                <w:rFonts w:hint="eastAsia" w:ascii="Times New Roman" w:hAnsi="Times New Roman" w:eastAsia="宋体" w:cs="Times New Roman"/>
                <w:b/>
                <w:bCs w:val="0"/>
                <w:spacing w:val="-7"/>
                <w:kern w:val="2"/>
                <w:sz w:val="24"/>
                <w:szCs w:val="24"/>
                <w:highlight w:val="none"/>
                <w:u w:val="none"/>
                <w:lang w:val="en-US" w:eastAsia="zh-CN" w:bidi="ar-SA"/>
              </w:rPr>
              <w:t>5.5环境风险简单分析内容表</w:t>
            </w:r>
          </w:p>
          <w:p w14:paraId="1D7BDA8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b/>
                <w:bCs/>
                <w:snapToGrid w:val="0"/>
                <w:color w:val="auto"/>
                <w:kern w:val="0"/>
                <w:sz w:val="24"/>
                <w:szCs w:val="24"/>
                <w:lang w:val="en-US" w:eastAsia="zh-CN" w:bidi="ar-SA"/>
              </w:rPr>
            </w:pPr>
            <w:r>
              <w:rPr>
                <w:rFonts w:hint="eastAsia" w:ascii="Times New Roman" w:hAnsi="Times New Roman" w:eastAsia="宋体" w:cs="Times New Roman"/>
                <w:b/>
                <w:bCs/>
                <w:snapToGrid w:val="0"/>
                <w:color w:val="auto"/>
                <w:kern w:val="0"/>
                <w:sz w:val="24"/>
                <w:szCs w:val="24"/>
                <w:lang w:val="en-US" w:eastAsia="zh-CN" w:bidi="ar-SA"/>
              </w:rPr>
              <w:t>表4-2</w:t>
            </w:r>
            <w:r>
              <w:rPr>
                <w:rFonts w:hint="eastAsia" w:cs="Times New Roman"/>
                <w:b/>
                <w:bCs/>
                <w:snapToGrid w:val="0"/>
                <w:color w:val="auto"/>
                <w:kern w:val="0"/>
                <w:sz w:val="24"/>
                <w:szCs w:val="24"/>
                <w:lang w:val="en-US" w:eastAsia="zh-CN" w:bidi="ar-SA"/>
              </w:rPr>
              <w:t>1</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 xml:space="preserve"> 建设项目环境风险简单分析内容表</w:t>
            </w:r>
          </w:p>
          <w:tbl>
            <w:tblPr>
              <w:tblStyle w:val="39"/>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9"/>
              <w:gridCol w:w="940"/>
              <w:gridCol w:w="2331"/>
              <w:gridCol w:w="927"/>
              <w:gridCol w:w="2562"/>
            </w:tblGrid>
            <w:tr w14:paraId="11728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8" w:type="pct"/>
                  <w:noWrap w:val="0"/>
                  <w:vAlign w:val="center"/>
                </w:tcPr>
                <w:p w14:paraId="0ADD104D">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建设项目名称</w:t>
                  </w:r>
                </w:p>
              </w:tc>
              <w:tc>
                <w:tcPr>
                  <w:tcW w:w="4091" w:type="pct"/>
                  <w:gridSpan w:val="4"/>
                  <w:noWrap w:val="0"/>
                  <w:vAlign w:val="center"/>
                </w:tcPr>
                <w:p w14:paraId="4465E9D5">
                  <w:pPr>
                    <w:pStyle w:val="115"/>
                    <w:rPr>
                      <w:rFonts w:hint="default" w:ascii="Times New Roman" w:hAnsi="Times New Roman" w:eastAsia="宋体" w:cs="Times New Roman"/>
                      <w:b w:val="0"/>
                      <w:bCs w:val="0"/>
                      <w:color w:val="auto"/>
                      <w:sz w:val="21"/>
                      <w:szCs w:val="21"/>
                    </w:rPr>
                  </w:pPr>
                </w:p>
              </w:tc>
            </w:tr>
            <w:tr w14:paraId="18175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8" w:type="pct"/>
                  <w:noWrap w:val="0"/>
                  <w:vAlign w:val="center"/>
                </w:tcPr>
                <w:p w14:paraId="1F3384F8">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建设地点</w:t>
                  </w:r>
                </w:p>
              </w:tc>
              <w:tc>
                <w:tcPr>
                  <w:tcW w:w="569" w:type="pct"/>
                  <w:noWrap w:val="0"/>
                  <w:vAlign w:val="center"/>
                </w:tcPr>
                <w:p w14:paraId="2DC300BD">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河南省</w:t>
                  </w:r>
                </w:p>
              </w:tc>
              <w:tc>
                <w:tcPr>
                  <w:tcW w:w="1411" w:type="pct"/>
                  <w:noWrap w:val="0"/>
                  <w:vAlign w:val="center"/>
                </w:tcPr>
                <w:p w14:paraId="7A50CE31">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周口市</w:t>
                  </w:r>
                </w:p>
              </w:tc>
              <w:tc>
                <w:tcPr>
                  <w:tcW w:w="2110" w:type="pct"/>
                  <w:gridSpan w:val="2"/>
                  <w:noWrap w:val="0"/>
                  <w:vAlign w:val="center"/>
                </w:tcPr>
                <w:p w14:paraId="54AC3926">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周口市</w:t>
                  </w:r>
                  <w:r>
                    <w:rPr>
                      <w:rFonts w:hint="default" w:ascii="Times New Roman" w:hAnsi="Times New Roman" w:eastAsia="宋体" w:cs="Times New Roman"/>
                      <w:b w:val="0"/>
                      <w:bCs w:val="0"/>
                      <w:color w:val="auto"/>
                      <w:sz w:val="21"/>
                      <w:szCs w:val="21"/>
                      <w:highlight w:val="none"/>
                    </w:rPr>
                    <w:t>周口先进制造业开发区</w:t>
                  </w:r>
                  <w:r>
                    <w:rPr>
                      <w:rFonts w:hint="default" w:ascii="Times New Roman" w:hAnsi="Times New Roman" w:eastAsia="宋体" w:cs="Times New Roman"/>
                      <w:b w:val="0"/>
                      <w:bCs w:val="0"/>
                      <w:color w:val="auto"/>
                      <w:sz w:val="21"/>
                      <w:szCs w:val="21"/>
                      <w:highlight w:val="none"/>
                      <w:lang w:val="en-US" w:eastAsia="zh-CN"/>
                    </w:rPr>
                    <w:t>（周口市淮阳区城关镇南三环南侧，规划工业二路西侧）</w:t>
                  </w:r>
                </w:p>
              </w:tc>
            </w:tr>
            <w:tr w14:paraId="5DF51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8" w:type="pct"/>
                  <w:noWrap w:val="0"/>
                  <w:vAlign w:val="center"/>
                </w:tcPr>
                <w:p w14:paraId="45FD0C4B">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地理坐标</w:t>
                  </w:r>
                </w:p>
              </w:tc>
              <w:tc>
                <w:tcPr>
                  <w:tcW w:w="569" w:type="pct"/>
                  <w:noWrap w:val="0"/>
                  <w:vAlign w:val="center"/>
                </w:tcPr>
                <w:p w14:paraId="09CD06F6">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经度</w:t>
                  </w:r>
                </w:p>
              </w:tc>
              <w:tc>
                <w:tcPr>
                  <w:tcW w:w="1411" w:type="pct"/>
                  <w:noWrap w:val="0"/>
                  <w:vAlign w:val="center"/>
                </w:tcPr>
                <w:p w14:paraId="69ACFE53">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 xml:space="preserve"> 114 度50分 </w:t>
                  </w:r>
                  <w:r>
                    <w:rPr>
                      <w:rFonts w:hint="default" w:ascii="Times New Roman" w:hAnsi="Times New Roman" w:eastAsia="宋体" w:cs="Times New Roman"/>
                      <w:b w:val="0"/>
                      <w:bCs w:val="0"/>
                      <w:color w:val="auto"/>
                      <w:sz w:val="21"/>
                      <w:szCs w:val="21"/>
                      <w:highlight w:val="none"/>
                      <w:lang w:val="en-US" w:eastAsia="zh-CN"/>
                    </w:rPr>
                    <w:t>7.078</w:t>
                  </w:r>
                  <w:r>
                    <w:rPr>
                      <w:rFonts w:hint="default" w:ascii="Times New Roman" w:hAnsi="Times New Roman" w:eastAsia="宋体" w:cs="Times New Roman"/>
                      <w:b w:val="0"/>
                      <w:bCs w:val="0"/>
                      <w:color w:val="auto"/>
                      <w:sz w:val="21"/>
                      <w:szCs w:val="21"/>
                      <w:highlight w:val="none"/>
                    </w:rPr>
                    <w:t>秒</w:t>
                  </w:r>
                </w:p>
              </w:tc>
              <w:tc>
                <w:tcPr>
                  <w:tcW w:w="561" w:type="pct"/>
                  <w:noWrap w:val="0"/>
                  <w:vAlign w:val="center"/>
                </w:tcPr>
                <w:p w14:paraId="6B59A3D2">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纬度</w:t>
                  </w:r>
                </w:p>
              </w:tc>
              <w:tc>
                <w:tcPr>
                  <w:tcW w:w="1549" w:type="pct"/>
                  <w:noWrap w:val="0"/>
                  <w:vAlign w:val="center"/>
                </w:tcPr>
                <w:p w14:paraId="2939D390">
                  <w:pPr>
                    <w:pStyle w:val="115"/>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 xml:space="preserve"> 33 度4</w:t>
                  </w:r>
                  <w:r>
                    <w:rPr>
                      <w:rFonts w:hint="default" w:ascii="Times New Roman" w:hAnsi="Times New Roman" w:eastAsia="宋体" w:cs="Times New Roman"/>
                      <w:b w:val="0"/>
                      <w:bCs w:val="0"/>
                      <w:color w:val="auto"/>
                      <w:sz w:val="21"/>
                      <w:szCs w:val="21"/>
                      <w:highlight w:val="none"/>
                      <w:lang w:val="en-US" w:eastAsia="zh-CN"/>
                    </w:rPr>
                    <w:t>0</w:t>
                  </w:r>
                  <w:r>
                    <w:rPr>
                      <w:rFonts w:hint="default" w:ascii="Times New Roman" w:hAnsi="Times New Roman" w:eastAsia="宋体" w:cs="Times New Roman"/>
                      <w:b w:val="0"/>
                      <w:bCs w:val="0"/>
                      <w:color w:val="auto"/>
                      <w:sz w:val="21"/>
                      <w:szCs w:val="21"/>
                      <w:highlight w:val="none"/>
                    </w:rPr>
                    <w:t>分</w:t>
                  </w:r>
                  <w:r>
                    <w:rPr>
                      <w:rFonts w:hint="default" w:ascii="Times New Roman" w:hAnsi="Times New Roman" w:eastAsia="宋体" w:cs="Times New Roman"/>
                      <w:b w:val="0"/>
                      <w:bCs w:val="0"/>
                      <w:color w:val="auto"/>
                      <w:sz w:val="21"/>
                      <w:szCs w:val="21"/>
                      <w:highlight w:val="none"/>
                      <w:lang w:val="en-US" w:eastAsia="zh-CN"/>
                    </w:rPr>
                    <w:t>51.925</w:t>
                  </w:r>
                  <w:r>
                    <w:rPr>
                      <w:rFonts w:hint="default" w:ascii="Times New Roman" w:hAnsi="Times New Roman" w:eastAsia="宋体" w:cs="Times New Roman"/>
                      <w:b w:val="0"/>
                      <w:bCs w:val="0"/>
                      <w:color w:val="auto"/>
                      <w:sz w:val="21"/>
                      <w:szCs w:val="21"/>
                      <w:highlight w:val="none"/>
                    </w:rPr>
                    <w:t xml:space="preserve"> 秒</w:t>
                  </w:r>
                </w:p>
              </w:tc>
            </w:tr>
            <w:tr w14:paraId="4E870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8" w:type="pct"/>
                  <w:noWrap w:val="0"/>
                  <w:vAlign w:val="center"/>
                </w:tcPr>
                <w:p w14:paraId="58823705">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主要危险物质及分布</w:t>
                  </w:r>
                </w:p>
              </w:tc>
              <w:tc>
                <w:tcPr>
                  <w:tcW w:w="4091" w:type="pct"/>
                  <w:gridSpan w:val="4"/>
                  <w:noWrap w:val="0"/>
                  <w:vAlign w:val="center"/>
                </w:tcPr>
                <w:p w14:paraId="3E715274">
                  <w:pPr>
                    <w:pStyle w:val="115"/>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rPr>
                    <w:t>主要危险物质：废机油</w:t>
                  </w:r>
                  <w:r>
                    <w:rPr>
                      <w:rFonts w:hint="eastAsia" w:cs="Times New Roman"/>
                      <w:b w:val="0"/>
                      <w:bCs w:val="0"/>
                      <w:color w:val="auto"/>
                      <w:sz w:val="21"/>
                      <w:szCs w:val="21"/>
                      <w:lang w:eastAsia="zh-CN"/>
                    </w:rPr>
                    <w:t>、</w:t>
                  </w:r>
                  <w:r>
                    <w:rPr>
                      <w:rFonts w:hint="eastAsia" w:cs="Times New Roman"/>
                      <w:b w:val="0"/>
                      <w:bCs w:val="0"/>
                      <w:color w:val="auto"/>
                      <w:sz w:val="21"/>
                      <w:szCs w:val="21"/>
                      <w:lang w:val="en-US" w:eastAsia="zh-CN"/>
                    </w:rPr>
                    <w:t>油墨</w:t>
                  </w:r>
                </w:p>
                <w:p w14:paraId="5FCEC4CD">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分布：生产车间、危废暂存间</w:t>
                  </w:r>
                  <w:r>
                    <w:rPr>
                      <w:rFonts w:hint="eastAsia" w:cs="Times New Roman"/>
                      <w:b w:val="0"/>
                      <w:bCs w:val="0"/>
                      <w:color w:val="auto"/>
                      <w:sz w:val="21"/>
                      <w:szCs w:val="21"/>
                      <w:lang w:eastAsia="zh-CN"/>
                    </w:rPr>
                    <w:t>、</w:t>
                  </w:r>
                  <w:r>
                    <w:rPr>
                      <w:rFonts w:hint="eastAsia" w:cs="Times New Roman"/>
                      <w:b w:val="0"/>
                      <w:bCs w:val="0"/>
                      <w:color w:val="auto"/>
                      <w:sz w:val="21"/>
                      <w:szCs w:val="21"/>
                      <w:lang w:val="en-US" w:eastAsia="zh-CN"/>
                    </w:rPr>
                    <w:t>油墨储存间</w:t>
                  </w:r>
                  <w:r>
                    <w:rPr>
                      <w:rFonts w:hint="default" w:ascii="Times New Roman" w:hAnsi="Times New Roman" w:eastAsia="宋体" w:cs="Times New Roman"/>
                      <w:b w:val="0"/>
                      <w:bCs w:val="0"/>
                      <w:color w:val="auto"/>
                      <w:sz w:val="21"/>
                      <w:szCs w:val="21"/>
                    </w:rPr>
                    <w:t>等</w:t>
                  </w:r>
                </w:p>
              </w:tc>
            </w:tr>
            <w:tr w14:paraId="7C7EB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8" w:type="pct"/>
                  <w:noWrap w:val="0"/>
                  <w:vAlign w:val="center"/>
                </w:tcPr>
                <w:p w14:paraId="16C7D40A">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环境影响途径及危害后果（大气、地表水、地下水等）</w:t>
                  </w:r>
                </w:p>
              </w:tc>
              <w:tc>
                <w:tcPr>
                  <w:tcW w:w="4091" w:type="pct"/>
                  <w:gridSpan w:val="4"/>
                  <w:noWrap w:val="0"/>
                  <w:vAlign w:val="center"/>
                </w:tcPr>
                <w:p w14:paraId="0745C458">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环境影响途径：</w:t>
                  </w:r>
                </w:p>
                <w:p w14:paraId="227FDF7B">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泄漏，火灾、爆炸事故</w:t>
                  </w:r>
                </w:p>
                <w:p w14:paraId="61988ED2">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危害后果：</w:t>
                  </w:r>
                </w:p>
                <w:p w14:paraId="66601E74">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w:t>
                  </w:r>
                  <w:r>
                    <w:rPr>
                      <w:rFonts w:hint="eastAsia" w:cs="Times New Roman"/>
                      <w:b w:val="0"/>
                      <w:bCs w:val="0"/>
                      <w:color w:val="auto"/>
                      <w:sz w:val="21"/>
                      <w:szCs w:val="21"/>
                      <w:lang w:val="en-US" w:eastAsia="zh-CN"/>
                    </w:rPr>
                    <w:t>1</w:t>
                  </w:r>
                  <w:r>
                    <w:rPr>
                      <w:rFonts w:hint="default" w:ascii="Times New Roman" w:hAnsi="Times New Roman" w:eastAsia="宋体" w:cs="Times New Roman"/>
                      <w:b w:val="0"/>
                      <w:bCs w:val="0"/>
                      <w:color w:val="auto"/>
                      <w:sz w:val="21"/>
                      <w:szCs w:val="21"/>
                    </w:rPr>
                    <w:t>）废机油遇明火燃烧，发生火灾。</w:t>
                  </w:r>
                </w:p>
                <w:p w14:paraId="7D2413DF">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w:t>
                  </w:r>
                  <w:r>
                    <w:rPr>
                      <w:rFonts w:hint="eastAsia" w:cs="Times New Roman"/>
                      <w:b w:val="0"/>
                      <w:bCs w:val="0"/>
                      <w:color w:val="auto"/>
                      <w:sz w:val="21"/>
                      <w:szCs w:val="21"/>
                      <w:lang w:val="en-US" w:eastAsia="zh-CN"/>
                    </w:rPr>
                    <w:t>2</w:t>
                  </w:r>
                  <w:r>
                    <w:rPr>
                      <w:rFonts w:hint="default" w:ascii="Times New Roman" w:hAnsi="Times New Roman" w:eastAsia="宋体" w:cs="Times New Roman"/>
                      <w:b w:val="0"/>
                      <w:bCs w:val="0"/>
                      <w:color w:val="auto"/>
                      <w:sz w:val="21"/>
                      <w:szCs w:val="21"/>
                    </w:rPr>
                    <w:t>）</w:t>
                  </w:r>
                  <w:r>
                    <w:rPr>
                      <w:rFonts w:hint="eastAsia" w:ascii="Times New Roman" w:hAnsi="Times New Roman" w:eastAsia="宋体" w:cs="Times New Roman"/>
                      <w:b w:val="0"/>
                      <w:bCs w:val="0"/>
                      <w:color w:val="auto"/>
                      <w:sz w:val="21"/>
                      <w:szCs w:val="21"/>
                      <w:lang w:val="en-US" w:eastAsia="zh-CN"/>
                    </w:rPr>
                    <w:t>泄漏</w:t>
                  </w:r>
                  <w:r>
                    <w:rPr>
                      <w:rFonts w:hint="default" w:ascii="Times New Roman" w:hAnsi="Times New Roman" w:eastAsia="宋体" w:cs="Times New Roman"/>
                      <w:b w:val="0"/>
                      <w:bCs w:val="0"/>
                      <w:color w:val="auto"/>
                      <w:sz w:val="21"/>
                      <w:szCs w:val="21"/>
                    </w:rPr>
                    <w:t>通过土壤、地表下渗进而污染地下水，从而对土壤和地下水产生不良影响。</w:t>
                  </w:r>
                </w:p>
              </w:tc>
            </w:tr>
            <w:tr w14:paraId="20A4A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8" w:type="pct"/>
                  <w:noWrap w:val="0"/>
                  <w:vAlign w:val="center"/>
                </w:tcPr>
                <w:p w14:paraId="300BFEDF">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风险防范措施要求</w:t>
                  </w:r>
                </w:p>
              </w:tc>
              <w:tc>
                <w:tcPr>
                  <w:tcW w:w="4091" w:type="pct"/>
                  <w:gridSpan w:val="4"/>
                  <w:noWrap w:val="0"/>
                  <w:vAlign w:val="center"/>
                </w:tcPr>
                <w:p w14:paraId="6B2FD1C2">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①定期巡检、维护</w:t>
                  </w:r>
                </w:p>
                <w:p w14:paraId="4858FA81">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a.针对可能发生的泄露事件，建设项目采取定期巡检、维护制度。对涉及环境风险物质的车间、环保装置进行定期巡检，及时更换破损、腐蚀的配件。</w:t>
                  </w:r>
                </w:p>
                <w:p w14:paraId="2B0452A3">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②运行管理控制</w:t>
                  </w:r>
                </w:p>
                <w:p w14:paraId="348B89DC">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a.生产操作过程中，必须加强安全管理，提高安全生产意识。</w:t>
                  </w:r>
                </w:p>
                <w:p w14:paraId="7DE2F88D">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③规范厂区内危险废物管理</w:t>
                  </w:r>
                </w:p>
                <w:p w14:paraId="1B27D5D9">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建设项目应按要求、规范建设危废暂存间</w:t>
                  </w:r>
                  <w:r>
                    <w:rPr>
                      <w:rFonts w:hint="eastAsia" w:cs="Times New Roman"/>
                      <w:b w:val="0"/>
                      <w:bCs w:val="0"/>
                      <w:color w:val="auto"/>
                      <w:sz w:val="21"/>
                      <w:szCs w:val="21"/>
                      <w:lang w:eastAsia="zh-CN"/>
                    </w:rPr>
                    <w:t>、</w:t>
                  </w:r>
                  <w:r>
                    <w:rPr>
                      <w:rFonts w:hint="eastAsia" w:cs="Times New Roman"/>
                      <w:b w:val="0"/>
                      <w:bCs w:val="0"/>
                      <w:color w:val="auto"/>
                      <w:sz w:val="21"/>
                      <w:szCs w:val="21"/>
                      <w:lang w:val="en-US" w:eastAsia="zh-CN"/>
                    </w:rPr>
                    <w:t>油墨储存间</w:t>
                  </w:r>
                  <w:r>
                    <w:rPr>
                      <w:rFonts w:hint="default" w:ascii="Times New Roman" w:hAnsi="Times New Roman" w:eastAsia="宋体" w:cs="Times New Roman"/>
                      <w:b w:val="0"/>
                      <w:bCs w:val="0"/>
                      <w:color w:val="auto"/>
                      <w:sz w:val="21"/>
                      <w:szCs w:val="21"/>
                    </w:rPr>
                    <w:t>，做好防渗措施，设置围堰</w:t>
                  </w:r>
                  <w:r>
                    <w:rPr>
                      <w:rFonts w:hint="default" w:ascii="Times New Roman" w:hAnsi="Times New Roman" w:eastAsia="宋体" w:cs="Times New Roman"/>
                      <w:b w:val="0"/>
                      <w:bCs w:val="0"/>
                      <w:color w:val="auto"/>
                      <w:sz w:val="21"/>
                      <w:szCs w:val="21"/>
                      <w:lang w:val="en-US" w:eastAsia="zh-CN"/>
                    </w:rPr>
                    <w:t>防漏，</w:t>
                  </w:r>
                  <w:r>
                    <w:rPr>
                      <w:rFonts w:hint="default" w:ascii="Times New Roman" w:hAnsi="Times New Roman" w:eastAsia="宋体" w:cs="Times New Roman"/>
                      <w:b w:val="0"/>
                      <w:bCs w:val="0"/>
                      <w:color w:val="auto"/>
                      <w:sz w:val="21"/>
                      <w:szCs w:val="21"/>
                    </w:rPr>
                    <w:t>危废暂存间禁烟火，按要求配置相应的安全生产事件应急物资。</w:t>
                  </w:r>
                </w:p>
                <w:p w14:paraId="305D3DB7">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④其他安全生产措施</w:t>
                  </w:r>
                </w:p>
                <w:p w14:paraId="1EEC3E27">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a.按规范设置手提式灭火器和消火栓；</w:t>
                  </w:r>
                </w:p>
                <w:p w14:paraId="5346CEF5">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b.主要通道、有工作人员的场地设置应急事故照明；</w:t>
                  </w:r>
                </w:p>
                <w:p w14:paraId="74F7A31E">
                  <w:pPr>
                    <w:pStyle w:val="115"/>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c.建设项目须按要求配置相应的安全生产事件应急物资，加强厂区安全生产管理与培训，减少因安全生产事故导致的突发环境事件。</w:t>
                  </w:r>
                </w:p>
              </w:tc>
            </w:tr>
            <w:tr w14:paraId="5E90E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5"/>
                  <w:noWrap w:val="0"/>
                  <w:vAlign w:val="center"/>
                </w:tcPr>
                <w:p w14:paraId="48C2A85C">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填表说明（列出项目相关信息及评价说明）：</w:t>
                  </w:r>
                </w:p>
                <w:p w14:paraId="039B60B5">
                  <w:pPr>
                    <w:pStyle w:val="115"/>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建设单位在营运过程中必须严格落实风险防范措施，降低风险事故的发生概率，一旦发生事故，必须严格认真落实应急预案措施，将风险后果</w:t>
                  </w:r>
                  <w:r>
                    <w:rPr>
                      <w:rFonts w:hint="eastAsia" w:cs="Times New Roman"/>
                      <w:b w:val="0"/>
                      <w:bCs w:val="0"/>
                      <w:color w:val="auto"/>
                      <w:sz w:val="21"/>
                      <w:szCs w:val="21"/>
                      <w:lang w:val="en-US" w:eastAsia="zh-CN"/>
                    </w:rPr>
                    <w:t>降</w:t>
                  </w:r>
                  <w:r>
                    <w:rPr>
                      <w:rFonts w:hint="default" w:ascii="Times New Roman" w:hAnsi="Times New Roman" w:eastAsia="宋体" w:cs="Times New Roman"/>
                      <w:b w:val="0"/>
                      <w:bCs w:val="0"/>
                      <w:color w:val="auto"/>
                      <w:sz w:val="21"/>
                      <w:szCs w:val="21"/>
                    </w:rPr>
                    <w:t>到最低。</w:t>
                  </w:r>
                </w:p>
              </w:tc>
            </w:tr>
          </w:tbl>
          <w:p w14:paraId="2471D351">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360" w:lineRule="auto"/>
              <w:textAlignment w:val="auto"/>
              <w:rPr>
                <w:rFonts w:hint="default" w:ascii="Times New Roman" w:hAnsi="Times New Roman" w:eastAsia="宋体" w:cs="Times New Roman"/>
                <w:b/>
                <w:bCs/>
                <w:color w:val="auto"/>
                <w:sz w:val="24"/>
                <w:szCs w:val="24"/>
                <w:lang w:val="en-US" w:eastAsia="zh-CN"/>
              </w:rPr>
            </w:pPr>
            <w:bookmarkStart w:id="102" w:name="_Toc7047"/>
            <w:bookmarkStart w:id="103" w:name="_Toc15590"/>
            <w:r>
              <w:rPr>
                <w:rFonts w:hint="default" w:ascii="Times New Roman" w:hAnsi="Times New Roman" w:eastAsia="宋体" w:cs="Times New Roman"/>
                <w:b/>
                <w:bCs/>
                <w:color w:val="auto"/>
                <w:sz w:val="24"/>
                <w:szCs w:val="24"/>
                <w:lang w:val="en-US" w:eastAsia="zh-CN"/>
              </w:rPr>
              <w:t>地下水、土壤环境影响分析</w:t>
            </w:r>
            <w:bookmarkEnd w:id="102"/>
            <w:bookmarkEnd w:id="103"/>
          </w:p>
          <w:p w14:paraId="0297BDC6">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rPr>
            </w:pPr>
            <w:r>
              <w:rPr>
                <w:rFonts w:hint="default" w:ascii="Times New Roman" w:hAnsi="Times New Roman" w:cs="Times New Roman"/>
                <w:b w:val="0"/>
                <w:bCs w:val="0"/>
                <w:color w:val="auto"/>
                <w:sz w:val="24"/>
                <w:highlight w:val="none"/>
                <w:u w:val="none" w:color="auto"/>
                <w:lang w:val="en-US" w:eastAsia="zh-CN"/>
              </w:rPr>
              <w:t xml:space="preserve">本项目不在各级饮用水水源地及其保护区范围内。区域内不涉及热水、矿泉水、 温泉等特殊地下水资源保护区。根据《建设项目环境影响报告表编制技术指南（污染影响类）（试行）》，仅需分析地下水污染源、污染物类型和污染途径，并按照分区防控要求提出相应的防控措施，根据分析结 果提出跟踪评价要求。 </w:t>
            </w:r>
          </w:p>
          <w:p w14:paraId="67A4E35D">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rPr>
            </w:pPr>
            <w:r>
              <w:rPr>
                <w:rFonts w:hint="default" w:ascii="Times New Roman" w:hAnsi="Times New Roman" w:cs="Times New Roman"/>
                <w:b w:val="0"/>
                <w:bCs w:val="0"/>
                <w:color w:val="auto"/>
                <w:sz w:val="24"/>
                <w:highlight w:val="none"/>
                <w:u w:val="none" w:color="auto"/>
                <w:lang w:val="en-US" w:eastAsia="zh-CN"/>
              </w:rPr>
              <w:t xml:space="preserve">（1）污染源及污染类型 </w:t>
            </w:r>
          </w:p>
          <w:p w14:paraId="52D75339">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rPr>
            </w:pPr>
            <w:r>
              <w:rPr>
                <w:rFonts w:hint="default" w:ascii="Times New Roman" w:hAnsi="Times New Roman" w:cs="Times New Roman"/>
                <w:b w:val="0"/>
                <w:bCs w:val="0"/>
                <w:color w:val="auto"/>
                <w:sz w:val="24"/>
                <w:highlight w:val="none"/>
                <w:u w:val="none" w:color="auto"/>
                <w:lang w:val="en-US" w:eastAsia="zh-CN"/>
              </w:rPr>
              <w:t>本项目废气污染源为非甲烷总烃。本项目废水污染源主要为生活污水、</w:t>
            </w:r>
            <w:r>
              <w:rPr>
                <w:rFonts w:hint="eastAsia" w:cs="Times New Roman"/>
                <w:b w:val="0"/>
                <w:bCs w:val="0"/>
                <w:color w:val="auto"/>
                <w:sz w:val="24"/>
                <w:highlight w:val="none"/>
                <w:u w:val="none" w:color="auto"/>
                <w:lang w:val="en-US" w:eastAsia="zh-CN"/>
              </w:rPr>
              <w:t>清洗废水等</w:t>
            </w:r>
            <w:r>
              <w:rPr>
                <w:rFonts w:hint="default" w:ascii="Times New Roman" w:hAnsi="Times New Roman" w:cs="Times New Roman"/>
                <w:b w:val="0"/>
                <w:bCs w:val="0"/>
                <w:color w:val="auto"/>
                <w:sz w:val="24"/>
                <w:highlight w:val="none"/>
                <w:u w:val="none" w:color="auto"/>
                <w:lang w:val="en-US" w:eastAsia="zh-CN"/>
              </w:rPr>
              <w:t>，污染物为 pH 值、悬浮物、化学需氧量、五日生化需氧量、氨氮</w:t>
            </w:r>
            <w:r>
              <w:rPr>
                <w:rFonts w:hint="eastAsia" w:cs="Times New Roman"/>
                <w:b w:val="0"/>
                <w:bCs w:val="0"/>
                <w:color w:val="auto"/>
                <w:sz w:val="24"/>
                <w:highlight w:val="none"/>
                <w:u w:val="none" w:color="auto"/>
                <w:lang w:val="en-US" w:eastAsia="zh-CN"/>
              </w:rPr>
              <w:t>，本项目原料油墨使用涉及有机物等</w:t>
            </w:r>
            <w:r>
              <w:rPr>
                <w:rFonts w:hint="default" w:ascii="Times New Roman" w:hAnsi="Times New Roman" w:cs="Times New Roman"/>
                <w:b w:val="0"/>
                <w:bCs w:val="0"/>
                <w:color w:val="auto"/>
                <w:sz w:val="24"/>
                <w:highlight w:val="none"/>
                <w:u w:val="none" w:color="auto"/>
                <w:lang w:val="en-US" w:eastAsia="zh-CN"/>
              </w:rPr>
              <w:t xml:space="preserve">。 </w:t>
            </w:r>
          </w:p>
          <w:p w14:paraId="3C44E249">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rPr>
            </w:pPr>
            <w:r>
              <w:rPr>
                <w:rFonts w:hint="default" w:ascii="Times New Roman" w:hAnsi="Times New Roman" w:cs="Times New Roman"/>
                <w:b w:val="0"/>
                <w:bCs w:val="0"/>
                <w:color w:val="auto"/>
                <w:sz w:val="24"/>
                <w:highlight w:val="none"/>
                <w:u w:val="none" w:color="auto"/>
                <w:lang w:val="en-US" w:eastAsia="zh-CN"/>
              </w:rPr>
              <w:t xml:space="preserve">（2）污染途径识别 </w:t>
            </w:r>
          </w:p>
          <w:p w14:paraId="2BA13588">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rPr>
            </w:pPr>
            <w:r>
              <w:rPr>
                <w:rFonts w:hint="default" w:ascii="Times New Roman" w:hAnsi="Times New Roman" w:cs="Times New Roman"/>
                <w:b w:val="0"/>
                <w:bCs w:val="0"/>
                <w:color w:val="auto"/>
                <w:sz w:val="24"/>
                <w:highlight w:val="none"/>
                <w:u w:val="none" w:color="auto"/>
                <w:lang w:val="en-US" w:eastAsia="zh-CN"/>
              </w:rPr>
              <w:t xml:space="preserve">污染物可以通过多种途径进入土壤和地下水，主要类型有以下几种：大气污染型：项目产生的非甲烷总烃 通过大气沉降途径进入土壤。 </w:t>
            </w:r>
          </w:p>
          <w:p w14:paraId="081AD9E5">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 xml:space="preserve">废水污染型：项目废水污水泄漏或渗漏可能污染浅层地下水和土壤，项目厂区采取严格的防渗漏措施，减小其对地下水环境产生的影响。固体废物污染型：项目产生的危险废物在堆放、运输过程中通过扩散、降水、淋洗等直接或间接影响土壤。 </w:t>
            </w:r>
          </w:p>
          <w:p w14:paraId="4BB94548">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 xml:space="preserve">（3）分区防控措施 </w:t>
            </w:r>
          </w:p>
          <w:p w14:paraId="31FE625B">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 xml:space="preserve">为防止项目运营期间产生的污染物以及含污介质的下渗对区域土壤和地下水造成污染，针对可能导致土壤和地下水污染的各种情景以及地下水污染途径和扩散途径，应从项目原料产品的储存、装卸、运输、生产、污染处理措施等各个环节和过程进行有效控制，避免污染物泄/渗漏，遵循“源头控制、分区防治、污染监控、应急响应”的原则，同时对可能会泄漏到地表的区域采取一定的防渗措施，从而从源头到末端全方位采取有效控制措施。 </w:t>
            </w:r>
          </w:p>
          <w:p w14:paraId="5CC8E288">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 xml:space="preserve">地下水污染防治措施坚持源头控制、末端防治、污染监控相结合的原则，具体如 下： </w:t>
            </w:r>
          </w:p>
          <w:p w14:paraId="33B3220C">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 xml:space="preserve">①源头控制：主要包括工艺、管道、设备、污水储存及处理构筑物等采取防泄漏和分区防渗措施，将污染物泄漏、渗漏污染地下水的环境风险降低到最低程度。 </w:t>
            </w:r>
          </w:p>
          <w:p w14:paraId="1F65B30B">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 xml:space="preserve">②末端控制：主要包括厂区防渗措施和泄漏、渗漏污染物收集措施，防止洒落地面的污染物渗入地下、同时对渗入地下的污染物及时收集，从而防止污染地下水。 </w:t>
            </w:r>
          </w:p>
          <w:p w14:paraId="009962E9">
            <w:pPr>
              <w:autoSpaceDE w:val="0"/>
              <w:autoSpaceDN w:val="0"/>
              <w:adjustRightInd w:val="0"/>
              <w:spacing w:line="360" w:lineRule="auto"/>
              <w:ind w:firstLine="480" w:firstLineChars="200"/>
              <w:jc w:val="left"/>
              <w:rPr>
                <w:rFonts w:hint="default" w:ascii="Times New Roman" w:hAnsi="Times New Roman" w:cs="Times New Roman"/>
                <w:b w:val="0"/>
                <w:bCs w:val="0"/>
                <w:color w:val="auto"/>
                <w:sz w:val="24"/>
                <w:highlight w:val="none"/>
                <w:u w:val="none" w:color="auto"/>
                <w:lang w:val="en-US" w:eastAsia="zh-CN"/>
              </w:rPr>
            </w:pPr>
            <w:r>
              <w:rPr>
                <w:rFonts w:hint="default" w:ascii="Times New Roman" w:hAnsi="Times New Roman" w:cs="Times New Roman"/>
                <w:b w:val="0"/>
                <w:bCs w:val="0"/>
                <w:color w:val="auto"/>
                <w:sz w:val="24"/>
                <w:highlight w:val="none"/>
                <w:u w:val="none" w:color="auto"/>
                <w:lang w:val="en-US" w:eastAsia="zh-CN"/>
              </w:rPr>
              <w:t>③地下水污染监控：主要包括建立完善的监测制度、配备先进的检测仪器和设备，合理科学的利用项目取水井，以便及时发现并及时控制。同时，加强车间以及各用排水单元的管理，避免跑冒滴漏现象的发生，增强员工的环境保护意识，及时对员工进行宣传教育。</w:t>
            </w:r>
          </w:p>
          <w:p w14:paraId="6856FC8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snapToGrid w:val="0"/>
                <w:color w:val="auto"/>
                <w:kern w:val="0"/>
                <w:sz w:val="24"/>
                <w:szCs w:val="24"/>
                <w:lang w:val="zh-CN" w:eastAsia="zh-CN" w:bidi="ar-SA"/>
              </w:rPr>
            </w:pPr>
            <w:r>
              <w:rPr>
                <w:rFonts w:hint="eastAsia" w:ascii="Times New Roman" w:hAnsi="Times New Roman" w:eastAsia="宋体" w:cs="Times New Roman"/>
                <w:b/>
                <w:snapToGrid w:val="0"/>
                <w:color w:val="auto"/>
                <w:kern w:val="0"/>
                <w:sz w:val="24"/>
                <w:szCs w:val="24"/>
                <w:lang w:val="en-US" w:eastAsia="zh-CN" w:bidi="ar-SA"/>
              </w:rPr>
              <w:t>表4-2</w:t>
            </w:r>
            <w:r>
              <w:rPr>
                <w:rFonts w:hint="eastAsia" w:cs="Times New Roman"/>
                <w:b/>
                <w:snapToGrid w:val="0"/>
                <w:color w:val="auto"/>
                <w:kern w:val="0"/>
                <w:sz w:val="24"/>
                <w:szCs w:val="24"/>
                <w:lang w:val="en-US" w:eastAsia="zh-CN" w:bidi="ar-SA"/>
              </w:rPr>
              <w:t>2</w:t>
            </w:r>
            <w:r>
              <w:rPr>
                <w:rFonts w:hint="eastAsia" w:ascii="Times New Roman" w:hAnsi="Times New Roman" w:eastAsia="宋体" w:cs="Times New Roman"/>
                <w:b/>
                <w:snapToGrid w:val="0"/>
                <w:color w:val="auto"/>
                <w:kern w:val="0"/>
                <w:sz w:val="24"/>
                <w:szCs w:val="24"/>
                <w:lang w:val="en-US" w:eastAsia="zh-CN" w:bidi="ar-SA"/>
              </w:rPr>
              <w:t xml:space="preserve">   </w:t>
            </w:r>
            <w:r>
              <w:rPr>
                <w:rFonts w:hint="default" w:ascii="Times New Roman" w:hAnsi="Times New Roman" w:eastAsia="宋体" w:cs="Times New Roman"/>
                <w:b/>
                <w:snapToGrid w:val="0"/>
                <w:color w:val="auto"/>
                <w:kern w:val="0"/>
                <w:sz w:val="24"/>
                <w:szCs w:val="24"/>
                <w:lang w:val="zh-CN" w:eastAsia="zh-CN" w:bidi="ar-SA"/>
              </w:rPr>
              <w:t xml:space="preserve"> </w:t>
            </w:r>
            <w:r>
              <w:rPr>
                <w:rFonts w:hint="eastAsia" w:ascii="Times New Roman" w:hAnsi="Times New Roman" w:eastAsia="宋体" w:cs="Times New Roman"/>
                <w:b/>
                <w:snapToGrid w:val="0"/>
                <w:color w:val="auto"/>
                <w:kern w:val="0"/>
                <w:sz w:val="24"/>
                <w:szCs w:val="24"/>
                <w:lang w:val="en-US" w:eastAsia="zh-CN" w:bidi="ar-SA"/>
              </w:rPr>
              <w:t xml:space="preserve"> </w:t>
            </w:r>
            <w:r>
              <w:rPr>
                <w:rFonts w:hint="default" w:ascii="Times New Roman" w:hAnsi="Times New Roman" w:eastAsia="宋体" w:cs="Times New Roman"/>
                <w:b/>
                <w:snapToGrid w:val="0"/>
                <w:color w:val="auto"/>
                <w:kern w:val="0"/>
                <w:sz w:val="24"/>
                <w:szCs w:val="24"/>
                <w:lang w:val="zh-CN" w:eastAsia="zh-CN" w:bidi="ar-SA"/>
              </w:rPr>
              <w:t>项目防渗分区</w:t>
            </w:r>
          </w:p>
          <w:tbl>
            <w:tblPr>
              <w:tblStyle w:val="3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988"/>
              <w:gridCol w:w="1875"/>
              <w:gridCol w:w="3690"/>
            </w:tblGrid>
            <w:tr w14:paraId="5D5BE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430" w:type="pct"/>
                  <w:tcBorders>
                    <w:tl2br w:val="nil"/>
                    <w:tr2bl w:val="nil"/>
                  </w:tcBorders>
                  <w:noWrap w:val="0"/>
                  <w:vAlign w:val="center"/>
                </w:tcPr>
                <w:p w14:paraId="65367464">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序号</w:t>
                  </w:r>
                </w:p>
              </w:tc>
              <w:tc>
                <w:tcPr>
                  <w:tcW w:w="1202" w:type="pct"/>
                  <w:tcBorders>
                    <w:tl2br w:val="nil"/>
                    <w:tr2bl w:val="nil"/>
                  </w:tcBorders>
                  <w:noWrap w:val="0"/>
                  <w:vAlign w:val="center"/>
                </w:tcPr>
                <w:p w14:paraId="715D6077">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防治区分区</w:t>
                  </w:r>
                </w:p>
              </w:tc>
              <w:tc>
                <w:tcPr>
                  <w:tcW w:w="1134" w:type="pct"/>
                  <w:tcBorders>
                    <w:tl2br w:val="nil"/>
                    <w:tr2bl w:val="nil"/>
                  </w:tcBorders>
                  <w:noWrap w:val="0"/>
                  <w:vAlign w:val="center"/>
                </w:tcPr>
                <w:p w14:paraId="71E932E2">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防渗区域</w:t>
                  </w:r>
                </w:p>
              </w:tc>
              <w:tc>
                <w:tcPr>
                  <w:tcW w:w="2232" w:type="pct"/>
                  <w:tcBorders>
                    <w:tl2br w:val="nil"/>
                    <w:tr2bl w:val="nil"/>
                  </w:tcBorders>
                  <w:noWrap w:val="0"/>
                  <w:vAlign w:val="center"/>
                </w:tcPr>
                <w:p w14:paraId="41A86941">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防渗标准</w:t>
                  </w:r>
                </w:p>
              </w:tc>
            </w:tr>
            <w:tr w14:paraId="6CA30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jc w:val="center"/>
              </w:trPr>
              <w:tc>
                <w:tcPr>
                  <w:tcW w:w="430" w:type="pct"/>
                  <w:tcBorders>
                    <w:tl2br w:val="nil"/>
                    <w:tr2bl w:val="nil"/>
                  </w:tcBorders>
                  <w:noWrap w:val="0"/>
                  <w:vAlign w:val="center"/>
                </w:tcPr>
                <w:p w14:paraId="64407F0F">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1</w:t>
                  </w:r>
                </w:p>
              </w:tc>
              <w:tc>
                <w:tcPr>
                  <w:tcW w:w="1202" w:type="pct"/>
                  <w:tcBorders>
                    <w:tl2br w:val="nil"/>
                    <w:tr2bl w:val="nil"/>
                  </w:tcBorders>
                  <w:noWrap w:val="0"/>
                  <w:vAlign w:val="center"/>
                </w:tcPr>
                <w:p w14:paraId="6B16F35B">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重点污染防治区</w:t>
                  </w:r>
                </w:p>
              </w:tc>
              <w:tc>
                <w:tcPr>
                  <w:tcW w:w="1134" w:type="pct"/>
                  <w:tcBorders>
                    <w:tl2br w:val="nil"/>
                    <w:tr2bl w:val="nil"/>
                  </w:tcBorders>
                  <w:noWrap w:val="0"/>
                  <w:vAlign w:val="center"/>
                </w:tcPr>
                <w:p w14:paraId="6F870FBB">
                  <w:pPr>
                    <w:jc w:val="center"/>
                    <w:rPr>
                      <w:rFonts w:hint="default" w:ascii="Times New Roman" w:hAnsi="Times New Roman" w:eastAsia="宋体" w:cs="Times New Roman"/>
                      <w:bCs/>
                      <w:color w:val="auto"/>
                      <w:szCs w:val="21"/>
                      <w:highlight w:val="none"/>
                      <w:u w:val="none" w:color="auto"/>
                      <w:lang w:val="en-US" w:eastAsia="zh-CN"/>
                    </w:rPr>
                  </w:pPr>
                  <w:r>
                    <w:rPr>
                      <w:rFonts w:hint="default" w:ascii="Times New Roman" w:hAnsi="Times New Roman" w:cs="Times New Roman"/>
                      <w:bCs/>
                      <w:color w:val="auto"/>
                      <w:szCs w:val="21"/>
                      <w:highlight w:val="none"/>
                      <w:u w:val="none" w:color="auto"/>
                    </w:rPr>
                    <w:t>危废暂存间</w:t>
                  </w:r>
                  <w:r>
                    <w:rPr>
                      <w:rFonts w:hint="eastAsia" w:cs="Times New Roman"/>
                      <w:bCs/>
                      <w:color w:val="auto"/>
                      <w:szCs w:val="21"/>
                      <w:highlight w:val="none"/>
                      <w:u w:val="none" w:color="auto"/>
                      <w:lang w:eastAsia="zh-CN"/>
                    </w:rPr>
                    <w:t>、</w:t>
                  </w:r>
                  <w:r>
                    <w:rPr>
                      <w:rFonts w:hint="eastAsia" w:cs="Times New Roman"/>
                      <w:bCs/>
                      <w:color w:val="auto"/>
                      <w:szCs w:val="21"/>
                      <w:highlight w:val="none"/>
                      <w:u w:val="none" w:color="auto"/>
                      <w:lang w:val="en-US" w:eastAsia="zh-CN"/>
                    </w:rPr>
                    <w:t>油墨储存间、彩色成像玻璃彩打区</w:t>
                  </w:r>
                </w:p>
              </w:tc>
              <w:tc>
                <w:tcPr>
                  <w:tcW w:w="2232" w:type="pct"/>
                  <w:tcBorders>
                    <w:tl2br w:val="nil"/>
                    <w:tr2bl w:val="nil"/>
                  </w:tcBorders>
                  <w:noWrap w:val="0"/>
                  <w:vAlign w:val="center"/>
                </w:tcPr>
                <w:p w14:paraId="5F91963F">
                  <w:pPr>
                    <w:jc w:val="both"/>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等效黏土防渗层Mb≥6.0m， K≤1×10</w:t>
                  </w:r>
                  <w:r>
                    <w:rPr>
                      <w:rFonts w:hint="default" w:ascii="Times New Roman" w:hAnsi="Times New Roman" w:cs="Times New Roman"/>
                      <w:bCs/>
                      <w:color w:val="auto"/>
                      <w:szCs w:val="21"/>
                      <w:highlight w:val="none"/>
                      <w:u w:val="none" w:color="auto"/>
                      <w:vertAlign w:val="superscript"/>
                    </w:rPr>
                    <w:t>-7</w:t>
                  </w:r>
                  <w:r>
                    <w:rPr>
                      <w:rFonts w:hint="default" w:ascii="Times New Roman" w:hAnsi="Times New Roman" w:cs="Times New Roman"/>
                      <w:bCs/>
                      <w:color w:val="auto"/>
                      <w:szCs w:val="21"/>
                      <w:highlight w:val="none"/>
                      <w:u w:val="none" w:color="auto"/>
                    </w:rPr>
                    <w:t>cm/s；或参照GB18598执行</w:t>
                  </w:r>
                </w:p>
              </w:tc>
            </w:tr>
            <w:tr w14:paraId="7BCB4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430" w:type="pct"/>
                  <w:tcBorders>
                    <w:tl2br w:val="nil"/>
                    <w:tr2bl w:val="nil"/>
                  </w:tcBorders>
                  <w:noWrap w:val="0"/>
                  <w:vAlign w:val="center"/>
                </w:tcPr>
                <w:p w14:paraId="53F62DC4">
                  <w:pPr>
                    <w:jc w:val="center"/>
                    <w:rPr>
                      <w:rFonts w:hint="eastAsia" w:ascii="Times New Roman" w:hAnsi="Times New Roman" w:eastAsia="宋体" w:cs="Times New Roman"/>
                      <w:bCs/>
                      <w:color w:val="auto"/>
                      <w:szCs w:val="21"/>
                      <w:highlight w:val="none"/>
                      <w:u w:val="none" w:color="auto"/>
                      <w:lang w:eastAsia="zh-CN"/>
                    </w:rPr>
                  </w:pPr>
                  <w:r>
                    <w:rPr>
                      <w:rFonts w:hint="eastAsia" w:ascii="Times New Roman" w:hAnsi="Times New Roman" w:cs="Times New Roman"/>
                      <w:bCs/>
                      <w:color w:val="auto"/>
                      <w:szCs w:val="21"/>
                      <w:highlight w:val="none"/>
                      <w:u w:val="none" w:color="auto"/>
                      <w:lang w:val="en-US" w:eastAsia="zh-CN"/>
                    </w:rPr>
                    <w:t>2</w:t>
                  </w:r>
                </w:p>
              </w:tc>
              <w:tc>
                <w:tcPr>
                  <w:tcW w:w="1202" w:type="pct"/>
                  <w:tcBorders>
                    <w:tl2br w:val="nil"/>
                    <w:tr2bl w:val="nil"/>
                  </w:tcBorders>
                  <w:noWrap w:val="0"/>
                  <w:vAlign w:val="center"/>
                </w:tcPr>
                <w:p w14:paraId="20C159E2">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一般污染防治区</w:t>
                  </w:r>
                </w:p>
              </w:tc>
              <w:tc>
                <w:tcPr>
                  <w:tcW w:w="1134" w:type="pct"/>
                  <w:tcBorders>
                    <w:tl2br w:val="nil"/>
                    <w:tr2bl w:val="nil"/>
                  </w:tcBorders>
                  <w:noWrap w:val="0"/>
                  <w:vAlign w:val="center"/>
                </w:tcPr>
                <w:p w14:paraId="01763D45">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生产车间、一般固废</w:t>
                  </w:r>
                  <w:r>
                    <w:rPr>
                      <w:rFonts w:hint="default" w:ascii="Times New Roman" w:hAnsi="Times New Roman" w:cs="Times New Roman"/>
                      <w:bCs/>
                      <w:color w:val="auto"/>
                      <w:szCs w:val="21"/>
                      <w:highlight w:val="none"/>
                      <w:u w:val="none" w:color="auto"/>
                      <w:lang w:val="en-US" w:eastAsia="zh-CN"/>
                    </w:rPr>
                    <w:t>暂存间</w:t>
                  </w:r>
                  <w:r>
                    <w:rPr>
                      <w:rFonts w:hint="default" w:ascii="Times New Roman" w:hAnsi="Times New Roman" w:cs="Times New Roman"/>
                      <w:bCs/>
                      <w:color w:val="auto"/>
                      <w:szCs w:val="21"/>
                      <w:highlight w:val="none"/>
                      <w:u w:val="none" w:color="auto"/>
                    </w:rPr>
                    <w:t>等</w:t>
                  </w:r>
                </w:p>
              </w:tc>
              <w:tc>
                <w:tcPr>
                  <w:tcW w:w="2232" w:type="pct"/>
                  <w:tcBorders>
                    <w:tl2br w:val="nil"/>
                    <w:tr2bl w:val="nil"/>
                  </w:tcBorders>
                  <w:noWrap w:val="0"/>
                  <w:vAlign w:val="center"/>
                </w:tcPr>
                <w:p w14:paraId="757DA193">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Mb≥1.5m，K≤1×10</w:t>
                  </w:r>
                  <w:r>
                    <w:rPr>
                      <w:rFonts w:hint="default" w:ascii="Times New Roman" w:hAnsi="Times New Roman" w:cs="Times New Roman"/>
                      <w:bCs/>
                      <w:color w:val="auto"/>
                      <w:szCs w:val="21"/>
                      <w:highlight w:val="none"/>
                      <w:u w:val="none" w:color="auto"/>
                      <w:vertAlign w:val="superscript"/>
                    </w:rPr>
                    <w:t>-7</w:t>
                  </w:r>
                  <w:r>
                    <w:rPr>
                      <w:rFonts w:hint="default" w:ascii="Times New Roman" w:hAnsi="Times New Roman" w:cs="Times New Roman"/>
                      <w:bCs/>
                      <w:color w:val="auto"/>
                      <w:szCs w:val="21"/>
                      <w:highlight w:val="none"/>
                      <w:u w:val="none" w:color="auto"/>
                    </w:rPr>
                    <w:t>cm/s或参照GB16889执行</w:t>
                  </w:r>
                </w:p>
              </w:tc>
            </w:tr>
            <w:tr w14:paraId="4F7BD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0" w:type="pct"/>
                  <w:tcBorders>
                    <w:tl2br w:val="nil"/>
                    <w:tr2bl w:val="nil"/>
                  </w:tcBorders>
                  <w:noWrap w:val="0"/>
                  <w:vAlign w:val="center"/>
                </w:tcPr>
                <w:p w14:paraId="34F48AD3">
                  <w:pPr>
                    <w:jc w:val="center"/>
                    <w:rPr>
                      <w:rFonts w:hint="eastAsia" w:ascii="Times New Roman" w:hAnsi="Times New Roman" w:eastAsia="宋体" w:cs="Times New Roman"/>
                      <w:bCs/>
                      <w:color w:val="auto"/>
                      <w:szCs w:val="21"/>
                      <w:highlight w:val="none"/>
                      <w:u w:val="none" w:color="auto"/>
                      <w:lang w:eastAsia="zh-CN"/>
                    </w:rPr>
                  </w:pPr>
                  <w:r>
                    <w:rPr>
                      <w:rFonts w:hint="eastAsia" w:ascii="Times New Roman" w:hAnsi="Times New Roman" w:cs="Times New Roman"/>
                      <w:bCs/>
                      <w:color w:val="auto"/>
                      <w:szCs w:val="21"/>
                      <w:highlight w:val="none"/>
                      <w:u w:val="none" w:color="auto"/>
                      <w:lang w:val="en-US" w:eastAsia="zh-CN"/>
                    </w:rPr>
                    <w:t>3</w:t>
                  </w:r>
                </w:p>
              </w:tc>
              <w:tc>
                <w:tcPr>
                  <w:tcW w:w="1202" w:type="pct"/>
                  <w:tcBorders>
                    <w:tl2br w:val="nil"/>
                    <w:tr2bl w:val="nil"/>
                  </w:tcBorders>
                  <w:noWrap w:val="0"/>
                  <w:vAlign w:val="center"/>
                </w:tcPr>
                <w:p w14:paraId="43B43A89">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简单污染防治区</w:t>
                  </w:r>
                </w:p>
              </w:tc>
              <w:tc>
                <w:tcPr>
                  <w:tcW w:w="1134" w:type="pct"/>
                  <w:tcBorders>
                    <w:tl2br w:val="nil"/>
                    <w:tr2bl w:val="nil"/>
                  </w:tcBorders>
                  <w:noWrap w:val="0"/>
                  <w:vAlign w:val="center"/>
                </w:tcPr>
                <w:p w14:paraId="28C5A5A1">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其他</w:t>
                  </w:r>
                </w:p>
              </w:tc>
              <w:tc>
                <w:tcPr>
                  <w:tcW w:w="2232" w:type="pct"/>
                  <w:tcBorders>
                    <w:tl2br w:val="nil"/>
                    <w:tr2bl w:val="nil"/>
                  </w:tcBorders>
                  <w:noWrap w:val="0"/>
                  <w:vAlign w:val="center"/>
                </w:tcPr>
                <w:p w14:paraId="4BFF2F15">
                  <w:pPr>
                    <w:jc w:val="center"/>
                    <w:rPr>
                      <w:rFonts w:hint="default" w:ascii="Times New Roman" w:hAnsi="Times New Roman" w:cs="Times New Roman"/>
                      <w:bCs/>
                      <w:color w:val="auto"/>
                      <w:szCs w:val="21"/>
                      <w:highlight w:val="none"/>
                      <w:u w:val="none" w:color="auto"/>
                    </w:rPr>
                  </w:pPr>
                  <w:r>
                    <w:rPr>
                      <w:rFonts w:hint="default" w:ascii="Times New Roman" w:hAnsi="Times New Roman" w:cs="Times New Roman"/>
                      <w:bCs/>
                      <w:color w:val="auto"/>
                      <w:szCs w:val="21"/>
                      <w:highlight w:val="none"/>
                      <w:u w:val="none" w:color="auto"/>
                    </w:rPr>
                    <w:t>硬化</w:t>
                  </w:r>
                </w:p>
              </w:tc>
            </w:tr>
          </w:tbl>
          <w:p w14:paraId="23062540">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0" w:firstLineChars="200"/>
              <w:jc w:val="left"/>
              <w:textAlignment w:val="auto"/>
              <w:rPr>
                <w:rFonts w:hint="eastAsia" w:ascii="Times New Roman" w:hAnsi="Times New Roman" w:eastAsia="宋体" w:cs="Times New Roman"/>
                <w:b w:val="0"/>
                <w:bCs w:val="0"/>
                <w:color w:val="auto"/>
                <w:sz w:val="24"/>
                <w:highlight w:val="none"/>
                <w:u w:val="none" w:color="auto"/>
                <w:lang w:eastAsia="zh-CN"/>
              </w:rPr>
            </w:pPr>
            <w:r>
              <w:rPr>
                <w:rFonts w:hint="default" w:ascii="Times New Roman" w:hAnsi="Times New Roman" w:cs="Times New Roman"/>
                <w:color w:val="auto"/>
                <w:kern w:val="0"/>
                <w:sz w:val="24"/>
                <w:highlight w:val="none"/>
                <w:u w:val="none" w:color="auto"/>
                <w:lang w:bidi="ar"/>
              </w:rPr>
              <w:t>综上分析，</w:t>
            </w:r>
            <w:r>
              <w:rPr>
                <w:rFonts w:hint="default" w:ascii="Times New Roman" w:hAnsi="Times New Roman" w:cs="Times New Roman"/>
                <w:color w:val="auto"/>
                <w:sz w:val="24"/>
                <w:highlight w:val="none"/>
                <w:u w:val="none" w:color="auto"/>
              </w:rPr>
              <w:t>在全面落实相关的污染防治措施、风险防范措施，制定并落实突发环境事件应急预案后，废水及其他固体废物的泄漏事故可得到有效控制，不会对地下水、土壤环境造成大的污染影响</w:t>
            </w:r>
            <w:r>
              <w:rPr>
                <w:rFonts w:hint="eastAsia" w:ascii="Times New Roman" w:hAnsi="Times New Roman" w:cs="Times New Roman"/>
                <w:color w:val="auto"/>
                <w:sz w:val="24"/>
                <w:highlight w:val="none"/>
                <w:u w:val="none" w:color="auto"/>
                <w:lang w:eastAsia="zh-CN"/>
              </w:rPr>
              <w:t>。</w:t>
            </w:r>
          </w:p>
          <w:p w14:paraId="4F3F8D24">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360" w:lineRule="auto"/>
              <w:textAlignment w:val="auto"/>
              <w:rPr>
                <w:rFonts w:hint="default" w:ascii="Times New Roman" w:hAnsi="Times New Roman" w:eastAsia="宋体" w:cs="Times New Roman"/>
                <w:b/>
                <w:bCs/>
                <w:color w:val="auto"/>
                <w:sz w:val="24"/>
                <w:szCs w:val="24"/>
                <w:lang w:val="en-US" w:eastAsia="zh-CN"/>
              </w:rPr>
            </w:pPr>
            <w:bookmarkStart w:id="104" w:name="_Toc14267"/>
            <w:bookmarkStart w:id="105" w:name="_Toc31013"/>
            <w:r>
              <w:rPr>
                <w:rFonts w:hint="default" w:ascii="Times New Roman" w:hAnsi="Times New Roman" w:eastAsia="宋体" w:cs="Times New Roman"/>
                <w:b/>
                <w:bCs/>
                <w:color w:val="auto"/>
                <w:sz w:val="24"/>
                <w:szCs w:val="24"/>
                <w:lang w:val="en-US" w:eastAsia="zh-CN"/>
              </w:rPr>
              <w:t>选址可行性分析</w:t>
            </w:r>
            <w:bookmarkEnd w:id="104"/>
            <w:bookmarkEnd w:id="105"/>
          </w:p>
          <w:p w14:paraId="03536E3A">
            <w:pPr>
              <w:autoSpaceDE w:val="0"/>
              <w:autoSpaceDN w:val="0"/>
              <w:adjustRightInd w:val="0"/>
              <w:spacing w:line="360" w:lineRule="auto"/>
              <w:ind w:firstLine="482" w:firstLineChars="200"/>
              <w:jc w:val="left"/>
              <w:rPr>
                <w:rFonts w:hint="default" w:ascii="Times New Roman" w:hAnsi="Times New Roman" w:eastAsia="宋体" w:cs="Times New Roman"/>
                <w:b/>
                <w:bCs/>
                <w:color w:val="auto"/>
                <w:kern w:val="0"/>
                <w:sz w:val="24"/>
                <w:highlight w:val="none"/>
                <w:u w:val="single" w:color="auto"/>
                <w:lang w:val="en-US" w:eastAsia="zh-CN" w:bidi="ar"/>
              </w:rPr>
            </w:pPr>
            <w:r>
              <w:rPr>
                <w:rFonts w:hint="default" w:ascii="Times New Roman" w:hAnsi="Times New Roman" w:eastAsia="宋体" w:cs="Times New Roman"/>
                <w:b/>
                <w:bCs/>
                <w:color w:val="auto"/>
                <w:kern w:val="0"/>
                <w:sz w:val="24"/>
                <w:highlight w:val="none"/>
                <w:u w:val="single" w:color="auto"/>
                <w:lang w:bidi="ar"/>
              </w:rPr>
              <w:t>本项目位于</w:t>
            </w:r>
            <w:r>
              <w:rPr>
                <w:rFonts w:hint="eastAsia"/>
                <w:b/>
                <w:bCs/>
                <w:color w:val="auto"/>
                <w:sz w:val="24"/>
                <w:u w:val="single" w:color="auto"/>
                <w:lang w:val="en-US" w:eastAsia="zh-CN"/>
              </w:rPr>
              <w:t>周口市</w:t>
            </w:r>
            <w:r>
              <w:rPr>
                <w:rFonts w:hint="eastAsia"/>
                <w:b/>
                <w:bCs/>
                <w:color w:val="auto"/>
                <w:sz w:val="24"/>
                <w:u w:val="single" w:color="auto"/>
              </w:rPr>
              <w:t>周口先进制造业开发区</w:t>
            </w:r>
            <w:r>
              <w:rPr>
                <w:rFonts w:hint="eastAsia"/>
                <w:b/>
                <w:bCs/>
                <w:color w:val="auto"/>
                <w:sz w:val="24"/>
                <w:u w:val="single" w:color="auto"/>
                <w:lang w:val="en-US" w:eastAsia="zh-CN"/>
              </w:rPr>
              <w:t>（周口市淮阳区城关镇南三环南侧，规划工业二路西侧）</w:t>
            </w:r>
            <w:r>
              <w:rPr>
                <w:rFonts w:hint="default" w:ascii="Times New Roman" w:hAnsi="Times New Roman" w:eastAsia="宋体" w:cs="Times New Roman"/>
                <w:b/>
                <w:bCs/>
                <w:color w:val="auto"/>
                <w:kern w:val="0"/>
                <w:sz w:val="24"/>
                <w:highlight w:val="none"/>
                <w:u w:val="single" w:color="auto"/>
                <w:lang w:eastAsia="zh-CN" w:bidi="ar"/>
              </w:rPr>
              <w:t>，对照《淮阳县产业</w:t>
            </w:r>
            <w:r>
              <w:rPr>
                <w:rFonts w:hint="eastAsia" w:cs="Times New Roman"/>
                <w:b/>
                <w:bCs/>
                <w:color w:val="auto"/>
                <w:kern w:val="0"/>
                <w:sz w:val="24"/>
                <w:highlight w:val="none"/>
                <w:u w:val="single" w:color="auto"/>
                <w:lang w:eastAsia="zh-CN" w:bidi="ar"/>
              </w:rPr>
              <w:t>集聚</w:t>
            </w:r>
            <w:r>
              <w:rPr>
                <w:rFonts w:hint="default" w:ascii="Times New Roman" w:hAnsi="Times New Roman" w:eastAsia="宋体" w:cs="Times New Roman"/>
                <w:b/>
                <w:bCs/>
                <w:color w:val="auto"/>
                <w:kern w:val="0"/>
                <w:sz w:val="24"/>
                <w:highlight w:val="none"/>
                <w:u w:val="single" w:color="auto"/>
                <w:lang w:eastAsia="zh-CN" w:bidi="ar"/>
              </w:rPr>
              <w:t>区发展规划（土地利用规划图）》（2009-2020），本项目用地为工业用地，符合淮阳县产业集聚区土地规划要求</w:t>
            </w:r>
            <w:r>
              <w:rPr>
                <w:rFonts w:hint="eastAsia" w:ascii="Times New Roman" w:hAnsi="Times New Roman" w:eastAsia="宋体" w:cs="Times New Roman"/>
                <w:b/>
                <w:bCs/>
                <w:color w:val="auto"/>
                <w:kern w:val="0"/>
                <w:sz w:val="24"/>
                <w:highlight w:val="none"/>
                <w:u w:val="single" w:color="auto"/>
                <w:lang w:val="en-US" w:eastAsia="zh-CN" w:bidi="ar"/>
              </w:rPr>
              <w:t>；本项目属于</w:t>
            </w:r>
            <w:r>
              <w:rPr>
                <w:rFonts w:hint="eastAsia" w:cs="Times New Roman"/>
                <w:b/>
                <w:bCs/>
                <w:color w:val="auto"/>
                <w:kern w:val="0"/>
                <w:sz w:val="24"/>
                <w:highlight w:val="none"/>
                <w:u w:val="single" w:color="auto"/>
                <w:lang w:val="en-US" w:eastAsia="zh-CN" w:bidi="ar"/>
              </w:rPr>
              <w:t>为特种玻璃和</w:t>
            </w:r>
            <w:r>
              <w:rPr>
                <w:rFonts w:hint="eastAsia" w:ascii="Times New Roman" w:hAnsi="Times New Roman" w:eastAsia="宋体" w:cs="Times New Roman"/>
                <w:b/>
                <w:bCs/>
                <w:color w:val="auto"/>
                <w:kern w:val="0"/>
                <w:sz w:val="24"/>
                <w:highlight w:val="none"/>
                <w:u w:val="single" w:color="auto"/>
                <w:lang w:val="en-US" w:eastAsia="zh-CN" w:bidi="ar"/>
              </w:rPr>
              <w:t>技术玻璃制品制造，对照《淮阳县产业</w:t>
            </w:r>
            <w:r>
              <w:rPr>
                <w:rFonts w:hint="eastAsia" w:cs="Times New Roman"/>
                <w:b/>
                <w:bCs/>
                <w:color w:val="auto"/>
                <w:kern w:val="0"/>
                <w:sz w:val="24"/>
                <w:highlight w:val="none"/>
                <w:u w:val="single" w:color="auto"/>
                <w:lang w:val="en-US" w:eastAsia="zh-CN" w:bidi="ar"/>
              </w:rPr>
              <w:t>集聚</w:t>
            </w:r>
            <w:r>
              <w:rPr>
                <w:rFonts w:hint="eastAsia" w:ascii="Times New Roman" w:hAnsi="Times New Roman" w:eastAsia="宋体" w:cs="Times New Roman"/>
                <w:b/>
                <w:bCs/>
                <w:color w:val="auto"/>
                <w:kern w:val="0"/>
                <w:sz w:val="24"/>
                <w:highlight w:val="none"/>
                <w:u w:val="single" w:color="auto"/>
                <w:lang w:val="en-US" w:eastAsia="zh-CN" w:bidi="ar"/>
              </w:rPr>
              <w:t>区发展规划（产业布局规划图）》（2009-2020），本项目选址位于纺织产业片区，项目性质与片区产业布局</w:t>
            </w:r>
            <w:r>
              <w:rPr>
                <w:rFonts w:hint="eastAsia" w:cs="Times New Roman"/>
                <w:b/>
                <w:bCs/>
                <w:color w:val="auto"/>
                <w:kern w:val="0"/>
                <w:sz w:val="24"/>
                <w:highlight w:val="none"/>
                <w:u w:val="single" w:color="auto"/>
                <w:lang w:val="en-US" w:eastAsia="zh-CN" w:bidi="ar"/>
              </w:rPr>
              <w:t>不相冲突</w:t>
            </w:r>
            <w:r>
              <w:rPr>
                <w:rFonts w:hint="eastAsia" w:ascii="Times New Roman" w:hAnsi="Times New Roman" w:eastAsia="宋体" w:cs="Times New Roman"/>
                <w:b/>
                <w:bCs/>
                <w:color w:val="auto"/>
                <w:kern w:val="0"/>
                <w:sz w:val="24"/>
                <w:highlight w:val="none"/>
                <w:u w:val="single" w:color="auto"/>
                <w:lang w:val="en-US" w:eastAsia="zh-CN" w:bidi="ar"/>
              </w:rPr>
              <w:t>，周口先进制造业开发区管理委员会已为本项目出具备案证明及入驻证明，项目建设符合淮阳县产业</w:t>
            </w:r>
            <w:r>
              <w:rPr>
                <w:rFonts w:hint="eastAsia" w:cs="Times New Roman"/>
                <w:b/>
                <w:bCs/>
                <w:color w:val="auto"/>
                <w:kern w:val="0"/>
                <w:sz w:val="24"/>
                <w:highlight w:val="none"/>
                <w:u w:val="single" w:color="auto"/>
                <w:lang w:val="en-US" w:eastAsia="zh-CN" w:bidi="ar"/>
              </w:rPr>
              <w:t>集聚</w:t>
            </w:r>
            <w:r>
              <w:rPr>
                <w:rFonts w:hint="eastAsia" w:ascii="Times New Roman" w:hAnsi="Times New Roman" w:eastAsia="宋体" w:cs="Times New Roman"/>
                <w:b/>
                <w:bCs/>
                <w:color w:val="auto"/>
                <w:kern w:val="0"/>
                <w:sz w:val="24"/>
                <w:highlight w:val="none"/>
                <w:u w:val="single" w:color="auto"/>
                <w:lang w:val="en-US" w:eastAsia="zh-CN" w:bidi="ar"/>
              </w:rPr>
              <w:t>区的发展规划</w:t>
            </w:r>
            <w:r>
              <w:rPr>
                <w:rFonts w:hint="default" w:ascii="Times New Roman" w:hAnsi="Times New Roman" w:eastAsia="宋体" w:cs="Times New Roman"/>
                <w:b/>
                <w:bCs/>
                <w:color w:val="auto"/>
                <w:kern w:val="0"/>
                <w:sz w:val="24"/>
                <w:highlight w:val="none"/>
                <w:u w:val="single" w:color="auto"/>
                <w:lang w:val="en-US" w:eastAsia="zh-CN" w:bidi="ar"/>
              </w:rPr>
              <w:t>。</w:t>
            </w:r>
          </w:p>
          <w:p w14:paraId="0B9F3CED">
            <w:pPr>
              <w:autoSpaceDE w:val="0"/>
              <w:autoSpaceDN w:val="0"/>
              <w:adjustRightInd w:val="0"/>
              <w:spacing w:line="360" w:lineRule="auto"/>
              <w:ind w:firstLine="482" w:firstLineChars="200"/>
              <w:jc w:val="left"/>
              <w:rPr>
                <w:rFonts w:hint="default" w:ascii="Times New Roman" w:hAnsi="Times New Roman" w:eastAsia="宋体" w:cs="Times New Roman"/>
                <w:b/>
                <w:bCs/>
                <w:color w:val="auto"/>
                <w:kern w:val="0"/>
                <w:sz w:val="24"/>
                <w:highlight w:val="none"/>
                <w:u w:val="single" w:color="auto"/>
                <w:lang w:val="en-US" w:eastAsia="zh-CN" w:bidi="ar"/>
              </w:rPr>
            </w:pPr>
            <w:r>
              <w:rPr>
                <w:rFonts w:hint="eastAsia" w:ascii="Times New Roman" w:hAnsi="Times New Roman" w:eastAsia="宋体" w:cs="Times New Roman"/>
                <w:b/>
                <w:bCs/>
                <w:color w:val="auto"/>
                <w:kern w:val="0"/>
                <w:sz w:val="24"/>
                <w:highlight w:val="none"/>
                <w:u w:val="single" w:color="auto"/>
                <w:lang w:val="en-US" w:eastAsia="zh-CN" w:bidi="ar"/>
              </w:rPr>
              <w:t>本项目已与周口市先进制造业投资有限公司签订了用地合作框架协议书，位置位于周口市淮阳区城关镇南三环南侧，规划工业二路西侧。从协议中可以看出，公司名称为河南中玻玻璃有限公司，项目名称原为周口市淮阳区绿色新材料产业园建设项目，</w:t>
            </w:r>
            <w:r>
              <w:rPr>
                <w:rFonts w:hint="eastAsia" w:ascii="Times New Roman" w:hAnsi="Times New Roman" w:cs="Times New Roman"/>
                <w:b/>
                <w:bCs/>
                <w:color w:val="auto"/>
                <w:kern w:val="0"/>
                <w:sz w:val="24"/>
                <w:highlight w:val="none"/>
                <w:u w:val="single" w:color="auto"/>
                <w:lang w:val="en-US" w:eastAsia="zh-CN" w:bidi="ar"/>
              </w:rPr>
              <w:t>目前该项目不再进行，该地块拟用于</w:t>
            </w:r>
            <w:r>
              <w:rPr>
                <w:rFonts w:hint="eastAsia" w:ascii="Times New Roman" w:hAnsi="Times New Roman" w:eastAsia="宋体" w:cs="Times New Roman"/>
                <w:b/>
                <w:bCs/>
                <w:color w:val="auto"/>
                <w:kern w:val="0"/>
                <w:sz w:val="24"/>
                <w:highlight w:val="none"/>
                <w:u w:val="single" w:color="auto"/>
                <w:lang w:val="en-US" w:eastAsia="zh-CN" w:bidi="ar"/>
              </w:rPr>
              <w:t>河南中玻玻璃有限公司节能安全玻璃新材料及技术装备生产线建设项目</w:t>
            </w:r>
            <w:r>
              <w:rPr>
                <w:rFonts w:hint="eastAsia" w:ascii="Times New Roman" w:hAnsi="Times New Roman" w:cs="Times New Roman"/>
                <w:b/>
                <w:bCs/>
                <w:color w:val="auto"/>
                <w:kern w:val="0"/>
                <w:sz w:val="24"/>
                <w:highlight w:val="none"/>
                <w:u w:val="single" w:color="auto"/>
                <w:lang w:val="en-US" w:eastAsia="zh-CN" w:bidi="ar"/>
              </w:rPr>
              <w:t>。</w:t>
            </w:r>
          </w:p>
          <w:p w14:paraId="2F0D4792">
            <w:pPr>
              <w:autoSpaceDE w:val="0"/>
              <w:autoSpaceDN w:val="0"/>
              <w:adjustRightInd w:val="0"/>
              <w:spacing w:line="360" w:lineRule="auto"/>
              <w:ind w:firstLine="482" w:firstLineChars="200"/>
              <w:jc w:val="left"/>
              <w:rPr>
                <w:rFonts w:hint="default" w:ascii="Times New Roman" w:hAnsi="Times New Roman" w:eastAsia="宋体" w:cs="Times New Roman"/>
                <w:b/>
                <w:bCs/>
                <w:color w:val="auto"/>
                <w:kern w:val="0"/>
                <w:sz w:val="24"/>
                <w:highlight w:val="none"/>
                <w:u w:val="single" w:color="auto"/>
                <w:lang w:bidi="ar"/>
              </w:rPr>
            </w:pPr>
            <w:r>
              <w:rPr>
                <w:rFonts w:hint="eastAsia" w:ascii="Times New Roman" w:hAnsi="Times New Roman" w:eastAsia="宋体" w:cs="Times New Roman"/>
                <w:b/>
                <w:bCs/>
                <w:color w:val="auto"/>
                <w:kern w:val="0"/>
                <w:sz w:val="24"/>
                <w:highlight w:val="none"/>
                <w:u w:val="single" w:color="auto"/>
                <w:lang w:eastAsia="zh-CN" w:bidi="ar"/>
              </w:rPr>
              <w:t>项目厂址</w:t>
            </w:r>
            <w:r>
              <w:rPr>
                <w:rFonts w:hint="eastAsia" w:ascii="Times New Roman" w:hAnsi="Times New Roman" w:eastAsia="宋体" w:cs="Times New Roman"/>
                <w:b/>
                <w:bCs/>
                <w:color w:val="auto"/>
                <w:kern w:val="0"/>
                <w:sz w:val="24"/>
                <w:highlight w:val="none"/>
                <w:u w:val="single" w:color="auto"/>
                <w:lang w:val="en-US" w:eastAsia="zh-CN" w:bidi="ar"/>
              </w:rPr>
              <w:t>周边企业主要包括河南省华玖健康产业有限公司（主要生产饮料等</w:t>
            </w:r>
            <w:r>
              <w:rPr>
                <w:rFonts w:hint="eastAsia" w:cs="Times New Roman"/>
                <w:b/>
                <w:bCs/>
                <w:color w:val="auto"/>
                <w:kern w:val="0"/>
                <w:sz w:val="24"/>
                <w:highlight w:val="none"/>
                <w:u w:val="single" w:color="auto"/>
                <w:lang w:val="en-US" w:eastAsia="zh-CN" w:bidi="ar"/>
              </w:rPr>
              <w:t>，该厂址原为淮阳泽元脑血管医院，该医院于2023年已拆迁</w:t>
            </w:r>
            <w:r>
              <w:rPr>
                <w:rFonts w:hint="eastAsia" w:ascii="Times New Roman" w:hAnsi="Times New Roman" w:eastAsia="宋体" w:cs="Times New Roman"/>
                <w:b/>
                <w:bCs/>
                <w:color w:val="auto"/>
                <w:kern w:val="0"/>
                <w:sz w:val="24"/>
                <w:highlight w:val="none"/>
                <w:u w:val="single" w:color="auto"/>
                <w:lang w:val="en-US" w:eastAsia="zh-CN" w:bidi="ar"/>
              </w:rPr>
              <w:t>）</w:t>
            </w:r>
            <w:r>
              <w:rPr>
                <w:rFonts w:hint="eastAsia" w:ascii="Times New Roman" w:hAnsi="Times New Roman" w:cs="Times New Roman"/>
                <w:b/>
                <w:bCs/>
                <w:color w:val="auto"/>
                <w:spacing w:val="-3"/>
                <w:sz w:val="24"/>
                <w:szCs w:val="24"/>
                <w:u w:val="single" w:color="auto"/>
                <w:lang w:val="en-US" w:eastAsia="zh-CN"/>
              </w:rPr>
              <w:t>。</w:t>
            </w:r>
            <w:r>
              <w:rPr>
                <w:rFonts w:hint="eastAsia" w:cs="Times New Roman"/>
                <w:b/>
                <w:bCs/>
                <w:color w:val="auto"/>
                <w:spacing w:val="-3"/>
                <w:sz w:val="24"/>
                <w:szCs w:val="24"/>
                <w:u w:val="single" w:color="auto"/>
                <w:lang w:val="en-US" w:eastAsia="zh-CN"/>
              </w:rPr>
              <w:t>项目厂区内现状没有道路，且根据最新道路交通规划，厂区占地范围内也不再规划道路。</w:t>
            </w:r>
            <w:r>
              <w:rPr>
                <w:rFonts w:hint="eastAsia" w:ascii="Times New Roman" w:hAnsi="Times New Roman" w:eastAsia="宋体" w:cs="Times New Roman"/>
                <w:b/>
                <w:bCs/>
                <w:color w:val="auto"/>
                <w:kern w:val="0"/>
                <w:sz w:val="24"/>
                <w:highlight w:val="none"/>
                <w:u w:val="single" w:color="auto"/>
                <w:lang w:eastAsia="zh-CN" w:bidi="ar"/>
              </w:rPr>
              <w:t>项目厂址</w:t>
            </w:r>
            <w:r>
              <w:rPr>
                <w:rFonts w:hint="eastAsia" w:ascii="Times New Roman" w:hAnsi="Times New Roman" w:eastAsia="宋体" w:cs="Times New Roman"/>
                <w:b/>
                <w:bCs/>
                <w:color w:val="auto"/>
                <w:kern w:val="0"/>
                <w:sz w:val="24"/>
                <w:highlight w:val="none"/>
                <w:u w:val="single" w:color="auto"/>
                <w:lang w:val="en-US" w:eastAsia="zh-CN" w:bidi="ar"/>
              </w:rPr>
              <w:t>周边500m范围内的敏感点为项目南侧35m的焦岗村、东北侧400m的黄庄、东侧483m的彭老家村、西南侧411m的大童庄</w:t>
            </w:r>
            <w:r>
              <w:rPr>
                <w:rFonts w:hint="eastAsia" w:cs="Times New Roman"/>
                <w:b/>
                <w:bCs/>
                <w:color w:val="auto"/>
                <w:kern w:val="0"/>
                <w:sz w:val="24"/>
                <w:highlight w:val="none"/>
                <w:u w:val="single" w:color="auto"/>
                <w:lang w:val="en-US" w:eastAsia="zh-CN" w:bidi="ar"/>
              </w:rPr>
              <w:t>）。本</w:t>
            </w:r>
            <w:r>
              <w:rPr>
                <w:rFonts w:hint="default" w:ascii="Times New Roman" w:hAnsi="Times New Roman" w:eastAsia="宋体" w:cs="Times New Roman"/>
                <w:b/>
                <w:bCs/>
                <w:color w:val="auto"/>
                <w:kern w:val="0"/>
                <w:sz w:val="24"/>
                <w:highlight w:val="none"/>
                <w:u w:val="single" w:color="auto"/>
                <w:lang w:bidi="ar"/>
              </w:rPr>
              <w:t>项目的建设与周边环境基本相容</w:t>
            </w:r>
            <w:r>
              <w:rPr>
                <w:rFonts w:hint="eastAsia" w:cs="Times New Roman"/>
                <w:b/>
                <w:bCs/>
                <w:color w:val="auto"/>
                <w:kern w:val="0"/>
                <w:sz w:val="24"/>
                <w:highlight w:val="none"/>
                <w:u w:val="single" w:color="auto"/>
                <w:lang w:eastAsia="zh-CN" w:bidi="ar"/>
              </w:rPr>
              <w:t>，</w:t>
            </w:r>
            <w:r>
              <w:rPr>
                <w:rFonts w:hint="eastAsia" w:cs="Times New Roman"/>
                <w:b/>
                <w:bCs/>
                <w:color w:val="auto"/>
                <w:kern w:val="0"/>
                <w:sz w:val="24"/>
                <w:highlight w:val="none"/>
                <w:u w:val="single" w:color="auto"/>
                <w:lang w:val="en-US" w:eastAsia="zh-CN" w:bidi="ar"/>
              </w:rPr>
              <w:t>不存在制约因素</w:t>
            </w:r>
            <w:r>
              <w:rPr>
                <w:rFonts w:hint="default" w:ascii="Times New Roman" w:hAnsi="Times New Roman" w:eastAsia="宋体" w:cs="Times New Roman"/>
                <w:b/>
                <w:bCs/>
                <w:color w:val="auto"/>
                <w:kern w:val="0"/>
                <w:sz w:val="24"/>
                <w:highlight w:val="none"/>
                <w:u w:val="single" w:color="auto"/>
                <w:lang w:bidi="ar"/>
              </w:rPr>
              <w:t>。</w:t>
            </w:r>
          </w:p>
          <w:p w14:paraId="0430B8BE">
            <w:pPr>
              <w:autoSpaceDE w:val="0"/>
              <w:autoSpaceDN w:val="0"/>
              <w:adjustRightInd w:val="0"/>
              <w:spacing w:line="360" w:lineRule="auto"/>
              <w:ind w:firstLine="480" w:firstLineChars="200"/>
              <w:jc w:val="left"/>
              <w:rPr>
                <w:rFonts w:hint="default" w:ascii="Times New Roman" w:hAnsi="Times New Roman" w:eastAsia="宋体" w:cs="Times New Roman"/>
                <w:b w:val="0"/>
                <w:bCs w:val="0"/>
                <w:color w:val="auto"/>
                <w:kern w:val="0"/>
                <w:sz w:val="24"/>
                <w:highlight w:val="none"/>
                <w:u w:val="none" w:color="auto"/>
                <w:lang w:bidi="ar"/>
              </w:rPr>
            </w:pPr>
            <w:r>
              <w:rPr>
                <w:rFonts w:hint="default" w:ascii="Times New Roman" w:hAnsi="Times New Roman" w:eastAsia="宋体" w:cs="Times New Roman"/>
                <w:b w:val="0"/>
                <w:bCs w:val="0"/>
                <w:color w:val="auto"/>
                <w:kern w:val="0"/>
                <w:sz w:val="24"/>
                <w:highlight w:val="none"/>
                <w:u w:val="none" w:color="auto"/>
                <w:lang w:bidi="ar"/>
              </w:rPr>
              <w:t>项目营运期间产生的废气、废水、噪声和固体废物等方面环境影响，在采取相应的污染防治措施后，均能实现达标排放和合理处置，对周围环境影响较小。</w:t>
            </w:r>
          </w:p>
          <w:p w14:paraId="74DA53B6">
            <w:pPr>
              <w:autoSpaceDE w:val="0"/>
              <w:autoSpaceDN w:val="0"/>
              <w:adjustRightInd w:val="0"/>
              <w:spacing w:line="360" w:lineRule="auto"/>
              <w:ind w:firstLine="480" w:firstLineChars="200"/>
              <w:jc w:val="left"/>
              <w:rPr>
                <w:rFonts w:hint="default" w:ascii="Times New Roman" w:hAnsi="Times New Roman" w:eastAsia="宋体" w:cs="Times New Roman"/>
                <w:b w:val="0"/>
                <w:bCs w:val="0"/>
                <w:color w:val="auto"/>
                <w:kern w:val="0"/>
                <w:sz w:val="24"/>
                <w:highlight w:val="none"/>
                <w:u w:val="none" w:color="auto"/>
                <w:lang w:bidi="ar"/>
              </w:rPr>
            </w:pPr>
            <w:r>
              <w:rPr>
                <w:rFonts w:hint="default" w:ascii="Times New Roman" w:hAnsi="Times New Roman" w:eastAsia="宋体" w:cs="Times New Roman"/>
                <w:b w:val="0"/>
                <w:bCs w:val="0"/>
                <w:color w:val="auto"/>
                <w:kern w:val="0"/>
                <w:sz w:val="24"/>
                <w:highlight w:val="none"/>
                <w:u w:val="none" w:color="auto"/>
                <w:lang w:bidi="ar"/>
              </w:rPr>
              <w:t>综上所述，评价认为本项目厂址选择可行。</w:t>
            </w:r>
          </w:p>
          <w:p w14:paraId="54E19211">
            <w:pPr>
              <w:autoSpaceDE w:val="0"/>
              <w:autoSpaceDN w:val="0"/>
              <w:adjustRightInd w:val="0"/>
              <w:spacing w:line="360" w:lineRule="auto"/>
              <w:ind w:firstLine="480" w:firstLineChars="200"/>
              <w:jc w:val="left"/>
              <w:rPr>
                <w:rFonts w:hint="eastAsia" w:ascii="Times New Roman" w:hAnsi="Times New Roman" w:eastAsia="宋体" w:cs="Times New Roman"/>
                <w:b w:val="0"/>
                <w:bCs w:val="0"/>
                <w:color w:val="auto"/>
                <w:kern w:val="0"/>
                <w:sz w:val="24"/>
                <w:highlight w:val="none"/>
                <w:u w:val="none" w:color="auto"/>
                <w:lang w:val="en-US" w:eastAsia="zh-CN" w:bidi="ar"/>
              </w:rPr>
            </w:pPr>
          </w:p>
          <w:p w14:paraId="00AB703E">
            <w:pPr>
              <w:pStyle w:val="2"/>
              <w:keepNext/>
              <w:keepLines w:val="0"/>
              <w:pageBreakBefore w:val="0"/>
              <w:widowControl w:val="0"/>
              <w:numPr>
                <w:ilvl w:val="0"/>
                <w:numId w:val="10"/>
              </w:numPr>
              <w:kinsoku/>
              <w:wordWrap/>
              <w:overflowPunct w:val="0"/>
              <w:topLinePunct w:val="0"/>
              <w:autoSpaceDE/>
              <w:autoSpaceDN/>
              <w:bidi w:val="0"/>
              <w:adjustRightInd w:val="0"/>
              <w:snapToGrid w:val="0"/>
              <w:spacing w:before="0" w:after="0" w:line="360" w:lineRule="auto"/>
              <w:textAlignment w:val="auto"/>
              <w:rPr>
                <w:rFonts w:hint="default" w:ascii="Times New Roman" w:hAnsi="Times New Roman" w:eastAsia="宋体" w:cs="Times New Roman"/>
                <w:b/>
                <w:bCs/>
                <w:color w:val="auto"/>
                <w:sz w:val="24"/>
                <w:szCs w:val="24"/>
                <w:lang w:val="en-US" w:eastAsia="zh-CN"/>
              </w:rPr>
            </w:pPr>
            <w:bookmarkStart w:id="106" w:name="_Toc12912"/>
            <w:bookmarkStart w:id="107" w:name="_Toc8330"/>
            <w:r>
              <w:rPr>
                <w:rFonts w:hint="default" w:ascii="Times New Roman" w:hAnsi="Times New Roman" w:eastAsia="宋体" w:cs="Times New Roman"/>
                <w:b/>
                <w:bCs/>
                <w:color w:val="auto"/>
                <w:sz w:val="24"/>
                <w:szCs w:val="24"/>
                <w:lang w:val="en-US" w:eastAsia="zh-CN"/>
              </w:rPr>
              <w:t>污染物产排情况</w:t>
            </w:r>
            <w:bookmarkEnd w:id="106"/>
            <w:bookmarkEnd w:id="107"/>
          </w:p>
          <w:p w14:paraId="4508D8F5">
            <w:pPr>
              <w:adjustRightInd w:val="0"/>
              <w:snapToGrid w:val="0"/>
              <w:spacing w:line="360" w:lineRule="auto"/>
              <w:ind w:firstLine="480" w:firstLineChars="200"/>
              <w:rPr>
                <w:rFonts w:hint="default" w:ascii="Times New Roman" w:hAnsi="Times New Roman" w:cs="Times New Roman"/>
                <w:b w:val="0"/>
                <w:bCs w:val="0"/>
                <w:snapToGrid w:val="0"/>
                <w:color w:val="auto"/>
                <w:sz w:val="24"/>
                <w:szCs w:val="24"/>
                <w:u w:val="none"/>
                <w:lang w:val="en-US"/>
              </w:rPr>
            </w:pPr>
            <w:r>
              <w:rPr>
                <w:rFonts w:hint="eastAsia" w:ascii="Times New Roman" w:hAnsi="Times New Roman" w:cs="Times New Roman"/>
                <w:b w:val="0"/>
                <w:bCs w:val="0"/>
                <w:snapToGrid w:val="0"/>
                <w:color w:val="auto"/>
                <w:sz w:val="24"/>
                <w:szCs w:val="24"/>
                <w:u w:val="none"/>
                <w:lang w:eastAsia="zh-CN"/>
              </w:rPr>
              <w:t>本项目</w:t>
            </w:r>
            <w:r>
              <w:rPr>
                <w:rFonts w:hint="default" w:ascii="Times New Roman" w:hAnsi="Times New Roman" w:cs="Times New Roman"/>
                <w:b w:val="0"/>
                <w:bCs w:val="0"/>
                <w:snapToGrid w:val="0"/>
                <w:color w:val="auto"/>
                <w:sz w:val="24"/>
                <w:szCs w:val="24"/>
                <w:u w:val="none"/>
              </w:rPr>
              <w:t>污染物产排情况见</w:t>
            </w:r>
            <w:r>
              <w:rPr>
                <w:rFonts w:hint="eastAsia" w:cs="Times New Roman"/>
                <w:b w:val="0"/>
                <w:bCs w:val="0"/>
                <w:snapToGrid w:val="0"/>
                <w:color w:val="auto"/>
                <w:sz w:val="24"/>
                <w:szCs w:val="24"/>
                <w:u w:val="none"/>
                <w:lang w:val="en-US" w:eastAsia="zh-CN"/>
              </w:rPr>
              <w:t>下表</w:t>
            </w:r>
            <w:r>
              <w:rPr>
                <w:rFonts w:hint="default" w:ascii="Times New Roman" w:hAnsi="Times New Roman" w:cs="Times New Roman"/>
                <w:b w:val="0"/>
                <w:bCs w:val="0"/>
                <w:snapToGrid w:val="0"/>
                <w:color w:val="auto"/>
                <w:sz w:val="24"/>
                <w:szCs w:val="24"/>
                <w:u w:val="none"/>
                <w:lang w:val="en-US" w:eastAsia="zh-CN"/>
              </w:rPr>
              <w:t>。</w:t>
            </w:r>
          </w:p>
          <w:p w14:paraId="29F2EF3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b/>
                <w:bCs/>
                <w:snapToGrid w:val="0"/>
                <w:color w:val="auto"/>
                <w:kern w:val="0"/>
                <w:sz w:val="24"/>
                <w:szCs w:val="24"/>
                <w:lang w:val="en-US" w:eastAsia="zh-CN" w:bidi="ar-SA"/>
              </w:rPr>
            </w:pPr>
            <w:r>
              <w:rPr>
                <w:rFonts w:hint="default" w:ascii="Times New Roman" w:hAnsi="Times New Roman" w:eastAsia="宋体" w:cs="Times New Roman"/>
                <w:b/>
                <w:bCs/>
                <w:snapToGrid w:val="0"/>
                <w:color w:val="auto"/>
                <w:kern w:val="0"/>
                <w:sz w:val="24"/>
                <w:szCs w:val="24"/>
                <w:lang w:val="zh-CN" w:eastAsia="zh-CN" w:bidi="ar-SA"/>
              </w:rPr>
              <w:t>表</w:t>
            </w:r>
            <w:r>
              <w:rPr>
                <w:rFonts w:hint="eastAsia" w:ascii="Times New Roman" w:hAnsi="Times New Roman" w:eastAsia="宋体" w:cs="Times New Roman"/>
                <w:b/>
                <w:bCs/>
                <w:snapToGrid w:val="0"/>
                <w:color w:val="auto"/>
                <w:kern w:val="0"/>
                <w:sz w:val="24"/>
                <w:szCs w:val="24"/>
                <w:lang w:val="en-US" w:eastAsia="zh-CN" w:bidi="ar-SA"/>
              </w:rPr>
              <w:t>4-2</w:t>
            </w:r>
            <w:r>
              <w:rPr>
                <w:rFonts w:hint="eastAsia" w:cs="Times New Roman"/>
                <w:b/>
                <w:bCs/>
                <w:snapToGrid w:val="0"/>
                <w:color w:val="auto"/>
                <w:kern w:val="0"/>
                <w:sz w:val="24"/>
                <w:szCs w:val="24"/>
                <w:lang w:val="en-US" w:eastAsia="zh-CN" w:bidi="ar-SA"/>
              </w:rPr>
              <w:t xml:space="preserve">3     </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default" w:ascii="Times New Roman" w:hAnsi="Times New Roman" w:eastAsia="宋体" w:cs="Times New Roman"/>
                <w:b/>
                <w:bCs/>
                <w:snapToGrid w:val="0"/>
                <w:color w:val="auto"/>
                <w:kern w:val="0"/>
                <w:sz w:val="24"/>
                <w:szCs w:val="24"/>
                <w:lang w:val="zh-CN"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zh-CN" w:eastAsia="zh-CN" w:bidi="ar-SA"/>
              </w:rPr>
              <w:t>本项目</w:t>
            </w:r>
            <w:r>
              <w:rPr>
                <w:rFonts w:hint="default" w:ascii="Times New Roman" w:hAnsi="Times New Roman" w:eastAsia="宋体" w:cs="Times New Roman"/>
                <w:b/>
                <w:bCs/>
                <w:snapToGrid w:val="0"/>
                <w:color w:val="auto"/>
                <w:kern w:val="0"/>
                <w:sz w:val="24"/>
                <w:szCs w:val="24"/>
                <w:lang w:val="zh-CN" w:eastAsia="zh-CN" w:bidi="ar-SA"/>
              </w:rPr>
              <w:t>污染物产排情况一览表</w:t>
            </w:r>
            <w:r>
              <w:rPr>
                <w:rFonts w:hint="eastAsia" w:ascii="Times New Roman" w:hAnsi="Times New Roman" w:eastAsia="宋体" w:cs="Times New Roman"/>
                <w:b/>
                <w:bCs/>
                <w:snapToGrid w:val="0"/>
                <w:color w:val="auto"/>
                <w:kern w:val="0"/>
                <w:sz w:val="24"/>
                <w:szCs w:val="24"/>
                <w:lang w:val="en-US" w:eastAsia="zh-CN" w:bidi="ar-SA"/>
              </w:rPr>
              <w:t xml:space="preserve">  </w:t>
            </w:r>
            <w:r>
              <w:rPr>
                <w:rFonts w:hint="eastAsia" w:cs="Times New Roman"/>
                <w:b/>
                <w:bCs/>
                <w:snapToGrid w:val="0"/>
                <w:color w:val="auto"/>
                <w:kern w:val="0"/>
                <w:sz w:val="24"/>
                <w:szCs w:val="24"/>
                <w:lang w:val="en-US" w:eastAsia="zh-CN" w:bidi="ar-SA"/>
              </w:rPr>
              <w:t xml:space="preserve">          </w:t>
            </w:r>
            <w:r>
              <w:rPr>
                <w:rFonts w:hint="eastAsia" w:ascii="Times New Roman" w:hAnsi="Times New Roman" w:eastAsia="宋体" w:cs="Times New Roman"/>
                <w:b/>
                <w:bCs/>
                <w:snapToGrid w:val="0"/>
                <w:color w:val="auto"/>
                <w:kern w:val="0"/>
                <w:sz w:val="24"/>
                <w:szCs w:val="24"/>
                <w:lang w:val="en-US" w:eastAsia="zh-CN" w:bidi="ar-SA"/>
              </w:rPr>
              <w:t>单位 t/a</w:t>
            </w:r>
          </w:p>
          <w:tbl>
            <w:tblPr>
              <w:tblStyle w:val="39"/>
              <w:tblW w:w="492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85" w:type="dxa"/>
                <w:left w:w="57" w:type="dxa"/>
                <w:bottom w:w="85" w:type="dxa"/>
                <w:right w:w="57" w:type="dxa"/>
              </w:tblCellMar>
            </w:tblPr>
            <w:tblGrid>
              <w:gridCol w:w="835"/>
              <w:gridCol w:w="2444"/>
              <w:gridCol w:w="1217"/>
              <w:gridCol w:w="2377"/>
              <w:gridCol w:w="1275"/>
            </w:tblGrid>
            <w:tr w14:paraId="417A8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477" w:hRule="exact"/>
                <w:jc w:val="center"/>
              </w:trPr>
              <w:tc>
                <w:tcPr>
                  <w:tcW w:w="512" w:type="pct"/>
                  <w:noWrap w:val="0"/>
                  <w:tcMar>
                    <w:top w:w="85" w:type="dxa"/>
                    <w:bottom w:w="85" w:type="dxa"/>
                  </w:tcMar>
                  <w:vAlign w:val="center"/>
                </w:tcPr>
                <w:p w14:paraId="3A8139D6">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类别</w:t>
                  </w:r>
                </w:p>
              </w:tc>
              <w:tc>
                <w:tcPr>
                  <w:tcW w:w="1499" w:type="pct"/>
                  <w:noWrap w:val="0"/>
                  <w:tcMar>
                    <w:top w:w="85" w:type="dxa"/>
                    <w:bottom w:w="85" w:type="dxa"/>
                  </w:tcMar>
                  <w:vAlign w:val="center"/>
                </w:tcPr>
                <w:p w14:paraId="2F4FD08E">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项 目</w:t>
                  </w:r>
                </w:p>
              </w:tc>
              <w:tc>
                <w:tcPr>
                  <w:tcW w:w="746" w:type="pct"/>
                  <w:noWrap w:val="0"/>
                  <w:tcMar>
                    <w:top w:w="85" w:type="dxa"/>
                    <w:bottom w:w="85" w:type="dxa"/>
                  </w:tcMar>
                  <w:vAlign w:val="center"/>
                </w:tcPr>
                <w:p w14:paraId="3DF1739E">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产生量</w:t>
                  </w:r>
                </w:p>
              </w:tc>
              <w:tc>
                <w:tcPr>
                  <w:tcW w:w="1458" w:type="pct"/>
                  <w:noWrap w:val="0"/>
                  <w:tcMar>
                    <w:top w:w="85" w:type="dxa"/>
                    <w:bottom w:w="85" w:type="dxa"/>
                  </w:tcMar>
                  <w:vAlign w:val="center"/>
                </w:tcPr>
                <w:p w14:paraId="66B30752">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自身</w:t>
                  </w:r>
                  <w:r>
                    <w:rPr>
                      <w:rFonts w:hint="default" w:ascii="Times New Roman" w:hAnsi="Times New Roman" w:cs="Times New Roman"/>
                      <w:b w:val="0"/>
                      <w:bCs w:val="0"/>
                      <w:color w:val="auto"/>
                      <w:kern w:val="2"/>
                      <w:sz w:val="21"/>
                      <w:szCs w:val="21"/>
                      <w:highlight w:val="none"/>
                      <w:lang w:eastAsia="zh-CN"/>
                    </w:rPr>
                    <w:t>（</w:t>
                  </w:r>
                  <w:r>
                    <w:rPr>
                      <w:rFonts w:hint="default" w:ascii="Times New Roman" w:hAnsi="Times New Roman" w:cs="Times New Roman"/>
                      <w:b w:val="0"/>
                      <w:bCs w:val="0"/>
                      <w:color w:val="auto"/>
                      <w:kern w:val="2"/>
                      <w:sz w:val="21"/>
                      <w:szCs w:val="21"/>
                      <w:highlight w:val="none"/>
                      <w:lang w:val="en-US" w:eastAsia="zh-CN"/>
                    </w:rPr>
                    <w:t>区域</w:t>
                  </w:r>
                  <w:r>
                    <w:rPr>
                      <w:rFonts w:hint="default" w:ascii="Times New Roman" w:hAnsi="Times New Roman" w:cs="Times New Roman"/>
                      <w:b w:val="0"/>
                      <w:bCs w:val="0"/>
                      <w:color w:val="auto"/>
                      <w:kern w:val="2"/>
                      <w:sz w:val="21"/>
                      <w:szCs w:val="21"/>
                      <w:highlight w:val="none"/>
                      <w:lang w:eastAsia="zh-CN"/>
                    </w:rPr>
                    <w:t>）</w:t>
                  </w:r>
                  <w:r>
                    <w:rPr>
                      <w:rFonts w:hint="default" w:ascii="Times New Roman" w:hAnsi="Times New Roman" w:cs="Times New Roman"/>
                      <w:b w:val="0"/>
                      <w:bCs w:val="0"/>
                      <w:color w:val="auto"/>
                      <w:kern w:val="2"/>
                      <w:sz w:val="21"/>
                      <w:szCs w:val="21"/>
                      <w:highlight w:val="none"/>
                    </w:rPr>
                    <w:t>削减量</w:t>
                  </w:r>
                </w:p>
              </w:tc>
              <w:tc>
                <w:tcPr>
                  <w:tcW w:w="782" w:type="pct"/>
                  <w:noWrap w:val="0"/>
                  <w:tcMar>
                    <w:top w:w="85" w:type="dxa"/>
                    <w:bottom w:w="85" w:type="dxa"/>
                  </w:tcMar>
                  <w:vAlign w:val="center"/>
                </w:tcPr>
                <w:p w14:paraId="295C6B77">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rPr>
                    <w:t>外排环境量</w:t>
                  </w:r>
                </w:p>
              </w:tc>
            </w:tr>
            <w:tr w14:paraId="0A19A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27" w:hRule="exact"/>
                <w:jc w:val="center"/>
              </w:trPr>
              <w:tc>
                <w:tcPr>
                  <w:tcW w:w="512" w:type="pct"/>
                  <w:vMerge w:val="restart"/>
                  <w:noWrap w:val="0"/>
                  <w:tcMar>
                    <w:top w:w="85" w:type="dxa"/>
                    <w:bottom w:w="85" w:type="dxa"/>
                  </w:tcMar>
                  <w:vAlign w:val="center"/>
                </w:tcPr>
                <w:p w14:paraId="45051092">
                  <w:pPr>
                    <w:adjustRightInd w:val="0"/>
                    <w:snapToGrid w:val="0"/>
                    <w:jc w:val="center"/>
                    <w:rPr>
                      <w:rFonts w:hint="default" w:ascii="Times New Roman" w:hAnsi="Times New Roman" w:eastAsia="宋体"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kern w:val="2"/>
                      <w:sz w:val="21"/>
                      <w:szCs w:val="21"/>
                      <w:highlight w:val="none"/>
                      <w:lang w:val="en-US" w:eastAsia="zh-CN"/>
                    </w:rPr>
                    <w:t>废水</w:t>
                  </w:r>
                </w:p>
              </w:tc>
              <w:tc>
                <w:tcPr>
                  <w:tcW w:w="1499" w:type="pct"/>
                  <w:noWrap w:val="0"/>
                  <w:tcMar>
                    <w:top w:w="85" w:type="dxa"/>
                    <w:bottom w:w="85" w:type="dxa"/>
                  </w:tcMar>
                  <w:vAlign w:val="center"/>
                </w:tcPr>
                <w:p w14:paraId="1DBD1A31">
                  <w:pPr>
                    <w:adjustRightInd w:val="0"/>
                    <w:snapToGrid w:val="0"/>
                    <w:jc w:val="center"/>
                    <w:rPr>
                      <w:rFonts w:hint="default" w:ascii="Times New Roman" w:hAnsi="Times New Roman" w:eastAsia="宋体" w:cs="Times New Roman"/>
                      <w:b w:val="0"/>
                      <w:bCs w:val="0"/>
                      <w:color w:val="auto"/>
                      <w:kern w:val="2"/>
                      <w:sz w:val="21"/>
                      <w:szCs w:val="21"/>
                      <w:highlight w:val="none"/>
                      <w:lang w:val="en-US" w:eastAsia="zh-CN"/>
                    </w:rPr>
                  </w:pPr>
                  <w:r>
                    <w:rPr>
                      <w:rFonts w:hint="eastAsia" w:ascii="Times New Roman" w:hAnsi="Times New Roman" w:cs="Times New Roman"/>
                      <w:b w:val="0"/>
                      <w:bCs w:val="0"/>
                      <w:color w:val="auto"/>
                      <w:kern w:val="2"/>
                      <w:sz w:val="21"/>
                      <w:szCs w:val="21"/>
                      <w:highlight w:val="none"/>
                      <w:lang w:val="en-US" w:eastAsia="zh-CN"/>
                    </w:rPr>
                    <w:t>废水量</w:t>
                  </w:r>
                </w:p>
              </w:tc>
              <w:tc>
                <w:tcPr>
                  <w:tcW w:w="746" w:type="pct"/>
                  <w:noWrap w:val="0"/>
                  <w:tcMar>
                    <w:top w:w="85" w:type="dxa"/>
                    <w:bottom w:w="85" w:type="dxa"/>
                  </w:tcMar>
                  <w:vAlign w:val="center"/>
                </w:tcPr>
                <w:p w14:paraId="42D4A660">
                  <w:pPr>
                    <w:keepNext w:val="0"/>
                    <w:keepLines w:val="0"/>
                    <w:widowControl/>
                    <w:suppressLineNumbers w:val="0"/>
                    <w:jc w:val="center"/>
                    <w:textAlignment w:val="center"/>
                    <w:rPr>
                      <w:rFonts w:hint="default" w:ascii="Times New Roman" w:hAnsi="Times New Roman"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960</w:t>
                  </w:r>
                </w:p>
              </w:tc>
              <w:tc>
                <w:tcPr>
                  <w:tcW w:w="1458" w:type="pct"/>
                  <w:noWrap w:val="0"/>
                  <w:tcMar>
                    <w:top w:w="85" w:type="dxa"/>
                    <w:bottom w:w="85" w:type="dxa"/>
                  </w:tcMar>
                  <w:vAlign w:val="center"/>
                </w:tcPr>
                <w:p w14:paraId="39684210">
                  <w:pPr>
                    <w:keepNext w:val="0"/>
                    <w:keepLines w:val="0"/>
                    <w:widowControl/>
                    <w:suppressLineNumbers w:val="0"/>
                    <w:jc w:val="center"/>
                    <w:textAlignment w:val="center"/>
                    <w:rPr>
                      <w:rFonts w:hint="default" w:ascii="Times New Roman" w:hAnsi="Times New Roman"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kern w:val="2"/>
                      <w:sz w:val="21"/>
                      <w:szCs w:val="21"/>
                      <w:highlight w:val="none"/>
                      <w:lang w:val="en-US" w:eastAsia="zh-CN" w:bidi="ar-SA"/>
                    </w:rPr>
                    <w:t>0</w:t>
                  </w:r>
                </w:p>
              </w:tc>
              <w:tc>
                <w:tcPr>
                  <w:tcW w:w="782" w:type="pct"/>
                  <w:noWrap w:val="0"/>
                  <w:tcMar>
                    <w:top w:w="85" w:type="dxa"/>
                    <w:bottom w:w="85" w:type="dxa"/>
                  </w:tcMar>
                  <w:vAlign w:val="center"/>
                </w:tcPr>
                <w:p w14:paraId="67DE59C5">
                  <w:pPr>
                    <w:keepNext w:val="0"/>
                    <w:keepLines w:val="0"/>
                    <w:widowControl/>
                    <w:suppressLineNumbers w:val="0"/>
                    <w:jc w:val="center"/>
                    <w:textAlignment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960</w:t>
                  </w:r>
                </w:p>
              </w:tc>
            </w:tr>
            <w:tr w14:paraId="434F3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0F68DDDF">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p>
              </w:tc>
              <w:tc>
                <w:tcPr>
                  <w:tcW w:w="1499" w:type="pct"/>
                  <w:noWrap w:val="0"/>
                  <w:tcMar>
                    <w:top w:w="85" w:type="dxa"/>
                    <w:bottom w:w="85" w:type="dxa"/>
                  </w:tcMar>
                  <w:vAlign w:val="center"/>
                </w:tcPr>
                <w:p w14:paraId="3233C721">
                  <w:pPr>
                    <w:adjustRightInd w:val="0"/>
                    <w:snapToGrid w:val="0"/>
                    <w:spacing w:line="240" w:lineRule="auto"/>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snapToGrid w:val="0"/>
                      <w:color w:val="auto"/>
                      <w:sz w:val="21"/>
                      <w:szCs w:val="21"/>
                      <w:highlight w:val="none"/>
                    </w:rPr>
                    <w:t>COD</w:t>
                  </w:r>
                </w:p>
              </w:tc>
              <w:tc>
                <w:tcPr>
                  <w:tcW w:w="746" w:type="pct"/>
                  <w:noWrap w:val="0"/>
                  <w:tcMar>
                    <w:top w:w="85" w:type="dxa"/>
                    <w:bottom w:w="85" w:type="dxa"/>
                  </w:tcMar>
                  <w:vAlign w:val="center"/>
                </w:tcPr>
                <w:p w14:paraId="6999332E">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eastAsia" w:cs="Times New Roman"/>
                      <w:b w:val="0"/>
                      <w:bCs w:val="0"/>
                      <w:snapToGrid w:val="0"/>
                      <w:color w:val="auto"/>
                      <w:kern w:val="0"/>
                      <w:sz w:val="21"/>
                      <w:szCs w:val="21"/>
                      <w:highlight w:val="none"/>
                      <w:lang w:val="en-US" w:eastAsia="zh-CN"/>
                    </w:rPr>
                    <w:t>0.288</w:t>
                  </w:r>
                </w:p>
              </w:tc>
              <w:tc>
                <w:tcPr>
                  <w:tcW w:w="1458" w:type="pct"/>
                  <w:noWrap w:val="0"/>
                  <w:tcMar>
                    <w:top w:w="85" w:type="dxa"/>
                    <w:bottom w:w="85" w:type="dxa"/>
                  </w:tcMar>
                  <w:vAlign w:val="center"/>
                </w:tcPr>
                <w:p w14:paraId="0420B22A">
                  <w:pPr>
                    <w:keepNext w:val="0"/>
                    <w:keepLines w:val="0"/>
                    <w:widowControl/>
                    <w:suppressLineNumbers w:val="0"/>
                    <w:jc w:val="center"/>
                    <w:textAlignment w:val="center"/>
                    <w:rPr>
                      <w:rFonts w:hint="default" w:ascii="Times New Roman" w:hAnsi="Times New Roman"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0.240</w:t>
                  </w:r>
                </w:p>
              </w:tc>
              <w:tc>
                <w:tcPr>
                  <w:tcW w:w="782" w:type="pct"/>
                  <w:noWrap w:val="0"/>
                  <w:tcMar>
                    <w:top w:w="85" w:type="dxa"/>
                    <w:bottom w:w="85" w:type="dxa"/>
                  </w:tcMar>
                  <w:vAlign w:val="center"/>
                </w:tcPr>
                <w:p w14:paraId="164F0F8C">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eastAsia" w:cs="Times New Roman"/>
                      <w:b w:val="0"/>
                      <w:bCs w:val="0"/>
                      <w:snapToGrid w:val="0"/>
                      <w:color w:val="auto"/>
                      <w:kern w:val="0"/>
                      <w:sz w:val="21"/>
                      <w:szCs w:val="21"/>
                      <w:highlight w:val="none"/>
                      <w:lang w:val="en-US" w:eastAsia="zh-CN"/>
                    </w:rPr>
                    <w:t>0.048</w:t>
                  </w:r>
                </w:p>
              </w:tc>
            </w:tr>
            <w:tr w14:paraId="1974A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4F97829E">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p>
              </w:tc>
              <w:tc>
                <w:tcPr>
                  <w:tcW w:w="1499" w:type="pct"/>
                  <w:noWrap w:val="0"/>
                  <w:tcMar>
                    <w:top w:w="85" w:type="dxa"/>
                    <w:bottom w:w="85" w:type="dxa"/>
                  </w:tcMar>
                  <w:vAlign w:val="center"/>
                </w:tcPr>
                <w:p w14:paraId="37358AB3">
                  <w:pPr>
                    <w:adjustRightInd w:val="0"/>
                    <w:snapToGrid w:val="0"/>
                    <w:spacing w:line="240" w:lineRule="auto"/>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sz w:val="21"/>
                      <w:szCs w:val="21"/>
                      <w:highlight w:val="none"/>
                    </w:rPr>
                    <w:t>NH</w:t>
                  </w:r>
                  <w:r>
                    <w:rPr>
                      <w:rFonts w:hint="default" w:ascii="Times New Roman" w:hAnsi="Times New Roman" w:cs="Times New Roman"/>
                      <w:b w:val="0"/>
                      <w:bCs w:val="0"/>
                      <w:color w:val="auto"/>
                      <w:sz w:val="21"/>
                      <w:szCs w:val="21"/>
                      <w:highlight w:val="none"/>
                      <w:vertAlign w:val="subscript"/>
                    </w:rPr>
                    <w:t>3</w:t>
                  </w:r>
                  <w:r>
                    <w:rPr>
                      <w:rFonts w:hint="default" w:ascii="Times New Roman" w:hAnsi="Times New Roman" w:cs="Times New Roman"/>
                      <w:b w:val="0"/>
                      <w:bCs w:val="0"/>
                      <w:color w:val="auto"/>
                      <w:sz w:val="21"/>
                      <w:szCs w:val="21"/>
                      <w:highlight w:val="none"/>
                    </w:rPr>
                    <w:t>-N</w:t>
                  </w:r>
                </w:p>
              </w:tc>
              <w:tc>
                <w:tcPr>
                  <w:tcW w:w="746" w:type="pct"/>
                  <w:noWrap w:val="0"/>
                  <w:tcMar>
                    <w:top w:w="85" w:type="dxa"/>
                    <w:bottom w:w="85" w:type="dxa"/>
                  </w:tcMar>
                  <w:vAlign w:val="center"/>
                </w:tcPr>
                <w:p w14:paraId="1BB92559">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eastAsia" w:cs="Times New Roman"/>
                      <w:b w:val="0"/>
                      <w:bCs w:val="0"/>
                      <w:snapToGrid w:val="0"/>
                      <w:color w:val="auto"/>
                      <w:kern w:val="0"/>
                      <w:sz w:val="21"/>
                      <w:szCs w:val="21"/>
                      <w:highlight w:val="none"/>
                      <w:lang w:val="en-US" w:eastAsia="zh-CN"/>
                    </w:rPr>
                    <w:t>0.024</w:t>
                  </w:r>
                </w:p>
              </w:tc>
              <w:tc>
                <w:tcPr>
                  <w:tcW w:w="1458" w:type="pct"/>
                  <w:noWrap w:val="0"/>
                  <w:tcMar>
                    <w:top w:w="85" w:type="dxa"/>
                    <w:bottom w:w="85" w:type="dxa"/>
                  </w:tcMar>
                  <w:vAlign w:val="center"/>
                </w:tcPr>
                <w:p w14:paraId="594134D6">
                  <w:pPr>
                    <w:keepNext w:val="0"/>
                    <w:keepLines w:val="0"/>
                    <w:widowControl/>
                    <w:suppressLineNumbers w:val="0"/>
                    <w:jc w:val="center"/>
                    <w:textAlignment w:val="center"/>
                    <w:rPr>
                      <w:rFonts w:hint="default" w:ascii="Times New Roman" w:hAnsi="Times New Roman"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0.0192</w:t>
                  </w:r>
                </w:p>
              </w:tc>
              <w:tc>
                <w:tcPr>
                  <w:tcW w:w="782" w:type="pct"/>
                  <w:noWrap w:val="0"/>
                  <w:tcMar>
                    <w:top w:w="85" w:type="dxa"/>
                    <w:bottom w:w="85" w:type="dxa"/>
                  </w:tcMar>
                  <w:vAlign w:val="center"/>
                </w:tcPr>
                <w:p w14:paraId="04C75DCD">
                  <w:pPr>
                    <w:keepNext w:val="0"/>
                    <w:keepLines w:val="0"/>
                    <w:widowControl/>
                    <w:suppressLineNumbers w:val="0"/>
                    <w:jc w:val="center"/>
                    <w:textAlignment w:val="bottom"/>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eastAsia" w:cs="Times New Roman"/>
                      <w:b w:val="0"/>
                      <w:bCs w:val="0"/>
                      <w:snapToGrid w:val="0"/>
                      <w:color w:val="auto"/>
                      <w:kern w:val="0"/>
                      <w:sz w:val="21"/>
                      <w:szCs w:val="21"/>
                      <w:highlight w:val="none"/>
                      <w:lang w:val="en-US" w:eastAsia="zh-CN"/>
                    </w:rPr>
                    <w:t>0.0048</w:t>
                  </w:r>
                </w:p>
              </w:tc>
            </w:tr>
            <w:tr w14:paraId="72F5E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noWrap w:val="0"/>
                  <w:tcMar>
                    <w:top w:w="85" w:type="dxa"/>
                    <w:bottom w:w="85" w:type="dxa"/>
                  </w:tcMar>
                  <w:vAlign w:val="center"/>
                </w:tcPr>
                <w:p w14:paraId="6FE575DC">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废气</w:t>
                  </w:r>
                </w:p>
              </w:tc>
              <w:tc>
                <w:tcPr>
                  <w:tcW w:w="1499" w:type="pct"/>
                  <w:noWrap w:val="0"/>
                  <w:tcMar>
                    <w:top w:w="85" w:type="dxa"/>
                    <w:bottom w:w="85" w:type="dxa"/>
                  </w:tcMar>
                  <w:vAlign w:val="center"/>
                </w:tcPr>
                <w:p w14:paraId="6058E028">
                  <w:pPr>
                    <w:adjustRightInd w:val="0"/>
                    <w:snapToGrid w:val="0"/>
                    <w:jc w:val="center"/>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eastAsia="宋体" w:cs="Times New Roman"/>
                      <w:b w:val="0"/>
                      <w:bCs w:val="0"/>
                      <w:snapToGrid w:val="0"/>
                      <w:color w:val="auto"/>
                      <w:kern w:val="0"/>
                      <w:sz w:val="21"/>
                      <w:szCs w:val="21"/>
                      <w:highlight w:val="none"/>
                      <w:lang w:val="en-US" w:eastAsia="zh-CN" w:bidi="ar-SA"/>
                    </w:rPr>
                    <w:t>非甲烷总烃</w:t>
                  </w:r>
                </w:p>
              </w:tc>
              <w:tc>
                <w:tcPr>
                  <w:tcW w:w="746" w:type="pct"/>
                  <w:noWrap w:val="0"/>
                  <w:tcMar>
                    <w:top w:w="85" w:type="dxa"/>
                    <w:bottom w:w="85" w:type="dxa"/>
                  </w:tcMar>
                  <w:vAlign w:val="center"/>
                </w:tcPr>
                <w:p w14:paraId="5081487C">
                  <w:pPr>
                    <w:keepNext w:val="0"/>
                    <w:keepLines w:val="0"/>
                    <w:widowControl/>
                    <w:suppressLineNumbers w:val="0"/>
                    <w:jc w:val="center"/>
                    <w:textAlignment w:val="center"/>
                    <w:rPr>
                      <w:rFonts w:hint="default" w:ascii="Times New Roman" w:hAnsi="Times New Roman" w:cs="Times New Roman"/>
                      <w:b w:val="0"/>
                      <w:bCs w:val="0"/>
                      <w:snapToGrid w:val="0"/>
                      <w:color w:val="auto"/>
                      <w:kern w:val="0"/>
                      <w:sz w:val="21"/>
                      <w:szCs w:val="21"/>
                      <w:highlight w:val="none"/>
                      <w:lang w:val="en-US" w:eastAsia="zh-CN" w:bidi="ar-SA"/>
                    </w:rPr>
                  </w:pPr>
                  <w:r>
                    <w:rPr>
                      <w:rFonts w:hint="eastAsia" w:cs="Times New Roman"/>
                      <w:b w:val="0"/>
                      <w:bCs w:val="0"/>
                      <w:snapToGrid w:val="0"/>
                      <w:color w:val="auto"/>
                      <w:kern w:val="0"/>
                      <w:sz w:val="21"/>
                      <w:szCs w:val="21"/>
                      <w:highlight w:val="none"/>
                      <w:lang w:val="en-US" w:eastAsia="zh-CN" w:bidi="ar-SA"/>
                    </w:rPr>
                    <w:t>2.1104</w:t>
                  </w:r>
                </w:p>
              </w:tc>
              <w:tc>
                <w:tcPr>
                  <w:tcW w:w="1458" w:type="pct"/>
                  <w:noWrap w:val="0"/>
                  <w:tcMar>
                    <w:top w:w="85" w:type="dxa"/>
                    <w:bottom w:w="85" w:type="dxa"/>
                  </w:tcMar>
                  <w:vAlign w:val="center"/>
                </w:tcPr>
                <w:p w14:paraId="7942357C">
                  <w:pPr>
                    <w:keepNext w:val="0"/>
                    <w:keepLines w:val="0"/>
                    <w:widowControl/>
                    <w:suppressLineNumbers w:val="0"/>
                    <w:jc w:val="center"/>
                    <w:textAlignment w:val="center"/>
                    <w:rPr>
                      <w:rFonts w:hint="default" w:ascii="Times New Roman" w:hAnsi="Times New Roman" w:eastAsia="宋体" w:cs="Times New Roman"/>
                      <w:b w:val="0"/>
                      <w:bCs w:val="0"/>
                      <w:color w:val="auto"/>
                      <w:kern w:val="2"/>
                      <w:sz w:val="21"/>
                      <w:szCs w:val="21"/>
                      <w:highlight w:val="none"/>
                      <w:lang w:val="en-US" w:eastAsia="zh-CN"/>
                    </w:rPr>
                  </w:pPr>
                  <w:r>
                    <w:rPr>
                      <w:rFonts w:hint="eastAsia" w:cs="Times New Roman"/>
                      <w:i w:val="0"/>
                      <w:iCs w:val="0"/>
                      <w:color w:val="000000"/>
                      <w:kern w:val="0"/>
                      <w:sz w:val="21"/>
                      <w:szCs w:val="21"/>
                      <w:u w:val="none"/>
                      <w:lang w:val="en-US" w:eastAsia="zh-CN" w:bidi="ar"/>
                    </w:rPr>
                    <w:t>1.8154</w:t>
                  </w:r>
                </w:p>
              </w:tc>
              <w:tc>
                <w:tcPr>
                  <w:tcW w:w="782" w:type="pct"/>
                  <w:noWrap w:val="0"/>
                  <w:tcMar>
                    <w:top w:w="85" w:type="dxa"/>
                    <w:bottom w:w="85" w:type="dxa"/>
                  </w:tcMar>
                  <w:vAlign w:val="center"/>
                </w:tcPr>
                <w:p w14:paraId="7296FFFF">
                  <w:pPr>
                    <w:keepNext w:val="0"/>
                    <w:keepLines w:val="0"/>
                    <w:widowControl/>
                    <w:suppressLineNumbers w:val="0"/>
                    <w:jc w:val="center"/>
                    <w:textAlignment w:val="center"/>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eastAsia" w:cs="Times New Roman"/>
                      <w:b w:val="0"/>
                      <w:bCs w:val="0"/>
                      <w:snapToGrid w:val="0"/>
                      <w:color w:val="auto"/>
                      <w:kern w:val="0"/>
                      <w:sz w:val="21"/>
                      <w:szCs w:val="21"/>
                      <w:highlight w:val="none"/>
                      <w:lang w:val="en-US" w:eastAsia="zh-CN" w:bidi="ar-SA"/>
                    </w:rPr>
                    <w:t>0.295</w:t>
                  </w:r>
                </w:p>
              </w:tc>
            </w:tr>
            <w:tr w14:paraId="17859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restart"/>
                  <w:noWrap w:val="0"/>
                  <w:tcMar>
                    <w:top w:w="85" w:type="dxa"/>
                    <w:bottom w:w="85" w:type="dxa"/>
                  </w:tcMar>
                  <w:vAlign w:val="center"/>
                </w:tcPr>
                <w:p w14:paraId="4915EE5C">
                  <w:pPr>
                    <w:adjustRightInd w:val="0"/>
                    <w:snapToGrid w:val="0"/>
                    <w:jc w:val="center"/>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固废</w:t>
                  </w:r>
                </w:p>
              </w:tc>
              <w:tc>
                <w:tcPr>
                  <w:tcW w:w="1499" w:type="pct"/>
                  <w:noWrap w:val="0"/>
                  <w:tcMar>
                    <w:top w:w="85" w:type="dxa"/>
                    <w:bottom w:w="85" w:type="dxa"/>
                  </w:tcMar>
                  <w:vAlign w:val="center"/>
                </w:tcPr>
                <w:p w14:paraId="0FE50F78">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废原料包装材料</w:t>
                  </w:r>
                </w:p>
              </w:tc>
              <w:tc>
                <w:tcPr>
                  <w:tcW w:w="746" w:type="pct"/>
                  <w:noWrap w:val="0"/>
                  <w:tcMar>
                    <w:top w:w="85" w:type="dxa"/>
                    <w:bottom w:w="85" w:type="dxa"/>
                  </w:tcMar>
                  <w:vAlign w:val="center"/>
                </w:tcPr>
                <w:p w14:paraId="18968CB6">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3</w:t>
                  </w:r>
                </w:p>
              </w:tc>
              <w:tc>
                <w:tcPr>
                  <w:tcW w:w="1458" w:type="pct"/>
                  <w:noWrap w:val="0"/>
                  <w:tcMar>
                    <w:top w:w="85" w:type="dxa"/>
                    <w:bottom w:w="85" w:type="dxa"/>
                  </w:tcMar>
                  <w:vAlign w:val="center"/>
                </w:tcPr>
                <w:p w14:paraId="37AA1BE2">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3</w:t>
                  </w:r>
                </w:p>
              </w:tc>
              <w:tc>
                <w:tcPr>
                  <w:tcW w:w="782" w:type="pct"/>
                  <w:noWrap w:val="0"/>
                  <w:tcMar>
                    <w:top w:w="85" w:type="dxa"/>
                    <w:bottom w:w="85" w:type="dxa"/>
                  </w:tcMar>
                  <w:vAlign w:val="center"/>
                </w:tcPr>
                <w:p w14:paraId="78020B14">
                  <w:pPr>
                    <w:adjustRightInd w:val="0"/>
                    <w:snapToGrid w:val="0"/>
                    <w:jc w:val="center"/>
                    <w:rPr>
                      <w:rFonts w:hint="default" w:ascii="Times New Roman" w:hAnsi="Times New Roman" w:cs="Times New Roman"/>
                      <w:b w:val="0"/>
                      <w:bCs w:val="0"/>
                      <w:snapToGrid w:val="0"/>
                      <w:color w:val="auto"/>
                      <w:kern w:val="0"/>
                      <w:sz w:val="21"/>
                      <w:szCs w:val="21"/>
                      <w:highlight w:val="none"/>
                      <w:lang w:val="en-US" w:eastAsia="zh-CN" w:bidi="ar"/>
                    </w:rPr>
                  </w:pPr>
                  <w:r>
                    <w:rPr>
                      <w:rFonts w:hint="default" w:ascii="Times New Roman" w:hAnsi="Times New Roman" w:cs="Times New Roman"/>
                      <w:b w:val="0"/>
                      <w:bCs w:val="0"/>
                      <w:snapToGrid w:val="0"/>
                      <w:color w:val="auto"/>
                      <w:kern w:val="0"/>
                      <w:sz w:val="21"/>
                      <w:szCs w:val="21"/>
                      <w:highlight w:val="none"/>
                      <w:lang w:val="en-US" w:eastAsia="zh-CN" w:bidi="ar"/>
                    </w:rPr>
                    <w:t>0</w:t>
                  </w:r>
                </w:p>
              </w:tc>
            </w:tr>
            <w:tr w14:paraId="6BA5E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76622B2F">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tcMar>
                    <w:top w:w="85" w:type="dxa"/>
                    <w:bottom w:w="85" w:type="dxa"/>
                  </w:tcMar>
                  <w:vAlign w:val="center"/>
                </w:tcPr>
                <w:p w14:paraId="01AFB624">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玻璃边角料</w:t>
                  </w:r>
                </w:p>
              </w:tc>
              <w:tc>
                <w:tcPr>
                  <w:tcW w:w="746" w:type="pct"/>
                  <w:noWrap w:val="0"/>
                  <w:tcMar>
                    <w:top w:w="85" w:type="dxa"/>
                    <w:bottom w:w="85" w:type="dxa"/>
                  </w:tcMar>
                  <w:vAlign w:val="center"/>
                </w:tcPr>
                <w:p w14:paraId="57A4EF15">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125</w:t>
                  </w:r>
                </w:p>
              </w:tc>
              <w:tc>
                <w:tcPr>
                  <w:tcW w:w="1458" w:type="pct"/>
                  <w:noWrap w:val="0"/>
                  <w:tcMar>
                    <w:top w:w="85" w:type="dxa"/>
                    <w:bottom w:w="85" w:type="dxa"/>
                  </w:tcMar>
                  <w:vAlign w:val="center"/>
                </w:tcPr>
                <w:p w14:paraId="0EA8ECA1">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125</w:t>
                  </w:r>
                </w:p>
              </w:tc>
              <w:tc>
                <w:tcPr>
                  <w:tcW w:w="782" w:type="pct"/>
                  <w:noWrap w:val="0"/>
                  <w:tcMar>
                    <w:top w:w="85" w:type="dxa"/>
                    <w:bottom w:w="85" w:type="dxa"/>
                  </w:tcMar>
                  <w:vAlign w:val="center"/>
                </w:tcPr>
                <w:p w14:paraId="56EC9F33">
                  <w:pPr>
                    <w:adjustRightInd w:val="0"/>
                    <w:snapToGrid w:val="0"/>
                    <w:jc w:val="center"/>
                    <w:rPr>
                      <w:rFonts w:hint="default" w:ascii="Times New Roman" w:hAnsi="Times New Roman" w:cs="Times New Roman"/>
                      <w:b w:val="0"/>
                      <w:bCs w:val="0"/>
                      <w:snapToGrid w:val="0"/>
                      <w:color w:val="auto"/>
                      <w:kern w:val="0"/>
                      <w:sz w:val="21"/>
                      <w:szCs w:val="21"/>
                      <w:highlight w:val="none"/>
                      <w:lang w:val="en-US" w:eastAsia="zh-CN" w:bidi="ar"/>
                    </w:rPr>
                  </w:pPr>
                  <w:r>
                    <w:rPr>
                      <w:rFonts w:hint="default" w:ascii="Times New Roman" w:hAnsi="Times New Roman" w:cs="Times New Roman"/>
                      <w:b w:val="0"/>
                      <w:bCs w:val="0"/>
                      <w:snapToGrid w:val="0"/>
                      <w:color w:val="auto"/>
                      <w:kern w:val="0"/>
                      <w:sz w:val="21"/>
                      <w:szCs w:val="21"/>
                      <w:highlight w:val="none"/>
                      <w:lang w:val="en-US" w:eastAsia="zh-CN" w:bidi="ar"/>
                    </w:rPr>
                    <w:t>0</w:t>
                  </w:r>
                </w:p>
              </w:tc>
            </w:tr>
            <w:tr w14:paraId="592A4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3FB2B9DD">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tcMar>
                    <w:top w:w="85" w:type="dxa"/>
                    <w:bottom w:w="85" w:type="dxa"/>
                  </w:tcMar>
                  <w:vAlign w:val="center"/>
                </w:tcPr>
                <w:p w14:paraId="3CD71433">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不合格产品</w:t>
                  </w:r>
                </w:p>
              </w:tc>
              <w:tc>
                <w:tcPr>
                  <w:tcW w:w="746" w:type="pct"/>
                  <w:noWrap w:val="0"/>
                  <w:tcMar>
                    <w:top w:w="85" w:type="dxa"/>
                    <w:bottom w:w="85" w:type="dxa"/>
                  </w:tcMar>
                  <w:vAlign w:val="center"/>
                </w:tcPr>
                <w:p w14:paraId="0DAD3C25">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1875</w:t>
                  </w:r>
                </w:p>
              </w:tc>
              <w:tc>
                <w:tcPr>
                  <w:tcW w:w="1458" w:type="pct"/>
                  <w:noWrap w:val="0"/>
                  <w:tcMar>
                    <w:top w:w="85" w:type="dxa"/>
                    <w:bottom w:w="85" w:type="dxa"/>
                  </w:tcMar>
                  <w:vAlign w:val="center"/>
                </w:tcPr>
                <w:p w14:paraId="575FF6DB">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1875</w:t>
                  </w:r>
                </w:p>
              </w:tc>
              <w:tc>
                <w:tcPr>
                  <w:tcW w:w="782" w:type="pct"/>
                  <w:noWrap w:val="0"/>
                  <w:tcMar>
                    <w:top w:w="85" w:type="dxa"/>
                    <w:bottom w:w="85" w:type="dxa"/>
                  </w:tcMar>
                  <w:vAlign w:val="center"/>
                </w:tcPr>
                <w:p w14:paraId="280517CA">
                  <w:pPr>
                    <w:widowControl/>
                    <w:jc w:val="center"/>
                    <w:textAlignment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0</w:t>
                  </w:r>
                </w:p>
              </w:tc>
            </w:tr>
            <w:tr w14:paraId="00FB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1AC05DCA">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tcMar>
                    <w:top w:w="85" w:type="dxa"/>
                    <w:bottom w:w="85" w:type="dxa"/>
                  </w:tcMar>
                  <w:vAlign w:val="center"/>
                </w:tcPr>
                <w:p w14:paraId="178AE579">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废反渗透膜</w:t>
                  </w:r>
                </w:p>
              </w:tc>
              <w:tc>
                <w:tcPr>
                  <w:tcW w:w="746" w:type="pct"/>
                  <w:noWrap w:val="0"/>
                  <w:tcMar>
                    <w:top w:w="85" w:type="dxa"/>
                    <w:bottom w:w="85" w:type="dxa"/>
                  </w:tcMar>
                  <w:vAlign w:val="center"/>
                </w:tcPr>
                <w:p w14:paraId="18B2F86E">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0.03</w:t>
                  </w:r>
                </w:p>
              </w:tc>
              <w:tc>
                <w:tcPr>
                  <w:tcW w:w="1458" w:type="pct"/>
                  <w:noWrap w:val="0"/>
                  <w:tcMar>
                    <w:top w:w="85" w:type="dxa"/>
                    <w:bottom w:w="85" w:type="dxa"/>
                  </w:tcMar>
                  <w:vAlign w:val="center"/>
                </w:tcPr>
                <w:p w14:paraId="51902648">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0.03</w:t>
                  </w:r>
                </w:p>
              </w:tc>
              <w:tc>
                <w:tcPr>
                  <w:tcW w:w="782" w:type="pct"/>
                  <w:noWrap w:val="0"/>
                  <w:tcMar>
                    <w:top w:w="85" w:type="dxa"/>
                    <w:bottom w:w="85" w:type="dxa"/>
                  </w:tcMar>
                  <w:vAlign w:val="center"/>
                </w:tcPr>
                <w:p w14:paraId="5531DC9F">
                  <w:pPr>
                    <w:widowControl/>
                    <w:jc w:val="center"/>
                    <w:textAlignment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0</w:t>
                  </w:r>
                </w:p>
              </w:tc>
            </w:tr>
            <w:tr w14:paraId="3B8E6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2533FFDF">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tcMar>
                    <w:top w:w="85" w:type="dxa"/>
                    <w:bottom w:w="85" w:type="dxa"/>
                  </w:tcMar>
                  <w:vAlign w:val="center"/>
                </w:tcPr>
                <w:p w14:paraId="57A2F44F">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沉渣</w:t>
                  </w:r>
                </w:p>
              </w:tc>
              <w:tc>
                <w:tcPr>
                  <w:tcW w:w="746" w:type="pct"/>
                  <w:noWrap w:val="0"/>
                  <w:tcMar>
                    <w:top w:w="85" w:type="dxa"/>
                    <w:bottom w:w="85" w:type="dxa"/>
                  </w:tcMar>
                  <w:vAlign w:val="center"/>
                </w:tcPr>
                <w:p w14:paraId="4988110C">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rPr>
                    <w:t>15</w:t>
                  </w:r>
                </w:p>
              </w:tc>
              <w:tc>
                <w:tcPr>
                  <w:tcW w:w="1458" w:type="pct"/>
                  <w:noWrap w:val="0"/>
                  <w:tcMar>
                    <w:top w:w="85" w:type="dxa"/>
                    <w:bottom w:w="85" w:type="dxa"/>
                  </w:tcMar>
                  <w:vAlign w:val="center"/>
                </w:tcPr>
                <w:p w14:paraId="76D4B621">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rPr>
                    <w:t>15</w:t>
                  </w:r>
                </w:p>
              </w:tc>
              <w:tc>
                <w:tcPr>
                  <w:tcW w:w="782" w:type="pct"/>
                  <w:noWrap w:val="0"/>
                  <w:tcMar>
                    <w:top w:w="85" w:type="dxa"/>
                    <w:bottom w:w="85" w:type="dxa"/>
                  </w:tcMar>
                  <w:vAlign w:val="center"/>
                </w:tcPr>
                <w:p w14:paraId="5B1D714A">
                  <w:pPr>
                    <w:adjustRightInd w:val="0"/>
                    <w:snapToGrid w:val="0"/>
                    <w:jc w:val="center"/>
                    <w:rPr>
                      <w:rFonts w:hint="default" w:ascii="Times New Roman" w:hAnsi="Times New Roman" w:eastAsia="宋体" w:cs="Times New Roman"/>
                      <w:b w:val="0"/>
                      <w:bCs w:val="0"/>
                      <w:snapToGrid w:val="0"/>
                      <w:color w:val="auto"/>
                      <w:kern w:val="0"/>
                      <w:sz w:val="21"/>
                      <w:szCs w:val="21"/>
                      <w:highlight w:val="none"/>
                      <w:lang w:val="en-US" w:eastAsia="zh-CN" w:bidi="ar"/>
                    </w:rPr>
                  </w:pPr>
                  <w:r>
                    <w:rPr>
                      <w:rFonts w:hint="default" w:ascii="Times New Roman" w:hAnsi="Times New Roman" w:eastAsia="宋体" w:cs="Times New Roman"/>
                      <w:b w:val="0"/>
                      <w:bCs w:val="0"/>
                      <w:snapToGrid w:val="0"/>
                      <w:color w:val="auto"/>
                      <w:kern w:val="0"/>
                      <w:sz w:val="21"/>
                      <w:szCs w:val="21"/>
                      <w:highlight w:val="none"/>
                      <w:lang w:val="en-US" w:eastAsia="zh-CN" w:bidi="ar"/>
                    </w:rPr>
                    <w:t>0</w:t>
                  </w:r>
                </w:p>
              </w:tc>
            </w:tr>
            <w:tr w14:paraId="7D0B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1CF8D562">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tcMar>
                    <w:top w:w="85" w:type="dxa"/>
                    <w:bottom w:w="85" w:type="dxa"/>
                  </w:tcMar>
                  <w:vAlign w:val="center"/>
                </w:tcPr>
                <w:p w14:paraId="5015DAF9">
                  <w:pPr>
                    <w:pStyle w:val="115"/>
                    <w:rPr>
                      <w:rFonts w:hint="default" w:cs="Times New Roman"/>
                      <w:b w:val="0"/>
                      <w:bCs w:val="0"/>
                      <w:color w:val="auto"/>
                      <w:kern w:val="2"/>
                      <w:sz w:val="21"/>
                      <w:szCs w:val="21"/>
                      <w:lang w:val="en-US" w:eastAsia="zh-CN"/>
                    </w:rPr>
                  </w:pPr>
                  <w:r>
                    <w:rPr>
                      <w:rFonts w:hint="eastAsia" w:cs="Times New Roman"/>
                      <w:b w:val="0"/>
                      <w:bCs w:val="0"/>
                      <w:color w:val="auto"/>
                      <w:kern w:val="2"/>
                      <w:sz w:val="21"/>
                      <w:szCs w:val="21"/>
                      <w:lang w:val="en-US" w:eastAsia="zh-CN"/>
                    </w:rPr>
                    <w:t>废铝条</w:t>
                  </w:r>
                </w:p>
              </w:tc>
              <w:tc>
                <w:tcPr>
                  <w:tcW w:w="746" w:type="pct"/>
                  <w:noWrap w:val="0"/>
                  <w:tcMar>
                    <w:top w:w="85" w:type="dxa"/>
                    <w:bottom w:w="85" w:type="dxa"/>
                  </w:tcMar>
                  <w:vAlign w:val="center"/>
                </w:tcPr>
                <w:p w14:paraId="29C80FB8">
                  <w:pPr>
                    <w:pStyle w:val="115"/>
                    <w:rPr>
                      <w:rFonts w:hint="default" w:cs="Times New Roman"/>
                      <w:b w:val="0"/>
                      <w:bCs w:val="0"/>
                      <w:color w:val="auto"/>
                      <w:kern w:val="2"/>
                      <w:sz w:val="21"/>
                      <w:szCs w:val="21"/>
                      <w:highlight w:val="none"/>
                      <w:lang w:val="en-US" w:eastAsia="zh-CN"/>
                    </w:rPr>
                  </w:pPr>
                  <w:r>
                    <w:rPr>
                      <w:rFonts w:hint="eastAsia" w:cs="Times New Roman"/>
                      <w:b w:val="0"/>
                      <w:bCs w:val="0"/>
                      <w:color w:val="auto"/>
                      <w:kern w:val="2"/>
                      <w:sz w:val="21"/>
                      <w:szCs w:val="21"/>
                      <w:highlight w:val="none"/>
                      <w:lang w:val="en-US" w:eastAsia="zh-CN"/>
                    </w:rPr>
                    <w:t>0.5</w:t>
                  </w:r>
                </w:p>
              </w:tc>
              <w:tc>
                <w:tcPr>
                  <w:tcW w:w="1458" w:type="pct"/>
                  <w:noWrap w:val="0"/>
                  <w:tcMar>
                    <w:top w:w="85" w:type="dxa"/>
                    <w:bottom w:w="85" w:type="dxa"/>
                  </w:tcMar>
                  <w:vAlign w:val="center"/>
                </w:tcPr>
                <w:p w14:paraId="022BFFFC">
                  <w:pPr>
                    <w:pStyle w:val="115"/>
                    <w:rPr>
                      <w:rFonts w:hint="default" w:cs="Times New Roman"/>
                      <w:b w:val="0"/>
                      <w:bCs w:val="0"/>
                      <w:color w:val="auto"/>
                      <w:kern w:val="2"/>
                      <w:sz w:val="21"/>
                      <w:szCs w:val="21"/>
                      <w:highlight w:val="none"/>
                      <w:lang w:val="en-US" w:eastAsia="zh-CN"/>
                    </w:rPr>
                  </w:pPr>
                  <w:r>
                    <w:rPr>
                      <w:rFonts w:hint="eastAsia" w:cs="Times New Roman"/>
                      <w:b w:val="0"/>
                      <w:bCs w:val="0"/>
                      <w:color w:val="auto"/>
                      <w:kern w:val="2"/>
                      <w:sz w:val="21"/>
                      <w:szCs w:val="21"/>
                      <w:highlight w:val="none"/>
                      <w:lang w:val="en-US" w:eastAsia="zh-CN"/>
                    </w:rPr>
                    <w:t>0.5</w:t>
                  </w:r>
                </w:p>
              </w:tc>
              <w:tc>
                <w:tcPr>
                  <w:tcW w:w="782" w:type="pct"/>
                  <w:noWrap w:val="0"/>
                  <w:tcMar>
                    <w:top w:w="85" w:type="dxa"/>
                    <w:bottom w:w="85" w:type="dxa"/>
                  </w:tcMar>
                  <w:vAlign w:val="center"/>
                </w:tcPr>
                <w:p w14:paraId="2FA54A7B">
                  <w:pPr>
                    <w:adjustRightInd w:val="0"/>
                    <w:snapToGrid w:val="0"/>
                    <w:jc w:val="center"/>
                    <w:rPr>
                      <w:rFonts w:hint="default" w:ascii="Times New Roman" w:hAnsi="Times New Roman" w:eastAsia="宋体" w:cs="Times New Roman"/>
                      <w:b w:val="0"/>
                      <w:bCs w:val="0"/>
                      <w:snapToGrid w:val="0"/>
                      <w:color w:val="auto"/>
                      <w:kern w:val="0"/>
                      <w:sz w:val="21"/>
                      <w:szCs w:val="21"/>
                      <w:highlight w:val="none"/>
                      <w:lang w:val="en-US" w:eastAsia="zh-CN" w:bidi="ar"/>
                    </w:rPr>
                  </w:pPr>
                  <w:r>
                    <w:rPr>
                      <w:rFonts w:hint="eastAsia" w:cs="Times New Roman"/>
                      <w:b w:val="0"/>
                      <w:bCs w:val="0"/>
                      <w:snapToGrid w:val="0"/>
                      <w:color w:val="auto"/>
                      <w:kern w:val="0"/>
                      <w:sz w:val="21"/>
                      <w:szCs w:val="21"/>
                      <w:highlight w:val="none"/>
                      <w:lang w:val="en-US" w:eastAsia="zh-CN" w:bidi="ar"/>
                    </w:rPr>
                    <w:t>0</w:t>
                  </w:r>
                </w:p>
              </w:tc>
            </w:tr>
            <w:tr w14:paraId="22F06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tcMar>
                    <w:top w:w="85" w:type="dxa"/>
                    <w:bottom w:w="85" w:type="dxa"/>
                  </w:tcMar>
                  <w:vAlign w:val="center"/>
                </w:tcPr>
                <w:p w14:paraId="1D81220A">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tcMar>
                    <w:top w:w="85" w:type="dxa"/>
                    <w:bottom w:w="85" w:type="dxa"/>
                  </w:tcMar>
                  <w:vAlign w:val="center"/>
                </w:tcPr>
                <w:p w14:paraId="29903D37">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lang w:val="en-US" w:eastAsia="zh-CN"/>
                    </w:rPr>
                    <w:t>废油墨包装桶、废胶桶</w:t>
                  </w:r>
                </w:p>
              </w:tc>
              <w:tc>
                <w:tcPr>
                  <w:tcW w:w="746" w:type="pct"/>
                  <w:noWrap w:val="0"/>
                  <w:tcMar>
                    <w:top w:w="85" w:type="dxa"/>
                    <w:bottom w:w="85" w:type="dxa"/>
                  </w:tcMar>
                  <w:vAlign w:val="center"/>
                </w:tcPr>
                <w:p w14:paraId="17022DB8">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1.15</w:t>
                  </w:r>
                </w:p>
              </w:tc>
              <w:tc>
                <w:tcPr>
                  <w:tcW w:w="1458" w:type="pct"/>
                  <w:noWrap w:val="0"/>
                  <w:tcMar>
                    <w:top w:w="85" w:type="dxa"/>
                    <w:bottom w:w="85" w:type="dxa"/>
                  </w:tcMar>
                  <w:vAlign w:val="center"/>
                </w:tcPr>
                <w:p w14:paraId="2934B8CC">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1.15</w:t>
                  </w:r>
                </w:p>
              </w:tc>
              <w:tc>
                <w:tcPr>
                  <w:tcW w:w="782" w:type="pct"/>
                  <w:noWrap w:val="0"/>
                  <w:tcMar>
                    <w:top w:w="85" w:type="dxa"/>
                    <w:bottom w:w="85" w:type="dxa"/>
                  </w:tcMar>
                  <w:vAlign w:val="center"/>
                </w:tcPr>
                <w:p w14:paraId="6105F9C0">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kern w:val="2"/>
                      <w:sz w:val="21"/>
                      <w:szCs w:val="21"/>
                      <w:highlight w:val="none"/>
                      <w:lang w:val="en-US" w:eastAsia="zh-CN"/>
                    </w:rPr>
                    <w:t>0</w:t>
                  </w:r>
                </w:p>
              </w:tc>
            </w:tr>
            <w:tr w14:paraId="02705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vAlign w:val="top"/>
                </w:tcPr>
                <w:p w14:paraId="4F117A6C">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vAlign w:val="center"/>
                </w:tcPr>
                <w:p w14:paraId="1009FBE9">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lang w:val="en-US" w:eastAsia="zh-CN" w:bidi="ar-SA"/>
                    </w:rPr>
                    <w:t>废活性炭</w:t>
                  </w:r>
                </w:p>
              </w:tc>
              <w:tc>
                <w:tcPr>
                  <w:tcW w:w="746" w:type="pct"/>
                  <w:noWrap w:val="0"/>
                  <w:vAlign w:val="center"/>
                </w:tcPr>
                <w:p w14:paraId="0681BFEE">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7</w:t>
                  </w:r>
                </w:p>
              </w:tc>
              <w:tc>
                <w:tcPr>
                  <w:tcW w:w="1458" w:type="pct"/>
                  <w:noWrap w:val="0"/>
                  <w:vAlign w:val="center"/>
                </w:tcPr>
                <w:p w14:paraId="0D27E91C">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7</w:t>
                  </w:r>
                </w:p>
              </w:tc>
              <w:tc>
                <w:tcPr>
                  <w:tcW w:w="782" w:type="pct"/>
                  <w:noWrap w:val="0"/>
                  <w:vAlign w:val="top"/>
                </w:tcPr>
                <w:p w14:paraId="34798CA4">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kern w:val="2"/>
                      <w:sz w:val="21"/>
                      <w:szCs w:val="21"/>
                      <w:highlight w:val="none"/>
                      <w:lang w:val="en-US" w:eastAsia="zh-CN"/>
                    </w:rPr>
                    <w:t>0</w:t>
                  </w:r>
                </w:p>
              </w:tc>
            </w:tr>
            <w:tr w14:paraId="00065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vAlign w:val="top"/>
                </w:tcPr>
                <w:p w14:paraId="2D61DA2E">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vAlign w:val="center"/>
                </w:tcPr>
                <w:p w14:paraId="4906B223">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废机油</w:t>
                  </w:r>
                </w:p>
              </w:tc>
              <w:tc>
                <w:tcPr>
                  <w:tcW w:w="746" w:type="pct"/>
                  <w:noWrap w:val="0"/>
                  <w:vAlign w:val="center"/>
                </w:tcPr>
                <w:p w14:paraId="440D36C2">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0.5</w:t>
                  </w:r>
                </w:p>
              </w:tc>
              <w:tc>
                <w:tcPr>
                  <w:tcW w:w="1458" w:type="pct"/>
                  <w:noWrap w:val="0"/>
                  <w:vAlign w:val="center"/>
                </w:tcPr>
                <w:p w14:paraId="4B7595B0">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0.5</w:t>
                  </w:r>
                </w:p>
              </w:tc>
              <w:tc>
                <w:tcPr>
                  <w:tcW w:w="782" w:type="pct"/>
                  <w:noWrap w:val="0"/>
                  <w:vAlign w:val="top"/>
                </w:tcPr>
                <w:p w14:paraId="34E4C351">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kern w:val="2"/>
                      <w:sz w:val="21"/>
                      <w:szCs w:val="21"/>
                      <w:highlight w:val="none"/>
                      <w:lang w:val="en-US" w:eastAsia="zh-CN"/>
                    </w:rPr>
                    <w:t>0</w:t>
                  </w:r>
                </w:p>
              </w:tc>
            </w:tr>
            <w:tr w14:paraId="64600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vAlign w:val="top"/>
                </w:tcPr>
                <w:p w14:paraId="5FC51690">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vAlign w:val="center"/>
                </w:tcPr>
                <w:p w14:paraId="7DD2613F">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pacing w:val="-12"/>
                      <w:sz w:val="21"/>
                      <w:szCs w:val="21"/>
                    </w:rPr>
                    <w:t>废机油桶</w:t>
                  </w:r>
                </w:p>
              </w:tc>
              <w:tc>
                <w:tcPr>
                  <w:tcW w:w="746" w:type="pct"/>
                  <w:noWrap w:val="0"/>
                  <w:vAlign w:val="center"/>
                </w:tcPr>
                <w:p w14:paraId="6C2E708B">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0.00</w:t>
                  </w:r>
                  <w:r>
                    <w:rPr>
                      <w:rFonts w:hint="eastAsia" w:cs="Times New Roman"/>
                      <w:b w:val="0"/>
                      <w:bCs w:val="0"/>
                      <w:color w:val="auto"/>
                      <w:kern w:val="2"/>
                      <w:sz w:val="21"/>
                      <w:szCs w:val="21"/>
                      <w:lang w:val="en-US" w:eastAsia="zh-CN"/>
                    </w:rPr>
                    <w:t>4</w:t>
                  </w:r>
                </w:p>
              </w:tc>
              <w:tc>
                <w:tcPr>
                  <w:tcW w:w="1458" w:type="pct"/>
                  <w:noWrap w:val="0"/>
                  <w:vAlign w:val="center"/>
                </w:tcPr>
                <w:p w14:paraId="3BD8E664">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0.00</w:t>
                  </w:r>
                  <w:r>
                    <w:rPr>
                      <w:rFonts w:hint="eastAsia" w:cs="Times New Roman"/>
                      <w:b w:val="0"/>
                      <w:bCs w:val="0"/>
                      <w:color w:val="auto"/>
                      <w:kern w:val="2"/>
                      <w:sz w:val="21"/>
                      <w:szCs w:val="21"/>
                      <w:lang w:val="en-US" w:eastAsia="zh-CN"/>
                    </w:rPr>
                    <w:t>4</w:t>
                  </w:r>
                </w:p>
              </w:tc>
              <w:tc>
                <w:tcPr>
                  <w:tcW w:w="782" w:type="pct"/>
                  <w:noWrap w:val="0"/>
                  <w:vAlign w:val="top"/>
                </w:tcPr>
                <w:p w14:paraId="613F7246">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kern w:val="2"/>
                      <w:sz w:val="21"/>
                      <w:szCs w:val="21"/>
                      <w:highlight w:val="none"/>
                      <w:lang w:val="en-US" w:eastAsia="zh-CN"/>
                    </w:rPr>
                    <w:t>0</w:t>
                  </w:r>
                </w:p>
              </w:tc>
            </w:tr>
            <w:tr w14:paraId="0663C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vAlign w:val="top"/>
                </w:tcPr>
                <w:p w14:paraId="44530DC7">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vAlign w:val="center"/>
                </w:tcPr>
                <w:p w14:paraId="75D9F80F">
                  <w:pPr>
                    <w:pStyle w:val="115"/>
                    <w:rPr>
                      <w:rFonts w:hint="default" w:ascii="Times New Roman" w:hAnsi="Times New Roman" w:cs="Times New Roman"/>
                      <w:b w:val="0"/>
                      <w:bCs w:val="0"/>
                      <w:color w:val="auto"/>
                      <w:spacing w:val="-12"/>
                      <w:sz w:val="21"/>
                      <w:szCs w:val="21"/>
                      <w:highlight w:val="none"/>
                    </w:rPr>
                  </w:pPr>
                  <w:r>
                    <w:rPr>
                      <w:rFonts w:hint="eastAsia" w:cs="Times New Roman"/>
                      <w:b w:val="0"/>
                      <w:bCs w:val="0"/>
                      <w:color w:val="auto"/>
                      <w:spacing w:val="-12"/>
                      <w:sz w:val="21"/>
                      <w:szCs w:val="21"/>
                      <w:lang w:val="en-US" w:eastAsia="zh-CN"/>
                    </w:rPr>
                    <w:t>废靶材</w:t>
                  </w:r>
                </w:p>
              </w:tc>
              <w:tc>
                <w:tcPr>
                  <w:tcW w:w="746" w:type="pct"/>
                  <w:noWrap w:val="0"/>
                  <w:vAlign w:val="center"/>
                </w:tcPr>
                <w:p w14:paraId="290C4330">
                  <w:pPr>
                    <w:pStyle w:val="115"/>
                    <w:rPr>
                      <w:rFonts w:hint="default" w:ascii="Times New Roman" w:hAnsi="Times New Roman" w:cs="Times New Roman"/>
                      <w:b w:val="0"/>
                      <w:bCs w:val="0"/>
                      <w:color w:val="auto"/>
                      <w:kern w:val="2"/>
                      <w:sz w:val="21"/>
                      <w:szCs w:val="21"/>
                      <w:highlight w:val="none"/>
                    </w:rPr>
                  </w:pPr>
                  <w:r>
                    <w:rPr>
                      <w:rFonts w:hint="eastAsia" w:cs="Times New Roman"/>
                      <w:b w:val="0"/>
                      <w:bCs w:val="0"/>
                      <w:color w:val="auto"/>
                      <w:kern w:val="2"/>
                      <w:sz w:val="21"/>
                      <w:szCs w:val="21"/>
                      <w:lang w:val="en-US" w:eastAsia="zh-CN"/>
                    </w:rPr>
                    <w:t>0.01</w:t>
                  </w:r>
                </w:p>
              </w:tc>
              <w:tc>
                <w:tcPr>
                  <w:tcW w:w="1458" w:type="pct"/>
                  <w:noWrap w:val="0"/>
                  <w:vAlign w:val="center"/>
                </w:tcPr>
                <w:p w14:paraId="39F10FD6">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0.01</w:t>
                  </w:r>
                </w:p>
              </w:tc>
              <w:tc>
                <w:tcPr>
                  <w:tcW w:w="782" w:type="pct"/>
                  <w:noWrap w:val="0"/>
                  <w:vAlign w:val="top"/>
                </w:tcPr>
                <w:p w14:paraId="3C3ADFE9">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r>
                    <w:rPr>
                      <w:rFonts w:hint="eastAsia" w:cs="Times New Roman"/>
                      <w:b w:val="0"/>
                      <w:bCs w:val="0"/>
                      <w:color w:val="auto"/>
                      <w:kern w:val="2"/>
                      <w:sz w:val="21"/>
                      <w:szCs w:val="21"/>
                      <w:highlight w:val="none"/>
                      <w:lang w:val="en-US" w:eastAsia="zh-CN"/>
                    </w:rPr>
                    <w:t>0</w:t>
                  </w:r>
                </w:p>
              </w:tc>
            </w:tr>
            <w:tr w14:paraId="0EB1C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12" w:hRule="exact"/>
                <w:jc w:val="center"/>
              </w:trPr>
              <w:tc>
                <w:tcPr>
                  <w:tcW w:w="512" w:type="pct"/>
                  <w:vMerge w:val="continue"/>
                  <w:noWrap w:val="0"/>
                  <w:vAlign w:val="top"/>
                </w:tcPr>
                <w:p w14:paraId="392A530A">
                  <w:pPr>
                    <w:adjustRightInd w:val="0"/>
                    <w:snapToGrid w:val="0"/>
                    <w:jc w:val="center"/>
                    <w:rPr>
                      <w:rFonts w:hint="default" w:ascii="Times New Roman" w:hAnsi="Times New Roman" w:cs="Times New Roman"/>
                      <w:b w:val="0"/>
                      <w:bCs w:val="0"/>
                      <w:color w:val="auto"/>
                      <w:kern w:val="2"/>
                      <w:sz w:val="21"/>
                      <w:szCs w:val="21"/>
                      <w:highlight w:val="none"/>
                    </w:rPr>
                  </w:pPr>
                </w:p>
              </w:tc>
              <w:tc>
                <w:tcPr>
                  <w:tcW w:w="1499" w:type="pct"/>
                  <w:noWrap w:val="0"/>
                  <w:vAlign w:val="center"/>
                </w:tcPr>
                <w:p w14:paraId="08664B5C">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rPr>
                    <w:t>生活垃圾</w:t>
                  </w:r>
                </w:p>
              </w:tc>
              <w:tc>
                <w:tcPr>
                  <w:tcW w:w="746" w:type="pct"/>
                  <w:noWrap w:val="0"/>
                  <w:vAlign w:val="center"/>
                </w:tcPr>
                <w:p w14:paraId="1BCF876C">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15</w:t>
                  </w:r>
                </w:p>
              </w:tc>
              <w:tc>
                <w:tcPr>
                  <w:tcW w:w="1458" w:type="pct"/>
                  <w:noWrap w:val="0"/>
                  <w:vAlign w:val="center"/>
                </w:tcPr>
                <w:p w14:paraId="3827F6C1">
                  <w:pPr>
                    <w:pStyle w:val="115"/>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lang w:val="en-US" w:eastAsia="zh-CN"/>
                    </w:rPr>
                    <w:t>15</w:t>
                  </w:r>
                </w:p>
              </w:tc>
              <w:tc>
                <w:tcPr>
                  <w:tcW w:w="782" w:type="pct"/>
                  <w:noWrap w:val="0"/>
                  <w:vAlign w:val="top"/>
                </w:tcPr>
                <w:p w14:paraId="3657D8DA">
                  <w:pPr>
                    <w:adjustRightInd w:val="0"/>
                    <w:snapToGrid w:val="0"/>
                    <w:jc w:val="center"/>
                    <w:rPr>
                      <w:rFonts w:hint="default" w:ascii="Times New Roman" w:hAnsi="Times New Roman" w:cs="Times New Roman"/>
                      <w:b w:val="0"/>
                      <w:bCs w:val="0"/>
                      <w:color w:val="auto"/>
                      <w:kern w:val="2"/>
                      <w:sz w:val="21"/>
                      <w:szCs w:val="21"/>
                      <w:highlight w:val="none"/>
                      <w:lang w:val="en-US" w:eastAsia="zh-CN"/>
                    </w:rPr>
                  </w:pPr>
                  <w:r>
                    <w:rPr>
                      <w:rFonts w:hint="default" w:ascii="Times New Roman" w:hAnsi="Times New Roman" w:cs="Times New Roman"/>
                      <w:b w:val="0"/>
                      <w:bCs w:val="0"/>
                      <w:color w:val="auto"/>
                      <w:kern w:val="2"/>
                      <w:sz w:val="21"/>
                      <w:szCs w:val="21"/>
                      <w:highlight w:val="none"/>
                      <w:lang w:val="en-US" w:eastAsia="zh-CN"/>
                    </w:rPr>
                    <w:t>0</w:t>
                  </w:r>
                </w:p>
              </w:tc>
            </w:tr>
          </w:tbl>
          <w:p w14:paraId="297B4D15">
            <w:pPr>
              <w:pStyle w:val="2"/>
              <w:keepNext/>
              <w:keepLines w:val="0"/>
              <w:pageBreakBefore w:val="0"/>
              <w:widowControl w:val="0"/>
              <w:numPr>
                <w:ilvl w:val="0"/>
                <w:numId w:val="0"/>
              </w:numPr>
              <w:kinsoku/>
              <w:wordWrap/>
              <w:overflowPunct w:val="0"/>
              <w:topLinePunct w:val="0"/>
              <w:autoSpaceDE/>
              <w:autoSpaceDN/>
              <w:bidi w:val="0"/>
              <w:adjustRightInd w:val="0"/>
              <w:snapToGrid w:val="0"/>
              <w:spacing w:before="157" w:beforeLines="50" w:after="0" w:line="360" w:lineRule="auto"/>
              <w:textAlignment w:val="auto"/>
              <w:rPr>
                <w:rFonts w:hint="default" w:ascii="Times New Roman" w:hAnsi="Times New Roman" w:eastAsia="宋体" w:cs="Times New Roman"/>
                <w:b/>
                <w:bCs/>
                <w:color w:val="auto"/>
                <w:sz w:val="24"/>
                <w:szCs w:val="24"/>
                <w:lang w:val="en-US" w:eastAsia="zh-CN"/>
              </w:rPr>
            </w:pPr>
            <w:bookmarkStart w:id="108" w:name="_Toc21348"/>
            <w:bookmarkStart w:id="109" w:name="_Toc4942"/>
            <w:r>
              <w:rPr>
                <w:rFonts w:hint="eastAsia" w:ascii="Times New Roman" w:hAnsi="Times New Roman" w:eastAsia="宋体" w:cs="Times New Roman"/>
                <w:b/>
                <w:bCs/>
                <w:color w:val="auto"/>
                <w:sz w:val="24"/>
                <w:szCs w:val="24"/>
                <w:lang w:val="en-US" w:eastAsia="zh-CN"/>
              </w:rPr>
              <w:t>9、“</w:t>
            </w:r>
            <w:r>
              <w:rPr>
                <w:rFonts w:hint="default" w:ascii="Times New Roman" w:hAnsi="Times New Roman" w:eastAsia="宋体" w:cs="Times New Roman"/>
                <w:b/>
                <w:bCs/>
                <w:color w:val="auto"/>
                <w:sz w:val="24"/>
                <w:szCs w:val="24"/>
                <w:lang w:val="en-US" w:eastAsia="zh-CN"/>
              </w:rPr>
              <w:t>三同时</w:t>
            </w:r>
            <w:r>
              <w:rPr>
                <w:rFonts w:hint="eastAsia" w:ascii="Times New Roman" w:hAnsi="Times New Roman" w:eastAsia="宋体" w:cs="Times New Roman"/>
                <w:b/>
                <w:bCs/>
                <w:color w:val="auto"/>
                <w:sz w:val="24"/>
                <w:szCs w:val="24"/>
                <w:lang w:val="en-US" w:eastAsia="zh-CN"/>
              </w:rPr>
              <w:t>”</w:t>
            </w:r>
            <w:r>
              <w:rPr>
                <w:rFonts w:hint="default" w:ascii="Times New Roman" w:hAnsi="Times New Roman" w:eastAsia="宋体" w:cs="Times New Roman"/>
                <w:b/>
                <w:bCs/>
                <w:color w:val="auto"/>
                <w:sz w:val="24"/>
                <w:szCs w:val="24"/>
                <w:lang w:val="en-US" w:eastAsia="zh-CN"/>
              </w:rPr>
              <w:t>验收及环保投资</w:t>
            </w:r>
            <w:bookmarkEnd w:id="108"/>
            <w:bookmarkEnd w:id="109"/>
          </w:p>
          <w:p w14:paraId="1F491A11">
            <w:pPr>
              <w:spacing w:line="360" w:lineRule="auto"/>
              <w:ind w:firstLine="480" w:firstLineChars="200"/>
              <w:jc w:val="left"/>
              <w:rPr>
                <w:rFonts w:hint="default" w:ascii="Times New Roman" w:hAnsi="Times New Roman" w:cs="Times New Roman"/>
                <w:b w:val="0"/>
                <w:bCs w:val="0"/>
                <w:color w:val="auto"/>
                <w:sz w:val="24"/>
                <w:highlight w:val="none"/>
                <w:u w:val="none" w:color="auto"/>
              </w:rPr>
            </w:pPr>
            <w:r>
              <w:rPr>
                <w:rFonts w:hint="eastAsia" w:ascii="Times New Roman" w:hAnsi="Times New Roman" w:cs="Times New Roman"/>
                <w:b w:val="0"/>
                <w:bCs w:val="0"/>
                <w:color w:val="auto"/>
                <w:sz w:val="24"/>
                <w:szCs w:val="24"/>
                <w:highlight w:val="none"/>
                <w:u w:val="none" w:color="auto"/>
                <w:lang w:eastAsia="zh-CN"/>
              </w:rPr>
              <w:t>本项目“</w:t>
            </w:r>
            <w:r>
              <w:rPr>
                <w:rFonts w:hint="default" w:ascii="Times New Roman" w:hAnsi="Times New Roman" w:cs="Times New Roman"/>
                <w:b w:val="0"/>
                <w:bCs w:val="0"/>
                <w:color w:val="auto"/>
                <w:sz w:val="24"/>
                <w:szCs w:val="24"/>
                <w:highlight w:val="none"/>
                <w:u w:val="none" w:color="auto"/>
              </w:rPr>
              <w:t>三同时</w:t>
            </w:r>
            <w:r>
              <w:rPr>
                <w:rFonts w:hint="eastAsia" w:ascii="Times New Roman" w:hAnsi="Times New Roman" w:cs="Times New Roman"/>
                <w:b w:val="0"/>
                <w:bCs w:val="0"/>
                <w:color w:val="auto"/>
                <w:sz w:val="24"/>
                <w:szCs w:val="24"/>
                <w:highlight w:val="none"/>
                <w:u w:val="none" w:color="auto"/>
                <w:lang w:eastAsia="zh-CN"/>
              </w:rPr>
              <w:t>”</w:t>
            </w:r>
            <w:r>
              <w:rPr>
                <w:rFonts w:hint="default" w:ascii="Times New Roman" w:hAnsi="Times New Roman" w:cs="Times New Roman"/>
                <w:b w:val="0"/>
                <w:bCs w:val="0"/>
                <w:color w:val="auto"/>
                <w:sz w:val="24"/>
                <w:szCs w:val="24"/>
                <w:highlight w:val="none"/>
                <w:u w:val="none" w:color="auto"/>
              </w:rPr>
              <w:t>验收及环保投资一览表见</w:t>
            </w:r>
            <w:r>
              <w:rPr>
                <w:rFonts w:hint="eastAsia" w:cs="Times New Roman"/>
                <w:b w:val="0"/>
                <w:bCs w:val="0"/>
                <w:color w:val="auto"/>
                <w:sz w:val="24"/>
                <w:szCs w:val="24"/>
                <w:highlight w:val="none"/>
                <w:u w:val="none" w:color="auto"/>
                <w:lang w:val="en-US" w:eastAsia="zh-CN"/>
              </w:rPr>
              <w:t>下表</w:t>
            </w:r>
            <w:r>
              <w:rPr>
                <w:rFonts w:hint="default" w:ascii="Times New Roman" w:hAnsi="Times New Roman" w:cs="Times New Roman"/>
                <w:b w:val="0"/>
                <w:bCs w:val="0"/>
                <w:color w:val="auto"/>
                <w:sz w:val="24"/>
                <w:szCs w:val="24"/>
                <w:highlight w:val="none"/>
                <w:u w:val="none" w:color="auto"/>
              </w:rPr>
              <w:t>。</w:t>
            </w:r>
          </w:p>
          <w:p w14:paraId="2403DED5">
            <w:pPr>
              <w:adjustRightInd w:val="0"/>
              <w:snapToGrid w:val="0"/>
              <w:spacing w:line="360" w:lineRule="auto"/>
              <w:jc w:val="center"/>
              <w:rPr>
                <w:rFonts w:hint="default" w:ascii="Times New Roman" w:hAnsi="Times New Roman" w:cs="Times New Roman"/>
                <w:b/>
                <w:bCs/>
                <w:color w:val="auto"/>
                <w:sz w:val="24"/>
                <w:highlight w:val="none"/>
                <w:u w:val="single" w:color="auto"/>
              </w:rPr>
            </w:pPr>
            <w:r>
              <w:rPr>
                <w:rFonts w:hint="default" w:ascii="Times New Roman" w:hAnsi="Times New Roman" w:eastAsia="宋体" w:cs="Times New Roman"/>
                <w:b/>
                <w:bCs/>
                <w:snapToGrid w:val="0"/>
                <w:color w:val="auto"/>
                <w:kern w:val="0"/>
                <w:sz w:val="24"/>
                <w:szCs w:val="24"/>
                <w:u w:val="single" w:color="auto"/>
                <w:lang w:val="en-US" w:eastAsia="zh-CN" w:bidi="ar-SA"/>
              </w:rPr>
              <w:t>表</w:t>
            </w:r>
            <w:r>
              <w:rPr>
                <w:rFonts w:hint="eastAsia" w:ascii="Times New Roman" w:hAnsi="Times New Roman" w:eastAsia="宋体" w:cs="Times New Roman"/>
                <w:b/>
                <w:bCs/>
                <w:snapToGrid w:val="0"/>
                <w:color w:val="auto"/>
                <w:kern w:val="0"/>
                <w:sz w:val="24"/>
                <w:szCs w:val="24"/>
                <w:u w:val="single" w:color="auto"/>
                <w:lang w:val="en-US" w:eastAsia="zh-CN" w:bidi="ar-SA"/>
              </w:rPr>
              <w:t>4-2</w:t>
            </w:r>
            <w:r>
              <w:rPr>
                <w:rFonts w:hint="eastAsia" w:cs="Times New Roman"/>
                <w:b/>
                <w:bCs/>
                <w:snapToGrid w:val="0"/>
                <w:color w:val="auto"/>
                <w:kern w:val="0"/>
                <w:sz w:val="24"/>
                <w:szCs w:val="24"/>
                <w:u w:val="single" w:color="auto"/>
                <w:lang w:val="en-US" w:eastAsia="zh-CN" w:bidi="ar-SA"/>
              </w:rPr>
              <w:t>4</w:t>
            </w:r>
            <w:r>
              <w:rPr>
                <w:rFonts w:hint="eastAsia" w:ascii="Times New Roman" w:hAnsi="Times New Roman" w:eastAsia="宋体" w:cs="Times New Roman"/>
                <w:b/>
                <w:bCs/>
                <w:snapToGrid w:val="0"/>
                <w:color w:val="auto"/>
                <w:kern w:val="0"/>
                <w:sz w:val="24"/>
                <w:szCs w:val="24"/>
                <w:u w:val="single" w:color="auto"/>
                <w:lang w:val="en-US" w:eastAsia="zh-CN" w:bidi="ar-SA"/>
              </w:rPr>
              <w:t xml:space="preserve">  </w:t>
            </w:r>
            <w:r>
              <w:rPr>
                <w:rFonts w:hint="eastAsia" w:cs="Times New Roman"/>
                <w:b/>
                <w:bCs/>
                <w:snapToGrid w:val="0"/>
                <w:color w:val="auto"/>
                <w:kern w:val="0"/>
                <w:sz w:val="24"/>
                <w:szCs w:val="24"/>
                <w:u w:val="single" w:color="auto"/>
                <w:lang w:val="en-US" w:eastAsia="zh-CN" w:bidi="ar-SA"/>
              </w:rPr>
              <w:t xml:space="preserve">   </w:t>
            </w:r>
            <w:r>
              <w:rPr>
                <w:rFonts w:hint="eastAsia" w:ascii="Times New Roman" w:hAnsi="Times New Roman" w:eastAsia="宋体" w:cs="Times New Roman"/>
                <w:b/>
                <w:bCs/>
                <w:snapToGrid w:val="0"/>
                <w:color w:val="auto"/>
                <w:kern w:val="0"/>
                <w:sz w:val="24"/>
                <w:szCs w:val="24"/>
                <w:u w:val="single" w:color="auto"/>
                <w:lang w:val="en-US" w:eastAsia="zh-CN" w:bidi="ar-SA"/>
              </w:rPr>
              <w:t xml:space="preserve"> </w:t>
            </w:r>
            <w:r>
              <w:rPr>
                <w:rFonts w:hint="default" w:ascii="Times New Roman" w:hAnsi="Times New Roman" w:eastAsia="宋体" w:cs="Times New Roman"/>
                <w:b/>
                <w:bCs/>
                <w:snapToGrid w:val="0"/>
                <w:color w:val="auto"/>
                <w:kern w:val="0"/>
                <w:sz w:val="24"/>
                <w:szCs w:val="24"/>
                <w:u w:val="single" w:color="auto"/>
                <w:lang w:val="en-US" w:eastAsia="zh-CN" w:bidi="ar-SA"/>
              </w:rPr>
              <w:t xml:space="preserve"> </w:t>
            </w:r>
            <w:r>
              <w:rPr>
                <w:rFonts w:hint="eastAsia" w:ascii="Times New Roman" w:hAnsi="Times New Roman" w:eastAsia="宋体" w:cs="Times New Roman"/>
                <w:b/>
                <w:bCs/>
                <w:snapToGrid w:val="0"/>
                <w:color w:val="auto"/>
                <w:kern w:val="0"/>
                <w:sz w:val="24"/>
                <w:szCs w:val="24"/>
                <w:u w:val="single" w:color="auto"/>
                <w:lang w:val="en-US" w:eastAsia="zh-CN" w:bidi="ar-SA"/>
              </w:rPr>
              <w:t>本项目“</w:t>
            </w:r>
            <w:r>
              <w:rPr>
                <w:rFonts w:hint="default" w:ascii="Times New Roman" w:hAnsi="Times New Roman" w:eastAsia="宋体" w:cs="Times New Roman"/>
                <w:b/>
                <w:bCs/>
                <w:snapToGrid w:val="0"/>
                <w:color w:val="auto"/>
                <w:kern w:val="0"/>
                <w:sz w:val="24"/>
                <w:szCs w:val="24"/>
                <w:u w:val="single" w:color="auto"/>
                <w:lang w:val="en-US" w:eastAsia="zh-CN" w:bidi="ar-SA"/>
              </w:rPr>
              <w:t>三同时</w:t>
            </w:r>
            <w:r>
              <w:rPr>
                <w:rFonts w:hint="eastAsia" w:ascii="Times New Roman" w:hAnsi="Times New Roman" w:eastAsia="宋体" w:cs="Times New Roman"/>
                <w:b/>
                <w:bCs/>
                <w:snapToGrid w:val="0"/>
                <w:color w:val="auto"/>
                <w:kern w:val="0"/>
                <w:sz w:val="24"/>
                <w:szCs w:val="24"/>
                <w:u w:val="single" w:color="auto"/>
                <w:lang w:val="en-US" w:eastAsia="zh-CN" w:bidi="ar-SA"/>
              </w:rPr>
              <w:t>”</w:t>
            </w:r>
            <w:r>
              <w:rPr>
                <w:rFonts w:hint="default" w:ascii="Times New Roman" w:hAnsi="Times New Roman" w:eastAsia="宋体" w:cs="Times New Roman"/>
                <w:b/>
                <w:bCs/>
                <w:snapToGrid w:val="0"/>
                <w:color w:val="auto"/>
                <w:kern w:val="0"/>
                <w:sz w:val="24"/>
                <w:szCs w:val="24"/>
                <w:u w:val="single" w:color="auto"/>
                <w:lang w:val="en-US" w:eastAsia="zh-CN" w:bidi="ar-SA"/>
              </w:rPr>
              <w:t>验收及环保投资一览表</w:t>
            </w:r>
          </w:p>
          <w:tbl>
            <w:tblPr>
              <w:tblStyle w:val="39"/>
              <w:tblW w:w="49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85" w:type="dxa"/>
                <w:left w:w="57" w:type="dxa"/>
                <w:bottom w:w="85" w:type="dxa"/>
                <w:right w:w="57" w:type="dxa"/>
              </w:tblCellMar>
            </w:tblPr>
            <w:tblGrid>
              <w:gridCol w:w="323"/>
              <w:gridCol w:w="470"/>
              <w:gridCol w:w="1486"/>
              <w:gridCol w:w="1182"/>
              <w:gridCol w:w="1256"/>
              <w:gridCol w:w="3129"/>
              <w:gridCol w:w="403"/>
            </w:tblGrid>
            <w:tr w14:paraId="49D7B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noWrap w:val="0"/>
                  <w:tcMar>
                    <w:top w:w="85" w:type="dxa"/>
                    <w:bottom w:w="85" w:type="dxa"/>
                  </w:tcMar>
                  <w:vAlign w:val="center"/>
                </w:tcPr>
                <w:p w14:paraId="4B26354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序号</w:t>
                  </w:r>
                </w:p>
              </w:tc>
              <w:tc>
                <w:tcPr>
                  <w:tcW w:w="284" w:type="pct"/>
                  <w:noWrap w:val="0"/>
                  <w:tcMar>
                    <w:top w:w="85" w:type="dxa"/>
                    <w:bottom w:w="85" w:type="dxa"/>
                  </w:tcMar>
                  <w:vAlign w:val="center"/>
                </w:tcPr>
                <w:p w14:paraId="4A71DC1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项目</w:t>
                  </w:r>
                </w:p>
              </w:tc>
              <w:tc>
                <w:tcPr>
                  <w:tcW w:w="900" w:type="pct"/>
                  <w:noWrap w:val="0"/>
                  <w:tcMar>
                    <w:top w:w="85" w:type="dxa"/>
                    <w:bottom w:w="85" w:type="dxa"/>
                  </w:tcMar>
                  <w:vAlign w:val="center"/>
                </w:tcPr>
                <w:p w14:paraId="4AEF025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污染物产生单元</w:t>
                  </w:r>
                </w:p>
              </w:tc>
              <w:tc>
                <w:tcPr>
                  <w:tcW w:w="716" w:type="pct"/>
                  <w:noWrap w:val="0"/>
                  <w:tcMar>
                    <w:top w:w="85" w:type="dxa"/>
                    <w:bottom w:w="85" w:type="dxa"/>
                  </w:tcMar>
                  <w:vAlign w:val="center"/>
                </w:tcPr>
                <w:p w14:paraId="158A67B4">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污染物</w:t>
                  </w:r>
                </w:p>
                <w:p w14:paraId="0EF8FA1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名称</w:t>
                  </w:r>
                </w:p>
              </w:tc>
              <w:tc>
                <w:tcPr>
                  <w:tcW w:w="2657" w:type="pct"/>
                  <w:gridSpan w:val="2"/>
                  <w:noWrap w:val="0"/>
                  <w:tcMar>
                    <w:top w:w="85" w:type="dxa"/>
                    <w:bottom w:w="85" w:type="dxa"/>
                  </w:tcMar>
                  <w:vAlign w:val="center"/>
                </w:tcPr>
                <w:p w14:paraId="00D1C02A">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Times New Roman" w:hAnsi="Times New Roman" w:eastAsia="宋体" w:cs="Times New Roman"/>
                      <w:b/>
                      <w:bCs/>
                      <w:color w:val="auto"/>
                      <w:sz w:val="21"/>
                      <w:szCs w:val="21"/>
                      <w:highlight w:val="none"/>
                      <w:u w:val="none" w:color="auto"/>
                      <w:lang w:eastAsia="zh-CN"/>
                    </w:rPr>
                  </w:pPr>
                  <w:r>
                    <w:rPr>
                      <w:rFonts w:hint="default" w:ascii="Times New Roman" w:hAnsi="Times New Roman" w:eastAsia="宋体" w:cs="Times New Roman"/>
                      <w:b/>
                      <w:bCs/>
                      <w:color w:val="auto"/>
                      <w:sz w:val="21"/>
                      <w:szCs w:val="21"/>
                      <w:highlight w:val="none"/>
                      <w:u w:val="none" w:color="auto"/>
                    </w:rPr>
                    <w:t>环保验收</w:t>
                  </w:r>
                  <w:r>
                    <w:rPr>
                      <w:rFonts w:hint="eastAsia" w:cs="Times New Roman"/>
                      <w:b/>
                      <w:bCs/>
                      <w:color w:val="auto"/>
                      <w:sz w:val="21"/>
                      <w:szCs w:val="21"/>
                      <w:highlight w:val="none"/>
                      <w:u w:val="none" w:color="auto"/>
                      <w:lang w:eastAsia="zh-CN"/>
                    </w:rPr>
                    <w:t>（</w:t>
                  </w:r>
                  <w:r>
                    <w:rPr>
                      <w:rFonts w:hint="default" w:ascii="Times New Roman" w:hAnsi="Times New Roman" w:eastAsia="宋体" w:cs="Times New Roman"/>
                      <w:b/>
                      <w:bCs/>
                      <w:color w:val="auto"/>
                      <w:sz w:val="21"/>
                      <w:szCs w:val="21"/>
                      <w:highlight w:val="none"/>
                      <w:u w:val="none" w:color="auto"/>
                    </w:rPr>
                    <w:t>治理措施</w:t>
                  </w:r>
                  <w:r>
                    <w:rPr>
                      <w:rFonts w:hint="eastAsia" w:ascii="Times New Roman" w:hAnsi="Times New Roman" w:eastAsia="宋体" w:cs="Times New Roman"/>
                      <w:b/>
                      <w:bCs/>
                      <w:color w:val="auto"/>
                      <w:sz w:val="21"/>
                      <w:szCs w:val="21"/>
                      <w:highlight w:val="none"/>
                      <w:u w:val="none" w:color="auto"/>
                      <w:lang w:eastAsia="zh-CN"/>
                    </w:rPr>
                    <w:t>）</w:t>
                  </w:r>
                </w:p>
              </w:tc>
              <w:tc>
                <w:tcPr>
                  <w:tcW w:w="244" w:type="pct"/>
                  <w:noWrap w:val="0"/>
                  <w:tcMar>
                    <w:top w:w="85" w:type="dxa"/>
                    <w:bottom w:w="85" w:type="dxa"/>
                  </w:tcMar>
                  <w:vAlign w:val="center"/>
                </w:tcPr>
                <w:p w14:paraId="1015A61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投资</w:t>
                  </w:r>
                </w:p>
              </w:tc>
            </w:tr>
            <w:tr w14:paraId="0357F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816" w:hRule="atLeast"/>
                <w:jc w:val="center"/>
              </w:trPr>
              <w:tc>
                <w:tcPr>
                  <w:tcW w:w="195" w:type="pct"/>
                  <w:vMerge w:val="restart"/>
                  <w:noWrap w:val="0"/>
                  <w:tcMar>
                    <w:top w:w="85" w:type="dxa"/>
                    <w:bottom w:w="85" w:type="dxa"/>
                  </w:tcMar>
                  <w:vAlign w:val="center"/>
                </w:tcPr>
                <w:p w14:paraId="783405B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1</w:t>
                  </w:r>
                </w:p>
              </w:tc>
              <w:tc>
                <w:tcPr>
                  <w:tcW w:w="284" w:type="pct"/>
                  <w:vMerge w:val="restart"/>
                  <w:noWrap w:val="0"/>
                  <w:tcMar>
                    <w:top w:w="85" w:type="dxa"/>
                    <w:bottom w:w="85" w:type="dxa"/>
                  </w:tcMar>
                  <w:vAlign w:val="center"/>
                </w:tcPr>
                <w:p w14:paraId="1FE98666">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kern w:val="2"/>
                      <w:sz w:val="21"/>
                      <w:szCs w:val="21"/>
                      <w:highlight w:val="none"/>
                      <w:u w:val="none" w:color="auto"/>
                      <w:lang w:val="en-US" w:eastAsia="zh-CN" w:bidi="ar-SA"/>
                    </w:rPr>
                  </w:pPr>
                  <w:r>
                    <w:rPr>
                      <w:rFonts w:hint="default" w:ascii="Times New Roman" w:hAnsi="Times New Roman" w:eastAsia="宋体" w:cs="Times New Roman"/>
                      <w:b/>
                      <w:bCs/>
                      <w:color w:val="auto"/>
                      <w:sz w:val="21"/>
                      <w:szCs w:val="21"/>
                      <w:highlight w:val="none"/>
                      <w:u w:val="none" w:color="auto"/>
                    </w:rPr>
                    <w:t>废气</w:t>
                  </w:r>
                </w:p>
              </w:tc>
              <w:tc>
                <w:tcPr>
                  <w:tcW w:w="900" w:type="pct"/>
                  <w:noWrap w:val="0"/>
                  <w:tcMar>
                    <w:top w:w="85" w:type="dxa"/>
                    <w:bottom w:w="85" w:type="dxa"/>
                  </w:tcMar>
                  <w:vAlign w:val="center"/>
                </w:tcPr>
                <w:p w14:paraId="1434BDE4">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default" w:ascii="Times New Roman" w:hAnsi="Times New Roman" w:eastAsia="宋体" w:cs="Times New Roman"/>
                      <w:b/>
                      <w:bCs/>
                      <w:color w:val="auto"/>
                      <w:kern w:val="2"/>
                      <w:sz w:val="21"/>
                      <w:szCs w:val="21"/>
                      <w:highlight w:val="none"/>
                      <w:u w:val="none" w:color="auto"/>
                      <w:lang w:val="en-US" w:eastAsia="zh-CN" w:bidi="ar-SA"/>
                    </w:rPr>
                  </w:pPr>
                  <w:r>
                    <w:rPr>
                      <w:rFonts w:hint="default" w:eastAsia="宋体"/>
                      <w:b/>
                      <w:bCs/>
                      <w:snapToGrid w:val="0"/>
                      <w:color w:val="auto"/>
                      <w:kern w:val="0"/>
                      <w:sz w:val="21"/>
                      <w:szCs w:val="21"/>
                      <w:lang w:val="en-US" w:eastAsia="zh-CN" w:bidi="ar-SA"/>
                    </w:rPr>
                    <w:t>彩色成像玻璃生产过程烘干固化工序</w:t>
                  </w:r>
                </w:p>
              </w:tc>
              <w:tc>
                <w:tcPr>
                  <w:tcW w:w="716" w:type="pct"/>
                  <w:noWrap w:val="0"/>
                  <w:tcMar>
                    <w:top w:w="85" w:type="dxa"/>
                    <w:bottom w:w="85" w:type="dxa"/>
                  </w:tcMar>
                  <w:vAlign w:val="center"/>
                </w:tcPr>
                <w:p w14:paraId="19189F5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highlight w:val="none"/>
                      <w:u w:val="none" w:color="auto"/>
                      <w:lang w:val="en-US" w:eastAsia="zh-CN" w:bidi="ar-SA"/>
                    </w:rPr>
                  </w:pPr>
                  <w:r>
                    <w:rPr>
                      <w:rFonts w:hint="default" w:ascii="Times New Roman" w:hAnsi="Times New Roman" w:eastAsia="宋体" w:cs="Times New Roman"/>
                      <w:b/>
                      <w:bCs/>
                      <w:snapToGrid w:val="0"/>
                      <w:color w:val="auto"/>
                      <w:kern w:val="0"/>
                      <w:sz w:val="21"/>
                      <w:szCs w:val="21"/>
                      <w:u w:val="none"/>
                      <w:lang w:val="en-US" w:eastAsia="zh-CN"/>
                    </w:rPr>
                    <w:t>非甲烷总烃</w:t>
                  </w:r>
                </w:p>
              </w:tc>
              <w:tc>
                <w:tcPr>
                  <w:tcW w:w="2657" w:type="pct"/>
                  <w:gridSpan w:val="2"/>
                  <w:noWrap w:val="0"/>
                  <w:tcMar>
                    <w:top w:w="85" w:type="dxa"/>
                    <w:bottom w:w="85" w:type="dxa"/>
                  </w:tcMar>
                  <w:vAlign w:val="center"/>
                </w:tcPr>
                <w:p w14:paraId="50410F69">
                  <w:pPr>
                    <w:adjustRightInd w:val="0"/>
                    <w:snapToGrid w:val="0"/>
                    <w:jc w:val="center"/>
                    <w:rPr>
                      <w:rFonts w:hint="default" w:ascii="Times New Roman" w:hAnsi="Times New Roman" w:eastAsia="宋体" w:cs="Times New Roman"/>
                      <w:b/>
                      <w:bCs/>
                      <w:color w:val="auto"/>
                      <w:kern w:val="2"/>
                      <w:sz w:val="21"/>
                      <w:szCs w:val="21"/>
                      <w:highlight w:val="none"/>
                      <w:u w:val="none" w:color="auto"/>
                      <w:lang w:val="en-US" w:eastAsia="zh-CN" w:bidi="ar-SA"/>
                    </w:rPr>
                  </w:pPr>
                  <w:r>
                    <w:rPr>
                      <w:rFonts w:hint="eastAsia" w:ascii="Times New Roman" w:hAnsi="Times New Roman" w:cs="Times New Roman"/>
                      <w:b/>
                      <w:bCs/>
                      <w:snapToGrid w:val="0"/>
                      <w:color w:val="auto"/>
                      <w:kern w:val="0"/>
                      <w:sz w:val="21"/>
                      <w:szCs w:val="21"/>
                      <w:lang w:val="en-US" w:eastAsia="zh-CN"/>
                    </w:rPr>
                    <w:t>彩打、固化整体密闭+1套两级活性炭吸附+</w:t>
                  </w:r>
                  <w:r>
                    <w:rPr>
                      <w:rFonts w:hint="eastAsia" w:ascii="Times New Roman" w:hAnsi="Times New Roman" w:eastAsia="宋体" w:cs="Times New Roman"/>
                      <w:b/>
                      <w:bCs/>
                      <w:i w:val="0"/>
                      <w:color w:val="auto"/>
                      <w:kern w:val="2"/>
                      <w:sz w:val="21"/>
                      <w:szCs w:val="21"/>
                      <w:u w:val="none"/>
                      <w:lang w:val="en-US" w:eastAsia="zh-CN" w:bidi="ar-SA"/>
                    </w:rPr>
                    <w:t>1根15m高排气筒DA001</w:t>
                  </w:r>
                </w:p>
              </w:tc>
              <w:tc>
                <w:tcPr>
                  <w:tcW w:w="244" w:type="pct"/>
                  <w:noWrap w:val="0"/>
                  <w:tcMar>
                    <w:top w:w="85" w:type="dxa"/>
                    <w:bottom w:w="85" w:type="dxa"/>
                  </w:tcMar>
                  <w:vAlign w:val="center"/>
                </w:tcPr>
                <w:p w14:paraId="712102A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eastAsia" w:cs="Times New Roman"/>
                      <w:b/>
                      <w:bCs/>
                      <w:color w:val="auto"/>
                      <w:sz w:val="21"/>
                      <w:szCs w:val="21"/>
                      <w:highlight w:val="none"/>
                      <w:u w:val="none" w:color="auto"/>
                      <w:lang w:val="en-US" w:eastAsia="zh-CN"/>
                    </w:rPr>
                    <w:t>10</w:t>
                  </w:r>
                </w:p>
              </w:tc>
            </w:tr>
            <w:tr w14:paraId="70F39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vMerge w:val="continue"/>
                  <w:noWrap w:val="0"/>
                  <w:tcMar>
                    <w:top w:w="85" w:type="dxa"/>
                    <w:bottom w:w="85" w:type="dxa"/>
                  </w:tcMar>
                  <w:vAlign w:val="center"/>
                </w:tcPr>
                <w:p w14:paraId="48B731B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284" w:type="pct"/>
                  <w:vMerge w:val="continue"/>
                  <w:noWrap w:val="0"/>
                  <w:tcMar>
                    <w:top w:w="85" w:type="dxa"/>
                    <w:bottom w:w="85" w:type="dxa"/>
                  </w:tcMar>
                  <w:vAlign w:val="center"/>
                </w:tcPr>
                <w:p w14:paraId="7506307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900" w:type="pct"/>
                  <w:noWrap w:val="0"/>
                  <w:tcMar>
                    <w:top w:w="85" w:type="dxa"/>
                    <w:bottom w:w="85" w:type="dxa"/>
                  </w:tcMar>
                  <w:vAlign w:val="center"/>
                </w:tcPr>
                <w:p w14:paraId="559BEE38">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default" w:ascii="Times New Roman" w:hAnsi="Times New Roman" w:eastAsia="宋体" w:cs="Times New Roman"/>
                      <w:b/>
                      <w:bCs/>
                      <w:color w:val="auto"/>
                      <w:sz w:val="21"/>
                      <w:szCs w:val="21"/>
                      <w:highlight w:val="none"/>
                      <w:u w:val="none" w:color="auto"/>
                      <w:lang w:eastAsia="zh-CN"/>
                    </w:rPr>
                  </w:pPr>
                  <w:r>
                    <w:rPr>
                      <w:rFonts w:hint="eastAsia" w:ascii="Times New Roman" w:hAnsi="Times New Roman" w:eastAsia="宋体" w:cs="Times New Roman"/>
                      <w:b/>
                      <w:bCs/>
                      <w:snapToGrid w:val="0"/>
                      <w:color w:val="auto"/>
                      <w:kern w:val="0"/>
                      <w:sz w:val="21"/>
                      <w:szCs w:val="21"/>
                      <w:lang w:val="en-US" w:eastAsia="zh-CN" w:bidi="ar-SA"/>
                    </w:rPr>
                    <w:t>中空玻璃生产过程涂胶固化工序</w:t>
                  </w:r>
                </w:p>
              </w:tc>
              <w:tc>
                <w:tcPr>
                  <w:tcW w:w="716" w:type="pct"/>
                  <w:noWrap w:val="0"/>
                  <w:tcMar>
                    <w:top w:w="85" w:type="dxa"/>
                    <w:bottom w:w="85" w:type="dxa"/>
                  </w:tcMar>
                  <w:vAlign w:val="center"/>
                </w:tcPr>
                <w:p w14:paraId="6DC75E3F">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bCs/>
                      <w:snapToGrid w:val="0"/>
                      <w:color w:val="auto"/>
                      <w:kern w:val="0"/>
                      <w:sz w:val="21"/>
                      <w:szCs w:val="21"/>
                      <w:highlight w:val="none"/>
                      <w:u w:val="none" w:color="auto"/>
                      <w:lang w:val="en-US" w:eastAsia="zh-CN"/>
                    </w:rPr>
                  </w:pPr>
                  <w:r>
                    <w:rPr>
                      <w:rFonts w:hint="default" w:ascii="Times New Roman" w:hAnsi="Times New Roman" w:eastAsia="宋体" w:cs="Times New Roman"/>
                      <w:b/>
                      <w:bCs/>
                      <w:snapToGrid w:val="0"/>
                      <w:color w:val="auto"/>
                      <w:kern w:val="0"/>
                      <w:sz w:val="21"/>
                      <w:szCs w:val="21"/>
                      <w:u w:val="none"/>
                      <w:lang w:val="en-US" w:eastAsia="zh-CN"/>
                    </w:rPr>
                    <w:t>非甲烷总烃</w:t>
                  </w:r>
                </w:p>
              </w:tc>
              <w:tc>
                <w:tcPr>
                  <w:tcW w:w="2657" w:type="pct"/>
                  <w:gridSpan w:val="2"/>
                  <w:noWrap w:val="0"/>
                  <w:tcMar>
                    <w:top w:w="85" w:type="dxa"/>
                    <w:bottom w:w="85" w:type="dxa"/>
                  </w:tcMar>
                  <w:vAlign w:val="center"/>
                </w:tcPr>
                <w:p w14:paraId="54801CF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highlight w:val="none"/>
                      <w:u w:val="none" w:color="auto"/>
                      <w:lang w:val="en-US" w:eastAsia="zh-CN"/>
                    </w:rPr>
                  </w:pPr>
                  <w:r>
                    <w:rPr>
                      <w:rFonts w:hint="eastAsia" w:ascii="Times New Roman" w:hAnsi="Times New Roman" w:eastAsia="宋体" w:cs="Times New Roman"/>
                      <w:b/>
                      <w:bCs/>
                      <w:i w:val="0"/>
                      <w:color w:val="auto"/>
                      <w:kern w:val="2"/>
                      <w:sz w:val="21"/>
                      <w:szCs w:val="21"/>
                      <w:u w:val="none"/>
                      <w:lang w:val="en-US" w:eastAsia="zh-CN" w:bidi="ar-SA"/>
                    </w:rPr>
                    <w:t>集气罩集气+4套两级活性炭吸附装置+4根15m高排气筒（DA002、DA003、DA004、DA005）</w:t>
                  </w:r>
                </w:p>
              </w:tc>
              <w:tc>
                <w:tcPr>
                  <w:tcW w:w="244" w:type="pct"/>
                  <w:noWrap w:val="0"/>
                  <w:tcMar>
                    <w:top w:w="85" w:type="dxa"/>
                    <w:bottom w:w="85" w:type="dxa"/>
                  </w:tcMar>
                  <w:vAlign w:val="center"/>
                </w:tcPr>
                <w:p w14:paraId="2AFEFF5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highlight w:val="none"/>
                      <w:u w:val="none" w:color="auto"/>
                      <w:lang w:val="en-US" w:eastAsia="zh-CN"/>
                    </w:rPr>
                  </w:pPr>
                  <w:r>
                    <w:rPr>
                      <w:rFonts w:hint="eastAsia" w:cs="Times New Roman"/>
                      <w:b/>
                      <w:bCs/>
                      <w:snapToGrid w:val="0"/>
                      <w:color w:val="auto"/>
                      <w:kern w:val="0"/>
                      <w:sz w:val="21"/>
                      <w:szCs w:val="21"/>
                      <w:highlight w:val="none"/>
                      <w:u w:val="none" w:color="auto"/>
                      <w:lang w:val="en-US" w:eastAsia="zh-CN"/>
                    </w:rPr>
                    <w:t>50</w:t>
                  </w:r>
                </w:p>
              </w:tc>
            </w:tr>
            <w:tr w14:paraId="3E160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vMerge w:val="restart"/>
                  <w:noWrap w:val="0"/>
                  <w:tcMar>
                    <w:top w:w="85" w:type="dxa"/>
                    <w:bottom w:w="85" w:type="dxa"/>
                  </w:tcMar>
                  <w:vAlign w:val="center"/>
                </w:tcPr>
                <w:p w14:paraId="6DA3236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2</w:t>
                  </w:r>
                </w:p>
              </w:tc>
              <w:tc>
                <w:tcPr>
                  <w:tcW w:w="284" w:type="pct"/>
                  <w:vMerge w:val="restart"/>
                  <w:noWrap w:val="0"/>
                  <w:tcMar>
                    <w:top w:w="85" w:type="dxa"/>
                    <w:bottom w:w="85" w:type="dxa"/>
                  </w:tcMar>
                  <w:vAlign w:val="center"/>
                </w:tcPr>
                <w:p w14:paraId="5EA75AA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rPr>
                    <w:t>废</w:t>
                  </w:r>
                  <w:r>
                    <w:rPr>
                      <w:rFonts w:hint="default" w:ascii="Times New Roman" w:hAnsi="Times New Roman" w:eastAsia="宋体" w:cs="Times New Roman"/>
                      <w:b/>
                      <w:bCs/>
                      <w:color w:val="auto"/>
                      <w:sz w:val="21"/>
                      <w:szCs w:val="21"/>
                      <w:highlight w:val="none"/>
                      <w:u w:val="none" w:color="auto"/>
                      <w:lang w:val="en-US" w:eastAsia="zh-CN"/>
                    </w:rPr>
                    <w:t>水</w:t>
                  </w:r>
                </w:p>
              </w:tc>
              <w:tc>
                <w:tcPr>
                  <w:tcW w:w="900" w:type="pct"/>
                  <w:noWrap w:val="0"/>
                  <w:tcMar>
                    <w:top w:w="85" w:type="dxa"/>
                    <w:bottom w:w="85" w:type="dxa"/>
                  </w:tcMar>
                  <w:vAlign w:val="center"/>
                </w:tcPr>
                <w:p w14:paraId="79539A98">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bidi="ar-SA"/>
                    </w:rPr>
                  </w:pPr>
                  <w:r>
                    <w:rPr>
                      <w:rFonts w:hint="default" w:ascii="Times New Roman" w:hAnsi="Times New Roman" w:eastAsia="宋体" w:cs="Times New Roman"/>
                      <w:b/>
                      <w:bCs/>
                      <w:snapToGrid w:val="0"/>
                      <w:color w:val="auto"/>
                      <w:kern w:val="0"/>
                      <w:sz w:val="21"/>
                      <w:szCs w:val="21"/>
                      <w:u w:val="none" w:color="auto"/>
                      <w:lang w:val="en-US" w:eastAsia="zh-CN"/>
                    </w:rPr>
                    <w:t>生产废水</w:t>
                  </w:r>
                </w:p>
              </w:tc>
              <w:tc>
                <w:tcPr>
                  <w:tcW w:w="716" w:type="pct"/>
                  <w:noWrap w:val="0"/>
                  <w:tcMar>
                    <w:top w:w="85" w:type="dxa"/>
                    <w:bottom w:w="85" w:type="dxa"/>
                  </w:tcMar>
                  <w:vAlign w:val="center"/>
                </w:tcPr>
                <w:p w14:paraId="18A41FED">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bidi="ar-SA"/>
                    </w:rPr>
                  </w:pPr>
                  <w:r>
                    <w:rPr>
                      <w:rFonts w:hint="eastAsia" w:cs="Times New Roman"/>
                      <w:b/>
                      <w:bCs/>
                      <w:snapToGrid w:val="0"/>
                      <w:color w:val="auto"/>
                      <w:kern w:val="0"/>
                      <w:sz w:val="21"/>
                      <w:szCs w:val="21"/>
                      <w:u w:val="none" w:color="auto"/>
                      <w:lang w:val="en-US" w:eastAsia="zh-CN"/>
                    </w:rPr>
                    <w:t>SS</w:t>
                  </w:r>
                </w:p>
              </w:tc>
              <w:tc>
                <w:tcPr>
                  <w:tcW w:w="2657" w:type="pct"/>
                  <w:gridSpan w:val="2"/>
                  <w:noWrap w:val="0"/>
                  <w:tcMar>
                    <w:top w:w="85" w:type="dxa"/>
                    <w:bottom w:w="85" w:type="dxa"/>
                  </w:tcMar>
                  <w:vAlign w:val="center"/>
                </w:tcPr>
                <w:p w14:paraId="6AD693F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jc w:val="center"/>
                    <w:textAlignment w:val="auto"/>
                    <w:outlineLvl w:val="9"/>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snapToGrid w:val="0"/>
                      <w:color w:val="auto"/>
                      <w:kern w:val="0"/>
                      <w:sz w:val="21"/>
                      <w:szCs w:val="21"/>
                      <w:u w:val="none" w:color="auto"/>
                      <w:lang w:val="en-US" w:eastAsia="zh-CN"/>
                    </w:rPr>
                    <w:t>玻璃原片清洗废水经循环水箱沉淀后回用于清洗玻璃原片；镀膜及夹胶、中空工序对应玻璃清洗废水经收集后回用于玻璃原片清洗用水；磨边废水经沉淀及过滤处理后回用于磨边；纯水制备系统排水收集后用于厂区洒水，不外排</w:t>
                  </w:r>
                </w:p>
              </w:tc>
              <w:tc>
                <w:tcPr>
                  <w:tcW w:w="244" w:type="pct"/>
                  <w:noWrap w:val="0"/>
                  <w:tcMar>
                    <w:top w:w="85" w:type="dxa"/>
                    <w:bottom w:w="85" w:type="dxa"/>
                  </w:tcMar>
                  <w:vAlign w:val="center"/>
                </w:tcPr>
                <w:p w14:paraId="423BCCED">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highlight w:val="none"/>
                      <w:u w:val="none" w:color="auto"/>
                      <w:lang w:val="en-US" w:eastAsia="zh-CN"/>
                    </w:rPr>
                  </w:pPr>
                  <w:r>
                    <w:rPr>
                      <w:rFonts w:hint="eastAsia" w:cs="Times New Roman"/>
                      <w:b/>
                      <w:bCs/>
                      <w:snapToGrid w:val="0"/>
                      <w:color w:val="auto"/>
                      <w:kern w:val="0"/>
                      <w:sz w:val="21"/>
                      <w:szCs w:val="21"/>
                      <w:highlight w:val="none"/>
                      <w:u w:val="none" w:color="auto"/>
                      <w:lang w:val="en-US" w:eastAsia="zh-CN"/>
                    </w:rPr>
                    <w:t>5</w:t>
                  </w:r>
                </w:p>
              </w:tc>
            </w:tr>
            <w:tr w14:paraId="1989C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vMerge w:val="continue"/>
                  <w:noWrap w:val="0"/>
                  <w:tcMar>
                    <w:top w:w="85" w:type="dxa"/>
                    <w:bottom w:w="85" w:type="dxa"/>
                  </w:tcMar>
                  <w:vAlign w:val="center"/>
                </w:tcPr>
                <w:p w14:paraId="302C0C4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p>
              </w:tc>
              <w:tc>
                <w:tcPr>
                  <w:tcW w:w="284" w:type="pct"/>
                  <w:vMerge w:val="continue"/>
                  <w:noWrap w:val="0"/>
                  <w:tcMar>
                    <w:top w:w="85" w:type="dxa"/>
                    <w:bottom w:w="85" w:type="dxa"/>
                  </w:tcMar>
                  <w:vAlign w:val="center"/>
                </w:tcPr>
                <w:p w14:paraId="63ABE7E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900" w:type="pct"/>
                  <w:noWrap w:val="0"/>
                  <w:tcMar>
                    <w:top w:w="85" w:type="dxa"/>
                    <w:bottom w:w="85" w:type="dxa"/>
                  </w:tcMar>
                  <w:vAlign w:val="center"/>
                </w:tcPr>
                <w:p w14:paraId="62594B12">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bidi="ar-SA"/>
                    </w:rPr>
                  </w:pPr>
                  <w:r>
                    <w:rPr>
                      <w:rFonts w:hint="default" w:ascii="Times New Roman" w:hAnsi="Times New Roman" w:eastAsia="宋体" w:cs="Times New Roman"/>
                      <w:b/>
                      <w:bCs/>
                      <w:snapToGrid w:val="0"/>
                      <w:color w:val="auto"/>
                      <w:kern w:val="0"/>
                      <w:sz w:val="21"/>
                      <w:szCs w:val="21"/>
                      <w:u w:val="none" w:color="auto"/>
                      <w:lang w:val="en-US" w:eastAsia="zh-CN"/>
                    </w:rPr>
                    <w:t>生活污水</w:t>
                  </w:r>
                </w:p>
              </w:tc>
              <w:tc>
                <w:tcPr>
                  <w:tcW w:w="716" w:type="pct"/>
                  <w:noWrap w:val="0"/>
                  <w:tcMar>
                    <w:top w:w="85" w:type="dxa"/>
                    <w:bottom w:w="85" w:type="dxa"/>
                  </w:tcMar>
                  <w:vAlign w:val="center"/>
                </w:tcPr>
                <w:p w14:paraId="0C4FD4E6">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bidi="ar-SA"/>
                    </w:rPr>
                  </w:pPr>
                  <w:r>
                    <w:rPr>
                      <w:rFonts w:hint="default" w:ascii="Times New Roman" w:hAnsi="Times New Roman" w:eastAsia="宋体" w:cs="Times New Roman"/>
                      <w:b/>
                      <w:bCs/>
                      <w:snapToGrid w:val="0"/>
                      <w:color w:val="auto"/>
                      <w:kern w:val="0"/>
                      <w:sz w:val="21"/>
                      <w:szCs w:val="21"/>
                      <w:u w:val="none" w:color="auto"/>
                    </w:rPr>
                    <w:t>COD、NH</w:t>
                  </w:r>
                  <w:r>
                    <w:rPr>
                      <w:rFonts w:hint="default" w:ascii="Times New Roman" w:hAnsi="Times New Roman" w:eastAsia="宋体" w:cs="Times New Roman"/>
                      <w:b/>
                      <w:bCs/>
                      <w:snapToGrid w:val="0"/>
                      <w:color w:val="auto"/>
                      <w:kern w:val="0"/>
                      <w:sz w:val="21"/>
                      <w:szCs w:val="21"/>
                      <w:u w:val="none" w:color="auto"/>
                      <w:vertAlign w:val="subscript"/>
                    </w:rPr>
                    <w:t>3</w:t>
                  </w:r>
                  <w:r>
                    <w:rPr>
                      <w:rFonts w:hint="default" w:ascii="Times New Roman" w:hAnsi="Times New Roman" w:eastAsia="宋体" w:cs="Times New Roman"/>
                      <w:b/>
                      <w:bCs/>
                      <w:snapToGrid w:val="0"/>
                      <w:color w:val="auto"/>
                      <w:kern w:val="0"/>
                      <w:sz w:val="21"/>
                      <w:szCs w:val="21"/>
                      <w:u w:val="none" w:color="auto"/>
                    </w:rPr>
                    <w:t>-N</w:t>
                  </w:r>
                  <w:r>
                    <w:rPr>
                      <w:rFonts w:hint="default" w:ascii="Times New Roman" w:hAnsi="Times New Roman" w:eastAsia="宋体" w:cs="Times New Roman"/>
                      <w:b/>
                      <w:bCs/>
                      <w:snapToGrid w:val="0"/>
                      <w:color w:val="auto"/>
                      <w:kern w:val="0"/>
                      <w:sz w:val="21"/>
                      <w:szCs w:val="21"/>
                      <w:u w:val="none" w:color="auto"/>
                      <w:lang w:val="en-US" w:eastAsia="zh-CN"/>
                    </w:rPr>
                    <w:t>等</w:t>
                  </w:r>
                </w:p>
              </w:tc>
              <w:tc>
                <w:tcPr>
                  <w:tcW w:w="761" w:type="pct"/>
                  <w:noWrap w:val="0"/>
                  <w:tcMar>
                    <w:top w:w="85" w:type="dxa"/>
                    <w:bottom w:w="85" w:type="dxa"/>
                  </w:tcMar>
                  <w:vAlign w:val="center"/>
                </w:tcPr>
                <w:p w14:paraId="03490AEF">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rPr>
                  </w:pPr>
                  <w:r>
                    <w:rPr>
                      <w:rFonts w:hint="default" w:ascii="Times New Roman" w:hAnsi="Times New Roman" w:eastAsia="宋体" w:cs="Times New Roman"/>
                      <w:b/>
                      <w:bCs/>
                      <w:snapToGrid w:val="0"/>
                      <w:color w:val="auto"/>
                      <w:kern w:val="0"/>
                      <w:sz w:val="21"/>
                      <w:szCs w:val="21"/>
                      <w:u w:val="none" w:color="auto"/>
                      <w:lang w:val="en-US" w:eastAsia="zh-CN"/>
                    </w:rPr>
                    <w:t>化粪池（</w:t>
                  </w:r>
                  <w:r>
                    <w:rPr>
                      <w:rFonts w:hint="eastAsia" w:cs="Times New Roman"/>
                      <w:b/>
                      <w:bCs/>
                      <w:color w:val="auto"/>
                      <w:sz w:val="21"/>
                      <w:szCs w:val="21"/>
                      <w:u w:val="none" w:color="auto"/>
                      <w:lang w:val="en-US" w:eastAsia="zh-CN"/>
                    </w:rPr>
                    <w:t>5</w:t>
                  </w:r>
                  <w:r>
                    <w:rPr>
                      <w:rFonts w:hint="default" w:ascii="Times New Roman" w:hAnsi="Times New Roman" w:eastAsia="宋体" w:cs="Times New Roman"/>
                      <w:b/>
                      <w:bCs/>
                      <w:color w:val="auto"/>
                      <w:sz w:val="21"/>
                      <w:szCs w:val="21"/>
                      <w:u w:val="none" w:color="auto"/>
                      <w:lang w:val="en-US" w:eastAsia="zh-CN"/>
                    </w:rPr>
                    <w:t>0</w:t>
                  </w:r>
                  <w:r>
                    <w:rPr>
                      <w:rFonts w:hint="default" w:ascii="Times New Roman" w:hAnsi="Times New Roman" w:eastAsia="宋体" w:cs="Times New Roman"/>
                      <w:b/>
                      <w:bCs/>
                      <w:color w:val="auto"/>
                      <w:sz w:val="21"/>
                      <w:szCs w:val="21"/>
                      <w:u w:val="none" w:color="auto"/>
                    </w:rPr>
                    <w:t>m</w:t>
                  </w:r>
                  <w:r>
                    <w:rPr>
                      <w:rFonts w:hint="default" w:ascii="Times New Roman" w:hAnsi="Times New Roman" w:eastAsia="宋体" w:cs="Times New Roman"/>
                      <w:b/>
                      <w:bCs/>
                      <w:color w:val="auto"/>
                      <w:sz w:val="21"/>
                      <w:szCs w:val="21"/>
                      <w:u w:val="none" w:color="auto"/>
                      <w:vertAlign w:val="superscript"/>
                    </w:rPr>
                    <w:t>3</w:t>
                  </w:r>
                  <w:r>
                    <w:rPr>
                      <w:rFonts w:hint="default" w:ascii="Times New Roman" w:hAnsi="Times New Roman" w:eastAsia="宋体" w:cs="Times New Roman"/>
                      <w:b/>
                      <w:bCs/>
                      <w:snapToGrid w:val="0"/>
                      <w:color w:val="auto"/>
                      <w:kern w:val="0"/>
                      <w:sz w:val="21"/>
                      <w:szCs w:val="21"/>
                      <w:u w:val="none" w:color="auto"/>
                      <w:lang w:val="en-US" w:eastAsia="zh-CN"/>
                    </w:rPr>
                    <w:t>）</w:t>
                  </w:r>
                </w:p>
              </w:tc>
              <w:tc>
                <w:tcPr>
                  <w:tcW w:w="1896" w:type="pct"/>
                  <w:noWrap w:val="0"/>
                  <w:tcMar>
                    <w:top w:w="85" w:type="dxa"/>
                    <w:bottom w:w="85" w:type="dxa"/>
                  </w:tcMar>
                  <w:vAlign w:val="center"/>
                </w:tcPr>
                <w:p w14:paraId="494A7F2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jc w:val="center"/>
                    <w:textAlignment w:val="auto"/>
                    <w:outlineLvl w:val="9"/>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排入市政管网</w:t>
                  </w:r>
                  <w:r>
                    <w:rPr>
                      <w:rFonts w:hint="default" w:ascii="Times New Roman" w:hAnsi="Times New Roman" w:eastAsia="宋体" w:cs="Times New Roman"/>
                      <w:b/>
                      <w:bCs/>
                      <w:color w:val="auto"/>
                      <w:sz w:val="21"/>
                      <w:szCs w:val="21"/>
                      <w:u w:val="none" w:color="auto"/>
                    </w:rPr>
                    <w:t>进入淮阳区第</w:t>
                  </w:r>
                  <w:r>
                    <w:rPr>
                      <w:rFonts w:hint="eastAsia" w:cs="Times New Roman"/>
                      <w:b/>
                      <w:bCs/>
                      <w:color w:val="auto"/>
                      <w:sz w:val="21"/>
                      <w:szCs w:val="21"/>
                      <w:u w:val="none" w:color="auto"/>
                      <w:lang w:val="en-US" w:eastAsia="zh-CN"/>
                    </w:rPr>
                    <w:t>二</w:t>
                  </w:r>
                  <w:r>
                    <w:rPr>
                      <w:rFonts w:hint="default" w:ascii="Times New Roman" w:hAnsi="Times New Roman" w:eastAsia="宋体" w:cs="Times New Roman"/>
                      <w:b/>
                      <w:bCs/>
                      <w:color w:val="auto"/>
                      <w:sz w:val="21"/>
                      <w:szCs w:val="21"/>
                      <w:u w:val="none" w:color="auto"/>
                    </w:rPr>
                    <w:t>污水处理厂进一步处理</w:t>
                  </w:r>
                  <w:r>
                    <w:rPr>
                      <w:rFonts w:hint="default" w:ascii="Times New Roman" w:hAnsi="Times New Roman" w:eastAsia="宋体" w:cs="Times New Roman"/>
                      <w:b/>
                      <w:bCs/>
                      <w:color w:val="auto"/>
                      <w:sz w:val="21"/>
                      <w:szCs w:val="21"/>
                      <w:u w:val="none" w:color="auto"/>
                      <w:lang w:val="en-US" w:eastAsia="zh-CN"/>
                    </w:rPr>
                    <w:t>后排放</w:t>
                  </w:r>
                </w:p>
              </w:tc>
              <w:tc>
                <w:tcPr>
                  <w:tcW w:w="244" w:type="pct"/>
                  <w:noWrap w:val="0"/>
                  <w:tcMar>
                    <w:top w:w="85" w:type="dxa"/>
                    <w:bottom w:w="85" w:type="dxa"/>
                  </w:tcMar>
                  <w:vAlign w:val="center"/>
                </w:tcPr>
                <w:p w14:paraId="7E0E58E6">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highlight w:val="none"/>
                      <w:u w:val="none" w:color="auto"/>
                      <w:lang w:val="en-US" w:eastAsia="zh-CN"/>
                    </w:rPr>
                  </w:pPr>
                  <w:r>
                    <w:rPr>
                      <w:rFonts w:hint="eastAsia" w:cs="Times New Roman"/>
                      <w:b/>
                      <w:bCs/>
                      <w:snapToGrid w:val="0"/>
                      <w:color w:val="auto"/>
                      <w:kern w:val="0"/>
                      <w:sz w:val="21"/>
                      <w:szCs w:val="21"/>
                      <w:highlight w:val="none"/>
                      <w:u w:val="none" w:color="auto"/>
                      <w:lang w:val="en-US" w:eastAsia="zh-CN"/>
                    </w:rPr>
                    <w:t>2</w:t>
                  </w:r>
                </w:p>
              </w:tc>
            </w:tr>
            <w:tr w14:paraId="57D0C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vMerge w:val="continue"/>
                  <w:noWrap w:val="0"/>
                  <w:tcMar>
                    <w:top w:w="85" w:type="dxa"/>
                    <w:bottom w:w="85" w:type="dxa"/>
                  </w:tcMar>
                  <w:vAlign w:val="center"/>
                </w:tcPr>
                <w:p w14:paraId="65D6529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p>
              </w:tc>
              <w:tc>
                <w:tcPr>
                  <w:tcW w:w="284" w:type="pct"/>
                  <w:vMerge w:val="continue"/>
                  <w:noWrap w:val="0"/>
                  <w:tcMar>
                    <w:top w:w="85" w:type="dxa"/>
                    <w:bottom w:w="85" w:type="dxa"/>
                  </w:tcMar>
                  <w:vAlign w:val="center"/>
                </w:tcPr>
                <w:p w14:paraId="557E9BF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900" w:type="pct"/>
                  <w:noWrap w:val="0"/>
                  <w:tcMar>
                    <w:top w:w="85" w:type="dxa"/>
                    <w:bottom w:w="85" w:type="dxa"/>
                  </w:tcMar>
                  <w:vAlign w:val="center"/>
                </w:tcPr>
                <w:p w14:paraId="1B9950A3">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bidi="ar-SA"/>
                    </w:rPr>
                  </w:pPr>
                  <w:r>
                    <w:rPr>
                      <w:rFonts w:hint="default" w:ascii="Times New Roman" w:hAnsi="Times New Roman" w:eastAsia="宋体" w:cs="Times New Roman"/>
                      <w:b/>
                      <w:bCs/>
                      <w:color w:val="auto"/>
                      <w:sz w:val="21"/>
                      <w:szCs w:val="21"/>
                      <w:u w:val="none" w:color="auto"/>
                      <w:lang w:val="en-US" w:eastAsia="zh-CN"/>
                    </w:rPr>
                    <w:t>纯水制备系统浓水</w:t>
                  </w:r>
                </w:p>
              </w:tc>
              <w:tc>
                <w:tcPr>
                  <w:tcW w:w="716" w:type="pct"/>
                  <w:noWrap w:val="0"/>
                  <w:tcMar>
                    <w:top w:w="85" w:type="dxa"/>
                    <w:bottom w:w="85" w:type="dxa"/>
                  </w:tcMar>
                  <w:vAlign w:val="center"/>
                </w:tcPr>
                <w:p w14:paraId="4EF8BAE7">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u w:val="none" w:color="auto"/>
                      <w:lang w:val="en-US" w:eastAsia="zh-CN" w:bidi="ar-SA"/>
                    </w:rPr>
                  </w:pPr>
                  <w:r>
                    <w:rPr>
                      <w:rFonts w:hint="default" w:ascii="Times New Roman" w:hAnsi="Times New Roman" w:eastAsia="宋体" w:cs="Times New Roman"/>
                      <w:b/>
                      <w:bCs/>
                      <w:snapToGrid w:val="0"/>
                      <w:color w:val="auto"/>
                      <w:kern w:val="0"/>
                      <w:sz w:val="21"/>
                      <w:szCs w:val="21"/>
                      <w:u w:val="none" w:color="auto"/>
                    </w:rPr>
                    <w:t>COD、</w:t>
                  </w:r>
                  <w:r>
                    <w:rPr>
                      <w:rFonts w:hint="default" w:ascii="Times New Roman" w:hAnsi="Times New Roman" w:eastAsia="宋体" w:cs="Times New Roman"/>
                      <w:b/>
                      <w:bCs/>
                      <w:snapToGrid w:val="0"/>
                      <w:color w:val="auto"/>
                      <w:kern w:val="0"/>
                      <w:sz w:val="21"/>
                      <w:szCs w:val="21"/>
                      <w:u w:val="none" w:color="auto"/>
                      <w:lang w:val="en-US" w:eastAsia="zh-CN"/>
                    </w:rPr>
                    <w:t>SS</w:t>
                  </w:r>
                </w:p>
              </w:tc>
              <w:tc>
                <w:tcPr>
                  <w:tcW w:w="2657" w:type="pct"/>
                  <w:gridSpan w:val="2"/>
                  <w:noWrap w:val="0"/>
                  <w:tcMar>
                    <w:top w:w="85" w:type="dxa"/>
                    <w:bottom w:w="85" w:type="dxa"/>
                  </w:tcMar>
                  <w:vAlign w:val="center"/>
                </w:tcPr>
                <w:p w14:paraId="5486BBC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jc w:val="center"/>
                    <w:textAlignment w:val="auto"/>
                    <w:outlineLvl w:val="9"/>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用于厂区洒水</w:t>
                  </w:r>
                </w:p>
              </w:tc>
              <w:tc>
                <w:tcPr>
                  <w:tcW w:w="244" w:type="pct"/>
                  <w:noWrap w:val="0"/>
                  <w:tcMar>
                    <w:top w:w="85" w:type="dxa"/>
                    <w:bottom w:w="85" w:type="dxa"/>
                  </w:tcMar>
                  <w:vAlign w:val="center"/>
                </w:tcPr>
                <w:p w14:paraId="5B793DC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snapToGrid w:val="0"/>
                      <w:color w:val="auto"/>
                      <w:kern w:val="0"/>
                      <w:sz w:val="21"/>
                      <w:szCs w:val="21"/>
                      <w:highlight w:val="none"/>
                      <w:u w:val="none" w:color="auto"/>
                      <w:lang w:val="en-US" w:eastAsia="zh-CN"/>
                    </w:rPr>
                  </w:pPr>
                  <w:r>
                    <w:rPr>
                      <w:rFonts w:hint="default" w:ascii="Times New Roman" w:hAnsi="Times New Roman" w:eastAsia="宋体" w:cs="Times New Roman"/>
                      <w:b/>
                      <w:bCs/>
                      <w:snapToGrid w:val="0"/>
                      <w:color w:val="auto"/>
                      <w:kern w:val="0"/>
                      <w:sz w:val="21"/>
                      <w:szCs w:val="21"/>
                      <w:highlight w:val="none"/>
                      <w:u w:val="none" w:color="auto"/>
                      <w:lang w:val="en-US" w:eastAsia="zh-CN"/>
                    </w:rPr>
                    <w:t>/</w:t>
                  </w:r>
                </w:p>
              </w:tc>
            </w:tr>
            <w:tr w14:paraId="22CD6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501" w:hRule="exact"/>
                <w:jc w:val="center"/>
              </w:trPr>
              <w:tc>
                <w:tcPr>
                  <w:tcW w:w="195" w:type="pct"/>
                  <w:vMerge w:val="restart"/>
                  <w:noWrap w:val="0"/>
                  <w:tcMar>
                    <w:top w:w="85" w:type="dxa"/>
                    <w:bottom w:w="85" w:type="dxa"/>
                  </w:tcMar>
                  <w:vAlign w:val="center"/>
                </w:tcPr>
                <w:p w14:paraId="393CBF8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3</w:t>
                  </w:r>
                </w:p>
              </w:tc>
              <w:tc>
                <w:tcPr>
                  <w:tcW w:w="284" w:type="pct"/>
                  <w:vMerge w:val="restart"/>
                  <w:noWrap w:val="0"/>
                  <w:tcMar>
                    <w:top w:w="85" w:type="dxa"/>
                    <w:bottom w:w="85" w:type="dxa"/>
                  </w:tcMar>
                  <w:vAlign w:val="center"/>
                </w:tcPr>
                <w:p w14:paraId="35AD101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固体废物</w:t>
                  </w:r>
                </w:p>
              </w:tc>
              <w:tc>
                <w:tcPr>
                  <w:tcW w:w="1617" w:type="pct"/>
                  <w:gridSpan w:val="2"/>
                  <w:noWrap w:val="0"/>
                  <w:tcMar>
                    <w:top w:w="85" w:type="dxa"/>
                    <w:bottom w:w="85" w:type="dxa"/>
                  </w:tcMar>
                  <w:vAlign w:val="center"/>
                </w:tcPr>
                <w:p w14:paraId="6AEF5C53">
                  <w:pPr>
                    <w:pStyle w:val="115"/>
                    <w:rPr>
                      <w:rFonts w:hint="default" w:ascii="Times New Roman" w:hAnsi="Times New Roman" w:eastAsia="宋体" w:cs="Times New Roman"/>
                      <w:b/>
                      <w:bCs/>
                      <w:color w:val="auto"/>
                      <w:kern w:val="2"/>
                      <w:sz w:val="21"/>
                      <w:szCs w:val="21"/>
                      <w:u w:val="none" w:color="auto"/>
                      <w:lang w:val="en-US" w:eastAsia="zh-CN" w:bidi="ar-SA"/>
                    </w:rPr>
                  </w:pPr>
                  <w:r>
                    <w:rPr>
                      <w:rFonts w:hint="eastAsia" w:cs="Times New Roman"/>
                      <w:b/>
                      <w:bCs/>
                      <w:color w:val="auto"/>
                      <w:kern w:val="2"/>
                      <w:sz w:val="21"/>
                      <w:szCs w:val="21"/>
                      <w:u w:val="none" w:color="auto"/>
                      <w:lang w:val="en-US" w:eastAsia="zh-CN"/>
                    </w:rPr>
                    <w:t xml:space="preserve"> 一般固废</w:t>
                  </w:r>
                </w:p>
              </w:tc>
              <w:tc>
                <w:tcPr>
                  <w:tcW w:w="2657" w:type="pct"/>
                  <w:gridSpan w:val="2"/>
                  <w:shd w:val="clear" w:color="auto" w:fill="auto"/>
                  <w:noWrap w:val="0"/>
                  <w:tcMar>
                    <w:top w:w="85" w:type="dxa"/>
                    <w:bottom w:w="85" w:type="dxa"/>
                  </w:tcMar>
                  <w:vAlign w:val="center"/>
                </w:tcPr>
                <w:p w14:paraId="1A16D860">
                  <w:pPr>
                    <w:pStyle w:val="115"/>
                    <w:rPr>
                      <w:rFonts w:hint="default" w:ascii="Times New Roman" w:hAnsi="Times New Roman" w:eastAsia="宋体" w:cs="Times New Roman"/>
                      <w:b/>
                      <w:bCs/>
                      <w:color w:val="auto"/>
                      <w:kern w:val="2"/>
                      <w:sz w:val="21"/>
                      <w:szCs w:val="21"/>
                      <w:u w:val="none" w:color="auto"/>
                    </w:rPr>
                  </w:pPr>
                  <w:r>
                    <w:rPr>
                      <w:rFonts w:hint="default" w:ascii="Times New Roman" w:hAnsi="Times New Roman" w:eastAsia="宋体" w:cs="Times New Roman"/>
                      <w:b/>
                      <w:bCs/>
                      <w:color w:val="auto"/>
                      <w:sz w:val="21"/>
                      <w:szCs w:val="21"/>
                      <w:u w:val="none" w:color="auto"/>
                      <w:lang w:val="en-US" w:eastAsia="zh-CN"/>
                    </w:rPr>
                    <w:t>一般固废暂存间（</w:t>
                  </w:r>
                  <w:r>
                    <w:rPr>
                      <w:rFonts w:hint="eastAsia" w:ascii="Times New Roman" w:hAnsi="Times New Roman" w:eastAsia="宋体" w:cs="Times New Roman"/>
                      <w:b/>
                      <w:bCs/>
                      <w:color w:val="auto"/>
                      <w:sz w:val="21"/>
                      <w:szCs w:val="21"/>
                      <w:u w:val="none" w:color="auto"/>
                      <w:lang w:val="en-US" w:eastAsia="zh-CN"/>
                    </w:rPr>
                    <w:t>100</w:t>
                  </w:r>
                  <w:r>
                    <w:rPr>
                      <w:rFonts w:hint="default" w:ascii="Times New Roman" w:hAnsi="Times New Roman" w:eastAsia="宋体" w:cs="Times New Roman"/>
                      <w:b/>
                      <w:bCs/>
                      <w:color w:val="auto"/>
                      <w:sz w:val="21"/>
                      <w:szCs w:val="21"/>
                      <w:u w:val="none" w:color="auto"/>
                      <w:lang w:val="en-US" w:eastAsia="zh-CN"/>
                    </w:rPr>
                    <w:t>m</w:t>
                  </w:r>
                  <w:r>
                    <w:rPr>
                      <w:rFonts w:hint="default" w:ascii="Times New Roman" w:hAnsi="Times New Roman" w:eastAsia="宋体" w:cs="Times New Roman"/>
                      <w:b/>
                      <w:bCs/>
                      <w:color w:val="auto"/>
                      <w:sz w:val="21"/>
                      <w:szCs w:val="21"/>
                      <w:u w:val="none" w:color="auto"/>
                      <w:vertAlign w:val="superscript"/>
                      <w:lang w:val="en-US" w:eastAsia="zh-CN"/>
                    </w:rPr>
                    <w:t>2</w:t>
                  </w:r>
                  <w:r>
                    <w:rPr>
                      <w:rFonts w:hint="default" w:ascii="Times New Roman" w:hAnsi="Times New Roman" w:eastAsia="宋体" w:cs="Times New Roman"/>
                      <w:b/>
                      <w:bCs/>
                      <w:color w:val="auto"/>
                      <w:sz w:val="21"/>
                      <w:szCs w:val="21"/>
                      <w:u w:val="none" w:color="auto"/>
                      <w:lang w:val="en-US" w:eastAsia="zh-CN"/>
                    </w:rPr>
                    <w:t>）</w:t>
                  </w:r>
                </w:p>
              </w:tc>
              <w:tc>
                <w:tcPr>
                  <w:tcW w:w="244" w:type="pct"/>
                  <w:vMerge w:val="restart"/>
                  <w:noWrap w:val="0"/>
                  <w:tcMar>
                    <w:top w:w="85" w:type="dxa"/>
                    <w:bottom w:w="85" w:type="dxa"/>
                  </w:tcMar>
                  <w:vAlign w:val="center"/>
                </w:tcPr>
                <w:p w14:paraId="05CA6D4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eastAsia" w:cs="Times New Roman"/>
                      <w:b/>
                      <w:bCs/>
                      <w:color w:val="auto"/>
                      <w:sz w:val="21"/>
                      <w:szCs w:val="21"/>
                      <w:highlight w:val="none"/>
                      <w:u w:val="none" w:color="auto"/>
                      <w:lang w:val="en-US" w:eastAsia="zh-CN"/>
                    </w:rPr>
                    <w:t>5</w:t>
                  </w:r>
                </w:p>
              </w:tc>
            </w:tr>
            <w:tr w14:paraId="6BD5D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694" w:hRule="exact"/>
                <w:jc w:val="center"/>
              </w:trPr>
              <w:tc>
                <w:tcPr>
                  <w:tcW w:w="195" w:type="pct"/>
                  <w:vMerge w:val="continue"/>
                  <w:noWrap w:val="0"/>
                  <w:tcMar>
                    <w:top w:w="85" w:type="dxa"/>
                    <w:bottom w:w="85" w:type="dxa"/>
                  </w:tcMar>
                  <w:vAlign w:val="center"/>
                </w:tcPr>
                <w:p w14:paraId="0579040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p>
              </w:tc>
              <w:tc>
                <w:tcPr>
                  <w:tcW w:w="284" w:type="pct"/>
                  <w:vMerge w:val="continue"/>
                  <w:noWrap w:val="0"/>
                  <w:tcMar>
                    <w:top w:w="85" w:type="dxa"/>
                    <w:bottom w:w="85" w:type="dxa"/>
                  </w:tcMar>
                  <w:vAlign w:val="center"/>
                </w:tcPr>
                <w:p w14:paraId="6044E7AD">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1617" w:type="pct"/>
                  <w:gridSpan w:val="2"/>
                  <w:noWrap w:val="0"/>
                  <w:tcMar>
                    <w:top w:w="85" w:type="dxa"/>
                    <w:bottom w:w="85" w:type="dxa"/>
                  </w:tcMar>
                  <w:vAlign w:val="center"/>
                </w:tcPr>
                <w:p w14:paraId="50AE7E67">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bCs/>
                      <w:color w:val="auto"/>
                      <w:kern w:val="2"/>
                      <w:sz w:val="21"/>
                      <w:szCs w:val="21"/>
                      <w:u w:val="none" w:color="auto"/>
                      <w:lang w:val="en-US" w:eastAsia="zh-CN" w:bidi="ar-SA"/>
                    </w:rPr>
                  </w:pPr>
                  <w:r>
                    <w:rPr>
                      <w:rFonts w:hint="eastAsia" w:cs="Times New Roman"/>
                      <w:b/>
                      <w:bCs/>
                      <w:color w:val="auto"/>
                      <w:sz w:val="21"/>
                      <w:szCs w:val="21"/>
                      <w:u w:val="none" w:color="auto"/>
                      <w:lang w:val="en-US" w:eastAsia="zh-CN"/>
                    </w:rPr>
                    <w:t>危险废物</w:t>
                  </w:r>
                </w:p>
              </w:tc>
              <w:tc>
                <w:tcPr>
                  <w:tcW w:w="2657" w:type="pct"/>
                  <w:gridSpan w:val="2"/>
                  <w:noWrap w:val="0"/>
                  <w:tcMar>
                    <w:top w:w="85" w:type="dxa"/>
                    <w:bottom w:w="85" w:type="dxa"/>
                  </w:tcMar>
                  <w:vAlign w:val="center"/>
                </w:tcPr>
                <w:p w14:paraId="57D7C734">
                  <w:pPr>
                    <w:pStyle w:val="115"/>
                    <w:keepNext w:val="0"/>
                    <w:keepLines w:val="0"/>
                    <w:pageBreakBefore w:val="0"/>
                    <w:widowControl/>
                    <w:kinsoku/>
                    <w:wordWrap/>
                    <w:overflowPunct/>
                    <w:topLinePunct w:val="0"/>
                    <w:autoSpaceDE/>
                    <w:autoSpaceDN/>
                    <w:bidi w:val="0"/>
                    <w:adjustRightInd/>
                    <w:snapToGrid w:val="0"/>
                    <w:textAlignment w:val="auto"/>
                    <w:rPr>
                      <w:rFonts w:hint="default" w:ascii="Times New Roman" w:hAnsi="Times New Roman" w:eastAsia="宋体" w:cs="Times New Roman"/>
                      <w:b/>
                      <w:bCs/>
                      <w:color w:val="auto"/>
                      <w:kern w:val="2"/>
                      <w:sz w:val="21"/>
                      <w:szCs w:val="21"/>
                      <w:u w:val="none" w:color="auto"/>
                      <w:lang w:val="en-US" w:eastAsia="zh-CN" w:bidi="ar-SA"/>
                    </w:rPr>
                  </w:pPr>
                  <w:r>
                    <w:rPr>
                      <w:rFonts w:hint="default" w:ascii="Times New Roman" w:hAnsi="Times New Roman" w:eastAsia="宋体" w:cs="Times New Roman"/>
                      <w:b/>
                      <w:bCs/>
                      <w:color w:val="auto"/>
                      <w:kern w:val="2"/>
                      <w:sz w:val="21"/>
                      <w:szCs w:val="21"/>
                      <w:u w:val="none" w:color="auto"/>
                    </w:rPr>
                    <w:t>暂存于危废暂存间</w:t>
                  </w:r>
                  <w:r>
                    <w:rPr>
                      <w:rFonts w:hint="default" w:ascii="Times New Roman" w:hAnsi="Times New Roman" w:eastAsia="宋体" w:cs="Times New Roman"/>
                      <w:b/>
                      <w:bCs/>
                      <w:color w:val="auto"/>
                      <w:kern w:val="2"/>
                      <w:sz w:val="21"/>
                      <w:szCs w:val="21"/>
                      <w:u w:val="none" w:color="auto"/>
                      <w:lang w:eastAsia="zh-CN"/>
                    </w:rPr>
                    <w:t>（</w:t>
                  </w:r>
                  <w:r>
                    <w:rPr>
                      <w:rFonts w:hint="eastAsia" w:cs="Times New Roman"/>
                      <w:b/>
                      <w:bCs/>
                      <w:color w:val="auto"/>
                      <w:sz w:val="21"/>
                      <w:szCs w:val="21"/>
                      <w:u w:val="none" w:color="auto"/>
                      <w:lang w:val="en-US" w:eastAsia="zh-CN"/>
                    </w:rPr>
                    <w:t>5</w:t>
                  </w:r>
                  <w:r>
                    <w:rPr>
                      <w:rFonts w:hint="default" w:ascii="Times New Roman" w:hAnsi="Times New Roman" w:eastAsia="宋体" w:cs="Times New Roman"/>
                      <w:b/>
                      <w:bCs/>
                      <w:color w:val="auto"/>
                      <w:sz w:val="21"/>
                      <w:szCs w:val="21"/>
                      <w:u w:val="none" w:color="auto"/>
                    </w:rPr>
                    <w:t>0m</w:t>
                  </w:r>
                  <w:r>
                    <w:rPr>
                      <w:rFonts w:hint="default" w:ascii="Times New Roman" w:hAnsi="Times New Roman" w:eastAsia="宋体" w:cs="Times New Roman"/>
                      <w:b/>
                      <w:bCs/>
                      <w:color w:val="auto"/>
                      <w:sz w:val="21"/>
                      <w:szCs w:val="21"/>
                      <w:u w:val="none" w:color="auto"/>
                      <w:vertAlign w:val="superscript"/>
                    </w:rPr>
                    <w:t>2</w:t>
                  </w:r>
                  <w:r>
                    <w:rPr>
                      <w:rFonts w:hint="default" w:ascii="Times New Roman" w:hAnsi="Times New Roman" w:eastAsia="宋体" w:cs="Times New Roman"/>
                      <w:b/>
                      <w:bCs/>
                      <w:color w:val="auto"/>
                      <w:kern w:val="2"/>
                      <w:sz w:val="21"/>
                      <w:szCs w:val="21"/>
                      <w:u w:val="none" w:color="auto"/>
                      <w:lang w:eastAsia="zh-CN"/>
                    </w:rPr>
                    <w:t>）</w:t>
                  </w:r>
                  <w:r>
                    <w:rPr>
                      <w:rFonts w:hint="default" w:ascii="Times New Roman" w:hAnsi="Times New Roman" w:eastAsia="宋体" w:cs="Times New Roman"/>
                      <w:b/>
                      <w:bCs/>
                      <w:color w:val="auto"/>
                      <w:kern w:val="2"/>
                      <w:sz w:val="21"/>
                      <w:szCs w:val="21"/>
                      <w:u w:val="none" w:color="auto"/>
                    </w:rPr>
                    <w:t>，委托有资质进行处置</w:t>
                  </w:r>
                </w:p>
              </w:tc>
              <w:tc>
                <w:tcPr>
                  <w:tcW w:w="244" w:type="pct"/>
                  <w:vMerge w:val="continue"/>
                  <w:noWrap w:val="0"/>
                  <w:tcMar>
                    <w:top w:w="85" w:type="dxa"/>
                    <w:bottom w:w="85" w:type="dxa"/>
                  </w:tcMar>
                  <w:vAlign w:val="center"/>
                </w:tcPr>
                <w:p w14:paraId="67D11BC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p>
              </w:tc>
            </w:tr>
            <w:tr w14:paraId="73F31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406" w:hRule="exact"/>
                <w:jc w:val="center"/>
              </w:trPr>
              <w:tc>
                <w:tcPr>
                  <w:tcW w:w="195" w:type="pct"/>
                  <w:vMerge w:val="continue"/>
                  <w:noWrap w:val="0"/>
                  <w:tcMar>
                    <w:top w:w="85" w:type="dxa"/>
                    <w:bottom w:w="85" w:type="dxa"/>
                  </w:tcMar>
                  <w:vAlign w:val="center"/>
                </w:tcPr>
                <w:p w14:paraId="0E5E1B6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284" w:type="pct"/>
                  <w:vMerge w:val="continue"/>
                  <w:noWrap w:val="0"/>
                  <w:tcMar>
                    <w:top w:w="85" w:type="dxa"/>
                    <w:bottom w:w="85" w:type="dxa"/>
                  </w:tcMar>
                  <w:vAlign w:val="center"/>
                </w:tcPr>
                <w:p w14:paraId="6F09F0FC">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p>
              </w:tc>
              <w:tc>
                <w:tcPr>
                  <w:tcW w:w="900" w:type="pct"/>
                  <w:noWrap w:val="0"/>
                  <w:tcMar>
                    <w:top w:w="85" w:type="dxa"/>
                    <w:bottom w:w="85" w:type="dxa"/>
                  </w:tcMar>
                  <w:vAlign w:val="center"/>
                </w:tcPr>
                <w:p w14:paraId="33E2EC6F">
                  <w:pPr>
                    <w:pStyle w:val="115"/>
                    <w:rPr>
                      <w:rFonts w:hint="default" w:ascii="Times New Roman" w:hAnsi="Times New Roman" w:eastAsia="宋体" w:cs="Times New Roman"/>
                      <w:b/>
                      <w:bCs/>
                      <w:color w:val="auto"/>
                      <w:kern w:val="2"/>
                      <w:sz w:val="21"/>
                      <w:szCs w:val="21"/>
                      <w:u w:val="none" w:color="auto"/>
                      <w:lang w:val="en-US" w:eastAsia="zh-CN" w:bidi="ar-SA"/>
                    </w:rPr>
                  </w:pPr>
                  <w:r>
                    <w:rPr>
                      <w:rFonts w:hint="default" w:ascii="Times New Roman" w:hAnsi="Times New Roman" w:eastAsia="宋体" w:cs="Times New Roman"/>
                      <w:b/>
                      <w:bCs/>
                      <w:color w:val="auto"/>
                      <w:kern w:val="2"/>
                      <w:sz w:val="21"/>
                      <w:szCs w:val="21"/>
                      <w:u w:val="none" w:color="auto"/>
                    </w:rPr>
                    <w:t>职工办公</w:t>
                  </w:r>
                </w:p>
              </w:tc>
              <w:tc>
                <w:tcPr>
                  <w:tcW w:w="716" w:type="pct"/>
                  <w:noWrap w:val="0"/>
                  <w:tcMar>
                    <w:top w:w="85" w:type="dxa"/>
                    <w:bottom w:w="85" w:type="dxa"/>
                  </w:tcMar>
                  <w:vAlign w:val="center"/>
                </w:tcPr>
                <w:p w14:paraId="34306496">
                  <w:pPr>
                    <w:pStyle w:val="115"/>
                    <w:rPr>
                      <w:rFonts w:hint="default" w:ascii="Times New Roman" w:hAnsi="Times New Roman" w:eastAsia="宋体" w:cs="Times New Roman"/>
                      <w:b/>
                      <w:bCs/>
                      <w:color w:val="auto"/>
                      <w:kern w:val="2"/>
                      <w:sz w:val="21"/>
                      <w:szCs w:val="21"/>
                      <w:u w:val="none" w:color="auto"/>
                      <w:lang w:val="en-US" w:eastAsia="zh-CN" w:bidi="ar-SA"/>
                    </w:rPr>
                  </w:pPr>
                  <w:r>
                    <w:rPr>
                      <w:rFonts w:hint="default" w:ascii="Times New Roman" w:hAnsi="Times New Roman" w:eastAsia="宋体" w:cs="Times New Roman"/>
                      <w:b/>
                      <w:bCs/>
                      <w:color w:val="auto"/>
                      <w:kern w:val="2"/>
                      <w:sz w:val="21"/>
                      <w:szCs w:val="21"/>
                      <w:u w:val="none" w:color="auto"/>
                    </w:rPr>
                    <w:t>生活垃圾</w:t>
                  </w:r>
                </w:p>
              </w:tc>
              <w:tc>
                <w:tcPr>
                  <w:tcW w:w="2657" w:type="pct"/>
                  <w:gridSpan w:val="2"/>
                  <w:noWrap w:val="0"/>
                  <w:tcMar>
                    <w:top w:w="85" w:type="dxa"/>
                    <w:bottom w:w="85" w:type="dxa"/>
                  </w:tcMar>
                  <w:vAlign w:val="center"/>
                </w:tcPr>
                <w:p w14:paraId="04AF4338">
                  <w:pPr>
                    <w:pStyle w:val="115"/>
                    <w:rPr>
                      <w:rFonts w:hint="default" w:ascii="Times New Roman" w:hAnsi="Times New Roman" w:eastAsia="宋体" w:cs="Times New Roman"/>
                      <w:b/>
                      <w:bCs/>
                      <w:color w:val="auto"/>
                      <w:kern w:val="2"/>
                      <w:sz w:val="21"/>
                      <w:szCs w:val="21"/>
                      <w:u w:val="none" w:color="auto"/>
                      <w:lang w:val="en-US" w:eastAsia="zh-CN"/>
                    </w:rPr>
                  </w:pPr>
                  <w:r>
                    <w:rPr>
                      <w:rFonts w:hint="default" w:ascii="Times New Roman" w:hAnsi="Times New Roman" w:eastAsia="宋体" w:cs="Times New Roman"/>
                      <w:b/>
                      <w:bCs/>
                      <w:color w:val="auto"/>
                      <w:kern w:val="2"/>
                      <w:sz w:val="21"/>
                      <w:szCs w:val="21"/>
                      <w:u w:val="none" w:color="auto"/>
                    </w:rPr>
                    <w:t>统一收集后交由环卫部门进行处理</w:t>
                  </w:r>
                </w:p>
              </w:tc>
              <w:tc>
                <w:tcPr>
                  <w:tcW w:w="244" w:type="pct"/>
                  <w:vMerge w:val="continue"/>
                  <w:noWrap w:val="0"/>
                  <w:tcMar>
                    <w:top w:w="85" w:type="dxa"/>
                    <w:bottom w:w="85" w:type="dxa"/>
                  </w:tcMar>
                  <w:vAlign w:val="center"/>
                </w:tcPr>
                <w:p w14:paraId="52C72469">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p>
              </w:tc>
            </w:tr>
            <w:tr w14:paraId="73110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376" w:hRule="atLeast"/>
                <w:jc w:val="center"/>
              </w:trPr>
              <w:tc>
                <w:tcPr>
                  <w:tcW w:w="195" w:type="pct"/>
                  <w:noWrap w:val="0"/>
                  <w:tcMar>
                    <w:top w:w="85" w:type="dxa"/>
                    <w:bottom w:w="85" w:type="dxa"/>
                  </w:tcMar>
                  <w:vAlign w:val="center"/>
                </w:tcPr>
                <w:p w14:paraId="30B10F0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eastAsia="zh-CN"/>
                    </w:rPr>
                  </w:pPr>
                  <w:r>
                    <w:rPr>
                      <w:rFonts w:hint="default" w:ascii="Times New Roman" w:hAnsi="Times New Roman" w:eastAsia="宋体" w:cs="Times New Roman"/>
                      <w:b/>
                      <w:bCs/>
                      <w:color w:val="auto"/>
                      <w:sz w:val="21"/>
                      <w:szCs w:val="21"/>
                      <w:highlight w:val="none"/>
                      <w:u w:val="none" w:color="auto"/>
                      <w:lang w:val="en-US" w:eastAsia="zh-CN"/>
                    </w:rPr>
                    <w:t>4</w:t>
                  </w:r>
                </w:p>
              </w:tc>
              <w:tc>
                <w:tcPr>
                  <w:tcW w:w="284" w:type="pct"/>
                  <w:noWrap w:val="0"/>
                  <w:tcMar>
                    <w:top w:w="85" w:type="dxa"/>
                    <w:bottom w:w="85" w:type="dxa"/>
                  </w:tcMar>
                  <w:vAlign w:val="center"/>
                </w:tcPr>
                <w:p w14:paraId="55E3CC16">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噪声</w:t>
                  </w:r>
                </w:p>
              </w:tc>
              <w:tc>
                <w:tcPr>
                  <w:tcW w:w="900" w:type="pct"/>
                  <w:noWrap w:val="0"/>
                  <w:tcMar>
                    <w:top w:w="85" w:type="dxa"/>
                    <w:bottom w:w="85" w:type="dxa"/>
                  </w:tcMar>
                  <w:vAlign w:val="center"/>
                </w:tcPr>
                <w:p w14:paraId="4420B1FF">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设备运转噪声</w:t>
                  </w:r>
                </w:p>
              </w:tc>
              <w:tc>
                <w:tcPr>
                  <w:tcW w:w="716" w:type="pct"/>
                  <w:noWrap w:val="0"/>
                  <w:tcMar>
                    <w:top w:w="85" w:type="dxa"/>
                    <w:bottom w:w="85" w:type="dxa"/>
                  </w:tcMar>
                  <w:vAlign w:val="center"/>
                </w:tcPr>
                <w:p w14:paraId="1FD28E0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u w:val="none" w:color="auto"/>
                    </w:rPr>
                    <w:t>等效连续 A声级</w:t>
                  </w:r>
                </w:p>
              </w:tc>
              <w:tc>
                <w:tcPr>
                  <w:tcW w:w="2657" w:type="pct"/>
                  <w:gridSpan w:val="2"/>
                  <w:noWrap w:val="0"/>
                  <w:tcMar>
                    <w:top w:w="85" w:type="dxa"/>
                    <w:bottom w:w="85" w:type="dxa"/>
                  </w:tcMar>
                  <w:vAlign w:val="center"/>
                </w:tcPr>
                <w:p w14:paraId="3A15CDE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u w:val="none" w:color="auto"/>
                    </w:rPr>
                    <w:t>厂房隔声、设备减振及距离衰减</w:t>
                  </w:r>
                  <w:r>
                    <w:rPr>
                      <w:rFonts w:hint="default" w:ascii="Times New Roman" w:hAnsi="Times New Roman" w:eastAsia="宋体" w:cs="Times New Roman"/>
                      <w:b/>
                      <w:bCs/>
                      <w:color w:val="auto"/>
                      <w:sz w:val="21"/>
                      <w:szCs w:val="21"/>
                      <w:u w:val="none" w:color="auto"/>
                      <w:lang w:val="en-US" w:eastAsia="zh-CN"/>
                    </w:rPr>
                    <w:t>等</w:t>
                  </w:r>
                </w:p>
              </w:tc>
              <w:tc>
                <w:tcPr>
                  <w:tcW w:w="244" w:type="pct"/>
                  <w:noWrap w:val="0"/>
                  <w:tcMar>
                    <w:top w:w="85" w:type="dxa"/>
                    <w:bottom w:w="85" w:type="dxa"/>
                  </w:tcMar>
                  <w:vAlign w:val="center"/>
                </w:tcPr>
                <w:p w14:paraId="106AF87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eastAsia="zh-CN"/>
                    </w:rPr>
                  </w:pPr>
                  <w:r>
                    <w:rPr>
                      <w:rFonts w:hint="eastAsia" w:cs="Times New Roman"/>
                      <w:b/>
                      <w:bCs/>
                      <w:color w:val="auto"/>
                      <w:sz w:val="21"/>
                      <w:szCs w:val="21"/>
                      <w:highlight w:val="none"/>
                      <w:u w:val="none" w:color="auto"/>
                      <w:lang w:val="en-US" w:eastAsia="zh-CN"/>
                    </w:rPr>
                    <w:t>5</w:t>
                  </w:r>
                </w:p>
              </w:tc>
            </w:tr>
            <w:tr w14:paraId="08DF0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noWrap w:val="0"/>
                  <w:tcMar>
                    <w:top w:w="85" w:type="dxa"/>
                    <w:bottom w:w="85" w:type="dxa"/>
                  </w:tcMar>
                  <w:vAlign w:val="center"/>
                </w:tcPr>
                <w:p w14:paraId="2ABA06F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5</w:t>
                  </w:r>
                </w:p>
              </w:tc>
              <w:tc>
                <w:tcPr>
                  <w:tcW w:w="1902" w:type="pct"/>
                  <w:gridSpan w:val="3"/>
                  <w:noWrap w:val="0"/>
                  <w:tcMar>
                    <w:top w:w="85" w:type="dxa"/>
                    <w:bottom w:w="85" w:type="dxa"/>
                  </w:tcMar>
                  <w:vAlign w:val="center"/>
                </w:tcPr>
                <w:p w14:paraId="6A0FBBA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地下水土壤防渗</w:t>
                  </w:r>
                </w:p>
              </w:tc>
              <w:tc>
                <w:tcPr>
                  <w:tcW w:w="2657" w:type="pct"/>
                  <w:gridSpan w:val="2"/>
                  <w:noWrap w:val="0"/>
                  <w:tcMar>
                    <w:top w:w="85" w:type="dxa"/>
                    <w:bottom w:w="85" w:type="dxa"/>
                  </w:tcMar>
                  <w:vAlign w:val="center"/>
                </w:tcPr>
                <w:p w14:paraId="18B3207E">
                  <w:pPr>
                    <w:keepNext w:val="0"/>
                    <w:keepLines w:val="0"/>
                    <w:pageBreakBefore w:val="0"/>
                    <w:widowControl w:val="0"/>
                    <w:kinsoku/>
                    <w:wordWrap/>
                    <w:overflowPunct/>
                    <w:topLinePunct w:val="0"/>
                    <w:autoSpaceDE/>
                    <w:autoSpaceDN/>
                    <w:bidi w:val="0"/>
                    <w:adjustRightInd w:val="0"/>
                    <w:snapToGrid w:val="0"/>
                    <w:jc w:val="left"/>
                    <w:textAlignment w:val="auto"/>
                    <w:rPr>
                      <w:rFonts w:hint="default" w:ascii="Times New Roman" w:hAnsi="Times New Roman" w:eastAsia="宋体" w:cs="Times New Roman"/>
                      <w:b/>
                      <w:bCs/>
                      <w:color w:val="auto"/>
                      <w:sz w:val="21"/>
                      <w:szCs w:val="21"/>
                      <w:highlight w:val="none"/>
                      <w:u w:val="none" w:color="auto"/>
                    </w:rPr>
                  </w:pPr>
                  <w:r>
                    <w:rPr>
                      <w:rFonts w:hint="eastAsia" w:cs="Times New Roman"/>
                      <w:b/>
                      <w:bCs/>
                      <w:color w:val="auto"/>
                      <w:sz w:val="21"/>
                      <w:szCs w:val="21"/>
                      <w:highlight w:val="none"/>
                      <w:u w:val="none" w:color="auto"/>
                      <w:lang w:val="en-US" w:eastAsia="zh-CN"/>
                    </w:rPr>
                    <w:t>油墨储存</w:t>
                  </w:r>
                  <w:r>
                    <w:rPr>
                      <w:rFonts w:hint="default" w:ascii="Times New Roman" w:hAnsi="Times New Roman" w:eastAsia="宋体" w:cs="Times New Roman"/>
                      <w:b/>
                      <w:bCs/>
                      <w:color w:val="auto"/>
                      <w:sz w:val="21"/>
                      <w:szCs w:val="21"/>
                      <w:highlight w:val="none"/>
                      <w:u w:val="none" w:color="auto"/>
                      <w:lang w:val="en-US" w:eastAsia="zh-CN"/>
                    </w:rPr>
                    <w:t>区</w:t>
                  </w:r>
                  <w:r>
                    <w:rPr>
                      <w:rFonts w:hint="default" w:ascii="Times New Roman" w:hAnsi="Times New Roman" w:eastAsia="宋体" w:cs="Times New Roman"/>
                      <w:b/>
                      <w:bCs/>
                      <w:color w:val="auto"/>
                      <w:sz w:val="21"/>
                      <w:szCs w:val="21"/>
                      <w:highlight w:val="none"/>
                      <w:u w:val="none" w:color="auto"/>
                    </w:rPr>
                    <w:t>、</w:t>
                  </w:r>
                  <w:r>
                    <w:rPr>
                      <w:rFonts w:hint="default" w:ascii="Times New Roman" w:hAnsi="Times New Roman" w:eastAsia="宋体" w:cs="Times New Roman"/>
                      <w:b/>
                      <w:bCs/>
                      <w:color w:val="auto"/>
                      <w:sz w:val="21"/>
                      <w:szCs w:val="21"/>
                      <w:highlight w:val="none"/>
                      <w:u w:val="none" w:color="auto"/>
                      <w:lang w:val="en-US" w:eastAsia="zh-CN"/>
                    </w:rPr>
                    <w:t>彩色成像玻璃彩打区</w:t>
                  </w:r>
                  <w:r>
                    <w:rPr>
                      <w:rFonts w:hint="eastAsia" w:cs="Times New Roman"/>
                      <w:b/>
                      <w:bCs/>
                      <w:color w:val="auto"/>
                      <w:sz w:val="21"/>
                      <w:szCs w:val="21"/>
                      <w:highlight w:val="none"/>
                      <w:u w:val="none" w:color="auto"/>
                      <w:lang w:val="en-US" w:eastAsia="zh-CN"/>
                    </w:rPr>
                    <w:t>、</w:t>
                  </w:r>
                  <w:r>
                    <w:rPr>
                      <w:rFonts w:hint="default" w:ascii="Times New Roman" w:hAnsi="Times New Roman" w:eastAsia="宋体" w:cs="Times New Roman"/>
                      <w:b/>
                      <w:bCs/>
                      <w:color w:val="auto"/>
                      <w:sz w:val="21"/>
                      <w:szCs w:val="21"/>
                      <w:highlight w:val="none"/>
                      <w:u w:val="none" w:color="auto"/>
                      <w:lang w:val="en-US" w:eastAsia="zh-CN"/>
                    </w:rPr>
                    <w:t>废水输送管道</w:t>
                  </w:r>
                  <w:r>
                    <w:rPr>
                      <w:rFonts w:hint="default" w:ascii="Times New Roman" w:hAnsi="Times New Roman" w:eastAsia="宋体" w:cs="Times New Roman"/>
                      <w:b/>
                      <w:bCs/>
                      <w:color w:val="auto"/>
                      <w:sz w:val="21"/>
                      <w:szCs w:val="21"/>
                      <w:highlight w:val="none"/>
                      <w:u w:val="none" w:color="auto"/>
                    </w:rPr>
                    <w:t>和</w:t>
                  </w:r>
                  <w:r>
                    <w:rPr>
                      <w:rFonts w:hint="default" w:ascii="Times New Roman" w:hAnsi="Times New Roman" w:eastAsia="宋体" w:cs="Times New Roman"/>
                      <w:b/>
                      <w:bCs/>
                      <w:color w:val="auto"/>
                      <w:sz w:val="21"/>
                      <w:szCs w:val="21"/>
                      <w:highlight w:val="none"/>
                      <w:u w:val="none" w:color="auto"/>
                      <w:lang w:val="en-US" w:eastAsia="zh-CN"/>
                    </w:rPr>
                    <w:t>危废暂存间</w:t>
                  </w:r>
                  <w:r>
                    <w:rPr>
                      <w:rFonts w:hint="default" w:ascii="Times New Roman" w:hAnsi="Times New Roman" w:eastAsia="宋体" w:cs="Times New Roman"/>
                      <w:b/>
                      <w:bCs/>
                      <w:color w:val="auto"/>
                      <w:sz w:val="21"/>
                      <w:szCs w:val="21"/>
                      <w:highlight w:val="none"/>
                      <w:u w:val="none" w:color="auto"/>
                    </w:rPr>
                    <w:t>按照标准进行建设，满足防渗漏、防雨淋、防流失的要求。定期进行检查和维护，加强员工管理，避免非正常</w:t>
                  </w:r>
                  <w:r>
                    <w:rPr>
                      <w:rFonts w:hint="default" w:ascii="Times New Roman" w:hAnsi="Times New Roman" w:eastAsia="宋体" w:cs="Times New Roman"/>
                      <w:b/>
                      <w:bCs/>
                      <w:color w:val="auto"/>
                      <w:sz w:val="21"/>
                      <w:szCs w:val="21"/>
                      <w:highlight w:val="none"/>
                      <w:u w:val="none" w:color="auto"/>
                      <w:lang w:eastAsia="zh-CN"/>
                    </w:rPr>
                    <w:t>泄漏</w:t>
                  </w:r>
                  <w:r>
                    <w:rPr>
                      <w:rFonts w:hint="default" w:ascii="Times New Roman" w:hAnsi="Times New Roman" w:eastAsia="宋体" w:cs="Times New Roman"/>
                      <w:b/>
                      <w:bCs/>
                      <w:color w:val="auto"/>
                      <w:sz w:val="21"/>
                      <w:szCs w:val="21"/>
                      <w:highlight w:val="none"/>
                      <w:u w:val="none" w:color="auto"/>
                    </w:rPr>
                    <w:t>的产生</w:t>
                  </w:r>
                </w:p>
              </w:tc>
              <w:tc>
                <w:tcPr>
                  <w:tcW w:w="244" w:type="pct"/>
                  <w:noWrap w:val="0"/>
                  <w:tcMar>
                    <w:top w:w="85" w:type="dxa"/>
                    <w:bottom w:w="85" w:type="dxa"/>
                  </w:tcMar>
                  <w:vAlign w:val="center"/>
                </w:tcPr>
                <w:p w14:paraId="0E3D23C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2</w:t>
                  </w:r>
                </w:p>
              </w:tc>
            </w:tr>
            <w:tr w14:paraId="5BE7D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195" w:type="pct"/>
                  <w:noWrap w:val="0"/>
                  <w:tcMar>
                    <w:top w:w="85" w:type="dxa"/>
                    <w:bottom w:w="85" w:type="dxa"/>
                  </w:tcMar>
                  <w:vAlign w:val="center"/>
                </w:tcPr>
                <w:p w14:paraId="1263135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default" w:ascii="Times New Roman" w:hAnsi="Times New Roman" w:eastAsia="宋体" w:cs="Times New Roman"/>
                      <w:b/>
                      <w:bCs/>
                      <w:color w:val="auto"/>
                      <w:sz w:val="21"/>
                      <w:szCs w:val="21"/>
                      <w:highlight w:val="none"/>
                      <w:u w:val="none" w:color="auto"/>
                      <w:lang w:val="en-US" w:eastAsia="zh-CN"/>
                    </w:rPr>
                    <w:t>6</w:t>
                  </w:r>
                </w:p>
              </w:tc>
              <w:tc>
                <w:tcPr>
                  <w:tcW w:w="1902" w:type="pct"/>
                  <w:gridSpan w:val="3"/>
                  <w:noWrap w:val="0"/>
                  <w:tcMar>
                    <w:top w:w="85" w:type="dxa"/>
                    <w:bottom w:w="85" w:type="dxa"/>
                  </w:tcMar>
                  <w:vAlign w:val="center"/>
                </w:tcPr>
                <w:p w14:paraId="069561A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kern w:val="2"/>
                      <w:sz w:val="21"/>
                      <w:szCs w:val="21"/>
                      <w:highlight w:val="none"/>
                      <w:u w:val="none" w:color="auto"/>
                      <w:lang w:val="en-US" w:eastAsia="zh-CN" w:bidi="ar-SA"/>
                    </w:rPr>
                  </w:pPr>
                  <w:r>
                    <w:rPr>
                      <w:rFonts w:hint="default" w:ascii="Times New Roman" w:hAnsi="Times New Roman" w:eastAsia="宋体" w:cs="Times New Roman"/>
                      <w:b/>
                      <w:bCs/>
                      <w:color w:val="auto"/>
                      <w:sz w:val="21"/>
                      <w:szCs w:val="21"/>
                      <w:highlight w:val="none"/>
                      <w:u w:val="none" w:color="auto"/>
                      <w:lang w:val="en-US" w:eastAsia="zh-CN"/>
                    </w:rPr>
                    <w:t>风险投资</w:t>
                  </w:r>
                </w:p>
              </w:tc>
              <w:tc>
                <w:tcPr>
                  <w:tcW w:w="2657" w:type="pct"/>
                  <w:gridSpan w:val="2"/>
                  <w:noWrap w:val="0"/>
                  <w:tcMar>
                    <w:top w:w="85" w:type="dxa"/>
                    <w:bottom w:w="85" w:type="dxa"/>
                  </w:tcMar>
                  <w:vAlign w:val="center"/>
                </w:tcPr>
                <w:p w14:paraId="570B474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kern w:val="2"/>
                      <w:sz w:val="21"/>
                      <w:szCs w:val="21"/>
                      <w:highlight w:val="none"/>
                      <w:u w:val="none" w:color="auto"/>
                      <w:lang w:val="en-US" w:eastAsia="zh-CN" w:bidi="ar-SA"/>
                    </w:rPr>
                  </w:pPr>
                  <w:r>
                    <w:rPr>
                      <w:rFonts w:hint="default" w:ascii="Times New Roman" w:hAnsi="Times New Roman" w:eastAsia="宋体" w:cs="Times New Roman"/>
                      <w:b/>
                      <w:bCs/>
                      <w:color w:val="auto"/>
                      <w:sz w:val="21"/>
                      <w:szCs w:val="21"/>
                      <w:u w:val="none" w:color="auto"/>
                    </w:rPr>
                    <w:t>危废暂存间内设置围堰</w:t>
                  </w:r>
                  <w:r>
                    <w:rPr>
                      <w:rFonts w:hint="eastAsia" w:ascii="Times New Roman" w:hAnsi="Times New Roman" w:eastAsia="宋体" w:cs="Times New Roman"/>
                      <w:b/>
                      <w:bCs/>
                      <w:color w:val="auto"/>
                      <w:sz w:val="21"/>
                      <w:szCs w:val="21"/>
                      <w:u w:val="none" w:color="auto"/>
                      <w:lang w:eastAsia="zh-CN"/>
                    </w:rPr>
                    <w:t>，</w:t>
                  </w:r>
                  <w:r>
                    <w:rPr>
                      <w:rFonts w:hint="eastAsia" w:ascii="Times New Roman" w:hAnsi="Times New Roman" w:eastAsia="宋体" w:cs="Times New Roman"/>
                      <w:b/>
                      <w:bCs/>
                      <w:color w:val="auto"/>
                      <w:sz w:val="21"/>
                      <w:szCs w:val="21"/>
                      <w:u w:val="none" w:color="auto"/>
                      <w:lang w:val="en-US" w:eastAsia="zh-CN"/>
                    </w:rPr>
                    <w:t>并</w:t>
                  </w:r>
                  <w:r>
                    <w:rPr>
                      <w:rFonts w:hint="default" w:ascii="Times New Roman" w:hAnsi="Times New Roman" w:eastAsia="宋体" w:cs="Times New Roman"/>
                      <w:b/>
                      <w:bCs/>
                      <w:color w:val="auto"/>
                      <w:sz w:val="21"/>
                      <w:szCs w:val="21"/>
                      <w:u w:val="none" w:color="auto"/>
                    </w:rPr>
                    <w:t>根据相关规定进行防腐防渗；生产线所在区域地面做硬化及防渗处理，内表面均采取防渗、防腐蚀的处理</w:t>
                  </w:r>
                  <w:r>
                    <w:rPr>
                      <w:rFonts w:hint="default" w:ascii="Times New Roman" w:hAnsi="Times New Roman" w:eastAsia="宋体" w:cs="Times New Roman"/>
                      <w:b/>
                      <w:bCs/>
                      <w:color w:val="auto"/>
                      <w:sz w:val="21"/>
                      <w:szCs w:val="21"/>
                      <w:u w:val="none" w:color="auto"/>
                      <w:lang w:eastAsia="zh-CN"/>
                    </w:rPr>
                    <w:t>。</w:t>
                  </w:r>
                  <w:r>
                    <w:rPr>
                      <w:rFonts w:hint="default" w:ascii="Times New Roman" w:hAnsi="Times New Roman" w:eastAsia="宋体" w:cs="Times New Roman"/>
                      <w:b/>
                      <w:bCs/>
                      <w:color w:val="auto"/>
                      <w:sz w:val="21"/>
                      <w:szCs w:val="21"/>
                      <w:u w:val="none" w:color="auto"/>
                    </w:rPr>
                    <w:t>按要求配置相应的安全生产事件应急物资</w:t>
                  </w:r>
                </w:p>
              </w:tc>
              <w:tc>
                <w:tcPr>
                  <w:tcW w:w="244" w:type="pct"/>
                  <w:noWrap w:val="0"/>
                  <w:tcMar>
                    <w:top w:w="85" w:type="dxa"/>
                    <w:bottom w:w="85" w:type="dxa"/>
                  </w:tcMar>
                  <w:vAlign w:val="center"/>
                </w:tcPr>
                <w:p w14:paraId="5CB02D71">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kern w:val="2"/>
                      <w:sz w:val="21"/>
                      <w:szCs w:val="21"/>
                      <w:highlight w:val="none"/>
                      <w:u w:val="none" w:color="auto"/>
                      <w:lang w:val="en-US" w:eastAsia="zh-CN" w:bidi="ar-SA"/>
                    </w:rPr>
                  </w:pPr>
                  <w:r>
                    <w:rPr>
                      <w:rFonts w:hint="default" w:ascii="Times New Roman" w:hAnsi="Times New Roman" w:eastAsia="宋体" w:cs="Times New Roman"/>
                      <w:b/>
                      <w:bCs/>
                      <w:color w:val="auto"/>
                      <w:kern w:val="2"/>
                      <w:sz w:val="21"/>
                      <w:szCs w:val="21"/>
                      <w:highlight w:val="none"/>
                      <w:u w:val="none" w:color="auto"/>
                      <w:lang w:val="en-US" w:eastAsia="zh-CN" w:bidi="ar-SA"/>
                    </w:rPr>
                    <w:t>10</w:t>
                  </w:r>
                </w:p>
              </w:tc>
            </w:tr>
            <w:tr w14:paraId="51C58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57" w:type="dxa"/>
                  <w:bottom w:w="85" w:type="dxa"/>
                  <w:right w:w="57" w:type="dxa"/>
                </w:tblCellMar>
              </w:tblPrEx>
              <w:trPr>
                <w:trHeight w:val="90" w:hRule="atLeast"/>
                <w:jc w:val="center"/>
              </w:trPr>
              <w:tc>
                <w:tcPr>
                  <w:tcW w:w="4755" w:type="pct"/>
                  <w:gridSpan w:val="6"/>
                  <w:noWrap w:val="0"/>
                  <w:tcMar>
                    <w:top w:w="85" w:type="dxa"/>
                    <w:bottom w:w="85" w:type="dxa"/>
                  </w:tcMar>
                  <w:vAlign w:val="center"/>
                </w:tcPr>
                <w:p w14:paraId="6DD584B6">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rPr>
                  </w:pPr>
                  <w:r>
                    <w:rPr>
                      <w:rFonts w:hint="default" w:ascii="Times New Roman" w:hAnsi="Times New Roman" w:eastAsia="宋体" w:cs="Times New Roman"/>
                      <w:b/>
                      <w:bCs/>
                      <w:color w:val="auto"/>
                      <w:sz w:val="21"/>
                      <w:szCs w:val="21"/>
                      <w:highlight w:val="none"/>
                      <w:u w:val="none" w:color="auto"/>
                    </w:rPr>
                    <w:t>合计投资</w:t>
                  </w:r>
                </w:p>
              </w:tc>
              <w:tc>
                <w:tcPr>
                  <w:tcW w:w="244" w:type="pct"/>
                  <w:noWrap w:val="0"/>
                  <w:tcMar>
                    <w:top w:w="85" w:type="dxa"/>
                    <w:bottom w:w="85" w:type="dxa"/>
                  </w:tcMar>
                  <w:vAlign w:val="center"/>
                </w:tcPr>
                <w:p w14:paraId="6826091E">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bCs/>
                      <w:color w:val="auto"/>
                      <w:sz w:val="21"/>
                      <w:szCs w:val="21"/>
                      <w:highlight w:val="none"/>
                      <w:u w:val="none" w:color="auto"/>
                      <w:lang w:val="en-US" w:eastAsia="zh-CN"/>
                    </w:rPr>
                  </w:pPr>
                  <w:r>
                    <w:rPr>
                      <w:rFonts w:hint="eastAsia" w:cs="Times New Roman"/>
                      <w:b/>
                      <w:bCs/>
                      <w:color w:val="auto"/>
                      <w:sz w:val="21"/>
                      <w:szCs w:val="21"/>
                      <w:highlight w:val="none"/>
                      <w:u w:val="none" w:color="auto"/>
                      <w:lang w:val="en-US" w:eastAsia="zh-CN"/>
                    </w:rPr>
                    <w:t>89</w:t>
                  </w:r>
                </w:p>
              </w:tc>
            </w:tr>
          </w:tbl>
          <w:p w14:paraId="34D3C510">
            <w:pPr>
              <w:keepNext w:val="0"/>
              <w:keepLines w:val="0"/>
              <w:pageBreakBefore w:val="0"/>
              <w:widowControl w:val="0"/>
              <w:tabs>
                <w:tab w:val="center" w:pos="4762"/>
              </w:tabs>
              <w:kinsoku/>
              <w:wordWrap/>
              <w:overflowPunct/>
              <w:topLinePunct w:val="0"/>
              <w:autoSpaceDE/>
              <w:autoSpaceDN/>
              <w:bidi w:val="0"/>
              <w:adjustRightInd w:val="0"/>
              <w:snapToGrid w:val="0"/>
              <w:spacing w:before="270" w:beforeLines="50" w:line="360" w:lineRule="auto"/>
              <w:ind w:firstLine="480" w:firstLineChars="200"/>
              <w:textAlignment w:val="auto"/>
              <w:rPr>
                <w:b w:val="0"/>
                <w:bCs w:val="0"/>
                <w:color w:val="FF0000"/>
                <w:spacing w:val="-10"/>
                <w:szCs w:val="21"/>
              </w:rPr>
            </w:pPr>
            <w:r>
              <w:rPr>
                <w:rFonts w:hint="default" w:ascii="Times New Roman" w:hAnsi="Times New Roman" w:cs="Times New Roman"/>
                <w:b w:val="0"/>
                <w:bCs w:val="0"/>
                <w:color w:val="auto"/>
                <w:sz w:val="24"/>
                <w:szCs w:val="24"/>
                <w:highlight w:val="none"/>
                <w:u w:val="none"/>
                <w:shd w:val="clear" w:color="auto" w:fill="auto"/>
              </w:rPr>
              <w:t>由上表可知，</w:t>
            </w:r>
            <w:r>
              <w:rPr>
                <w:rFonts w:hint="eastAsia" w:ascii="Times New Roman" w:hAnsi="Times New Roman" w:cs="Times New Roman"/>
                <w:b w:val="0"/>
                <w:bCs w:val="0"/>
                <w:color w:val="auto"/>
                <w:sz w:val="24"/>
                <w:szCs w:val="24"/>
                <w:highlight w:val="none"/>
                <w:u w:val="none"/>
                <w:shd w:val="clear" w:color="auto" w:fill="auto"/>
                <w:lang w:eastAsia="zh-CN"/>
              </w:rPr>
              <w:t>本项目</w:t>
            </w:r>
            <w:r>
              <w:rPr>
                <w:rFonts w:hint="default" w:ascii="Times New Roman" w:hAnsi="Times New Roman" w:cs="Times New Roman"/>
                <w:b w:val="0"/>
                <w:bCs w:val="0"/>
                <w:color w:val="auto"/>
                <w:sz w:val="24"/>
                <w:szCs w:val="24"/>
                <w:highlight w:val="none"/>
                <w:u w:val="none"/>
                <w:shd w:val="clear" w:color="auto" w:fill="auto"/>
              </w:rPr>
              <w:t>环保投资</w:t>
            </w:r>
            <w:r>
              <w:rPr>
                <w:rFonts w:hint="eastAsia" w:cs="Times New Roman"/>
                <w:b w:val="0"/>
                <w:bCs w:val="0"/>
                <w:color w:val="auto"/>
                <w:sz w:val="24"/>
                <w:szCs w:val="24"/>
                <w:highlight w:val="none"/>
                <w:u w:val="none"/>
                <w:shd w:val="clear" w:color="auto" w:fill="auto"/>
                <w:lang w:val="en-US" w:eastAsia="zh-CN"/>
              </w:rPr>
              <w:t>89</w:t>
            </w:r>
            <w:r>
              <w:rPr>
                <w:rFonts w:hint="default" w:ascii="Times New Roman" w:hAnsi="Times New Roman" w:cs="Times New Roman"/>
                <w:b w:val="0"/>
                <w:bCs w:val="0"/>
                <w:color w:val="auto"/>
                <w:sz w:val="24"/>
                <w:szCs w:val="24"/>
                <w:highlight w:val="none"/>
                <w:u w:val="none"/>
                <w:shd w:val="clear" w:color="auto" w:fill="auto"/>
              </w:rPr>
              <w:t>万元，占总投资</w:t>
            </w:r>
            <w:r>
              <w:rPr>
                <w:rFonts w:hint="eastAsia" w:cs="Times New Roman"/>
                <w:b w:val="0"/>
                <w:bCs w:val="0"/>
                <w:color w:val="auto"/>
                <w:sz w:val="24"/>
                <w:szCs w:val="24"/>
                <w:highlight w:val="none"/>
                <w:u w:val="none"/>
                <w:shd w:val="clear" w:color="auto" w:fill="auto"/>
                <w:lang w:val="en-US" w:eastAsia="zh-CN"/>
              </w:rPr>
              <w:t>15000</w:t>
            </w:r>
            <w:r>
              <w:rPr>
                <w:rFonts w:hint="default" w:ascii="Times New Roman" w:hAnsi="Times New Roman" w:cs="Times New Roman"/>
                <w:b w:val="0"/>
                <w:bCs w:val="0"/>
                <w:color w:val="auto"/>
                <w:sz w:val="24"/>
                <w:szCs w:val="24"/>
                <w:highlight w:val="none"/>
                <w:u w:val="none"/>
                <w:shd w:val="clear" w:color="auto" w:fill="auto"/>
              </w:rPr>
              <w:t>万元的</w:t>
            </w:r>
            <w:r>
              <w:rPr>
                <w:rFonts w:hint="eastAsia" w:cs="Times New Roman"/>
                <w:b w:val="0"/>
                <w:bCs w:val="0"/>
                <w:color w:val="auto"/>
                <w:sz w:val="24"/>
                <w:szCs w:val="24"/>
                <w:highlight w:val="none"/>
                <w:u w:val="none"/>
                <w:shd w:val="clear" w:color="auto" w:fill="auto"/>
                <w:lang w:val="en-US" w:eastAsia="zh-CN"/>
              </w:rPr>
              <w:t>0.59</w:t>
            </w:r>
            <w:r>
              <w:rPr>
                <w:rFonts w:hint="default" w:ascii="Times New Roman" w:hAnsi="Times New Roman" w:cs="Times New Roman"/>
                <w:b w:val="0"/>
                <w:bCs w:val="0"/>
                <w:color w:val="auto"/>
                <w:sz w:val="24"/>
                <w:szCs w:val="24"/>
                <w:highlight w:val="none"/>
                <w:u w:val="none"/>
                <w:shd w:val="clear" w:color="auto" w:fill="auto"/>
              </w:rPr>
              <w:t>%</w:t>
            </w:r>
            <w:r>
              <w:rPr>
                <w:rFonts w:hint="default" w:ascii="Times New Roman" w:hAnsi="Times New Roman" w:cs="Times New Roman"/>
                <w:b w:val="0"/>
                <w:bCs w:val="0"/>
                <w:color w:val="auto"/>
                <w:sz w:val="24"/>
                <w:szCs w:val="24"/>
                <w:highlight w:val="none"/>
                <w:u w:val="none"/>
                <w:shd w:val="clear" w:color="auto" w:fill="auto"/>
                <w:lang w:eastAsia="zh-CN"/>
              </w:rPr>
              <w:t>。</w:t>
            </w:r>
          </w:p>
        </w:tc>
      </w:tr>
    </w:tbl>
    <w:p w14:paraId="0E2916B2">
      <w:pPr>
        <w:pStyle w:val="34"/>
        <w:jc w:val="center"/>
        <w:outlineLvl w:val="0"/>
        <w:rPr>
          <w:rFonts w:ascii="Times New Roman" w:hAnsi="Times New Roman" w:eastAsia="黑体"/>
          <w:b w:val="0"/>
          <w:bCs w:val="0"/>
          <w:snapToGrid w:val="0"/>
          <w:color w:val="FF0000"/>
          <w:sz w:val="30"/>
          <w:szCs w:val="30"/>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14:paraId="58C494B3">
      <w:pPr>
        <w:pStyle w:val="34"/>
        <w:numPr>
          <w:ilvl w:val="0"/>
          <w:numId w:val="11"/>
        </w:numPr>
        <w:jc w:val="center"/>
        <w:outlineLvl w:val="0"/>
        <w:rPr>
          <w:rFonts w:ascii="Times New Roman" w:hAnsi="Times New Roman" w:eastAsia="黑体"/>
          <w:b w:val="0"/>
          <w:bCs w:val="0"/>
          <w:snapToGrid w:val="0"/>
          <w:color w:val="auto"/>
          <w:sz w:val="30"/>
          <w:szCs w:val="30"/>
        </w:rPr>
      </w:pPr>
      <w:bookmarkStart w:id="110" w:name="_Toc1347"/>
      <w:bookmarkStart w:id="111" w:name="_Hlk54167917"/>
      <w:r>
        <w:rPr>
          <w:rFonts w:ascii="Times New Roman" w:hAnsi="Times New Roman" w:eastAsia="黑体"/>
          <w:b w:val="0"/>
          <w:bCs w:val="0"/>
          <w:snapToGrid w:val="0"/>
          <w:color w:val="auto"/>
          <w:sz w:val="30"/>
          <w:szCs w:val="30"/>
        </w:rPr>
        <w:t>环境保护措施监督检查清单</w:t>
      </w:r>
      <w:bookmarkEnd w:id="110"/>
      <w:bookmarkEnd w:id="111"/>
    </w:p>
    <w:tbl>
      <w:tblPr>
        <w:tblStyle w:val="39"/>
        <w:tblW w:w="912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42"/>
        <w:gridCol w:w="1620"/>
        <w:gridCol w:w="911"/>
        <w:gridCol w:w="1894"/>
        <w:gridCol w:w="3256"/>
      </w:tblGrid>
      <w:tr w14:paraId="56F06D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tcBorders>
              <w:tl2br w:val="single" w:color="auto" w:sz="4" w:space="0"/>
            </w:tcBorders>
            <w:noWrap w:val="0"/>
            <w:vAlign w:val="top"/>
          </w:tcPr>
          <w:p w14:paraId="559C5994">
            <w:pPr>
              <w:adjustRightInd w:val="0"/>
              <w:snapToGrid w:val="0"/>
              <w:ind w:firstLine="630" w:firstLineChars="300"/>
              <w:rPr>
                <w:b w:val="0"/>
                <w:bCs w:val="0"/>
                <w:color w:val="auto"/>
                <w:sz w:val="21"/>
                <w:szCs w:val="21"/>
              </w:rPr>
            </w:pPr>
            <w:r>
              <w:rPr>
                <w:b w:val="0"/>
                <w:bCs w:val="0"/>
                <w:color w:val="auto"/>
                <w:sz w:val="21"/>
                <w:szCs w:val="21"/>
              </w:rPr>
              <w:t>内容</w:t>
            </w:r>
          </w:p>
          <w:p w14:paraId="6E0C2C48">
            <w:pPr>
              <w:adjustRightInd w:val="0"/>
              <w:snapToGrid w:val="0"/>
              <w:rPr>
                <w:b w:val="0"/>
                <w:bCs w:val="0"/>
                <w:color w:val="auto"/>
                <w:sz w:val="21"/>
                <w:szCs w:val="21"/>
              </w:rPr>
            </w:pPr>
            <w:r>
              <w:rPr>
                <w:b w:val="0"/>
                <w:bCs w:val="0"/>
                <w:color w:val="auto"/>
                <w:sz w:val="21"/>
                <w:szCs w:val="21"/>
              </w:rPr>
              <w:t>要素</w:t>
            </w:r>
          </w:p>
        </w:tc>
        <w:tc>
          <w:tcPr>
            <w:tcW w:w="1620" w:type="dxa"/>
            <w:noWrap w:val="0"/>
            <w:vAlign w:val="center"/>
          </w:tcPr>
          <w:p w14:paraId="1802DEF4">
            <w:pPr>
              <w:adjustRightInd w:val="0"/>
              <w:snapToGrid w:val="0"/>
              <w:jc w:val="center"/>
              <w:rPr>
                <w:b w:val="0"/>
                <w:bCs w:val="0"/>
                <w:color w:val="auto"/>
                <w:sz w:val="21"/>
                <w:szCs w:val="21"/>
              </w:rPr>
            </w:pPr>
            <w:r>
              <w:rPr>
                <w:b w:val="0"/>
                <w:bCs w:val="0"/>
                <w:color w:val="auto"/>
                <w:sz w:val="21"/>
                <w:szCs w:val="21"/>
              </w:rPr>
              <w:t>排放口(编号、</w:t>
            </w:r>
          </w:p>
          <w:p w14:paraId="663229C8">
            <w:pPr>
              <w:adjustRightInd w:val="0"/>
              <w:snapToGrid w:val="0"/>
              <w:jc w:val="center"/>
              <w:rPr>
                <w:b w:val="0"/>
                <w:bCs w:val="0"/>
                <w:color w:val="auto"/>
                <w:sz w:val="21"/>
                <w:szCs w:val="21"/>
              </w:rPr>
            </w:pPr>
            <w:r>
              <w:rPr>
                <w:b w:val="0"/>
                <w:bCs w:val="0"/>
                <w:color w:val="auto"/>
                <w:sz w:val="21"/>
                <w:szCs w:val="21"/>
              </w:rPr>
              <w:t>名称)/污染源</w:t>
            </w:r>
          </w:p>
        </w:tc>
        <w:tc>
          <w:tcPr>
            <w:tcW w:w="911" w:type="dxa"/>
            <w:noWrap w:val="0"/>
            <w:vAlign w:val="center"/>
          </w:tcPr>
          <w:p w14:paraId="54B60CCD">
            <w:pPr>
              <w:adjustRightInd w:val="0"/>
              <w:snapToGrid w:val="0"/>
              <w:jc w:val="center"/>
              <w:rPr>
                <w:b w:val="0"/>
                <w:bCs w:val="0"/>
                <w:color w:val="auto"/>
                <w:sz w:val="21"/>
                <w:szCs w:val="21"/>
              </w:rPr>
            </w:pPr>
            <w:r>
              <w:rPr>
                <w:b w:val="0"/>
                <w:bCs w:val="0"/>
                <w:color w:val="auto"/>
                <w:sz w:val="21"/>
                <w:szCs w:val="21"/>
              </w:rPr>
              <w:t>污染物项目</w:t>
            </w:r>
          </w:p>
        </w:tc>
        <w:tc>
          <w:tcPr>
            <w:tcW w:w="1894" w:type="dxa"/>
            <w:noWrap w:val="0"/>
            <w:vAlign w:val="center"/>
          </w:tcPr>
          <w:p w14:paraId="41A57936">
            <w:pPr>
              <w:adjustRightInd w:val="0"/>
              <w:snapToGrid w:val="0"/>
              <w:jc w:val="center"/>
              <w:rPr>
                <w:b w:val="0"/>
                <w:bCs w:val="0"/>
                <w:color w:val="auto"/>
                <w:sz w:val="21"/>
                <w:szCs w:val="21"/>
              </w:rPr>
            </w:pPr>
            <w:r>
              <w:rPr>
                <w:b w:val="0"/>
                <w:bCs w:val="0"/>
                <w:color w:val="auto"/>
                <w:sz w:val="21"/>
                <w:szCs w:val="21"/>
              </w:rPr>
              <w:t>环境保护措施</w:t>
            </w:r>
          </w:p>
        </w:tc>
        <w:tc>
          <w:tcPr>
            <w:tcW w:w="3256" w:type="dxa"/>
            <w:noWrap w:val="0"/>
            <w:vAlign w:val="center"/>
          </w:tcPr>
          <w:p w14:paraId="301E8E56">
            <w:pPr>
              <w:adjustRightInd w:val="0"/>
              <w:snapToGrid w:val="0"/>
              <w:jc w:val="center"/>
              <w:rPr>
                <w:b w:val="0"/>
                <w:bCs w:val="0"/>
                <w:color w:val="auto"/>
                <w:sz w:val="21"/>
                <w:szCs w:val="21"/>
              </w:rPr>
            </w:pPr>
            <w:r>
              <w:rPr>
                <w:b w:val="0"/>
                <w:bCs w:val="0"/>
                <w:color w:val="auto"/>
                <w:sz w:val="21"/>
                <w:szCs w:val="21"/>
              </w:rPr>
              <w:t>执行标准</w:t>
            </w:r>
          </w:p>
        </w:tc>
      </w:tr>
      <w:tr w14:paraId="58ACA3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vMerge w:val="restart"/>
            <w:noWrap w:val="0"/>
            <w:vAlign w:val="center"/>
          </w:tcPr>
          <w:p w14:paraId="5C11BF47">
            <w:pPr>
              <w:adjustRightInd w:val="0"/>
              <w:snapToGrid w:val="0"/>
              <w:jc w:val="center"/>
              <w:rPr>
                <w:b w:val="0"/>
                <w:bCs w:val="0"/>
                <w:color w:val="auto"/>
                <w:sz w:val="21"/>
                <w:szCs w:val="21"/>
              </w:rPr>
            </w:pPr>
            <w:r>
              <w:rPr>
                <w:b w:val="0"/>
                <w:bCs w:val="0"/>
                <w:color w:val="auto"/>
                <w:sz w:val="21"/>
                <w:szCs w:val="21"/>
              </w:rPr>
              <w:t>大气环境</w:t>
            </w:r>
          </w:p>
        </w:tc>
        <w:tc>
          <w:tcPr>
            <w:tcW w:w="1620" w:type="dxa"/>
            <w:noWrap w:val="0"/>
            <w:vAlign w:val="center"/>
          </w:tcPr>
          <w:p w14:paraId="6D483874">
            <w:pPr>
              <w:pStyle w:val="115"/>
              <w:rPr>
                <w:rFonts w:hint="default" w:eastAsia="宋体"/>
                <w:b w:val="0"/>
                <w:bCs w:val="0"/>
                <w:color w:val="auto"/>
                <w:sz w:val="21"/>
                <w:szCs w:val="21"/>
                <w:lang w:val="en-US" w:eastAsia="zh-CN"/>
              </w:rPr>
            </w:pPr>
            <w:r>
              <w:rPr>
                <w:rFonts w:hint="default" w:eastAsia="宋体"/>
                <w:bCs/>
                <w:snapToGrid w:val="0"/>
                <w:color w:val="auto"/>
                <w:kern w:val="0"/>
                <w:sz w:val="21"/>
                <w:szCs w:val="21"/>
                <w:lang w:val="en-US" w:eastAsia="zh-CN" w:bidi="ar-SA"/>
              </w:rPr>
              <w:t>彩色成像玻璃生产过程烘干固化工序</w:t>
            </w:r>
            <w:r>
              <w:rPr>
                <w:rFonts w:hint="eastAsia" w:eastAsia="宋体"/>
                <w:bCs/>
                <w:snapToGrid w:val="0"/>
                <w:color w:val="auto"/>
                <w:kern w:val="0"/>
                <w:sz w:val="21"/>
                <w:szCs w:val="21"/>
                <w:lang w:val="en-US" w:eastAsia="zh-CN" w:bidi="ar-SA"/>
              </w:rPr>
              <w:t>有机</w:t>
            </w:r>
            <w:r>
              <w:rPr>
                <w:b w:val="0"/>
                <w:bCs w:val="0"/>
                <w:color w:val="auto"/>
                <w:sz w:val="21"/>
                <w:szCs w:val="21"/>
              </w:rPr>
              <w:t>废气</w:t>
            </w:r>
            <w:r>
              <w:rPr>
                <w:rFonts w:hint="eastAsia"/>
                <w:b w:val="0"/>
                <w:bCs w:val="0"/>
                <w:color w:val="auto"/>
                <w:sz w:val="21"/>
                <w:szCs w:val="21"/>
                <w:lang w:val="en-US" w:eastAsia="zh-CN"/>
              </w:rPr>
              <w:t>排放口</w:t>
            </w:r>
          </w:p>
        </w:tc>
        <w:tc>
          <w:tcPr>
            <w:tcW w:w="911" w:type="dxa"/>
            <w:noWrap w:val="0"/>
            <w:vAlign w:val="center"/>
          </w:tcPr>
          <w:p w14:paraId="075AFF63">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eastAsia="宋体" w:cs="Times New Roman"/>
                <w:b w:val="0"/>
                <w:bCs w:val="0"/>
                <w:snapToGrid w:val="0"/>
                <w:color w:val="auto"/>
                <w:kern w:val="0"/>
                <w:sz w:val="21"/>
                <w:szCs w:val="21"/>
                <w:u w:val="none"/>
                <w:lang w:val="en-US" w:eastAsia="zh-CN"/>
              </w:rPr>
              <w:t>非甲烷总烃</w:t>
            </w:r>
          </w:p>
        </w:tc>
        <w:tc>
          <w:tcPr>
            <w:tcW w:w="1894" w:type="dxa"/>
            <w:noWrap w:val="0"/>
            <w:vAlign w:val="center"/>
          </w:tcPr>
          <w:p w14:paraId="218CFBDB">
            <w:pPr>
              <w:jc w:val="center"/>
              <w:rPr>
                <w:rFonts w:hint="default" w:ascii="Times New Roman" w:hAnsi="Times New Roman" w:eastAsia="宋体" w:cs="Times New Roman"/>
                <w:b w:val="0"/>
                <w:bCs w:val="0"/>
                <w:color w:val="auto"/>
                <w:sz w:val="21"/>
                <w:szCs w:val="21"/>
                <w:u w:val="single"/>
                <w:lang w:val="en-US" w:eastAsia="zh-CN" w:bidi="ar-SA"/>
              </w:rPr>
            </w:pPr>
            <w:r>
              <w:rPr>
                <w:rFonts w:hint="eastAsia" w:ascii="Times New Roman" w:hAnsi="Times New Roman" w:cs="Times New Roman"/>
                <w:b w:val="0"/>
                <w:bCs w:val="0"/>
                <w:snapToGrid w:val="0"/>
                <w:color w:val="auto"/>
                <w:kern w:val="0"/>
                <w:sz w:val="21"/>
                <w:szCs w:val="21"/>
                <w:lang w:val="en-US" w:eastAsia="zh-CN"/>
              </w:rPr>
              <w:t>彩打、固化整体密闭+1套两级活性炭吸附+</w:t>
            </w:r>
            <w:r>
              <w:rPr>
                <w:rFonts w:hint="eastAsia" w:ascii="Times New Roman" w:hAnsi="Times New Roman" w:eastAsia="宋体" w:cs="Times New Roman"/>
                <w:b w:val="0"/>
                <w:bCs w:val="0"/>
                <w:i w:val="0"/>
                <w:color w:val="auto"/>
                <w:kern w:val="2"/>
                <w:sz w:val="21"/>
                <w:szCs w:val="21"/>
                <w:u w:val="none"/>
                <w:lang w:val="en-US" w:eastAsia="zh-CN" w:bidi="ar-SA"/>
              </w:rPr>
              <w:t>1根15m高排气筒DA001</w:t>
            </w:r>
          </w:p>
        </w:tc>
        <w:tc>
          <w:tcPr>
            <w:tcW w:w="3256" w:type="dxa"/>
            <w:noWrap w:val="0"/>
            <w:vAlign w:val="center"/>
          </w:tcPr>
          <w:p w14:paraId="5D447E35">
            <w:pPr>
              <w:adjustRightInd w:val="0"/>
              <w:snapToGrid w:val="0"/>
              <w:jc w:val="center"/>
              <w:rPr>
                <w:rFonts w:hint="default" w:ascii="Times New Roman" w:hAnsi="Times New Roman" w:eastAsia="宋体" w:cs="Times New Roman"/>
                <w:b w:val="0"/>
                <w:bCs w:val="0"/>
                <w:color w:val="auto"/>
                <w:kern w:val="2"/>
                <w:sz w:val="21"/>
                <w:szCs w:val="21"/>
                <w:highlight w:val="yellow"/>
                <w:lang w:val="en-US" w:eastAsia="zh-CN" w:bidi="ar-SA"/>
              </w:rPr>
            </w:pPr>
            <w:r>
              <w:rPr>
                <w:rFonts w:hint="default" w:ascii="Times New Roman" w:hAnsi="Times New Roman" w:eastAsia="宋体" w:cs="Times New Roman"/>
                <w:b w:val="0"/>
                <w:bCs w:val="0"/>
                <w:color w:val="auto"/>
                <w:kern w:val="2"/>
                <w:sz w:val="21"/>
                <w:szCs w:val="21"/>
                <w:highlight w:val="none"/>
                <w:u w:val="none" w:color="auto"/>
                <w:lang w:val="en-US" w:eastAsia="zh-CN" w:bidi="ar-SA"/>
              </w:rPr>
              <w:t>《玻璃工业大气污染物排放标准》（GB 26453—2022）表1标准、《印刷工业挥发性有机物排放标准》（DB41/1956-2020）表1标准、《关于全省开展工业企业挥发性有机物专项治理工作中排放建议值的通知》（豫环攻坚办﹝2017﹞162号）印刷行业标准及《重污染天气重点行业应急减排措施制定技术指南》</w:t>
            </w:r>
            <w:r>
              <w:rPr>
                <w:rFonts w:hint="default" w:ascii="Times New Roman" w:hAnsi="Times New Roman" w:eastAsia="宋体" w:cs="Times New Roman"/>
                <w:b w:val="0"/>
                <w:bCs w:val="0"/>
                <w:snapToGrid w:val="0"/>
                <w:color w:val="auto"/>
                <w:kern w:val="0"/>
                <w:sz w:val="21"/>
                <w:szCs w:val="21"/>
                <w:highlight w:val="none"/>
                <w:u w:val="none" w:color="auto"/>
                <w:lang w:val="en-US" w:eastAsia="zh-CN"/>
              </w:rPr>
              <w:t>玻璃行业中玻璃后加工企业引领性指标</w:t>
            </w:r>
            <w:r>
              <w:rPr>
                <w:rFonts w:hint="eastAsia" w:cs="Times New Roman"/>
                <w:b w:val="0"/>
                <w:bCs w:val="0"/>
                <w:snapToGrid w:val="0"/>
                <w:color w:val="auto"/>
                <w:kern w:val="0"/>
                <w:sz w:val="21"/>
                <w:szCs w:val="21"/>
                <w:highlight w:val="none"/>
                <w:u w:val="none" w:color="auto"/>
                <w:lang w:val="en-US" w:eastAsia="zh-CN"/>
              </w:rPr>
              <w:t>及</w:t>
            </w:r>
            <w:r>
              <w:rPr>
                <w:rFonts w:hint="default" w:ascii="Times New Roman" w:hAnsi="Times New Roman" w:eastAsia="宋体" w:cs="Times New Roman"/>
                <w:b w:val="0"/>
                <w:bCs w:val="0"/>
                <w:color w:val="auto"/>
                <w:kern w:val="2"/>
                <w:sz w:val="21"/>
                <w:szCs w:val="21"/>
                <w:highlight w:val="none"/>
                <w:u w:val="none" w:color="auto"/>
                <w:lang w:val="en-US" w:eastAsia="zh-CN" w:bidi="ar-SA"/>
              </w:rPr>
              <w:t>包装印刷行业A级企业指标</w:t>
            </w:r>
          </w:p>
        </w:tc>
      </w:tr>
      <w:tr w14:paraId="22880C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vMerge w:val="continue"/>
            <w:noWrap w:val="0"/>
            <w:vAlign w:val="center"/>
          </w:tcPr>
          <w:p w14:paraId="7EA3277E">
            <w:pPr>
              <w:adjustRightInd w:val="0"/>
              <w:snapToGrid w:val="0"/>
              <w:jc w:val="center"/>
              <w:rPr>
                <w:b w:val="0"/>
                <w:bCs w:val="0"/>
                <w:color w:val="auto"/>
                <w:sz w:val="21"/>
                <w:szCs w:val="21"/>
              </w:rPr>
            </w:pPr>
          </w:p>
        </w:tc>
        <w:tc>
          <w:tcPr>
            <w:tcW w:w="1620" w:type="dxa"/>
            <w:shd w:val="clear" w:color="auto" w:fill="auto"/>
            <w:noWrap w:val="0"/>
            <w:vAlign w:val="center"/>
          </w:tcPr>
          <w:p w14:paraId="244B9657">
            <w:pPr>
              <w:pStyle w:val="16"/>
              <w:keepNext w:val="0"/>
              <w:keepLines w:val="0"/>
              <w:pageBreakBefore w:val="0"/>
              <w:kinsoku/>
              <w:wordWrap/>
              <w:overflowPunct/>
              <w:topLinePunct w:val="0"/>
              <w:autoSpaceDE/>
              <w:autoSpaceDN/>
              <w:bidi w:val="0"/>
              <w:adjustRightInd w:val="0"/>
              <w:snapToGrid w:val="0"/>
              <w:ind w:left="0" w:leftChars="0" w:right="0" w:rightChars="0" w:firstLine="0" w:firstLineChars="0"/>
              <w:jc w:val="center"/>
              <w:rPr>
                <w:rFonts w:hint="default" w:ascii="Times New Roman" w:hAnsi="Times New Roman" w:eastAsia="宋体" w:cs="Times New Roman"/>
                <w:b w:val="0"/>
                <w:bCs w:val="0"/>
                <w:color w:val="auto"/>
                <w:kern w:val="2"/>
                <w:sz w:val="21"/>
                <w:szCs w:val="21"/>
                <w:highlight w:val="none"/>
                <w:u w:val="none" w:color="auto"/>
                <w:lang w:val="en-US" w:eastAsia="zh-CN" w:bidi="ar-SA"/>
              </w:rPr>
            </w:pPr>
            <w:r>
              <w:rPr>
                <w:rFonts w:hint="eastAsia" w:ascii="Times New Roman" w:hAnsi="Times New Roman" w:eastAsia="宋体" w:cs="Times New Roman"/>
                <w:bCs/>
                <w:snapToGrid w:val="0"/>
                <w:color w:val="auto"/>
                <w:kern w:val="0"/>
                <w:sz w:val="21"/>
                <w:szCs w:val="21"/>
                <w:lang w:val="en-US" w:eastAsia="zh-CN" w:bidi="ar-SA"/>
              </w:rPr>
              <w:t>中空玻璃生产过程涂胶固化工序有机废气排放口</w:t>
            </w:r>
          </w:p>
        </w:tc>
        <w:tc>
          <w:tcPr>
            <w:tcW w:w="911" w:type="dxa"/>
            <w:noWrap w:val="0"/>
            <w:vAlign w:val="center"/>
          </w:tcPr>
          <w:p w14:paraId="3371763B">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eastAsia="宋体" w:cs="Times New Roman"/>
                <w:b w:val="0"/>
                <w:bCs w:val="0"/>
                <w:snapToGrid w:val="0"/>
                <w:color w:val="auto"/>
                <w:kern w:val="0"/>
                <w:sz w:val="21"/>
                <w:szCs w:val="21"/>
                <w:u w:val="none"/>
                <w:lang w:val="en-US" w:eastAsia="zh-CN"/>
              </w:rPr>
              <w:t>非甲烷总烃</w:t>
            </w:r>
            <w:r>
              <w:rPr>
                <w:rFonts w:hint="eastAsia" w:cs="Times New Roman"/>
                <w:b w:val="0"/>
                <w:bCs w:val="0"/>
                <w:snapToGrid w:val="0"/>
                <w:color w:val="auto"/>
                <w:kern w:val="0"/>
                <w:sz w:val="21"/>
                <w:szCs w:val="21"/>
                <w:u w:val="none"/>
                <w:lang w:val="en-US" w:eastAsia="zh-CN"/>
              </w:rPr>
              <w:t>、颗粒物</w:t>
            </w:r>
          </w:p>
        </w:tc>
        <w:tc>
          <w:tcPr>
            <w:tcW w:w="1894" w:type="dxa"/>
            <w:noWrap w:val="0"/>
            <w:vAlign w:val="center"/>
          </w:tcPr>
          <w:p w14:paraId="694DF8EB">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b w:val="0"/>
                <w:bCs w:val="0"/>
                <w:snapToGrid w:val="0"/>
                <w:color w:val="auto"/>
                <w:kern w:val="0"/>
                <w:sz w:val="21"/>
                <w:szCs w:val="21"/>
                <w:highlight w:val="none"/>
                <w:u w:val="single"/>
                <w:lang w:val="en-US" w:eastAsia="zh-CN" w:bidi="ar-SA"/>
              </w:rPr>
            </w:pPr>
            <w:r>
              <w:rPr>
                <w:rFonts w:hint="eastAsia" w:ascii="Times New Roman" w:hAnsi="Times New Roman" w:eastAsia="宋体" w:cs="Times New Roman"/>
                <w:b w:val="0"/>
                <w:bCs w:val="0"/>
                <w:i w:val="0"/>
                <w:color w:val="auto"/>
                <w:kern w:val="2"/>
                <w:sz w:val="21"/>
                <w:szCs w:val="21"/>
                <w:u w:val="none"/>
                <w:lang w:val="en-US" w:eastAsia="zh-CN" w:bidi="ar-SA"/>
              </w:rPr>
              <w:t>集气罩集气+4套两级活性炭吸附装置+4根15m高排气筒（DA002、DA003、DA004、DA005）</w:t>
            </w:r>
          </w:p>
        </w:tc>
        <w:tc>
          <w:tcPr>
            <w:tcW w:w="3256" w:type="dxa"/>
            <w:noWrap w:val="0"/>
            <w:vAlign w:val="center"/>
          </w:tcPr>
          <w:p w14:paraId="0754F96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snapToGrid w:val="0"/>
                <w:color w:val="auto"/>
                <w:kern w:val="0"/>
                <w:sz w:val="21"/>
                <w:szCs w:val="21"/>
                <w:highlight w:val="yellow"/>
                <w:lang w:val="en-US" w:eastAsia="zh-CN" w:bidi="ar-SA"/>
              </w:rPr>
            </w:pPr>
            <w:r>
              <w:rPr>
                <w:rFonts w:hint="default" w:ascii="Times New Roman" w:hAnsi="Times New Roman" w:eastAsia="宋体" w:cs="Times New Roman"/>
                <w:b w:val="0"/>
                <w:bCs w:val="0"/>
                <w:snapToGrid w:val="0"/>
                <w:color w:val="auto"/>
                <w:kern w:val="0"/>
                <w:sz w:val="21"/>
                <w:szCs w:val="21"/>
                <w:highlight w:val="none"/>
                <w:u w:val="none" w:color="auto"/>
                <w:lang w:val="en-US" w:eastAsia="zh-CN"/>
              </w:rPr>
              <w:t>《玻璃工业大气污染物排放标准》（GB 26453—2022）表1标准《关于全省开展工业企业挥发性有机物专项治理工作中排放建议值的通知》（豫环攻坚办[2017]162 号）（其他行业）以及《重污染天气重点行业应急减排措施制定技术指南》玻璃行业中玻璃后加工企业引领性指标</w:t>
            </w:r>
          </w:p>
        </w:tc>
      </w:tr>
      <w:tr w14:paraId="7F19FF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vMerge w:val="restart"/>
            <w:noWrap w:val="0"/>
            <w:vAlign w:val="center"/>
          </w:tcPr>
          <w:p w14:paraId="62571BAE">
            <w:pPr>
              <w:adjustRightInd w:val="0"/>
              <w:snapToGrid w:val="0"/>
              <w:jc w:val="center"/>
              <w:rPr>
                <w:b w:val="0"/>
                <w:bCs w:val="0"/>
                <w:color w:val="auto"/>
                <w:sz w:val="21"/>
                <w:szCs w:val="21"/>
              </w:rPr>
            </w:pPr>
            <w:r>
              <w:rPr>
                <w:b w:val="0"/>
                <w:bCs w:val="0"/>
                <w:color w:val="auto"/>
                <w:sz w:val="21"/>
                <w:szCs w:val="21"/>
              </w:rPr>
              <w:t>地表水环境</w:t>
            </w:r>
          </w:p>
        </w:tc>
        <w:tc>
          <w:tcPr>
            <w:tcW w:w="1620" w:type="dxa"/>
            <w:noWrap w:val="0"/>
            <w:vAlign w:val="center"/>
          </w:tcPr>
          <w:p w14:paraId="4D43A933">
            <w:pPr>
              <w:pStyle w:val="115"/>
              <w:rPr>
                <w:rFonts w:hint="eastAsia" w:eastAsia="宋体"/>
                <w:b w:val="0"/>
                <w:bCs w:val="0"/>
                <w:color w:val="auto"/>
                <w:sz w:val="21"/>
                <w:szCs w:val="21"/>
                <w:lang w:eastAsia="zh-CN"/>
              </w:rPr>
            </w:pPr>
            <w:r>
              <w:rPr>
                <w:b w:val="0"/>
                <w:bCs w:val="0"/>
                <w:color w:val="auto"/>
                <w:sz w:val="21"/>
                <w:szCs w:val="21"/>
              </w:rPr>
              <w:t>废水总排放口DW001/生活污水</w:t>
            </w:r>
          </w:p>
        </w:tc>
        <w:tc>
          <w:tcPr>
            <w:tcW w:w="911" w:type="dxa"/>
            <w:noWrap w:val="0"/>
            <w:vAlign w:val="center"/>
          </w:tcPr>
          <w:p w14:paraId="0A78B43E">
            <w:pPr>
              <w:adjustRightInd w:val="0"/>
              <w:snapToGrid w:val="0"/>
              <w:jc w:val="center"/>
              <w:rPr>
                <w:b w:val="0"/>
                <w:bCs w:val="0"/>
                <w:color w:val="auto"/>
                <w:sz w:val="21"/>
                <w:szCs w:val="21"/>
              </w:rPr>
            </w:pPr>
            <w:r>
              <w:rPr>
                <w:b w:val="0"/>
                <w:bCs w:val="0"/>
                <w:color w:val="auto"/>
                <w:sz w:val="21"/>
                <w:szCs w:val="21"/>
              </w:rPr>
              <w:t>pH、化学需氧量、氨氮、悬浮物</w:t>
            </w:r>
          </w:p>
        </w:tc>
        <w:tc>
          <w:tcPr>
            <w:tcW w:w="1894" w:type="dxa"/>
            <w:noWrap w:val="0"/>
            <w:vAlign w:val="center"/>
          </w:tcPr>
          <w:p w14:paraId="1B79BAE3">
            <w:pPr>
              <w:adjustRightInd w:val="0"/>
              <w:snapToGrid w:val="0"/>
              <w:jc w:val="center"/>
              <w:rPr>
                <w:b w:val="0"/>
                <w:bCs w:val="0"/>
                <w:color w:val="auto"/>
                <w:sz w:val="21"/>
                <w:szCs w:val="21"/>
              </w:rPr>
            </w:pPr>
            <w:r>
              <w:rPr>
                <w:b w:val="0"/>
                <w:bCs w:val="0"/>
                <w:color w:val="auto"/>
                <w:sz w:val="21"/>
                <w:szCs w:val="21"/>
              </w:rPr>
              <w:t>生活污水化粪池</w:t>
            </w:r>
            <w:r>
              <w:rPr>
                <w:rFonts w:hint="default" w:ascii="Times New Roman" w:hAnsi="Times New Roman" w:eastAsia="宋体" w:cs="Times New Roman"/>
                <w:b w:val="0"/>
                <w:bCs w:val="0"/>
                <w:snapToGrid w:val="0"/>
                <w:color w:val="auto"/>
                <w:kern w:val="0"/>
                <w:sz w:val="21"/>
                <w:szCs w:val="21"/>
                <w:lang w:val="en-US" w:eastAsia="zh-CN"/>
              </w:rPr>
              <w:t>（</w:t>
            </w:r>
            <w:r>
              <w:rPr>
                <w:rFonts w:hint="eastAsia" w:cs="Times New Roman"/>
                <w:b w:val="0"/>
                <w:bCs w:val="0"/>
                <w:color w:val="auto"/>
                <w:sz w:val="21"/>
                <w:szCs w:val="21"/>
                <w:lang w:val="en-US" w:eastAsia="zh-CN"/>
              </w:rPr>
              <w:t>5</w:t>
            </w:r>
            <w:r>
              <w:rPr>
                <w:rFonts w:hint="default" w:ascii="Times New Roman" w:hAnsi="Times New Roman" w:eastAsia="宋体" w:cs="Times New Roman"/>
                <w:b w:val="0"/>
                <w:bCs w:val="0"/>
                <w:color w:val="auto"/>
                <w:sz w:val="21"/>
                <w:szCs w:val="21"/>
                <w:lang w:val="en-US" w:eastAsia="zh-CN"/>
              </w:rPr>
              <w:t>0</w:t>
            </w:r>
            <w:r>
              <w:rPr>
                <w:rFonts w:hint="default" w:ascii="Times New Roman" w:hAnsi="Times New Roman" w:eastAsia="宋体" w:cs="Times New Roman"/>
                <w:b w:val="0"/>
                <w:bCs w:val="0"/>
                <w:color w:val="auto"/>
                <w:sz w:val="21"/>
                <w:szCs w:val="21"/>
              </w:rPr>
              <w:t>m</w:t>
            </w:r>
            <w:r>
              <w:rPr>
                <w:rFonts w:hint="default" w:ascii="Times New Roman" w:hAnsi="Times New Roman" w:eastAsia="宋体" w:cs="Times New Roman"/>
                <w:b w:val="0"/>
                <w:bCs w:val="0"/>
                <w:color w:val="auto"/>
                <w:sz w:val="21"/>
                <w:szCs w:val="21"/>
                <w:vertAlign w:val="superscript"/>
              </w:rPr>
              <w:t>3</w:t>
            </w:r>
            <w:r>
              <w:rPr>
                <w:rFonts w:hint="default" w:ascii="Times New Roman" w:hAnsi="Times New Roman" w:eastAsia="宋体" w:cs="Times New Roman"/>
                <w:b w:val="0"/>
                <w:bCs w:val="0"/>
                <w:snapToGrid w:val="0"/>
                <w:color w:val="auto"/>
                <w:kern w:val="0"/>
                <w:sz w:val="21"/>
                <w:szCs w:val="21"/>
                <w:lang w:val="en-US" w:eastAsia="zh-CN"/>
              </w:rPr>
              <w:t>）</w:t>
            </w:r>
            <w:r>
              <w:rPr>
                <w:b w:val="0"/>
                <w:bCs w:val="0"/>
                <w:color w:val="auto"/>
                <w:sz w:val="21"/>
                <w:szCs w:val="21"/>
              </w:rPr>
              <w:t>处理</w:t>
            </w:r>
            <w:r>
              <w:rPr>
                <w:rFonts w:hint="eastAsia"/>
                <w:b w:val="0"/>
                <w:bCs w:val="0"/>
                <w:color w:val="auto"/>
                <w:sz w:val="21"/>
                <w:szCs w:val="21"/>
                <w:lang w:val="en-US" w:eastAsia="zh-CN"/>
              </w:rPr>
              <w:t>后</w:t>
            </w:r>
            <w:r>
              <w:rPr>
                <w:b w:val="0"/>
                <w:bCs w:val="0"/>
                <w:color w:val="auto"/>
                <w:sz w:val="21"/>
                <w:szCs w:val="21"/>
              </w:rPr>
              <w:t>通过厂区总排口</w:t>
            </w:r>
            <w:r>
              <w:rPr>
                <w:rFonts w:hint="default" w:ascii="Times New Roman" w:hAnsi="Times New Roman" w:eastAsia="宋体" w:cs="Times New Roman"/>
                <w:b w:val="0"/>
                <w:bCs w:val="0"/>
                <w:color w:val="auto"/>
                <w:sz w:val="21"/>
                <w:szCs w:val="21"/>
                <w:highlight w:val="none"/>
                <w:u w:val="none" w:color="auto"/>
                <w:lang w:val="en-US" w:eastAsia="zh-CN"/>
              </w:rPr>
              <w:t>排入市政管网</w:t>
            </w:r>
            <w:r>
              <w:rPr>
                <w:rFonts w:hint="default" w:ascii="Times New Roman" w:hAnsi="Times New Roman" w:eastAsia="宋体" w:cs="Times New Roman"/>
                <w:b w:val="0"/>
                <w:bCs w:val="0"/>
                <w:color w:val="auto"/>
                <w:sz w:val="21"/>
                <w:szCs w:val="21"/>
              </w:rPr>
              <w:t>进入淮阳区第</w:t>
            </w:r>
            <w:r>
              <w:rPr>
                <w:rFonts w:hint="eastAsia" w:cs="Times New Roman"/>
                <w:b w:val="0"/>
                <w:bCs w:val="0"/>
                <w:color w:val="auto"/>
                <w:sz w:val="21"/>
                <w:szCs w:val="21"/>
                <w:lang w:val="en-US" w:eastAsia="zh-CN"/>
              </w:rPr>
              <w:t>二</w:t>
            </w:r>
            <w:r>
              <w:rPr>
                <w:rFonts w:hint="default" w:ascii="Times New Roman" w:hAnsi="Times New Roman" w:eastAsia="宋体" w:cs="Times New Roman"/>
                <w:b w:val="0"/>
                <w:bCs w:val="0"/>
                <w:color w:val="auto"/>
                <w:sz w:val="21"/>
                <w:szCs w:val="21"/>
              </w:rPr>
              <w:t>污水处理厂进一步处理</w:t>
            </w:r>
            <w:r>
              <w:rPr>
                <w:rFonts w:hint="default" w:ascii="Times New Roman" w:hAnsi="Times New Roman" w:eastAsia="宋体" w:cs="Times New Roman"/>
                <w:b w:val="0"/>
                <w:bCs w:val="0"/>
                <w:color w:val="auto"/>
                <w:sz w:val="21"/>
                <w:szCs w:val="21"/>
                <w:lang w:val="en-US" w:eastAsia="zh-CN"/>
              </w:rPr>
              <w:t>后排放</w:t>
            </w:r>
          </w:p>
        </w:tc>
        <w:tc>
          <w:tcPr>
            <w:tcW w:w="3256" w:type="dxa"/>
            <w:noWrap w:val="0"/>
            <w:vAlign w:val="center"/>
          </w:tcPr>
          <w:p w14:paraId="67F14342">
            <w:pPr>
              <w:adjustRightInd w:val="0"/>
              <w:snapToGrid w:val="0"/>
              <w:jc w:val="center"/>
              <w:rPr>
                <w:b w:val="0"/>
                <w:bCs w:val="0"/>
                <w:color w:val="auto"/>
                <w:sz w:val="21"/>
                <w:szCs w:val="21"/>
              </w:rPr>
            </w:pPr>
            <w:r>
              <w:rPr>
                <w:b w:val="0"/>
                <w:bCs w:val="0"/>
                <w:color w:val="auto"/>
                <w:sz w:val="21"/>
                <w:szCs w:val="21"/>
              </w:rPr>
              <w:t>《污水综合排放标准》（GB8978-1996）表4三级标准及淮阳区</w:t>
            </w:r>
            <w:r>
              <w:rPr>
                <w:rFonts w:hint="eastAsia"/>
                <w:b w:val="0"/>
                <w:bCs w:val="0"/>
                <w:color w:val="auto"/>
                <w:sz w:val="21"/>
                <w:szCs w:val="21"/>
              </w:rPr>
              <w:t>第</w:t>
            </w:r>
            <w:r>
              <w:rPr>
                <w:rFonts w:hint="eastAsia"/>
                <w:b w:val="0"/>
                <w:bCs w:val="0"/>
                <w:color w:val="auto"/>
                <w:sz w:val="21"/>
                <w:szCs w:val="21"/>
                <w:lang w:val="en-US" w:eastAsia="zh-CN"/>
              </w:rPr>
              <w:t>二</w:t>
            </w:r>
            <w:r>
              <w:rPr>
                <w:b w:val="0"/>
                <w:bCs w:val="0"/>
                <w:color w:val="auto"/>
                <w:sz w:val="21"/>
                <w:szCs w:val="21"/>
              </w:rPr>
              <w:t>污水处理厂进水水质标准要求</w:t>
            </w:r>
          </w:p>
        </w:tc>
      </w:tr>
      <w:tr w14:paraId="477019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2" w:hRule="atLeast"/>
          <w:jc w:val="center"/>
        </w:trPr>
        <w:tc>
          <w:tcPr>
            <w:tcW w:w="1442" w:type="dxa"/>
            <w:vMerge w:val="continue"/>
            <w:noWrap w:val="0"/>
            <w:vAlign w:val="center"/>
          </w:tcPr>
          <w:p w14:paraId="5968F917">
            <w:pPr>
              <w:adjustRightInd w:val="0"/>
              <w:snapToGrid w:val="0"/>
              <w:jc w:val="center"/>
              <w:rPr>
                <w:b w:val="0"/>
                <w:bCs w:val="0"/>
                <w:color w:val="auto"/>
                <w:sz w:val="21"/>
                <w:szCs w:val="21"/>
              </w:rPr>
            </w:pPr>
          </w:p>
        </w:tc>
        <w:tc>
          <w:tcPr>
            <w:tcW w:w="7681" w:type="dxa"/>
            <w:gridSpan w:val="4"/>
            <w:noWrap w:val="0"/>
            <w:vAlign w:val="center"/>
          </w:tcPr>
          <w:p w14:paraId="2A3CADF2">
            <w:pPr>
              <w:adjustRightInd w:val="0"/>
              <w:snapToGrid w:val="0"/>
              <w:jc w:val="center"/>
              <w:rPr>
                <w:rFonts w:hint="default"/>
                <w:b w:val="0"/>
                <w:bCs w:val="0"/>
                <w:color w:val="auto"/>
                <w:sz w:val="21"/>
                <w:szCs w:val="21"/>
                <w:lang w:val="en-US"/>
              </w:rPr>
            </w:pPr>
            <w:r>
              <w:rPr>
                <w:rFonts w:hint="default"/>
                <w:b w:val="0"/>
                <w:bCs w:val="0"/>
                <w:color w:val="auto"/>
                <w:sz w:val="21"/>
                <w:szCs w:val="21"/>
                <w:lang w:val="en-US" w:eastAsia="zh-CN"/>
              </w:rPr>
              <w:t>玻璃原片清洗废水经循环水箱沉淀后回用于清洗玻璃原片；镀膜及夹胶、中空工序对应玻璃清洗废水经收集后回用于玻璃原片清洗用水；磨边废水经沉淀及过滤处理后回用于磨边；纯水制备系统排水收集后用于厂区洒水</w:t>
            </w:r>
            <w:r>
              <w:rPr>
                <w:rFonts w:hint="eastAsia"/>
                <w:b w:val="0"/>
                <w:bCs w:val="0"/>
                <w:color w:val="auto"/>
                <w:sz w:val="21"/>
                <w:szCs w:val="21"/>
                <w:lang w:val="en-US" w:eastAsia="zh-CN"/>
              </w:rPr>
              <w:t>，不外排</w:t>
            </w:r>
          </w:p>
        </w:tc>
      </w:tr>
      <w:tr w14:paraId="003FC2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1442" w:type="dxa"/>
            <w:noWrap w:val="0"/>
            <w:vAlign w:val="center"/>
          </w:tcPr>
          <w:p w14:paraId="040244F9">
            <w:pPr>
              <w:adjustRightInd w:val="0"/>
              <w:snapToGrid w:val="0"/>
              <w:jc w:val="center"/>
              <w:rPr>
                <w:b w:val="0"/>
                <w:bCs w:val="0"/>
                <w:color w:val="FF0000"/>
                <w:sz w:val="21"/>
                <w:szCs w:val="21"/>
              </w:rPr>
            </w:pPr>
            <w:r>
              <w:rPr>
                <w:b w:val="0"/>
                <w:bCs w:val="0"/>
                <w:color w:val="auto"/>
                <w:sz w:val="21"/>
                <w:szCs w:val="21"/>
              </w:rPr>
              <w:t>声环境</w:t>
            </w:r>
          </w:p>
        </w:tc>
        <w:tc>
          <w:tcPr>
            <w:tcW w:w="1620" w:type="dxa"/>
            <w:noWrap w:val="0"/>
            <w:vAlign w:val="center"/>
          </w:tcPr>
          <w:p w14:paraId="1774E15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kern w:val="2"/>
                <w:sz w:val="21"/>
                <w:szCs w:val="21"/>
                <w:highlight w:val="none"/>
                <w:u w:val="none" w:color="auto"/>
                <w:lang w:val="en-US" w:eastAsia="zh-CN" w:bidi="ar-SA"/>
              </w:rPr>
            </w:pPr>
            <w:r>
              <w:rPr>
                <w:rFonts w:hint="default" w:ascii="Times New Roman" w:hAnsi="Times New Roman" w:eastAsia="宋体" w:cs="Times New Roman"/>
                <w:b w:val="0"/>
                <w:bCs w:val="0"/>
                <w:color w:val="auto"/>
                <w:sz w:val="21"/>
                <w:szCs w:val="21"/>
                <w:highlight w:val="none"/>
                <w:u w:val="none" w:color="auto"/>
              </w:rPr>
              <w:t>设备运转噪声</w:t>
            </w:r>
          </w:p>
        </w:tc>
        <w:tc>
          <w:tcPr>
            <w:tcW w:w="911" w:type="dxa"/>
            <w:noWrap w:val="0"/>
            <w:vAlign w:val="center"/>
          </w:tcPr>
          <w:p w14:paraId="1E434A0D">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kern w:val="2"/>
                <w:sz w:val="21"/>
                <w:szCs w:val="21"/>
                <w:highlight w:val="none"/>
                <w:u w:val="none" w:color="auto"/>
                <w:lang w:val="en-US" w:eastAsia="zh-CN" w:bidi="ar-SA"/>
              </w:rPr>
            </w:pPr>
            <w:r>
              <w:rPr>
                <w:rFonts w:hint="default" w:ascii="Times New Roman" w:hAnsi="Times New Roman" w:eastAsia="宋体" w:cs="Times New Roman"/>
                <w:b w:val="0"/>
                <w:bCs w:val="0"/>
                <w:color w:val="auto"/>
                <w:sz w:val="21"/>
                <w:szCs w:val="21"/>
              </w:rPr>
              <w:t>等效连续 A声级</w:t>
            </w:r>
          </w:p>
        </w:tc>
        <w:tc>
          <w:tcPr>
            <w:tcW w:w="1894" w:type="dxa"/>
            <w:noWrap w:val="0"/>
            <w:vAlign w:val="center"/>
          </w:tcPr>
          <w:p w14:paraId="20191687">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kern w:val="2"/>
                <w:sz w:val="21"/>
                <w:szCs w:val="21"/>
                <w:highlight w:val="none"/>
                <w:u w:val="none" w:color="auto"/>
                <w:lang w:val="en-US" w:eastAsia="zh-CN" w:bidi="ar-SA"/>
              </w:rPr>
            </w:pPr>
            <w:r>
              <w:rPr>
                <w:rFonts w:hint="default" w:ascii="Times New Roman" w:hAnsi="Times New Roman" w:eastAsia="宋体" w:cs="Times New Roman"/>
                <w:b w:val="0"/>
                <w:bCs w:val="0"/>
                <w:color w:val="auto"/>
                <w:sz w:val="21"/>
                <w:szCs w:val="21"/>
              </w:rPr>
              <w:t>厂房隔声、设备减振及距离衰减</w:t>
            </w:r>
            <w:r>
              <w:rPr>
                <w:rFonts w:hint="default" w:ascii="Times New Roman" w:hAnsi="Times New Roman" w:eastAsia="宋体" w:cs="Times New Roman"/>
                <w:b w:val="0"/>
                <w:bCs w:val="0"/>
                <w:color w:val="auto"/>
                <w:sz w:val="21"/>
                <w:szCs w:val="21"/>
                <w:lang w:val="en-US" w:eastAsia="zh-CN"/>
              </w:rPr>
              <w:t>等</w:t>
            </w:r>
          </w:p>
        </w:tc>
        <w:tc>
          <w:tcPr>
            <w:tcW w:w="3256" w:type="dxa"/>
            <w:noWrap w:val="0"/>
            <w:vAlign w:val="center"/>
          </w:tcPr>
          <w:p w14:paraId="7AF18E0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b w:val="0"/>
                <w:bCs w:val="0"/>
                <w:color w:val="auto"/>
                <w:kern w:val="2"/>
                <w:sz w:val="21"/>
                <w:szCs w:val="21"/>
                <w:highlight w:val="none"/>
                <w:u w:val="none" w:color="auto"/>
                <w:lang w:val="en-US" w:eastAsia="zh-CN" w:bidi="ar-SA"/>
              </w:rPr>
            </w:pPr>
            <w:r>
              <w:rPr>
                <w:rFonts w:hint="default" w:ascii="Times New Roman" w:hAnsi="Times New Roman" w:eastAsia="宋体" w:cs="Times New Roman"/>
                <w:b w:val="0"/>
                <w:bCs w:val="0"/>
                <w:color w:val="auto"/>
                <w:sz w:val="21"/>
                <w:szCs w:val="21"/>
                <w:highlight w:val="none"/>
                <w:u w:val="none" w:color="auto"/>
              </w:rPr>
              <w:t>满足《工业企业厂界环境噪声排放标准》（GB12348-2008）</w:t>
            </w:r>
            <w:r>
              <w:rPr>
                <w:rFonts w:hint="default" w:ascii="Times New Roman" w:hAnsi="Times New Roman" w:eastAsia="宋体" w:cs="Times New Roman"/>
                <w:b w:val="0"/>
                <w:bCs w:val="0"/>
                <w:color w:val="auto"/>
                <w:sz w:val="21"/>
                <w:szCs w:val="21"/>
                <w:highlight w:val="none"/>
                <w:u w:val="none" w:color="auto"/>
                <w:lang w:val="en-US" w:eastAsia="zh-CN"/>
              </w:rPr>
              <w:t>3</w:t>
            </w:r>
            <w:r>
              <w:rPr>
                <w:rFonts w:hint="default" w:ascii="Times New Roman" w:hAnsi="Times New Roman" w:eastAsia="宋体" w:cs="Times New Roman"/>
                <w:b w:val="0"/>
                <w:bCs w:val="0"/>
                <w:color w:val="auto"/>
                <w:sz w:val="21"/>
                <w:szCs w:val="21"/>
                <w:highlight w:val="none"/>
                <w:u w:val="none" w:color="auto"/>
              </w:rPr>
              <w:t>类标准限值要求</w:t>
            </w:r>
          </w:p>
        </w:tc>
      </w:tr>
      <w:tr w14:paraId="708ED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vMerge w:val="restart"/>
            <w:noWrap w:val="0"/>
            <w:vAlign w:val="center"/>
          </w:tcPr>
          <w:p w14:paraId="72FA131E">
            <w:pPr>
              <w:adjustRightInd w:val="0"/>
              <w:snapToGrid w:val="0"/>
              <w:jc w:val="center"/>
              <w:rPr>
                <w:b w:val="0"/>
                <w:bCs w:val="0"/>
                <w:color w:val="auto"/>
                <w:sz w:val="21"/>
                <w:szCs w:val="21"/>
              </w:rPr>
            </w:pPr>
            <w:r>
              <w:rPr>
                <w:b w:val="0"/>
                <w:bCs w:val="0"/>
                <w:color w:val="auto"/>
                <w:sz w:val="21"/>
                <w:szCs w:val="21"/>
              </w:rPr>
              <w:t>固体废物</w:t>
            </w:r>
          </w:p>
        </w:tc>
        <w:tc>
          <w:tcPr>
            <w:tcW w:w="1620" w:type="dxa"/>
            <w:noWrap w:val="0"/>
            <w:vAlign w:val="center"/>
          </w:tcPr>
          <w:p w14:paraId="04B05192">
            <w:pPr>
              <w:adjustRightInd w:val="0"/>
              <w:snapToGrid w:val="0"/>
              <w:jc w:val="center"/>
              <w:rPr>
                <w:b w:val="0"/>
                <w:bCs w:val="0"/>
                <w:color w:val="auto"/>
                <w:sz w:val="21"/>
                <w:szCs w:val="21"/>
              </w:rPr>
            </w:pPr>
            <w:r>
              <w:rPr>
                <w:rFonts w:hint="eastAsia" w:ascii="Times New Roman" w:hAnsi="Times New Roman" w:eastAsia="宋体" w:cs="Times New Roman"/>
                <w:b w:val="0"/>
                <w:bCs w:val="0"/>
                <w:color w:val="auto"/>
                <w:kern w:val="2"/>
                <w:sz w:val="21"/>
                <w:szCs w:val="21"/>
                <w:u w:val="none" w:color="auto"/>
                <w:lang w:val="en-US" w:eastAsia="zh-CN" w:bidi="ar-SA"/>
              </w:rPr>
              <w:t>一般固废</w:t>
            </w:r>
          </w:p>
        </w:tc>
        <w:tc>
          <w:tcPr>
            <w:tcW w:w="2805" w:type="dxa"/>
            <w:gridSpan w:val="2"/>
            <w:noWrap w:val="0"/>
            <w:vAlign w:val="center"/>
          </w:tcPr>
          <w:p w14:paraId="33B658FA">
            <w:pPr>
              <w:bidi w:val="0"/>
              <w:jc w:val="center"/>
              <w:rPr>
                <w:b w:val="0"/>
                <w:bCs w:val="0"/>
                <w:color w:val="auto"/>
                <w:sz w:val="21"/>
                <w:szCs w:val="21"/>
              </w:rPr>
            </w:pPr>
            <w:r>
              <w:rPr>
                <w:rFonts w:hint="eastAsia" w:ascii="Times New Roman" w:hAnsi="Times New Roman" w:cs="Times New Roman"/>
                <w:b w:val="0"/>
                <w:bCs w:val="0"/>
                <w:color w:val="000000"/>
                <w:sz w:val="21"/>
                <w:szCs w:val="21"/>
                <w:u w:val="none"/>
                <w:lang w:val="en-US" w:eastAsia="zh-CN"/>
              </w:rPr>
              <w:t>新建</w:t>
            </w:r>
            <w:r>
              <w:rPr>
                <w:rFonts w:hint="default" w:ascii="Times New Roman" w:hAnsi="Times New Roman" w:eastAsia="宋体" w:cs="Times New Roman"/>
                <w:color w:val="000000"/>
                <w:sz w:val="21"/>
                <w:szCs w:val="21"/>
                <w:lang w:val="en-US" w:eastAsia="zh-CN"/>
              </w:rPr>
              <w:t>1座一般固废暂存间（</w:t>
            </w:r>
            <w:r>
              <w:rPr>
                <w:rFonts w:hint="eastAsia" w:ascii="Times New Roman" w:hAnsi="Times New Roman" w:eastAsia="宋体" w:cs="Times New Roman"/>
                <w:color w:val="000000"/>
                <w:sz w:val="21"/>
                <w:szCs w:val="21"/>
                <w:lang w:val="en-US" w:eastAsia="zh-CN"/>
              </w:rPr>
              <w:t>10</w:t>
            </w:r>
            <w:r>
              <w:rPr>
                <w:rFonts w:hint="default" w:ascii="Times New Roman" w:hAnsi="Times New Roman" w:eastAsia="宋体" w:cs="Times New Roman"/>
                <w:color w:val="000000"/>
                <w:sz w:val="21"/>
                <w:szCs w:val="21"/>
                <w:lang w:val="en-US" w:eastAsia="zh-CN"/>
              </w:rPr>
              <w:t>0m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lang w:val="en-US" w:eastAsia="zh-CN"/>
              </w:rPr>
              <w:t>）暂存后合理处置</w:t>
            </w:r>
          </w:p>
        </w:tc>
        <w:tc>
          <w:tcPr>
            <w:tcW w:w="3256" w:type="dxa"/>
            <w:noWrap w:val="0"/>
            <w:vAlign w:val="center"/>
          </w:tcPr>
          <w:p w14:paraId="7227D20A">
            <w:pPr>
              <w:keepNext w:val="0"/>
              <w:keepLines w:val="0"/>
              <w:pageBreakBefore w:val="0"/>
              <w:kinsoku/>
              <w:wordWrap/>
              <w:overflowPunct/>
              <w:topLinePunct w:val="0"/>
              <w:autoSpaceDE/>
              <w:autoSpaceDN/>
              <w:bidi w:val="0"/>
              <w:adjustRightInd w:val="0"/>
              <w:snapToGrid w:val="0"/>
              <w:jc w:val="center"/>
              <w:textAlignment w:val="auto"/>
              <w:rPr>
                <w:b w:val="0"/>
                <w:bCs w:val="0"/>
                <w:color w:val="auto"/>
                <w:sz w:val="21"/>
                <w:szCs w:val="21"/>
              </w:rPr>
            </w:pPr>
            <w:r>
              <w:rPr>
                <w:rFonts w:hint="default" w:ascii="Times New Roman" w:hAnsi="Times New Roman" w:eastAsia="宋体" w:cs="Times New Roman"/>
                <w:b w:val="0"/>
                <w:bCs w:val="0"/>
                <w:color w:val="auto"/>
                <w:sz w:val="21"/>
                <w:szCs w:val="21"/>
                <w:u w:val="none" w:color="auto"/>
              </w:rPr>
              <w:t>参考执行《一般工业固体废物贮存和填埋污染控制标准》（GB18599-2020）</w:t>
            </w:r>
          </w:p>
        </w:tc>
      </w:tr>
      <w:tr w14:paraId="5D66C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1442" w:type="dxa"/>
            <w:vMerge w:val="continue"/>
            <w:noWrap w:val="0"/>
            <w:vAlign w:val="center"/>
          </w:tcPr>
          <w:p w14:paraId="2DEA05CB">
            <w:pPr>
              <w:adjustRightInd w:val="0"/>
              <w:snapToGrid w:val="0"/>
              <w:jc w:val="center"/>
              <w:rPr>
                <w:b w:val="0"/>
                <w:bCs w:val="0"/>
                <w:color w:val="auto"/>
                <w:sz w:val="21"/>
                <w:szCs w:val="21"/>
              </w:rPr>
            </w:pPr>
          </w:p>
        </w:tc>
        <w:tc>
          <w:tcPr>
            <w:tcW w:w="1620" w:type="dxa"/>
            <w:noWrap w:val="0"/>
            <w:vAlign w:val="center"/>
          </w:tcPr>
          <w:p w14:paraId="482B86AD">
            <w:pPr>
              <w:adjustRightInd w:val="0"/>
              <w:snapToGrid w:val="0"/>
              <w:jc w:val="center"/>
              <w:rPr>
                <w:b w:val="0"/>
                <w:bCs w:val="0"/>
                <w:color w:val="auto"/>
                <w:sz w:val="21"/>
                <w:szCs w:val="21"/>
              </w:rPr>
            </w:pPr>
            <w:r>
              <w:rPr>
                <w:rFonts w:hint="eastAsia" w:ascii="Times New Roman" w:hAnsi="Times New Roman" w:eastAsia="宋体" w:cs="Times New Roman"/>
                <w:b w:val="0"/>
                <w:bCs w:val="0"/>
                <w:color w:val="000000"/>
                <w:kern w:val="2"/>
                <w:sz w:val="21"/>
                <w:szCs w:val="21"/>
                <w:u w:val="none" w:color="auto"/>
                <w:lang w:val="en-US" w:eastAsia="zh-CN" w:bidi="ar-SA"/>
              </w:rPr>
              <w:t>危险废物</w:t>
            </w:r>
          </w:p>
        </w:tc>
        <w:tc>
          <w:tcPr>
            <w:tcW w:w="2805" w:type="dxa"/>
            <w:gridSpan w:val="2"/>
            <w:noWrap w:val="0"/>
            <w:vAlign w:val="center"/>
          </w:tcPr>
          <w:p w14:paraId="2D787024">
            <w:pPr>
              <w:bidi w:val="0"/>
              <w:jc w:val="center"/>
              <w:rPr>
                <w:b w:val="0"/>
                <w:bCs w:val="0"/>
                <w:color w:val="auto"/>
                <w:sz w:val="21"/>
                <w:szCs w:val="21"/>
              </w:rPr>
            </w:pPr>
            <w:r>
              <w:rPr>
                <w:rFonts w:hint="eastAsia" w:ascii="Times New Roman" w:hAnsi="Times New Roman" w:cs="Times New Roman"/>
                <w:b w:val="0"/>
                <w:bCs w:val="0"/>
                <w:color w:val="000000"/>
                <w:sz w:val="21"/>
                <w:szCs w:val="21"/>
                <w:u w:val="none"/>
                <w:lang w:val="en-US" w:eastAsia="zh-CN"/>
              </w:rPr>
              <w:t>新建1座危废暂存间（50m</w:t>
            </w:r>
            <w:r>
              <w:rPr>
                <w:rFonts w:hint="eastAsia" w:ascii="Times New Roman" w:hAnsi="Times New Roman" w:cs="Times New Roman"/>
                <w:b w:val="0"/>
                <w:bCs w:val="0"/>
                <w:color w:val="000000"/>
                <w:sz w:val="21"/>
                <w:szCs w:val="21"/>
                <w:u w:val="none"/>
                <w:vertAlign w:val="superscript"/>
                <w:lang w:val="en-US" w:eastAsia="zh-CN"/>
              </w:rPr>
              <w:t>2</w:t>
            </w:r>
            <w:r>
              <w:rPr>
                <w:rFonts w:hint="eastAsia" w:ascii="Times New Roman" w:hAnsi="Times New Roman" w:cs="Times New Roman"/>
                <w:b w:val="0"/>
                <w:bCs w:val="0"/>
                <w:color w:val="000000"/>
                <w:sz w:val="21"/>
                <w:szCs w:val="21"/>
                <w:u w:val="none"/>
                <w:lang w:val="en-US" w:eastAsia="zh-CN"/>
              </w:rPr>
              <w:t>）暂存后合理处置</w:t>
            </w:r>
          </w:p>
        </w:tc>
        <w:tc>
          <w:tcPr>
            <w:tcW w:w="3256" w:type="dxa"/>
            <w:noWrap w:val="0"/>
            <w:vAlign w:val="center"/>
          </w:tcPr>
          <w:p w14:paraId="0E037A73">
            <w:pPr>
              <w:bidi w:val="0"/>
              <w:jc w:val="center"/>
              <w:rPr>
                <w:b w:val="0"/>
                <w:bCs w:val="0"/>
                <w:color w:val="auto"/>
                <w:sz w:val="21"/>
                <w:szCs w:val="21"/>
              </w:rPr>
            </w:pPr>
            <w:r>
              <w:rPr>
                <w:rFonts w:hint="eastAsia" w:ascii="Times New Roman" w:hAnsi="Times New Roman" w:cs="Times New Roman"/>
                <w:sz w:val="21"/>
                <w:szCs w:val="21"/>
                <w:lang w:val="en-US" w:eastAsia="zh-CN"/>
              </w:rPr>
              <w:t>执行《危险废物贮存污染控制标准》（GB 18597-2023）</w:t>
            </w:r>
          </w:p>
        </w:tc>
      </w:tr>
      <w:tr w14:paraId="444702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vMerge w:val="continue"/>
            <w:noWrap w:val="0"/>
            <w:vAlign w:val="center"/>
          </w:tcPr>
          <w:p w14:paraId="470FBF57">
            <w:pPr>
              <w:adjustRightInd w:val="0"/>
              <w:snapToGrid w:val="0"/>
              <w:jc w:val="center"/>
              <w:rPr>
                <w:b w:val="0"/>
                <w:bCs w:val="0"/>
                <w:color w:val="auto"/>
                <w:sz w:val="21"/>
                <w:szCs w:val="21"/>
              </w:rPr>
            </w:pPr>
          </w:p>
        </w:tc>
        <w:tc>
          <w:tcPr>
            <w:tcW w:w="1620" w:type="dxa"/>
            <w:noWrap w:val="0"/>
            <w:vAlign w:val="center"/>
          </w:tcPr>
          <w:p w14:paraId="792DDBAE">
            <w:pPr>
              <w:adjustRightInd w:val="0"/>
              <w:snapToGrid w:val="0"/>
              <w:jc w:val="center"/>
              <w:rPr>
                <w:b w:val="0"/>
                <w:bCs w:val="0"/>
                <w:color w:val="auto"/>
                <w:sz w:val="21"/>
                <w:szCs w:val="21"/>
              </w:rPr>
            </w:pPr>
            <w:r>
              <w:rPr>
                <w:rFonts w:hint="eastAsia" w:ascii="Times New Roman" w:hAnsi="Times New Roman" w:cs="Times New Roman"/>
                <w:kern w:val="2"/>
                <w:sz w:val="21"/>
                <w:szCs w:val="21"/>
                <w:lang w:val="en-US" w:eastAsia="zh-CN" w:bidi="ar-SA"/>
              </w:rPr>
              <w:t>生活垃圾</w:t>
            </w:r>
          </w:p>
        </w:tc>
        <w:tc>
          <w:tcPr>
            <w:tcW w:w="2805" w:type="dxa"/>
            <w:gridSpan w:val="2"/>
            <w:noWrap w:val="0"/>
            <w:vAlign w:val="center"/>
          </w:tcPr>
          <w:p w14:paraId="14FB2B28">
            <w:pPr>
              <w:bidi w:val="0"/>
              <w:jc w:val="center"/>
              <w:rPr>
                <w:b w:val="0"/>
                <w:bCs w:val="0"/>
                <w:color w:val="auto"/>
                <w:sz w:val="21"/>
                <w:szCs w:val="21"/>
              </w:rPr>
            </w:pPr>
            <w:r>
              <w:rPr>
                <w:rFonts w:hint="default" w:ascii="Times New Roman" w:hAnsi="Times New Roman" w:cs="Times New Roman"/>
                <w:sz w:val="21"/>
                <w:szCs w:val="21"/>
              </w:rPr>
              <w:t>设置垃圾</w:t>
            </w:r>
            <w:r>
              <w:rPr>
                <w:rFonts w:hint="eastAsia" w:ascii="Times New Roman" w:hAnsi="Times New Roman" w:cs="Times New Roman"/>
                <w:sz w:val="21"/>
                <w:szCs w:val="21"/>
                <w:lang w:val="en-US" w:eastAsia="zh-CN"/>
              </w:rPr>
              <w:t>箱</w:t>
            </w:r>
            <w:r>
              <w:rPr>
                <w:rFonts w:hint="default" w:ascii="Times New Roman" w:hAnsi="Times New Roman" w:cs="Times New Roman"/>
                <w:sz w:val="21"/>
                <w:szCs w:val="21"/>
              </w:rPr>
              <w:t>集中收集，</w:t>
            </w:r>
            <w:r>
              <w:rPr>
                <w:rFonts w:hint="default" w:ascii="Times New Roman" w:hAnsi="Times New Roman" w:cs="Times New Roman"/>
                <w:sz w:val="21"/>
                <w:szCs w:val="21"/>
                <w:lang w:val="en-US" w:eastAsia="zh-CN"/>
              </w:rPr>
              <w:t>由环卫部门定期清运</w:t>
            </w:r>
          </w:p>
        </w:tc>
        <w:tc>
          <w:tcPr>
            <w:tcW w:w="3256" w:type="dxa"/>
            <w:noWrap w:val="0"/>
            <w:vAlign w:val="center"/>
          </w:tcPr>
          <w:p w14:paraId="019D12AD">
            <w:pPr>
              <w:keepNext w:val="0"/>
              <w:keepLines w:val="0"/>
              <w:pageBreakBefore w:val="0"/>
              <w:kinsoku/>
              <w:wordWrap/>
              <w:overflowPunct/>
              <w:topLinePunct w:val="0"/>
              <w:autoSpaceDE/>
              <w:autoSpaceDN/>
              <w:bidi w:val="0"/>
              <w:adjustRightInd w:val="0"/>
              <w:snapToGrid w:val="0"/>
              <w:jc w:val="center"/>
              <w:textAlignment w:val="auto"/>
              <w:rPr>
                <w:b w:val="0"/>
                <w:bCs w:val="0"/>
                <w:color w:val="auto"/>
                <w:sz w:val="21"/>
                <w:szCs w:val="21"/>
              </w:rPr>
            </w:pPr>
            <w:r>
              <w:rPr>
                <w:rFonts w:hint="eastAsia" w:ascii="Times New Roman" w:hAnsi="Times New Roman" w:cs="Times New Roman"/>
                <w:b w:val="0"/>
                <w:bCs w:val="0"/>
                <w:kern w:val="2"/>
                <w:sz w:val="21"/>
                <w:szCs w:val="21"/>
                <w:lang w:val="en-US" w:eastAsia="zh-CN" w:bidi="ar-SA"/>
              </w:rPr>
              <w:t>/</w:t>
            </w:r>
          </w:p>
        </w:tc>
      </w:tr>
      <w:tr w14:paraId="538D1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42" w:type="dxa"/>
            <w:noWrap w:val="0"/>
            <w:vAlign w:val="center"/>
          </w:tcPr>
          <w:p w14:paraId="10C64AFA">
            <w:pPr>
              <w:adjustRightInd w:val="0"/>
              <w:snapToGrid w:val="0"/>
              <w:jc w:val="center"/>
              <w:rPr>
                <w:b w:val="0"/>
                <w:bCs w:val="0"/>
                <w:color w:val="auto"/>
                <w:sz w:val="21"/>
                <w:szCs w:val="21"/>
              </w:rPr>
            </w:pPr>
            <w:r>
              <w:rPr>
                <w:b w:val="0"/>
                <w:bCs w:val="0"/>
                <w:color w:val="auto"/>
                <w:sz w:val="21"/>
                <w:szCs w:val="21"/>
              </w:rPr>
              <w:t>电磁辐射</w:t>
            </w:r>
          </w:p>
        </w:tc>
        <w:tc>
          <w:tcPr>
            <w:tcW w:w="1620" w:type="dxa"/>
            <w:noWrap w:val="0"/>
            <w:vAlign w:val="center"/>
          </w:tcPr>
          <w:p w14:paraId="6A7417C7">
            <w:pPr>
              <w:adjustRightInd w:val="0"/>
              <w:snapToGrid w:val="0"/>
              <w:jc w:val="center"/>
              <w:rPr>
                <w:b w:val="0"/>
                <w:bCs w:val="0"/>
                <w:color w:val="auto"/>
                <w:sz w:val="21"/>
                <w:szCs w:val="21"/>
              </w:rPr>
            </w:pPr>
            <w:r>
              <w:rPr>
                <w:b w:val="0"/>
                <w:bCs w:val="0"/>
                <w:color w:val="auto"/>
                <w:sz w:val="21"/>
                <w:szCs w:val="21"/>
              </w:rPr>
              <w:t>/</w:t>
            </w:r>
          </w:p>
        </w:tc>
        <w:tc>
          <w:tcPr>
            <w:tcW w:w="911" w:type="dxa"/>
            <w:noWrap w:val="0"/>
            <w:vAlign w:val="center"/>
          </w:tcPr>
          <w:p w14:paraId="60C4EA11">
            <w:pPr>
              <w:adjustRightInd w:val="0"/>
              <w:snapToGrid w:val="0"/>
              <w:jc w:val="center"/>
              <w:rPr>
                <w:b w:val="0"/>
                <w:bCs w:val="0"/>
                <w:color w:val="auto"/>
                <w:sz w:val="21"/>
                <w:szCs w:val="21"/>
              </w:rPr>
            </w:pPr>
            <w:r>
              <w:rPr>
                <w:b w:val="0"/>
                <w:bCs w:val="0"/>
                <w:color w:val="auto"/>
                <w:sz w:val="21"/>
                <w:szCs w:val="21"/>
              </w:rPr>
              <w:t>/</w:t>
            </w:r>
          </w:p>
        </w:tc>
        <w:tc>
          <w:tcPr>
            <w:tcW w:w="1894" w:type="dxa"/>
            <w:noWrap w:val="0"/>
            <w:vAlign w:val="center"/>
          </w:tcPr>
          <w:p w14:paraId="38F12BA1">
            <w:pPr>
              <w:adjustRightInd w:val="0"/>
              <w:snapToGrid w:val="0"/>
              <w:jc w:val="center"/>
              <w:rPr>
                <w:b w:val="0"/>
                <w:bCs w:val="0"/>
                <w:color w:val="auto"/>
                <w:sz w:val="21"/>
                <w:szCs w:val="21"/>
              </w:rPr>
            </w:pPr>
            <w:r>
              <w:rPr>
                <w:b w:val="0"/>
                <w:bCs w:val="0"/>
                <w:color w:val="auto"/>
                <w:sz w:val="21"/>
                <w:szCs w:val="21"/>
              </w:rPr>
              <w:t>/</w:t>
            </w:r>
          </w:p>
        </w:tc>
        <w:tc>
          <w:tcPr>
            <w:tcW w:w="3256" w:type="dxa"/>
            <w:noWrap w:val="0"/>
            <w:vAlign w:val="center"/>
          </w:tcPr>
          <w:p w14:paraId="330CB0A5">
            <w:pPr>
              <w:adjustRightInd w:val="0"/>
              <w:snapToGrid w:val="0"/>
              <w:jc w:val="center"/>
              <w:rPr>
                <w:b w:val="0"/>
                <w:bCs w:val="0"/>
                <w:color w:val="auto"/>
                <w:sz w:val="21"/>
                <w:szCs w:val="21"/>
              </w:rPr>
            </w:pPr>
            <w:r>
              <w:rPr>
                <w:b w:val="0"/>
                <w:bCs w:val="0"/>
                <w:color w:val="auto"/>
                <w:sz w:val="21"/>
                <w:szCs w:val="21"/>
              </w:rPr>
              <w:t>/</w:t>
            </w:r>
          </w:p>
        </w:tc>
      </w:tr>
      <w:tr w14:paraId="67AB82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5" w:hRule="atLeast"/>
          <w:jc w:val="center"/>
        </w:trPr>
        <w:tc>
          <w:tcPr>
            <w:tcW w:w="1442" w:type="dxa"/>
            <w:noWrap w:val="0"/>
            <w:vAlign w:val="center"/>
          </w:tcPr>
          <w:p w14:paraId="55642B94">
            <w:pPr>
              <w:adjustRightInd w:val="0"/>
              <w:snapToGrid w:val="0"/>
              <w:jc w:val="center"/>
              <w:rPr>
                <w:b w:val="0"/>
                <w:bCs w:val="0"/>
                <w:color w:val="auto"/>
                <w:sz w:val="21"/>
                <w:szCs w:val="21"/>
              </w:rPr>
            </w:pPr>
            <w:r>
              <w:rPr>
                <w:b w:val="0"/>
                <w:bCs w:val="0"/>
                <w:color w:val="auto"/>
                <w:sz w:val="21"/>
                <w:szCs w:val="21"/>
              </w:rPr>
              <w:t>土壤及地下水污染防治措施</w:t>
            </w:r>
          </w:p>
        </w:tc>
        <w:tc>
          <w:tcPr>
            <w:tcW w:w="7681" w:type="dxa"/>
            <w:gridSpan w:val="4"/>
            <w:noWrap w:val="0"/>
            <w:vAlign w:val="center"/>
          </w:tcPr>
          <w:p w14:paraId="00A76A38">
            <w:pPr>
              <w:adjustRightInd w:val="0"/>
              <w:snapToGrid w:val="0"/>
              <w:jc w:val="left"/>
              <w:rPr>
                <w:b w:val="0"/>
                <w:bCs w:val="0"/>
                <w:color w:val="FF0000"/>
                <w:sz w:val="21"/>
                <w:szCs w:val="21"/>
              </w:rPr>
            </w:pPr>
            <w:r>
              <w:rPr>
                <w:rFonts w:hint="eastAsia" w:cs="Times New Roman"/>
                <w:b w:val="0"/>
                <w:bCs w:val="0"/>
                <w:color w:val="auto"/>
                <w:sz w:val="21"/>
                <w:szCs w:val="21"/>
                <w:highlight w:val="none"/>
                <w:u w:val="none" w:color="auto"/>
                <w:lang w:val="en-US" w:eastAsia="zh-CN"/>
              </w:rPr>
              <w:t>油墨储存</w:t>
            </w:r>
            <w:r>
              <w:rPr>
                <w:rFonts w:hint="default" w:ascii="Times New Roman" w:hAnsi="Times New Roman" w:eastAsia="宋体" w:cs="Times New Roman"/>
                <w:b w:val="0"/>
                <w:bCs w:val="0"/>
                <w:color w:val="auto"/>
                <w:sz w:val="21"/>
                <w:szCs w:val="21"/>
                <w:highlight w:val="none"/>
                <w:u w:val="none" w:color="auto"/>
                <w:lang w:val="en-US" w:eastAsia="zh-CN"/>
              </w:rPr>
              <w:t>区</w:t>
            </w:r>
            <w:r>
              <w:rPr>
                <w:rFonts w:hint="default" w:ascii="Times New Roman" w:hAnsi="Times New Roman" w:eastAsia="宋体" w:cs="Times New Roman"/>
                <w:b w:val="0"/>
                <w:bCs w:val="0"/>
                <w:color w:val="auto"/>
                <w:sz w:val="21"/>
                <w:szCs w:val="21"/>
                <w:highlight w:val="none"/>
                <w:u w:val="none" w:color="auto"/>
              </w:rPr>
              <w:t>、</w:t>
            </w:r>
            <w:r>
              <w:rPr>
                <w:rFonts w:hint="default" w:ascii="Times New Roman" w:hAnsi="Times New Roman" w:eastAsia="宋体" w:cs="Times New Roman"/>
                <w:b w:val="0"/>
                <w:bCs w:val="0"/>
                <w:color w:val="auto"/>
                <w:sz w:val="21"/>
                <w:szCs w:val="21"/>
                <w:highlight w:val="none"/>
                <w:u w:val="none" w:color="auto"/>
                <w:lang w:val="en-US" w:eastAsia="zh-CN"/>
              </w:rPr>
              <w:t>废水输送管道</w:t>
            </w:r>
            <w:r>
              <w:rPr>
                <w:rFonts w:hint="eastAsia" w:cs="Times New Roman"/>
                <w:b w:val="0"/>
                <w:bCs w:val="0"/>
                <w:color w:val="auto"/>
                <w:sz w:val="21"/>
                <w:szCs w:val="21"/>
                <w:highlight w:val="none"/>
                <w:u w:val="none" w:color="auto"/>
                <w:lang w:val="en-US" w:eastAsia="zh-CN"/>
              </w:rPr>
              <w:t>、及彩色成像玻璃彩打区</w:t>
            </w:r>
            <w:r>
              <w:rPr>
                <w:rFonts w:hint="default" w:ascii="Times New Roman" w:hAnsi="Times New Roman" w:eastAsia="宋体" w:cs="Times New Roman"/>
                <w:b w:val="0"/>
                <w:bCs w:val="0"/>
                <w:color w:val="auto"/>
                <w:sz w:val="21"/>
                <w:szCs w:val="21"/>
                <w:highlight w:val="none"/>
                <w:u w:val="none" w:color="auto"/>
              </w:rPr>
              <w:t>和</w:t>
            </w:r>
            <w:r>
              <w:rPr>
                <w:rFonts w:hint="default" w:ascii="Times New Roman" w:hAnsi="Times New Roman" w:eastAsia="宋体" w:cs="Times New Roman"/>
                <w:b w:val="0"/>
                <w:bCs w:val="0"/>
                <w:color w:val="auto"/>
                <w:sz w:val="21"/>
                <w:szCs w:val="21"/>
                <w:highlight w:val="none"/>
                <w:u w:val="none" w:color="auto"/>
                <w:lang w:val="en-US" w:eastAsia="zh-CN"/>
              </w:rPr>
              <w:t>危废暂存间</w:t>
            </w:r>
            <w:r>
              <w:rPr>
                <w:rFonts w:hint="default" w:ascii="Times New Roman" w:hAnsi="Times New Roman" w:eastAsia="宋体" w:cs="Times New Roman"/>
                <w:b w:val="0"/>
                <w:bCs w:val="0"/>
                <w:color w:val="auto"/>
                <w:sz w:val="21"/>
                <w:szCs w:val="21"/>
                <w:highlight w:val="none"/>
                <w:u w:val="none" w:color="auto"/>
              </w:rPr>
              <w:t>按照标准进行建设，满足防渗漏、防雨淋、防流失的要求。定期进行检查和维护，加强员工管理，避免非正常</w:t>
            </w:r>
            <w:r>
              <w:rPr>
                <w:rFonts w:hint="default" w:ascii="Times New Roman" w:hAnsi="Times New Roman" w:eastAsia="宋体" w:cs="Times New Roman"/>
                <w:b w:val="0"/>
                <w:bCs w:val="0"/>
                <w:color w:val="auto"/>
                <w:sz w:val="21"/>
                <w:szCs w:val="21"/>
                <w:highlight w:val="none"/>
                <w:u w:val="none" w:color="auto"/>
                <w:lang w:eastAsia="zh-CN"/>
              </w:rPr>
              <w:t>泄漏</w:t>
            </w:r>
            <w:r>
              <w:rPr>
                <w:rFonts w:hint="default" w:ascii="Times New Roman" w:hAnsi="Times New Roman" w:eastAsia="宋体" w:cs="Times New Roman"/>
                <w:b w:val="0"/>
                <w:bCs w:val="0"/>
                <w:color w:val="auto"/>
                <w:sz w:val="21"/>
                <w:szCs w:val="21"/>
                <w:highlight w:val="none"/>
                <w:u w:val="none" w:color="auto"/>
              </w:rPr>
              <w:t>的产生</w:t>
            </w:r>
            <w:r>
              <w:rPr>
                <w:rFonts w:hint="eastAsia" w:cs="Times New Roman"/>
                <w:b w:val="0"/>
                <w:bCs w:val="0"/>
                <w:color w:val="auto"/>
                <w:sz w:val="21"/>
                <w:szCs w:val="21"/>
                <w:highlight w:val="none"/>
                <w:u w:val="none" w:color="auto"/>
                <w:lang w:eastAsia="zh-CN"/>
              </w:rPr>
              <w:t>；</w:t>
            </w:r>
            <w:r>
              <w:rPr>
                <w:rFonts w:hint="default"/>
                <w:b w:val="0"/>
                <w:bCs w:val="0"/>
                <w:color w:val="auto"/>
                <w:sz w:val="21"/>
                <w:szCs w:val="21"/>
              </w:rPr>
              <w:t>按照“源头控制、分区防控、污染监控、应急响应”的地下水环境保护原则，将厂区划分为重点防渗区、一般防渗区、简单防渗区</w:t>
            </w:r>
            <w:r>
              <w:rPr>
                <w:rFonts w:hint="default"/>
                <w:b w:val="0"/>
                <w:bCs w:val="0"/>
                <w:color w:val="auto"/>
                <w:sz w:val="21"/>
                <w:szCs w:val="21"/>
                <w:lang w:eastAsia="zh-CN"/>
              </w:rPr>
              <w:t>。</w:t>
            </w:r>
            <w:r>
              <w:rPr>
                <w:rFonts w:hint="eastAsia" w:cs="Times New Roman"/>
                <w:b w:val="0"/>
                <w:bCs w:val="0"/>
                <w:color w:val="auto"/>
                <w:sz w:val="21"/>
                <w:szCs w:val="21"/>
                <w:highlight w:val="none"/>
                <w:u w:val="none" w:color="auto"/>
                <w:lang w:val="en-US" w:eastAsia="zh-CN"/>
              </w:rPr>
              <w:t>油墨储存</w:t>
            </w:r>
            <w:r>
              <w:rPr>
                <w:rFonts w:hint="default" w:ascii="Times New Roman" w:hAnsi="Times New Roman" w:eastAsia="宋体" w:cs="Times New Roman"/>
                <w:b w:val="0"/>
                <w:bCs w:val="0"/>
                <w:color w:val="auto"/>
                <w:sz w:val="21"/>
                <w:szCs w:val="21"/>
                <w:highlight w:val="none"/>
                <w:u w:val="none" w:color="auto"/>
                <w:lang w:val="en-US" w:eastAsia="zh-CN"/>
              </w:rPr>
              <w:t>区</w:t>
            </w:r>
            <w:r>
              <w:rPr>
                <w:rFonts w:hint="default" w:ascii="Times New Roman" w:hAnsi="Times New Roman" w:eastAsia="宋体" w:cs="Times New Roman"/>
                <w:b w:val="0"/>
                <w:bCs w:val="0"/>
                <w:color w:val="auto"/>
                <w:sz w:val="21"/>
                <w:szCs w:val="21"/>
                <w:highlight w:val="none"/>
                <w:u w:val="none" w:color="auto"/>
              </w:rPr>
              <w:t>、</w:t>
            </w:r>
            <w:r>
              <w:rPr>
                <w:rFonts w:hint="default"/>
                <w:b w:val="0"/>
                <w:bCs w:val="0"/>
                <w:color w:val="auto"/>
                <w:sz w:val="21"/>
                <w:szCs w:val="21"/>
              </w:rPr>
              <w:t>危废暂存间</w:t>
            </w:r>
            <w:r>
              <w:rPr>
                <w:rFonts w:hint="default"/>
                <w:b w:val="0"/>
                <w:bCs w:val="0"/>
                <w:color w:val="auto"/>
                <w:sz w:val="21"/>
                <w:szCs w:val="21"/>
                <w:lang w:val="en-US" w:eastAsia="zh-CN"/>
              </w:rPr>
              <w:t>等</w:t>
            </w:r>
            <w:r>
              <w:rPr>
                <w:rFonts w:hint="default"/>
                <w:b w:val="0"/>
                <w:bCs w:val="0"/>
                <w:color w:val="auto"/>
                <w:sz w:val="21"/>
                <w:szCs w:val="21"/>
              </w:rPr>
              <w:t>重点防渗区</w:t>
            </w:r>
            <w:r>
              <w:rPr>
                <w:rFonts w:hint="default"/>
                <w:b w:val="0"/>
                <w:bCs w:val="0"/>
                <w:color w:val="auto"/>
                <w:sz w:val="21"/>
                <w:szCs w:val="21"/>
                <w:lang w:val="en-US" w:eastAsia="zh-CN"/>
              </w:rPr>
              <w:t>按照</w:t>
            </w:r>
            <w:r>
              <w:rPr>
                <w:rFonts w:hint="default"/>
                <w:b w:val="0"/>
                <w:bCs w:val="0"/>
                <w:color w:val="auto"/>
                <w:sz w:val="21"/>
                <w:szCs w:val="21"/>
              </w:rPr>
              <w:t>《工业建筑防腐蚀设计规范》（GB50046-2008）等有关要求采取的</w:t>
            </w:r>
            <w:r>
              <w:rPr>
                <w:rFonts w:hint="default"/>
                <w:b w:val="0"/>
                <w:bCs w:val="0"/>
                <w:color w:val="auto"/>
                <w:sz w:val="21"/>
                <w:szCs w:val="21"/>
                <w:lang w:val="en-US" w:eastAsia="zh-CN"/>
              </w:rPr>
              <w:t>防腐</w:t>
            </w:r>
            <w:r>
              <w:rPr>
                <w:rFonts w:hint="default"/>
                <w:b w:val="0"/>
                <w:bCs w:val="0"/>
                <w:color w:val="auto"/>
                <w:sz w:val="21"/>
                <w:szCs w:val="21"/>
              </w:rPr>
              <w:t>防渗漏措施</w:t>
            </w:r>
          </w:p>
        </w:tc>
      </w:tr>
      <w:tr w14:paraId="098FB2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1" w:hRule="atLeast"/>
          <w:jc w:val="center"/>
        </w:trPr>
        <w:tc>
          <w:tcPr>
            <w:tcW w:w="1442" w:type="dxa"/>
            <w:noWrap w:val="0"/>
            <w:vAlign w:val="center"/>
          </w:tcPr>
          <w:p w14:paraId="17E4216C">
            <w:pPr>
              <w:adjustRightInd w:val="0"/>
              <w:snapToGrid w:val="0"/>
              <w:jc w:val="center"/>
              <w:rPr>
                <w:b w:val="0"/>
                <w:bCs w:val="0"/>
                <w:color w:val="auto"/>
                <w:sz w:val="21"/>
                <w:szCs w:val="21"/>
              </w:rPr>
            </w:pPr>
            <w:r>
              <w:rPr>
                <w:b w:val="0"/>
                <w:bCs w:val="0"/>
                <w:color w:val="auto"/>
                <w:sz w:val="21"/>
                <w:szCs w:val="21"/>
              </w:rPr>
              <w:t>生态保护措施</w:t>
            </w:r>
          </w:p>
        </w:tc>
        <w:tc>
          <w:tcPr>
            <w:tcW w:w="7681" w:type="dxa"/>
            <w:gridSpan w:val="4"/>
            <w:noWrap w:val="0"/>
            <w:vAlign w:val="center"/>
          </w:tcPr>
          <w:p w14:paraId="12EAB7E7">
            <w:pPr>
              <w:adjustRightInd w:val="0"/>
              <w:snapToGrid w:val="0"/>
              <w:jc w:val="center"/>
              <w:rPr>
                <w:b w:val="0"/>
                <w:bCs w:val="0"/>
                <w:color w:val="FF0000"/>
                <w:sz w:val="21"/>
                <w:szCs w:val="21"/>
              </w:rPr>
            </w:pPr>
            <w:r>
              <w:rPr>
                <w:b w:val="0"/>
                <w:bCs w:val="0"/>
                <w:color w:val="auto"/>
                <w:sz w:val="21"/>
                <w:szCs w:val="21"/>
              </w:rPr>
              <w:t>/</w:t>
            </w:r>
          </w:p>
        </w:tc>
      </w:tr>
      <w:tr w14:paraId="6979B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56" w:hRule="atLeast"/>
          <w:jc w:val="center"/>
        </w:trPr>
        <w:tc>
          <w:tcPr>
            <w:tcW w:w="1442" w:type="dxa"/>
            <w:noWrap w:val="0"/>
            <w:vAlign w:val="center"/>
          </w:tcPr>
          <w:p w14:paraId="34314AA7">
            <w:pPr>
              <w:adjustRightInd w:val="0"/>
              <w:snapToGrid w:val="0"/>
              <w:jc w:val="center"/>
              <w:rPr>
                <w:b w:val="0"/>
                <w:bCs w:val="0"/>
                <w:color w:val="auto"/>
                <w:spacing w:val="-8"/>
                <w:sz w:val="21"/>
                <w:szCs w:val="21"/>
              </w:rPr>
            </w:pPr>
            <w:r>
              <w:rPr>
                <w:b w:val="0"/>
                <w:bCs w:val="0"/>
                <w:color w:val="auto"/>
                <w:spacing w:val="-8"/>
                <w:sz w:val="21"/>
                <w:szCs w:val="21"/>
              </w:rPr>
              <w:t>环境风险</w:t>
            </w:r>
          </w:p>
          <w:p w14:paraId="525CB2D6">
            <w:pPr>
              <w:adjustRightInd w:val="0"/>
              <w:snapToGrid w:val="0"/>
              <w:jc w:val="center"/>
              <w:rPr>
                <w:b w:val="0"/>
                <w:bCs w:val="0"/>
                <w:color w:val="auto"/>
                <w:spacing w:val="-8"/>
                <w:sz w:val="21"/>
                <w:szCs w:val="21"/>
              </w:rPr>
            </w:pPr>
            <w:r>
              <w:rPr>
                <w:b w:val="0"/>
                <w:bCs w:val="0"/>
                <w:color w:val="auto"/>
                <w:spacing w:val="-8"/>
                <w:sz w:val="21"/>
                <w:szCs w:val="21"/>
              </w:rPr>
              <w:t>防范措施</w:t>
            </w:r>
          </w:p>
        </w:tc>
        <w:tc>
          <w:tcPr>
            <w:tcW w:w="7681" w:type="dxa"/>
            <w:gridSpan w:val="4"/>
            <w:noWrap w:val="0"/>
            <w:vAlign w:val="center"/>
          </w:tcPr>
          <w:p w14:paraId="6F7140CC">
            <w:pPr>
              <w:pStyle w:val="115"/>
              <w:jc w:val="both"/>
              <w:rPr>
                <w:b w:val="0"/>
                <w:bCs w:val="0"/>
                <w:color w:val="FF0000"/>
                <w:sz w:val="21"/>
                <w:szCs w:val="21"/>
              </w:rPr>
            </w:pPr>
            <w:r>
              <w:rPr>
                <w:b w:val="0"/>
                <w:bCs w:val="0"/>
                <w:i w:val="0"/>
                <w:iCs w:val="0"/>
                <w:color w:val="auto"/>
                <w:u w:val="none"/>
              </w:rPr>
              <w:t>危废暂存间</w:t>
            </w:r>
            <w:r>
              <w:rPr>
                <w:rFonts w:hint="eastAsia"/>
                <w:b w:val="0"/>
                <w:bCs w:val="0"/>
                <w:i w:val="0"/>
                <w:iCs w:val="0"/>
                <w:color w:val="auto"/>
                <w:u w:val="none"/>
                <w:lang w:val="en-US" w:eastAsia="zh-CN"/>
              </w:rPr>
              <w:t>、油墨储存区及彩色成像玻璃彩打区</w:t>
            </w:r>
            <w:r>
              <w:rPr>
                <w:b w:val="0"/>
                <w:bCs w:val="0"/>
                <w:i w:val="0"/>
                <w:iCs w:val="0"/>
                <w:color w:val="auto"/>
                <w:u w:val="none"/>
              </w:rPr>
              <w:t>根据相关规定进行防腐防渗，渗透系数≤10</w:t>
            </w:r>
            <w:r>
              <w:rPr>
                <w:b w:val="0"/>
                <w:bCs w:val="0"/>
                <w:i w:val="0"/>
                <w:iCs w:val="0"/>
                <w:color w:val="auto"/>
                <w:u w:val="none"/>
                <w:vertAlign w:val="superscript"/>
              </w:rPr>
              <w:t>-10</w:t>
            </w:r>
            <w:r>
              <w:rPr>
                <w:b w:val="0"/>
                <w:bCs w:val="0"/>
                <w:i w:val="0"/>
                <w:iCs w:val="0"/>
                <w:color w:val="auto"/>
                <w:u w:val="none"/>
              </w:rPr>
              <w:t>cm/s。危废暂存间内设置围堰。各类危险废物分别由专用危废储存容器存放，并分类分区存放于暂存间内，存放时确保储存容器完好无损，并粘贴危废标签；临时贮存间地面与裙角需用防渗混凝土建造，表层无裂痕，存放区设堵截泄露危废裙角，以免危废容器破裂</w:t>
            </w:r>
            <w:r>
              <w:rPr>
                <w:rFonts w:hint="default" w:ascii="Times New Roman" w:hAnsi="Times New Roman" w:eastAsia="宋体" w:cs="Times New Roman"/>
                <w:b w:val="0"/>
                <w:bCs w:val="0"/>
                <w:color w:val="auto"/>
                <w:sz w:val="21"/>
                <w:szCs w:val="21"/>
              </w:rPr>
              <w:t>；生产线所在区域地面做硬化及防渗处理，内表面均采取防渗、防腐蚀的处理</w:t>
            </w:r>
            <w:r>
              <w:rPr>
                <w:rFonts w:hint="default"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按要求配置相应的安全生产事件应急物资</w:t>
            </w:r>
          </w:p>
        </w:tc>
      </w:tr>
      <w:tr w14:paraId="4ED5EE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442" w:type="dxa"/>
            <w:noWrap w:val="0"/>
            <w:vAlign w:val="center"/>
          </w:tcPr>
          <w:p w14:paraId="27CA7F52">
            <w:pPr>
              <w:adjustRightInd w:val="0"/>
              <w:snapToGrid w:val="0"/>
              <w:jc w:val="center"/>
              <w:rPr>
                <w:b w:val="0"/>
                <w:bCs w:val="0"/>
                <w:color w:val="auto"/>
                <w:spacing w:val="-8"/>
                <w:sz w:val="21"/>
                <w:szCs w:val="21"/>
              </w:rPr>
            </w:pPr>
            <w:r>
              <w:rPr>
                <w:b w:val="0"/>
                <w:bCs w:val="0"/>
                <w:color w:val="auto"/>
                <w:spacing w:val="-8"/>
                <w:sz w:val="21"/>
                <w:szCs w:val="21"/>
              </w:rPr>
              <w:t>其他环境</w:t>
            </w:r>
          </w:p>
          <w:p w14:paraId="49AEBF50">
            <w:pPr>
              <w:adjustRightInd w:val="0"/>
              <w:snapToGrid w:val="0"/>
              <w:jc w:val="center"/>
              <w:rPr>
                <w:b w:val="0"/>
                <w:bCs w:val="0"/>
                <w:color w:val="auto"/>
                <w:spacing w:val="-8"/>
                <w:sz w:val="21"/>
                <w:szCs w:val="21"/>
              </w:rPr>
            </w:pPr>
            <w:r>
              <w:rPr>
                <w:b w:val="0"/>
                <w:bCs w:val="0"/>
                <w:color w:val="auto"/>
                <w:spacing w:val="-8"/>
                <w:sz w:val="21"/>
                <w:szCs w:val="21"/>
              </w:rPr>
              <w:t>管理要求</w:t>
            </w:r>
          </w:p>
        </w:tc>
        <w:tc>
          <w:tcPr>
            <w:tcW w:w="7681" w:type="dxa"/>
            <w:gridSpan w:val="4"/>
            <w:noWrap w:val="0"/>
            <w:vAlign w:val="center"/>
          </w:tcPr>
          <w:p w14:paraId="686E9E10">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7FCB957F">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07769AAC">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5FF8F224">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435B1784">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7169394F">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55668B67">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62FB88AD">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110BE297">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p>
          <w:p w14:paraId="2B72BAB1">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①按照监测计划定期进行监测；</w:t>
            </w:r>
          </w:p>
          <w:p w14:paraId="4DD4C810">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②在启动生产设施或发生实际排污之前办理排污许可相关手续；</w:t>
            </w:r>
          </w:p>
          <w:p w14:paraId="72AE6ED9">
            <w:pPr>
              <w:pStyle w:val="115"/>
              <w:jc w:val="both"/>
              <w:rPr>
                <w:b w:val="0"/>
                <w:bCs w:val="0"/>
                <w:color w:val="auto"/>
                <w:sz w:val="21"/>
                <w:szCs w:val="21"/>
              </w:rPr>
            </w:pPr>
            <w:r>
              <w:rPr>
                <w:rFonts w:hint="eastAsia" w:ascii="Times New Roman" w:hAnsi="Times New Roman" w:cs="Times New Roman"/>
                <w:sz w:val="21"/>
                <w:szCs w:val="21"/>
                <w:lang w:val="en-US" w:eastAsia="zh-CN"/>
              </w:rPr>
              <w:t>③根据环保竣工验收相关要求，自主开展环境保护竣工验收相关工作，且经验收合格后方可投入生产，未经验收或者验收不合格的，不得投入生产。</w:t>
            </w:r>
          </w:p>
          <w:p w14:paraId="642E14A7">
            <w:pPr>
              <w:pStyle w:val="115"/>
              <w:rPr>
                <w:b w:val="0"/>
                <w:bCs w:val="0"/>
                <w:color w:val="auto"/>
                <w:sz w:val="21"/>
                <w:szCs w:val="21"/>
              </w:rPr>
            </w:pPr>
          </w:p>
          <w:p w14:paraId="45F2E3EB">
            <w:pPr>
              <w:pStyle w:val="115"/>
              <w:rPr>
                <w:b w:val="0"/>
                <w:bCs w:val="0"/>
                <w:color w:val="auto"/>
                <w:sz w:val="21"/>
                <w:szCs w:val="21"/>
              </w:rPr>
            </w:pPr>
          </w:p>
          <w:p w14:paraId="7A87566A">
            <w:pPr>
              <w:pStyle w:val="115"/>
              <w:rPr>
                <w:b w:val="0"/>
                <w:bCs w:val="0"/>
                <w:color w:val="auto"/>
                <w:sz w:val="21"/>
                <w:szCs w:val="21"/>
              </w:rPr>
            </w:pPr>
          </w:p>
          <w:p w14:paraId="5BDC0BD1">
            <w:pPr>
              <w:pStyle w:val="115"/>
              <w:rPr>
                <w:b w:val="0"/>
                <w:bCs w:val="0"/>
                <w:color w:val="auto"/>
                <w:sz w:val="21"/>
                <w:szCs w:val="21"/>
              </w:rPr>
            </w:pPr>
          </w:p>
          <w:p w14:paraId="4EE02A8F">
            <w:pPr>
              <w:pStyle w:val="115"/>
              <w:rPr>
                <w:b w:val="0"/>
                <w:bCs w:val="0"/>
                <w:color w:val="auto"/>
                <w:sz w:val="21"/>
                <w:szCs w:val="21"/>
              </w:rPr>
            </w:pPr>
          </w:p>
          <w:p w14:paraId="256D99FD">
            <w:pPr>
              <w:pStyle w:val="115"/>
              <w:rPr>
                <w:b w:val="0"/>
                <w:bCs w:val="0"/>
                <w:color w:val="auto"/>
                <w:sz w:val="21"/>
                <w:szCs w:val="21"/>
              </w:rPr>
            </w:pPr>
          </w:p>
          <w:p w14:paraId="1B109199">
            <w:pPr>
              <w:pStyle w:val="115"/>
              <w:rPr>
                <w:b w:val="0"/>
                <w:bCs w:val="0"/>
                <w:color w:val="auto"/>
                <w:sz w:val="21"/>
                <w:szCs w:val="21"/>
              </w:rPr>
            </w:pPr>
          </w:p>
          <w:p w14:paraId="293E3706">
            <w:pPr>
              <w:pStyle w:val="115"/>
              <w:rPr>
                <w:b w:val="0"/>
                <w:bCs w:val="0"/>
                <w:color w:val="auto"/>
                <w:sz w:val="21"/>
                <w:szCs w:val="21"/>
              </w:rPr>
            </w:pPr>
          </w:p>
          <w:p w14:paraId="695642AE">
            <w:pPr>
              <w:pStyle w:val="115"/>
              <w:rPr>
                <w:b w:val="0"/>
                <w:bCs w:val="0"/>
                <w:color w:val="auto"/>
                <w:sz w:val="21"/>
                <w:szCs w:val="21"/>
              </w:rPr>
            </w:pPr>
          </w:p>
          <w:p w14:paraId="3E31C0AE">
            <w:pPr>
              <w:pStyle w:val="115"/>
              <w:rPr>
                <w:b w:val="0"/>
                <w:bCs w:val="0"/>
                <w:color w:val="auto"/>
                <w:sz w:val="21"/>
                <w:szCs w:val="21"/>
              </w:rPr>
            </w:pPr>
          </w:p>
          <w:p w14:paraId="11EEA7CA">
            <w:pPr>
              <w:pStyle w:val="115"/>
              <w:rPr>
                <w:b w:val="0"/>
                <w:bCs w:val="0"/>
                <w:color w:val="auto"/>
                <w:sz w:val="21"/>
                <w:szCs w:val="21"/>
              </w:rPr>
            </w:pPr>
          </w:p>
          <w:p w14:paraId="2AE4DF7B">
            <w:pPr>
              <w:pStyle w:val="115"/>
              <w:rPr>
                <w:b w:val="0"/>
                <w:bCs w:val="0"/>
                <w:color w:val="auto"/>
                <w:sz w:val="21"/>
                <w:szCs w:val="21"/>
              </w:rPr>
            </w:pPr>
          </w:p>
          <w:p w14:paraId="79C56473">
            <w:pPr>
              <w:pStyle w:val="115"/>
              <w:rPr>
                <w:b w:val="0"/>
                <w:bCs w:val="0"/>
                <w:color w:val="auto"/>
                <w:sz w:val="21"/>
                <w:szCs w:val="21"/>
              </w:rPr>
            </w:pPr>
          </w:p>
          <w:p w14:paraId="72643BEE">
            <w:pPr>
              <w:pStyle w:val="115"/>
              <w:jc w:val="both"/>
              <w:rPr>
                <w:b w:val="0"/>
                <w:bCs w:val="0"/>
                <w:color w:val="auto"/>
                <w:sz w:val="21"/>
                <w:szCs w:val="21"/>
              </w:rPr>
            </w:pPr>
          </w:p>
        </w:tc>
      </w:tr>
    </w:tbl>
    <w:p w14:paraId="0A700C79">
      <w:pPr>
        <w:pStyle w:val="34"/>
        <w:jc w:val="center"/>
        <w:outlineLvl w:val="0"/>
        <w:rPr>
          <w:rFonts w:ascii="Times New Roman" w:hAnsi="Times New Roman" w:eastAsia="黑体"/>
          <w:b w:val="0"/>
          <w:bCs w:val="0"/>
          <w:snapToGrid w:val="0"/>
          <w:color w:val="auto"/>
          <w:sz w:val="30"/>
          <w:szCs w:val="30"/>
        </w:rPr>
      </w:pPr>
      <w:r>
        <w:rPr>
          <w:rFonts w:ascii="Times New Roman" w:hAnsi="Times New Roman"/>
          <w:b w:val="0"/>
          <w:bCs w:val="0"/>
          <w:snapToGrid w:val="0"/>
          <w:color w:val="FF0000"/>
        </w:rPr>
        <w:br w:type="page"/>
      </w:r>
      <w:bookmarkStart w:id="112" w:name="_Toc6562"/>
      <w:r>
        <w:rPr>
          <w:rFonts w:ascii="Times New Roman" w:hAnsi="Times New Roman" w:eastAsia="黑体"/>
          <w:b w:val="0"/>
          <w:bCs w:val="0"/>
          <w:snapToGrid w:val="0"/>
          <w:color w:val="auto"/>
          <w:sz w:val="30"/>
          <w:szCs w:val="30"/>
        </w:rPr>
        <w:t>六、结论</w:t>
      </w:r>
      <w:bookmarkEnd w:id="112"/>
    </w:p>
    <w:tbl>
      <w:tblPr>
        <w:tblStyle w:val="3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067E93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14:paraId="0716CDDA">
            <w:pPr>
              <w:pStyle w:val="96"/>
              <w:ind w:firstLine="480"/>
              <w:rPr>
                <w:b w:val="0"/>
                <w:bCs w:val="0"/>
                <w:color w:val="auto"/>
              </w:rPr>
            </w:pPr>
            <w:r>
              <w:rPr>
                <w:b w:val="0"/>
                <w:bCs w:val="0"/>
                <w:color w:val="auto"/>
              </w:rPr>
              <w:t>综上所述，</w:t>
            </w:r>
            <w:r>
              <w:rPr>
                <w:rFonts w:hint="eastAsia"/>
                <w:b w:val="0"/>
                <w:bCs w:val="0"/>
                <w:color w:val="auto"/>
                <w:lang w:val="en-US" w:eastAsia="zh-CN"/>
              </w:rPr>
              <w:t>河南中玻玻璃有限公司</w:t>
            </w:r>
            <w:r>
              <w:rPr>
                <w:rFonts w:hint="eastAsia"/>
                <w:b w:val="0"/>
                <w:bCs w:val="0"/>
                <w:color w:val="auto"/>
                <w:sz w:val="24"/>
                <w:lang w:val="en-US" w:eastAsia="zh-CN"/>
              </w:rPr>
              <w:t>节能安全玻璃新材料及技术装备生产线建设项目</w:t>
            </w:r>
            <w:r>
              <w:rPr>
                <w:b w:val="0"/>
                <w:bCs w:val="0"/>
                <w:color w:val="auto"/>
              </w:rPr>
              <w:t>符合国家产业政策要求，选址和平面布置合理。工程建设符合国家产业政策，选址符合相关规划要求；采取的“三废”及污染治理措施经济技术可行，措施有效；项目实施后可满足当地环保质量要求。评价认为，在严格执行“三同时”制度，在保证达标排放的前提下，从环境影响角度分析本项目建设是可行的。</w:t>
            </w:r>
          </w:p>
          <w:p w14:paraId="30DBA7AD">
            <w:pPr>
              <w:spacing w:line="360" w:lineRule="auto"/>
              <w:rPr>
                <w:b w:val="0"/>
                <w:bCs w:val="0"/>
                <w:color w:val="FF0000"/>
                <w:sz w:val="24"/>
              </w:rPr>
            </w:pPr>
          </w:p>
        </w:tc>
      </w:tr>
    </w:tbl>
    <w:p w14:paraId="47A4C94B">
      <w:pPr>
        <w:pStyle w:val="62"/>
        <w:spacing w:before="192" w:beforeLines="80" w:after="24"/>
        <w:ind w:left="0" w:leftChars="0" w:firstLine="0" w:firstLineChars="0"/>
        <w:jc w:val="left"/>
        <w:rPr>
          <w:rFonts w:ascii="Times New Roman" w:eastAsia="黑体"/>
          <w:b w:val="0"/>
          <w:bCs w:val="0"/>
          <w:color w:val="auto"/>
        </w:rPr>
      </w:pPr>
    </w:p>
    <w:sectPr>
      <w:footerReference r:id="rId5" w:type="default"/>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MS Mincho">
    <w:altName w:val="Yu Gothic UI"/>
    <w:panose1 w:val="02020609040205080304"/>
    <w:charset w:val="80"/>
    <w:family w:val="modern"/>
    <w:pitch w:val="default"/>
    <w:sig w:usb0="00000000" w:usb1="00000000" w:usb2="00000010" w:usb3="00000000" w:csb0="4002009F" w:csb1="DFD7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86"/>
    <w:family w:val="auto"/>
    <w:pitch w:val="default"/>
    <w:sig w:usb0="00000000" w:usb1="00000000" w:usb2="00000000" w:usb3="00000000" w:csb0="00040000"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91CB82">
    <w:pPr>
      <w:pStyle w:val="2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628AE">
    <w:pPr>
      <w:pStyle w:val="25"/>
      <w:framePr w:wrap="around" w:vAnchor="text" w:hAnchor="margin" w:xAlign="outside" w:y="1"/>
      <w:rPr>
        <w:rStyle w:val="43"/>
        <w:rFonts w:ascii="宋体" w:hAnsi="宋体"/>
        <w:sz w:val="28"/>
        <w:szCs w:val="28"/>
      </w:rPr>
    </w:pPr>
    <w:r>
      <w:rPr>
        <w:rStyle w:val="43"/>
        <w:rFonts w:hint="eastAsia" w:ascii="宋体" w:hAnsi="宋体"/>
        <w:sz w:val="28"/>
        <w:szCs w:val="28"/>
      </w:rPr>
      <w:t>—</w:t>
    </w:r>
    <w:r>
      <w:rPr>
        <w:rStyle w:val="43"/>
        <w:rFonts w:hint="eastAsia" w:ascii="宋体" w:hAnsi="宋体"/>
        <w:sz w:val="20"/>
      </w:rPr>
      <w:t xml:space="preserve">  </w:t>
    </w:r>
    <w:r>
      <w:rPr>
        <w:rFonts w:ascii="宋体" w:hAnsi="宋体"/>
        <w:sz w:val="26"/>
        <w:szCs w:val="26"/>
      </w:rPr>
      <w:fldChar w:fldCharType="begin"/>
    </w:r>
    <w:r>
      <w:rPr>
        <w:rStyle w:val="43"/>
        <w:rFonts w:ascii="宋体" w:hAnsi="宋体"/>
        <w:sz w:val="26"/>
        <w:szCs w:val="26"/>
      </w:rPr>
      <w:instrText xml:space="preserve">PAGE  </w:instrText>
    </w:r>
    <w:r>
      <w:rPr>
        <w:rFonts w:ascii="宋体" w:hAnsi="宋体"/>
        <w:sz w:val="26"/>
        <w:szCs w:val="26"/>
      </w:rPr>
      <w:fldChar w:fldCharType="separate"/>
    </w:r>
    <w:r>
      <w:rPr>
        <w:rStyle w:val="43"/>
        <w:rFonts w:ascii="宋体" w:hAnsi="宋体"/>
        <w:sz w:val="26"/>
        <w:szCs w:val="26"/>
      </w:rPr>
      <w:t>9</w:t>
    </w:r>
    <w:r>
      <w:rPr>
        <w:rFonts w:ascii="宋体" w:hAnsi="宋体"/>
        <w:sz w:val="26"/>
        <w:szCs w:val="26"/>
      </w:rPr>
      <w:fldChar w:fldCharType="end"/>
    </w:r>
    <w:r>
      <w:rPr>
        <w:rStyle w:val="43"/>
        <w:rFonts w:hint="eastAsia" w:ascii="宋体" w:hAnsi="宋体"/>
        <w:sz w:val="20"/>
      </w:rPr>
      <w:t xml:space="preserve">  </w:t>
    </w:r>
    <w:r>
      <w:rPr>
        <w:rStyle w:val="43"/>
        <w:rFonts w:hint="eastAsia" w:ascii="宋体" w:hAnsi="宋体"/>
        <w:sz w:val="28"/>
        <w:szCs w:val="28"/>
      </w:rPr>
      <w:t>—</w:t>
    </w:r>
  </w:p>
  <w:p w14:paraId="1E56A9B3">
    <w:pPr>
      <w:pStyle w:val="25"/>
      <w:ind w:right="360" w:firstLine="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00B53">
    <w:pPr>
      <w:pStyle w:val="25"/>
      <w:framePr w:wrap="around" w:vAnchor="text" w:hAnchor="margin" w:xAlign="outside" w:y="1"/>
      <w:rPr>
        <w:rStyle w:val="43"/>
        <w:rFonts w:ascii="宋体" w:hAnsi="宋体"/>
        <w:sz w:val="28"/>
        <w:szCs w:val="28"/>
      </w:rPr>
    </w:pPr>
    <w:r>
      <w:rPr>
        <w:rStyle w:val="43"/>
        <w:rFonts w:hint="eastAsia" w:ascii="宋体" w:hAnsi="宋体"/>
        <w:sz w:val="28"/>
        <w:szCs w:val="28"/>
      </w:rPr>
      <w:t>—</w:t>
    </w:r>
    <w:r>
      <w:rPr>
        <w:rStyle w:val="43"/>
        <w:rFonts w:hint="eastAsia" w:ascii="宋体" w:hAnsi="宋体"/>
        <w:sz w:val="20"/>
      </w:rPr>
      <w:t xml:space="preserve"> </w:t>
    </w:r>
    <w:r>
      <w:rPr>
        <w:rStyle w:val="43"/>
        <w:rFonts w:hint="default" w:ascii="Times New Roman" w:hAnsi="Times New Roman" w:cs="Times New Roman"/>
        <w:sz w:val="20"/>
      </w:rPr>
      <w:t xml:space="preserve"> </w:t>
    </w:r>
    <w:r>
      <w:rPr>
        <w:rFonts w:hint="default" w:ascii="Times New Roman" w:hAnsi="Times New Roman" w:cs="Times New Roman"/>
        <w:sz w:val="26"/>
        <w:szCs w:val="26"/>
      </w:rPr>
      <w:fldChar w:fldCharType="begin"/>
    </w:r>
    <w:r>
      <w:rPr>
        <w:rStyle w:val="43"/>
        <w:rFonts w:hint="default" w:ascii="Times New Roman" w:hAnsi="Times New Roman" w:cs="Times New Roman"/>
        <w:sz w:val="26"/>
        <w:szCs w:val="26"/>
      </w:rPr>
      <w:instrText xml:space="preserve">PAGE  </w:instrText>
    </w:r>
    <w:r>
      <w:rPr>
        <w:rFonts w:hint="default" w:ascii="Times New Roman" w:hAnsi="Times New Roman" w:cs="Times New Roman"/>
        <w:sz w:val="26"/>
        <w:szCs w:val="26"/>
      </w:rPr>
      <w:fldChar w:fldCharType="separate"/>
    </w:r>
    <w:r>
      <w:rPr>
        <w:rStyle w:val="43"/>
        <w:rFonts w:hint="default" w:ascii="Times New Roman" w:hAnsi="Times New Roman" w:cs="Times New Roman"/>
        <w:sz w:val="26"/>
        <w:szCs w:val="26"/>
      </w:rPr>
      <w:t>11</w:t>
    </w:r>
    <w:r>
      <w:rPr>
        <w:rFonts w:hint="default" w:ascii="Times New Roman" w:hAnsi="Times New Roman" w:cs="Times New Roman"/>
        <w:sz w:val="26"/>
        <w:szCs w:val="26"/>
      </w:rPr>
      <w:fldChar w:fldCharType="end"/>
    </w:r>
    <w:r>
      <w:rPr>
        <w:rStyle w:val="43"/>
        <w:rFonts w:hint="eastAsia" w:ascii="宋体" w:hAnsi="宋体"/>
        <w:sz w:val="20"/>
      </w:rPr>
      <w:t xml:space="preserve">  </w:t>
    </w:r>
    <w:r>
      <w:rPr>
        <w:rStyle w:val="43"/>
        <w:rFonts w:hint="eastAsia" w:ascii="宋体" w:hAnsi="宋体"/>
        <w:sz w:val="28"/>
        <w:szCs w:val="28"/>
      </w:rPr>
      <w:t>—</w:t>
    </w:r>
  </w:p>
  <w:p w14:paraId="28883562">
    <w:pPr>
      <w:pStyle w:val="25"/>
      <w:ind w:right="360" w:firstLine="360"/>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94BCD2"/>
    <w:multiLevelType w:val="singleLevel"/>
    <w:tmpl w:val="9D94BCD2"/>
    <w:lvl w:ilvl="0" w:tentative="0">
      <w:start w:val="1"/>
      <w:numFmt w:val="decimal"/>
      <w:suff w:val="nothing"/>
      <w:lvlText w:val="（%1）"/>
      <w:lvlJc w:val="left"/>
    </w:lvl>
  </w:abstractNum>
  <w:abstractNum w:abstractNumId="1">
    <w:nsid w:val="E0E35953"/>
    <w:multiLevelType w:val="singleLevel"/>
    <w:tmpl w:val="E0E35953"/>
    <w:lvl w:ilvl="0" w:tentative="0">
      <w:start w:val="1"/>
      <w:numFmt w:val="decimalEnclosedCircleChinese"/>
      <w:suff w:val="nothing"/>
      <w:lvlText w:val="%1　"/>
      <w:lvlJc w:val="left"/>
      <w:pPr>
        <w:ind w:left="0" w:firstLine="400"/>
      </w:pPr>
      <w:rPr>
        <w:rFonts w:hint="eastAsia"/>
      </w:rPr>
    </w:lvl>
  </w:abstractNum>
  <w:abstractNum w:abstractNumId="2">
    <w:nsid w:val="E9C3A7FA"/>
    <w:multiLevelType w:val="singleLevel"/>
    <w:tmpl w:val="E9C3A7FA"/>
    <w:lvl w:ilvl="0" w:tentative="0">
      <w:start w:val="1"/>
      <w:numFmt w:val="decimal"/>
      <w:suff w:val="nothing"/>
      <w:lvlText w:val="%1、"/>
      <w:lvlJc w:val="left"/>
    </w:lvl>
  </w:abstractNum>
  <w:abstractNum w:abstractNumId="3">
    <w:nsid w:val="F41EAFF4"/>
    <w:multiLevelType w:val="singleLevel"/>
    <w:tmpl w:val="F41EAFF4"/>
    <w:lvl w:ilvl="0" w:tentative="0">
      <w:start w:val="1"/>
      <w:numFmt w:val="decimalEnclosedCircleChinese"/>
      <w:suff w:val="nothing"/>
      <w:lvlText w:val="%1　"/>
      <w:lvlJc w:val="left"/>
      <w:pPr>
        <w:ind w:left="0" w:firstLine="400"/>
      </w:pPr>
      <w:rPr>
        <w:rFonts w:hint="eastAsia"/>
      </w:rPr>
    </w:lvl>
  </w:abstractNum>
  <w:abstractNum w:abstractNumId="4">
    <w:nsid w:val="F7E1A37C"/>
    <w:multiLevelType w:val="singleLevel"/>
    <w:tmpl w:val="F7E1A37C"/>
    <w:lvl w:ilvl="0" w:tentative="0">
      <w:start w:val="1"/>
      <w:numFmt w:val="decimal"/>
      <w:suff w:val="nothing"/>
      <w:lvlText w:val="%1、"/>
      <w:lvlJc w:val="left"/>
    </w:lvl>
  </w:abstractNum>
  <w:abstractNum w:abstractNumId="5">
    <w:nsid w:val="0ECED720"/>
    <w:multiLevelType w:val="singleLevel"/>
    <w:tmpl w:val="0ECED720"/>
    <w:lvl w:ilvl="0" w:tentative="0">
      <w:start w:val="1"/>
      <w:numFmt w:val="bullet"/>
      <w:pStyle w:val="12"/>
      <w:lvlText w:val=""/>
      <w:lvlJc w:val="left"/>
      <w:pPr>
        <w:tabs>
          <w:tab w:val="left" w:pos="780"/>
        </w:tabs>
        <w:ind w:left="780" w:hanging="360"/>
      </w:pPr>
      <w:rPr>
        <w:rFonts w:hint="default" w:ascii="Wingdings" w:hAnsi="Wingdings"/>
      </w:rPr>
    </w:lvl>
  </w:abstractNum>
  <w:abstractNum w:abstractNumId="6">
    <w:nsid w:val="33711F0B"/>
    <w:multiLevelType w:val="singleLevel"/>
    <w:tmpl w:val="33711F0B"/>
    <w:lvl w:ilvl="0" w:tentative="0">
      <w:start w:val="5"/>
      <w:numFmt w:val="chineseCounting"/>
      <w:suff w:val="nothing"/>
      <w:lvlText w:val="%1、"/>
      <w:lvlJc w:val="left"/>
      <w:rPr>
        <w:rFonts w:hint="eastAsia"/>
      </w:rPr>
    </w:lvl>
  </w:abstractNum>
  <w:abstractNum w:abstractNumId="7">
    <w:nsid w:val="517127A6"/>
    <w:multiLevelType w:val="multilevel"/>
    <w:tmpl w:val="517127A6"/>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61A56479"/>
    <w:multiLevelType w:val="singleLevel"/>
    <w:tmpl w:val="61A56479"/>
    <w:lvl w:ilvl="0" w:tentative="0">
      <w:start w:val="1"/>
      <w:numFmt w:val="decimalEnclosedCircleChinese"/>
      <w:suff w:val="nothing"/>
      <w:lvlText w:val="%1　"/>
      <w:lvlJc w:val="left"/>
      <w:pPr>
        <w:ind w:left="0" w:firstLine="400"/>
      </w:pPr>
      <w:rPr>
        <w:rFonts w:hint="eastAsia"/>
      </w:rPr>
    </w:lvl>
  </w:abstractNum>
  <w:abstractNum w:abstractNumId="9">
    <w:nsid w:val="77C80617"/>
    <w:multiLevelType w:val="singleLevel"/>
    <w:tmpl w:val="77C80617"/>
    <w:lvl w:ilvl="0" w:tentative="0">
      <w:start w:val="1"/>
      <w:numFmt w:val="decimal"/>
      <w:suff w:val="nothing"/>
      <w:lvlText w:val="%1）"/>
      <w:lvlJc w:val="left"/>
    </w:lvl>
  </w:abstractNum>
  <w:abstractNum w:abstractNumId="10">
    <w:nsid w:val="792FF2AC"/>
    <w:multiLevelType w:val="singleLevel"/>
    <w:tmpl w:val="792FF2AC"/>
    <w:lvl w:ilvl="0" w:tentative="0">
      <w:start w:val="1"/>
      <w:numFmt w:val="decimal"/>
      <w:suff w:val="nothing"/>
      <w:lvlText w:val="%1、"/>
      <w:lvlJc w:val="left"/>
    </w:lvl>
  </w:abstractNum>
  <w:num w:numId="1">
    <w:abstractNumId w:val="5"/>
  </w:num>
  <w:num w:numId="2">
    <w:abstractNumId w:val="7"/>
  </w:num>
  <w:num w:numId="3">
    <w:abstractNumId w:val="1"/>
  </w:num>
  <w:num w:numId="4">
    <w:abstractNumId w:val="9"/>
  </w:num>
  <w:num w:numId="5">
    <w:abstractNumId w:val="8"/>
  </w:num>
  <w:num w:numId="6">
    <w:abstractNumId w:val="3"/>
  </w:num>
  <w:num w:numId="7">
    <w:abstractNumId w:val="0"/>
  </w:num>
  <w:num w:numId="8">
    <w:abstractNumId w:val="10"/>
  </w:num>
  <w:num w:numId="9">
    <w:abstractNumId w:val="4"/>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hyphenationZone w:val="360"/>
  <w:displayHorizontalDrawingGridEvery w:val="1"/>
  <w:displayVerticalDrawingGridEvery w:val="1"/>
  <w:noPunctuationKerning w:val="1"/>
  <w:characterSpacingControl w:val="doNotCompress"/>
  <w:compat>
    <w:doNotLeaveBackslashAlone/>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5NjNlOTQxZmY5ZTdkMjY0NWQ4NGZhZjU3MjM4ODMifQ=="/>
  </w:docVars>
  <w:rsids>
    <w:rsidRoot w:val="00172A27"/>
    <w:rsid w:val="000060B3"/>
    <w:rsid w:val="0004364B"/>
    <w:rsid w:val="00061B1F"/>
    <w:rsid w:val="00071545"/>
    <w:rsid w:val="000733C4"/>
    <w:rsid w:val="00074783"/>
    <w:rsid w:val="0008070B"/>
    <w:rsid w:val="000810AC"/>
    <w:rsid w:val="00081A02"/>
    <w:rsid w:val="00082231"/>
    <w:rsid w:val="00092D38"/>
    <w:rsid w:val="0009377B"/>
    <w:rsid w:val="00093D5F"/>
    <w:rsid w:val="000A20C9"/>
    <w:rsid w:val="000B058F"/>
    <w:rsid w:val="000B4467"/>
    <w:rsid w:val="000B4DB9"/>
    <w:rsid w:val="000C09AC"/>
    <w:rsid w:val="000C2EF6"/>
    <w:rsid w:val="000C767F"/>
    <w:rsid w:val="000D5A44"/>
    <w:rsid w:val="000E3ED2"/>
    <w:rsid w:val="00107060"/>
    <w:rsid w:val="001155A2"/>
    <w:rsid w:val="001177B4"/>
    <w:rsid w:val="00131F42"/>
    <w:rsid w:val="001357F1"/>
    <w:rsid w:val="00140FA8"/>
    <w:rsid w:val="00142FEB"/>
    <w:rsid w:val="00143A2D"/>
    <w:rsid w:val="00145A41"/>
    <w:rsid w:val="00151675"/>
    <w:rsid w:val="001570FF"/>
    <w:rsid w:val="00157435"/>
    <w:rsid w:val="00172A27"/>
    <w:rsid w:val="0017504D"/>
    <w:rsid w:val="0017671A"/>
    <w:rsid w:val="00177422"/>
    <w:rsid w:val="00184590"/>
    <w:rsid w:val="001870D1"/>
    <w:rsid w:val="0018781E"/>
    <w:rsid w:val="0019262D"/>
    <w:rsid w:val="001A1B35"/>
    <w:rsid w:val="001A4716"/>
    <w:rsid w:val="001A48A2"/>
    <w:rsid w:val="001A6F61"/>
    <w:rsid w:val="001B72B8"/>
    <w:rsid w:val="001C69B3"/>
    <w:rsid w:val="001D5595"/>
    <w:rsid w:val="001D7874"/>
    <w:rsid w:val="001D7F22"/>
    <w:rsid w:val="001F0F17"/>
    <w:rsid w:val="001F27F0"/>
    <w:rsid w:val="001F3347"/>
    <w:rsid w:val="001F69E4"/>
    <w:rsid w:val="00206BD7"/>
    <w:rsid w:val="00207C83"/>
    <w:rsid w:val="002125B4"/>
    <w:rsid w:val="0021350E"/>
    <w:rsid w:val="00214267"/>
    <w:rsid w:val="002155B8"/>
    <w:rsid w:val="00224839"/>
    <w:rsid w:val="002249B2"/>
    <w:rsid w:val="00226574"/>
    <w:rsid w:val="002278EC"/>
    <w:rsid w:val="0023280E"/>
    <w:rsid w:val="002377D1"/>
    <w:rsid w:val="002506BC"/>
    <w:rsid w:val="00254345"/>
    <w:rsid w:val="00264557"/>
    <w:rsid w:val="002805AB"/>
    <w:rsid w:val="00284204"/>
    <w:rsid w:val="00290307"/>
    <w:rsid w:val="00291773"/>
    <w:rsid w:val="002A168C"/>
    <w:rsid w:val="002A3DC7"/>
    <w:rsid w:val="002A47DD"/>
    <w:rsid w:val="002B49E2"/>
    <w:rsid w:val="002B7B00"/>
    <w:rsid w:val="002B7C44"/>
    <w:rsid w:val="002C2B17"/>
    <w:rsid w:val="002D3DD0"/>
    <w:rsid w:val="002E1F3A"/>
    <w:rsid w:val="002E298A"/>
    <w:rsid w:val="002F04B7"/>
    <w:rsid w:val="00301978"/>
    <w:rsid w:val="0030332C"/>
    <w:rsid w:val="003051C2"/>
    <w:rsid w:val="00312296"/>
    <w:rsid w:val="00314F0E"/>
    <w:rsid w:val="00315F46"/>
    <w:rsid w:val="00321D8E"/>
    <w:rsid w:val="00325928"/>
    <w:rsid w:val="00332863"/>
    <w:rsid w:val="0033684D"/>
    <w:rsid w:val="00337B42"/>
    <w:rsid w:val="00341B42"/>
    <w:rsid w:val="0034348F"/>
    <w:rsid w:val="00356653"/>
    <w:rsid w:val="0035743F"/>
    <w:rsid w:val="00357BE2"/>
    <w:rsid w:val="0036170C"/>
    <w:rsid w:val="00366E0F"/>
    <w:rsid w:val="00381893"/>
    <w:rsid w:val="00381A72"/>
    <w:rsid w:val="00384676"/>
    <w:rsid w:val="00390857"/>
    <w:rsid w:val="003A1C47"/>
    <w:rsid w:val="003A4BF3"/>
    <w:rsid w:val="003A7721"/>
    <w:rsid w:val="003B420D"/>
    <w:rsid w:val="003C6C16"/>
    <w:rsid w:val="003D794D"/>
    <w:rsid w:val="003D79F9"/>
    <w:rsid w:val="003E3058"/>
    <w:rsid w:val="003E76A9"/>
    <w:rsid w:val="003F0809"/>
    <w:rsid w:val="003F417C"/>
    <w:rsid w:val="003F6A8C"/>
    <w:rsid w:val="003F755C"/>
    <w:rsid w:val="00401CAE"/>
    <w:rsid w:val="00406F01"/>
    <w:rsid w:val="0041243A"/>
    <w:rsid w:val="00416D50"/>
    <w:rsid w:val="00416FD5"/>
    <w:rsid w:val="00417772"/>
    <w:rsid w:val="00417EF4"/>
    <w:rsid w:val="00420E6A"/>
    <w:rsid w:val="004248B6"/>
    <w:rsid w:val="00425A9E"/>
    <w:rsid w:val="00426D6B"/>
    <w:rsid w:val="00431E6C"/>
    <w:rsid w:val="00433CE7"/>
    <w:rsid w:val="00440880"/>
    <w:rsid w:val="00452738"/>
    <w:rsid w:val="00456091"/>
    <w:rsid w:val="004563A3"/>
    <w:rsid w:val="00466321"/>
    <w:rsid w:val="004668F5"/>
    <w:rsid w:val="00484B9B"/>
    <w:rsid w:val="004855F6"/>
    <w:rsid w:val="0048661E"/>
    <w:rsid w:val="00494670"/>
    <w:rsid w:val="004A3823"/>
    <w:rsid w:val="004B7EC0"/>
    <w:rsid w:val="004D1498"/>
    <w:rsid w:val="004E2E27"/>
    <w:rsid w:val="004E6946"/>
    <w:rsid w:val="004F1AD8"/>
    <w:rsid w:val="005039CB"/>
    <w:rsid w:val="00503D61"/>
    <w:rsid w:val="0050558F"/>
    <w:rsid w:val="00506286"/>
    <w:rsid w:val="00510813"/>
    <w:rsid w:val="00511990"/>
    <w:rsid w:val="00511DE0"/>
    <w:rsid w:val="00512E65"/>
    <w:rsid w:val="00514870"/>
    <w:rsid w:val="00514B9B"/>
    <w:rsid w:val="00517F02"/>
    <w:rsid w:val="00524303"/>
    <w:rsid w:val="005258A2"/>
    <w:rsid w:val="005401AE"/>
    <w:rsid w:val="00542E07"/>
    <w:rsid w:val="00545424"/>
    <w:rsid w:val="00554A7B"/>
    <w:rsid w:val="0055572C"/>
    <w:rsid w:val="0056106A"/>
    <w:rsid w:val="005711A8"/>
    <w:rsid w:val="005720AE"/>
    <w:rsid w:val="00594D77"/>
    <w:rsid w:val="005969E4"/>
    <w:rsid w:val="005A06B7"/>
    <w:rsid w:val="005A1759"/>
    <w:rsid w:val="005A30DB"/>
    <w:rsid w:val="005A68A7"/>
    <w:rsid w:val="005B449F"/>
    <w:rsid w:val="005D36AB"/>
    <w:rsid w:val="005D48D8"/>
    <w:rsid w:val="00617CC3"/>
    <w:rsid w:val="006377A6"/>
    <w:rsid w:val="00637A3D"/>
    <w:rsid w:val="006411EF"/>
    <w:rsid w:val="00657E9D"/>
    <w:rsid w:val="006748B8"/>
    <w:rsid w:val="006775C3"/>
    <w:rsid w:val="00687B7B"/>
    <w:rsid w:val="006912EF"/>
    <w:rsid w:val="0069290A"/>
    <w:rsid w:val="0069775A"/>
    <w:rsid w:val="00697813"/>
    <w:rsid w:val="006A3EE8"/>
    <w:rsid w:val="006A72BF"/>
    <w:rsid w:val="006B03F2"/>
    <w:rsid w:val="006B37DC"/>
    <w:rsid w:val="006B4F68"/>
    <w:rsid w:val="006C0592"/>
    <w:rsid w:val="006C272E"/>
    <w:rsid w:val="006C5479"/>
    <w:rsid w:val="006C596C"/>
    <w:rsid w:val="006D13B5"/>
    <w:rsid w:val="006E12FF"/>
    <w:rsid w:val="006E607E"/>
    <w:rsid w:val="00706C5D"/>
    <w:rsid w:val="0071436B"/>
    <w:rsid w:val="0073257C"/>
    <w:rsid w:val="00732922"/>
    <w:rsid w:val="0075162E"/>
    <w:rsid w:val="00754034"/>
    <w:rsid w:val="00756556"/>
    <w:rsid w:val="007618C4"/>
    <w:rsid w:val="0076355B"/>
    <w:rsid w:val="00767980"/>
    <w:rsid w:val="00770B19"/>
    <w:rsid w:val="007737A7"/>
    <w:rsid w:val="0077463F"/>
    <w:rsid w:val="007836EA"/>
    <w:rsid w:val="00784CDA"/>
    <w:rsid w:val="007906C4"/>
    <w:rsid w:val="007940EA"/>
    <w:rsid w:val="007967E8"/>
    <w:rsid w:val="007A0956"/>
    <w:rsid w:val="007A2170"/>
    <w:rsid w:val="007A22BF"/>
    <w:rsid w:val="007A3323"/>
    <w:rsid w:val="007B72B8"/>
    <w:rsid w:val="007B7A58"/>
    <w:rsid w:val="007C0E02"/>
    <w:rsid w:val="007C21B5"/>
    <w:rsid w:val="007C5B99"/>
    <w:rsid w:val="007D73A4"/>
    <w:rsid w:val="007E4BD2"/>
    <w:rsid w:val="00801393"/>
    <w:rsid w:val="00802F88"/>
    <w:rsid w:val="0081293E"/>
    <w:rsid w:val="00815465"/>
    <w:rsid w:val="00817E9A"/>
    <w:rsid w:val="008306BD"/>
    <w:rsid w:val="00831A80"/>
    <w:rsid w:val="00833743"/>
    <w:rsid w:val="008340A4"/>
    <w:rsid w:val="0087135F"/>
    <w:rsid w:val="00872D94"/>
    <w:rsid w:val="00876FBA"/>
    <w:rsid w:val="00880364"/>
    <w:rsid w:val="008905BE"/>
    <w:rsid w:val="00891592"/>
    <w:rsid w:val="00891E9E"/>
    <w:rsid w:val="008A2F68"/>
    <w:rsid w:val="008B4FA6"/>
    <w:rsid w:val="008B5282"/>
    <w:rsid w:val="008B7C17"/>
    <w:rsid w:val="008C2D01"/>
    <w:rsid w:val="008C40E6"/>
    <w:rsid w:val="008D0F7A"/>
    <w:rsid w:val="008D4D63"/>
    <w:rsid w:val="008D68E4"/>
    <w:rsid w:val="008E0506"/>
    <w:rsid w:val="008E0CFF"/>
    <w:rsid w:val="008E5D6B"/>
    <w:rsid w:val="008E6B28"/>
    <w:rsid w:val="008E76F0"/>
    <w:rsid w:val="008F15FE"/>
    <w:rsid w:val="008F2D29"/>
    <w:rsid w:val="008F5187"/>
    <w:rsid w:val="008F5461"/>
    <w:rsid w:val="008F60D8"/>
    <w:rsid w:val="008F7093"/>
    <w:rsid w:val="00902727"/>
    <w:rsid w:val="0090312B"/>
    <w:rsid w:val="0091736D"/>
    <w:rsid w:val="0093037A"/>
    <w:rsid w:val="0094154D"/>
    <w:rsid w:val="0095155F"/>
    <w:rsid w:val="00954429"/>
    <w:rsid w:val="009563CE"/>
    <w:rsid w:val="00964D58"/>
    <w:rsid w:val="00976328"/>
    <w:rsid w:val="0097680D"/>
    <w:rsid w:val="00982438"/>
    <w:rsid w:val="0098404C"/>
    <w:rsid w:val="00985283"/>
    <w:rsid w:val="00995992"/>
    <w:rsid w:val="009A03E5"/>
    <w:rsid w:val="009A0F3B"/>
    <w:rsid w:val="009A1BB4"/>
    <w:rsid w:val="009A2628"/>
    <w:rsid w:val="009A3200"/>
    <w:rsid w:val="009B0897"/>
    <w:rsid w:val="009B7BD9"/>
    <w:rsid w:val="009C774D"/>
    <w:rsid w:val="009C7DD5"/>
    <w:rsid w:val="009D2E7F"/>
    <w:rsid w:val="009D730E"/>
    <w:rsid w:val="009E227D"/>
    <w:rsid w:val="009E5019"/>
    <w:rsid w:val="00A01723"/>
    <w:rsid w:val="00A04F1B"/>
    <w:rsid w:val="00A0501B"/>
    <w:rsid w:val="00A14947"/>
    <w:rsid w:val="00A32A83"/>
    <w:rsid w:val="00A368DB"/>
    <w:rsid w:val="00A423AA"/>
    <w:rsid w:val="00A52DB4"/>
    <w:rsid w:val="00A53EC6"/>
    <w:rsid w:val="00A55C0F"/>
    <w:rsid w:val="00A62181"/>
    <w:rsid w:val="00A67D58"/>
    <w:rsid w:val="00A8713F"/>
    <w:rsid w:val="00A90BA1"/>
    <w:rsid w:val="00A932A2"/>
    <w:rsid w:val="00A97A9A"/>
    <w:rsid w:val="00AA0671"/>
    <w:rsid w:val="00AA2531"/>
    <w:rsid w:val="00AB1E09"/>
    <w:rsid w:val="00AB5330"/>
    <w:rsid w:val="00AB7747"/>
    <w:rsid w:val="00AC14CE"/>
    <w:rsid w:val="00AC2A56"/>
    <w:rsid w:val="00AD055E"/>
    <w:rsid w:val="00AD47A7"/>
    <w:rsid w:val="00AD4A50"/>
    <w:rsid w:val="00AF0CBF"/>
    <w:rsid w:val="00AF257F"/>
    <w:rsid w:val="00AF33CF"/>
    <w:rsid w:val="00AF4D50"/>
    <w:rsid w:val="00AF6179"/>
    <w:rsid w:val="00B1295A"/>
    <w:rsid w:val="00B20A45"/>
    <w:rsid w:val="00B214C6"/>
    <w:rsid w:val="00B22C5C"/>
    <w:rsid w:val="00B24F30"/>
    <w:rsid w:val="00B31ABF"/>
    <w:rsid w:val="00B33BE3"/>
    <w:rsid w:val="00B53B5D"/>
    <w:rsid w:val="00B53F46"/>
    <w:rsid w:val="00B60354"/>
    <w:rsid w:val="00B6055E"/>
    <w:rsid w:val="00B6317D"/>
    <w:rsid w:val="00B656D8"/>
    <w:rsid w:val="00B7723F"/>
    <w:rsid w:val="00B80534"/>
    <w:rsid w:val="00B8433C"/>
    <w:rsid w:val="00B87491"/>
    <w:rsid w:val="00B95EA9"/>
    <w:rsid w:val="00BA29E9"/>
    <w:rsid w:val="00BA7142"/>
    <w:rsid w:val="00BB237C"/>
    <w:rsid w:val="00BB41A3"/>
    <w:rsid w:val="00BC32DC"/>
    <w:rsid w:val="00BC35B6"/>
    <w:rsid w:val="00BC5036"/>
    <w:rsid w:val="00BD1B51"/>
    <w:rsid w:val="00BD4596"/>
    <w:rsid w:val="00BE1405"/>
    <w:rsid w:val="00BE312D"/>
    <w:rsid w:val="00BF1C20"/>
    <w:rsid w:val="00C10578"/>
    <w:rsid w:val="00C135BC"/>
    <w:rsid w:val="00C15C95"/>
    <w:rsid w:val="00C2596A"/>
    <w:rsid w:val="00C27537"/>
    <w:rsid w:val="00C328FE"/>
    <w:rsid w:val="00C33507"/>
    <w:rsid w:val="00C33884"/>
    <w:rsid w:val="00C4409D"/>
    <w:rsid w:val="00C44E72"/>
    <w:rsid w:val="00C45A06"/>
    <w:rsid w:val="00C47E5B"/>
    <w:rsid w:val="00C61E4B"/>
    <w:rsid w:val="00C64ABE"/>
    <w:rsid w:val="00C64BFF"/>
    <w:rsid w:val="00C704E9"/>
    <w:rsid w:val="00C763C9"/>
    <w:rsid w:val="00C80057"/>
    <w:rsid w:val="00C806A9"/>
    <w:rsid w:val="00C82232"/>
    <w:rsid w:val="00C82913"/>
    <w:rsid w:val="00C972B1"/>
    <w:rsid w:val="00CA2CCE"/>
    <w:rsid w:val="00CA43FD"/>
    <w:rsid w:val="00CA613C"/>
    <w:rsid w:val="00CA7EF8"/>
    <w:rsid w:val="00CB4281"/>
    <w:rsid w:val="00CC489B"/>
    <w:rsid w:val="00CC4B42"/>
    <w:rsid w:val="00CD2BCD"/>
    <w:rsid w:val="00CD3A4C"/>
    <w:rsid w:val="00CD52B1"/>
    <w:rsid w:val="00CE10E9"/>
    <w:rsid w:val="00CE2910"/>
    <w:rsid w:val="00CE5393"/>
    <w:rsid w:val="00CF36BE"/>
    <w:rsid w:val="00CF6000"/>
    <w:rsid w:val="00D003F3"/>
    <w:rsid w:val="00D0364F"/>
    <w:rsid w:val="00D059F9"/>
    <w:rsid w:val="00D06834"/>
    <w:rsid w:val="00D308ED"/>
    <w:rsid w:val="00D36D86"/>
    <w:rsid w:val="00D428AA"/>
    <w:rsid w:val="00D50A34"/>
    <w:rsid w:val="00D53EFA"/>
    <w:rsid w:val="00D8115A"/>
    <w:rsid w:val="00D94A7C"/>
    <w:rsid w:val="00D95896"/>
    <w:rsid w:val="00DB2983"/>
    <w:rsid w:val="00DC1257"/>
    <w:rsid w:val="00DC2EE9"/>
    <w:rsid w:val="00DC3DC0"/>
    <w:rsid w:val="00DC5B2B"/>
    <w:rsid w:val="00DD2A94"/>
    <w:rsid w:val="00DD318D"/>
    <w:rsid w:val="00DF2E12"/>
    <w:rsid w:val="00DF514A"/>
    <w:rsid w:val="00DF6690"/>
    <w:rsid w:val="00DF6804"/>
    <w:rsid w:val="00E0358D"/>
    <w:rsid w:val="00E04323"/>
    <w:rsid w:val="00E070A2"/>
    <w:rsid w:val="00E2656A"/>
    <w:rsid w:val="00E412D0"/>
    <w:rsid w:val="00E53DA8"/>
    <w:rsid w:val="00E56322"/>
    <w:rsid w:val="00E60982"/>
    <w:rsid w:val="00E62C62"/>
    <w:rsid w:val="00E654C1"/>
    <w:rsid w:val="00E65D97"/>
    <w:rsid w:val="00E72A5A"/>
    <w:rsid w:val="00E73354"/>
    <w:rsid w:val="00E9242D"/>
    <w:rsid w:val="00EB5255"/>
    <w:rsid w:val="00EB5C47"/>
    <w:rsid w:val="00EC7F15"/>
    <w:rsid w:val="00ED0639"/>
    <w:rsid w:val="00ED5CF8"/>
    <w:rsid w:val="00EF4755"/>
    <w:rsid w:val="00EF7135"/>
    <w:rsid w:val="00F027DB"/>
    <w:rsid w:val="00F14A7A"/>
    <w:rsid w:val="00F22985"/>
    <w:rsid w:val="00F3383E"/>
    <w:rsid w:val="00F465A7"/>
    <w:rsid w:val="00F50B7C"/>
    <w:rsid w:val="00F550E6"/>
    <w:rsid w:val="00F600A8"/>
    <w:rsid w:val="00F74345"/>
    <w:rsid w:val="00F76923"/>
    <w:rsid w:val="00F80A0A"/>
    <w:rsid w:val="00F82B19"/>
    <w:rsid w:val="00F9212D"/>
    <w:rsid w:val="00F965DA"/>
    <w:rsid w:val="00FA406A"/>
    <w:rsid w:val="00FB503A"/>
    <w:rsid w:val="00FB516C"/>
    <w:rsid w:val="00FD0236"/>
    <w:rsid w:val="00FD18F4"/>
    <w:rsid w:val="00FD54DB"/>
    <w:rsid w:val="00FD619F"/>
    <w:rsid w:val="010D7DD7"/>
    <w:rsid w:val="0117304F"/>
    <w:rsid w:val="01255CCE"/>
    <w:rsid w:val="01290F7E"/>
    <w:rsid w:val="013E4C2A"/>
    <w:rsid w:val="01400B78"/>
    <w:rsid w:val="0142677D"/>
    <w:rsid w:val="014B08FF"/>
    <w:rsid w:val="015D1E09"/>
    <w:rsid w:val="017F221A"/>
    <w:rsid w:val="018E7169"/>
    <w:rsid w:val="0198414F"/>
    <w:rsid w:val="01A3073B"/>
    <w:rsid w:val="01DD1E9F"/>
    <w:rsid w:val="01E21263"/>
    <w:rsid w:val="01F66ABD"/>
    <w:rsid w:val="01FB0577"/>
    <w:rsid w:val="02265692"/>
    <w:rsid w:val="022D1A18"/>
    <w:rsid w:val="023000F5"/>
    <w:rsid w:val="02392A25"/>
    <w:rsid w:val="0241242E"/>
    <w:rsid w:val="025A34EF"/>
    <w:rsid w:val="02691701"/>
    <w:rsid w:val="02697903"/>
    <w:rsid w:val="029167E5"/>
    <w:rsid w:val="02A75C1B"/>
    <w:rsid w:val="02CD301E"/>
    <w:rsid w:val="02DA1F3A"/>
    <w:rsid w:val="02EB7FA4"/>
    <w:rsid w:val="02EF1E8A"/>
    <w:rsid w:val="02F96569"/>
    <w:rsid w:val="02FF65F9"/>
    <w:rsid w:val="0301396B"/>
    <w:rsid w:val="030B66A1"/>
    <w:rsid w:val="030F42DA"/>
    <w:rsid w:val="031052FB"/>
    <w:rsid w:val="0337738D"/>
    <w:rsid w:val="03736026"/>
    <w:rsid w:val="039136C3"/>
    <w:rsid w:val="03932BA4"/>
    <w:rsid w:val="0399352E"/>
    <w:rsid w:val="03B92498"/>
    <w:rsid w:val="03BD23F3"/>
    <w:rsid w:val="03DE16ED"/>
    <w:rsid w:val="03EA7B21"/>
    <w:rsid w:val="03F010D8"/>
    <w:rsid w:val="03FA6D38"/>
    <w:rsid w:val="04043713"/>
    <w:rsid w:val="040B07F6"/>
    <w:rsid w:val="04161698"/>
    <w:rsid w:val="04181231"/>
    <w:rsid w:val="04274F2B"/>
    <w:rsid w:val="043B10FF"/>
    <w:rsid w:val="04444517"/>
    <w:rsid w:val="04ED064B"/>
    <w:rsid w:val="050351D8"/>
    <w:rsid w:val="051114D7"/>
    <w:rsid w:val="052F0BD6"/>
    <w:rsid w:val="053171AE"/>
    <w:rsid w:val="05452DD4"/>
    <w:rsid w:val="0549505B"/>
    <w:rsid w:val="05597A8E"/>
    <w:rsid w:val="057D6BA7"/>
    <w:rsid w:val="05A36F5B"/>
    <w:rsid w:val="05AD1B88"/>
    <w:rsid w:val="05B204D8"/>
    <w:rsid w:val="05C235FD"/>
    <w:rsid w:val="05F57C6A"/>
    <w:rsid w:val="05F83EAE"/>
    <w:rsid w:val="05FE4D75"/>
    <w:rsid w:val="06007F0A"/>
    <w:rsid w:val="062639CE"/>
    <w:rsid w:val="063E7D85"/>
    <w:rsid w:val="064424ED"/>
    <w:rsid w:val="06884901"/>
    <w:rsid w:val="06A66D03"/>
    <w:rsid w:val="06B84059"/>
    <w:rsid w:val="06D16E30"/>
    <w:rsid w:val="06D84497"/>
    <w:rsid w:val="06F34B13"/>
    <w:rsid w:val="06F7755F"/>
    <w:rsid w:val="070525C2"/>
    <w:rsid w:val="07293586"/>
    <w:rsid w:val="07295285"/>
    <w:rsid w:val="072D20E9"/>
    <w:rsid w:val="07302A71"/>
    <w:rsid w:val="07391925"/>
    <w:rsid w:val="07636392"/>
    <w:rsid w:val="076B3AA9"/>
    <w:rsid w:val="07770C56"/>
    <w:rsid w:val="07830F97"/>
    <w:rsid w:val="07843CB7"/>
    <w:rsid w:val="079A4B8A"/>
    <w:rsid w:val="07A54B53"/>
    <w:rsid w:val="07B471FE"/>
    <w:rsid w:val="07C50A88"/>
    <w:rsid w:val="07CF5DE6"/>
    <w:rsid w:val="07E06245"/>
    <w:rsid w:val="07E07FF3"/>
    <w:rsid w:val="07EA4B5E"/>
    <w:rsid w:val="07FC0BA5"/>
    <w:rsid w:val="08193505"/>
    <w:rsid w:val="08254F79"/>
    <w:rsid w:val="08282A51"/>
    <w:rsid w:val="082C0FC7"/>
    <w:rsid w:val="083251D0"/>
    <w:rsid w:val="08443DE4"/>
    <w:rsid w:val="087A0447"/>
    <w:rsid w:val="089F1C5C"/>
    <w:rsid w:val="08A05695"/>
    <w:rsid w:val="08B355DF"/>
    <w:rsid w:val="08B374B6"/>
    <w:rsid w:val="08D51B22"/>
    <w:rsid w:val="092217DD"/>
    <w:rsid w:val="092B7994"/>
    <w:rsid w:val="093A7294"/>
    <w:rsid w:val="098F73CA"/>
    <w:rsid w:val="09B6550B"/>
    <w:rsid w:val="09BC683E"/>
    <w:rsid w:val="09CB082F"/>
    <w:rsid w:val="09D05E45"/>
    <w:rsid w:val="09EA22ED"/>
    <w:rsid w:val="0A263993"/>
    <w:rsid w:val="0A2A37A7"/>
    <w:rsid w:val="0A2D3AC2"/>
    <w:rsid w:val="0A4D5DFC"/>
    <w:rsid w:val="0A522CFE"/>
    <w:rsid w:val="0A55032E"/>
    <w:rsid w:val="0A6550C9"/>
    <w:rsid w:val="0A670558"/>
    <w:rsid w:val="0A6C0264"/>
    <w:rsid w:val="0A7964DD"/>
    <w:rsid w:val="0A7A4830"/>
    <w:rsid w:val="0A856C30"/>
    <w:rsid w:val="0A8B5210"/>
    <w:rsid w:val="0AA755DF"/>
    <w:rsid w:val="0AB71ACC"/>
    <w:rsid w:val="0AD019C3"/>
    <w:rsid w:val="0AD41965"/>
    <w:rsid w:val="0AF13279"/>
    <w:rsid w:val="0B120D44"/>
    <w:rsid w:val="0B30303F"/>
    <w:rsid w:val="0B3F3C9B"/>
    <w:rsid w:val="0B43022F"/>
    <w:rsid w:val="0B703C02"/>
    <w:rsid w:val="0BD27BF6"/>
    <w:rsid w:val="0BDB6B5F"/>
    <w:rsid w:val="0BEF4C50"/>
    <w:rsid w:val="0C0625A0"/>
    <w:rsid w:val="0C264442"/>
    <w:rsid w:val="0C395F24"/>
    <w:rsid w:val="0C3B3C7D"/>
    <w:rsid w:val="0C450D6C"/>
    <w:rsid w:val="0C460641"/>
    <w:rsid w:val="0C5E3BDC"/>
    <w:rsid w:val="0C663C48"/>
    <w:rsid w:val="0C6C454B"/>
    <w:rsid w:val="0C8D28AD"/>
    <w:rsid w:val="0CA710DF"/>
    <w:rsid w:val="0CAB2EAE"/>
    <w:rsid w:val="0CF462EF"/>
    <w:rsid w:val="0D18022F"/>
    <w:rsid w:val="0D1B387B"/>
    <w:rsid w:val="0D1C7D20"/>
    <w:rsid w:val="0D1D3A97"/>
    <w:rsid w:val="0D2B0595"/>
    <w:rsid w:val="0D2B5FA3"/>
    <w:rsid w:val="0D3861DB"/>
    <w:rsid w:val="0D3D0412"/>
    <w:rsid w:val="0D49663A"/>
    <w:rsid w:val="0D556D8D"/>
    <w:rsid w:val="0D5C1572"/>
    <w:rsid w:val="0D613984"/>
    <w:rsid w:val="0D621C7D"/>
    <w:rsid w:val="0D724D63"/>
    <w:rsid w:val="0D794D5D"/>
    <w:rsid w:val="0D7A4A46"/>
    <w:rsid w:val="0D865199"/>
    <w:rsid w:val="0DC161D1"/>
    <w:rsid w:val="0DC738CF"/>
    <w:rsid w:val="0DD028B8"/>
    <w:rsid w:val="0DDD6D83"/>
    <w:rsid w:val="0DE16873"/>
    <w:rsid w:val="0DE27B9E"/>
    <w:rsid w:val="0DF86413"/>
    <w:rsid w:val="0DF93BBD"/>
    <w:rsid w:val="0DFB3639"/>
    <w:rsid w:val="0E082052"/>
    <w:rsid w:val="0E214EC1"/>
    <w:rsid w:val="0E317EFE"/>
    <w:rsid w:val="0E372618"/>
    <w:rsid w:val="0E3C427F"/>
    <w:rsid w:val="0E470A1E"/>
    <w:rsid w:val="0E50275A"/>
    <w:rsid w:val="0E50765F"/>
    <w:rsid w:val="0E532208"/>
    <w:rsid w:val="0E6015FB"/>
    <w:rsid w:val="0E73034D"/>
    <w:rsid w:val="0EAC671A"/>
    <w:rsid w:val="0EBB6ECA"/>
    <w:rsid w:val="0EE83489"/>
    <w:rsid w:val="0EE83C31"/>
    <w:rsid w:val="0EEA5BFB"/>
    <w:rsid w:val="0F0F17F4"/>
    <w:rsid w:val="0F13775A"/>
    <w:rsid w:val="0F192B9A"/>
    <w:rsid w:val="0F340C24"/>
    <w:rsid w:val="0F5B2655"/>
    <w:rsid w:val="0F5F45FE"/>
    <w:rsid w:val="0F865924"/>
    <w:rsid w:val="0F9A112B"/>
    <w:rsid w:val="0FB05B70"/>
    <w:rsid w:val="0FE443F8"/>
    <w:rsid w:val="103C2486"/>
    <w:rsid w:val="10401F77"/>
    <w:rsid w:val="1060742F"/>
    <w:rsid w:val="106D2F64"/>
    <w:rsid w:val="10702A38"/>
    <w:rsid w:val="10774AD6"/>
    <w:rsid w:val="10B63710"/>
    <w:rsid w:val="10B97633"/>
    <w:rsid w:val="10BC7123"/>
    <w:rsid w:val="10C76234"/>
    <w:rsid w:val="10E46ED8"/>
    <w:rsid w:val="10F10820"/>
    <w:rsid w:val="11094F09"/>
    <w:rsid w:val="111C2F7A"/>
    <w:rsid w:val="111D4CDB"/>
    <w:rsid w:val="1122167C"/>
    <w:rsid w:val="112C24FB"/>
    <w:rsid w:val="11422AFB"/>
    <w:rsid w:val="11665CA1"/>
    <w:rsid w:val="11A23DD5"/>
    <w:rsid w:val="11AD2EEB"/>
    <w:rsid w:val="11AE2F10"/>
    <w:rsid w:val="11BD2D66"/>
    <w:rsid w:val="11CD256B"/>
    <w:rsid w:val="11DC1F34"/>
    <w:rsid w:val="11DD37F5"/>
    <w:rsid w:val="11DF4D06"/>
    <w:rsid w:val="12053590"/>
    <w:rsid w:val="12144E5B"/>
    <w:rsid w:val="121918C5"/>
    <w:rsid w:val="12394ECF"/>
    <w:rsid w:val="12535865"/>
    <w:rsid w:val="127B54E8"/>
    <w:rsid w:val="12802AFE"/>
    <w:rsid w:val="12902616"/>
    <w:rsid w:val="129C6B7B"/>
    <w:rsid w:val="12B46304"/>
    <w:rsid w:val="12B813D6"/>
    <w:rsid w:val="12BF58DE"/>
    <w:rsid w:val="12CA06CE"/>
    <w:rsid w:val="12CA4DA3"/>
    <w:rsid w:val="12D149BF"/>
    <w:rsid w:val="12DF6827"/>
    <w:rsid w:val="12E8175E"/>
    <w:rsid w:val="131C5220"/>
    <w:rsid w:val="133E6515"/>
    <w:rsid w:val="136715C8"/>
    <w:rsid w:val="137F7121"/>
    <w:rsid w:val="13801368"/>
    <w:rsid w:val="138228A6"/>
    <w:rsid w:val="138C7281"/>
    <w:rsid w:val="13951726"/>
    <w:rsid w:val="13A46379"/>
    <w:rsid w:val="13AD2810"/>
    <w:rsid w:val="13B10A95"/>
    <w:rsid w:val="13EC7D20"/>
    <w:rsid w:val="14047F1E"/>
    <w:rsid w:val="140959B8"/>
    <w:rsid w:val="140D6614"/>
    <w:rsid w:val="14213E6D"/>
    <w:rsid w:val="142B4CEC"/>
    <w:rsid w:val="143516C6"/>
    <w:rsid w:val="14396509"/>
    <w:rsid w:val="146C3F15"/>
    <w:rsid w:val="1475102E"/>
    <w:rsid w:val="148136EC"/>
    <w:rsid w:val="148E250B"/>
    <w:rsid w:val="14996A51"/>
    <w:rsid w:val="14A64372"/>
    <w:rsid w:val="14D42C8D"/>
    <w:rsid w:val="14DD2C3C"/>
    <w:rsid w:val="14F52C04"/>
    <w:rsid w:val="1519307B"/>
    <w:rsid w:val="151A1FC1"/>
    <w:rsid w:val="152E4A94"/>
    <w:rsid w:val="15460D37"/>
    <w:rsid w:val="154843B8"/>
    <w:rsid w:val="15597637"/>
    <w:rsid w:val="15882195"/>
    <w:rsid w:val="158C0015"/>
    <w:rsid w:val="158C2634"/>
    <w:rsid w:val="15D65076"/>
    <w:rsid w:val="15EC2259"/>
    <w:rsid w:val="16087E1D"/>
    <w:rsid w:val="16175528"/>
    <w:rsid w:val="164C2CF7"/>
    <w:rsid w:val="1658169C"/>
    <w:rsid w:val="16816E45"/>
    <w:rsid w:val="168D2F90"/>
    <w:rsid w:val="169942D7"/>
    <w:rsid w:val="16BC60CF"/>
    <w:rsid w:val="16CA07EC"/>
    <w:rsid w:val="16CB7CD9"/>
    <w:rsid w:val="16CE741A"/>
    <w:rsid w:val="16E42F30"/>
    <w:rsid w:val="17052A3A"/>
    <w:rsid w:val="173B424A"/>
    <w:rsid w:val="173C0FBE"/>
    <w:rsid w:val="1749359F"/>
    <w:rsid w:val="17701D14"/>
    <w:rsid w:val="17735226"/>
    <w:rsid w:val="177E5132"/>
    <w:rsid w:val="17AD456C"/>
    <w:rsid w:val="17B82BD9"/>
    <w:rsid w:val="17DA6EDC"/>
    <w:rsid w:val="17E92EF4"/>
    <w:rsid w:val="17EF33B1"/>
    <w:rsid w:val="17F83137"/>
    <w:rsid w:val="17FA4D0D"/>
    <w:rsid w:val="17FF2717"/>
    <w:rsid w:val="18032FBC"/>
    <w:rsid w:val="180E295A"/>
    <w:rsid w:val="183608AF"/>
    <w:rsid w:val="185D743E"/>
    <w:rsid w:val="18624C86"/>
    <w:rsid w:val="18643E56"/>
    <w:rsid w:val="18645FCC"/>
    <w:rsid w:val="189F624C"/>
    <w:rsid w:val="18AB3350"/>
    <w:rsid w:val="18AE7C99"/>
    <w:rsid w:val="18CD4A8F"/>
    <w:rsid w:val="18E13BCB"/>
    <w:rsid w:val="19097392"/>
    <w:rsid w:val="191F6C64"/>
    <w:rsid w:val="19265889"/>
    <w:rsid w:val="19602B84"/>
    <w:rsid w:val="196D1903"/>
    <w:rsid w:val="199450E1"/>
    <w:rsid w:val="19A56912"/>
    <w:rsid w:val="19C154BB"/>
    <w:rsid w:val="19E03727"/>
    <w:rsid w:val="1A1C66C0"/>
    <w:rsid w:val="1A265FD0"/>
    <w:rsid w:val="1A2A15A2"/>
    <w:rsid w:val="1A352420"/>
    <w:rsid w:val="1A383CBF"/>
    <w:rsid w:val="1A3C340A"/>
    <w:rsid w:val="1A3D3083"/>
    <w:rsid w:val="1A42393B"/>
    <w:rsid w:val="1A427996"/>
    <w:rsid w:val="1A472154"/>
    <w:rsid w:val="1A764318"/>
    <w:rsid w:val="1A815666"/>
    <w:rsid w:val="1A907657"/>
    <w:rsid w:val="1AAD45DE"/>
    <w:rsid w:val="1AB53561"/>
    <w:rsid w:val="1AC55953"/>
    <w:rsid w:val="1AD266B5"/>
    <w:rsid w:val="1B046F80"/>
    <w:rsid w:val="1B0B3181"/>
    <w:rsid w:val="1B317F3F"/>
    <w:rsid w:val="1B3267B5"/>
    <w:rsid w:val="1B40161D"/>
    <w:rsid w:val="1B441859"/>
    <w:rsid w:val="1B594AC8"/>
    <w:rsid w:val="1B6606B1"/>
    <w:rsid w:val="1B79458F"/>
    <w:rsid w:val="1B8C30ED"/>
    <w:rsid w:val="1B8F790E"/>
    <w:rsid w:val="1BA15BAD"/>
    <w:rsid w:val="1BA81ABA"/>
    <w:rsid w:val="1BBC5A4A"/>
    <w:rsid w:val="1BC700A6"/>
    <w:rsid w:val="1BDB72A8"/>
    <w:rsid w:val="1BFE4A94"/>
    <w:rsid w:val="1C093B64"/>
    <w:rsid w:val="1C2344FA"/>
    <w:rsid w:val="1C5E7925"/>
    <w:rsid w:val="1C981895"/>
    <w:rsid w:val="1CAE64BA"/>
    <w:rsid w:val="1CC63804"/>
    <w:rsid w:val="1CCB0E1A"/>
    <w:rsid w:val="1CCC4B92"/>
    <w:rsid w:val="1CD06430"/>
    <w:rsid w:val="1CFC5477"/>
    <w:rsid w:val="1CFD070F"/>
    <w:rsid w:val="1D1D0F4A"/>
    <w:rsid w:val="1D2169F7"/>
    <w:rsid w:val="1D2738AE"/>
    <w:rsid w:val="1D305121"/>
    <w:rsid w:val="1D4901D6"/>
    <w:rsid w:val="1D5F6196"/>
    <w:rsid w:val="1D6132A5"/>
    <w:rsid w:val="1D8E56D5"/>
    <w:rsid w:val="1DBA3036"/>
    <w:rsid w:val="1DC51D0D"/>
    <w:rsid w:val="1DCD2970"/>
    <w:rsid w:val="1DD12460"/>
    <w:rsid w:val="1DD21425"/>
    <w:rsid w:val="1E174D12"/>
    <w:rsid w:val="1E265446"/>
    <w:rsid w:val="1E384307"/>
    <w:rsid w:val="1E4310CB"/>
    <w:rsid w:val="1E5633AE"/>
    <w:rsid w:val="1E5F5CBE"/>
    <w:rsid w:val="1E7A43DA"/>
    <w:rsid w:val="1E917E41"/>
    <w:rsid w:val="1E9304A1"/>
    <w:rsid w:val="1E9A3B4A"/>
    <w:rsid w:val="1EA40BD0"/>
    <w:rsid w:val="1EA731C1"/>
    <w:rsid w:val="1EAA2CB1"/>
    <w:rsid w:val="1EB54C54"/>
    <w:rsid w:val="1EC4222B"/>
    <w:rsid w:val="1EF503D0"/>
    <w:rsid w:val="1F046865"/>
    <w:rsid w:val="1F16787A"/>
    <w:rsid w:val="1F332CA6"/>
    <w:rsid w:val="1F5A60E8"/>
    <w:rsid w:val="1F6966C8"/>
    <w:rsid w:val="1F8E3628"/>
    <w:rsid w:val="1FBB7FD0"/>
    <w:rsid w:val="1FBC5F82"/>
    <w:rsid w:val="1FC3402A"/>
    <w:rsid w:val="1FD91AA0"/>
    <w:rsid w:val="1FE16BA6"/>
    <w:rsid w:val="1FE50445"/>
    <w:rsid w:val="1FE7539E"/>
    <w:rsid w:val="1FF04A0B"/>
    <w:rsid w:val="1FF40DCE"/>
    <w:rsid w:val="20052895"/>
    <w:rsid w:val="201605FE"/>
    <w:rsid w:val="203B42C4"/>
    <w:rsid w:val="205E1FA5"/>
    <w:rsid w:val="206531C7"/>
    <w:rsid w:val="20671BE0"/>
    <w:rsid w:val="206F2A21"/>
    <w:rsid w:val="206F7D0E"/>
    <w:rsid w:val="207F330F"/>
    <w:rsid w:val="20963CB8"/>
    <w:rsid w:val="20A81A1B"/>
    <w:rsid w:val="20B07FB6"/>
    <w:rsid w:val="20B646FB"/>
    <w:rsid w:val="20F32C91"/>
    <w:rsid w:val="20FA1CCE"/>
    <w:rsid w:val="20FA3EF5"/>
    <w:rsid w:val="21086855"/>
    <w:rsid w:val="21242DBE"/>
    <w:rsid w:val="2133798D"/>
    <w:rsid w:val="213B74B1"/>
    <w:rsid w:val="21436EF8"/>
    <w:rsid w:val="21472A39"/>
    <w:rsid w:val="215A2310"/>
    <w:rsid w:val="216830DB"/>
    <w:rsid w:val="217D46AD"/>
    <w:rsid w:val="21A70001"/>
    <w:rsid w:val="21DE318A"/>
    <w:rsid w:val="21ED35E0"/>
    <w:rsid w:val="21EF3B37"/>
    <w:rsid w:val="21EF5B80"/>
    <w:rsid w:val="21FA7B1E"/>
    <w:rsid w:val="21FC7A40"/>
    <w:rsid w:val="22146DBF"/>
    <w:rsid w:val="221548E5"/>
    <w:rsid w:val="221C3EC6"/>
    <w:rsid w:val="22437023"/>
    <w:rsid w:val="22576990"/>
    <w:rsid w:val="225E44DE"/>
    <w:rsid w:val="226022ED"/>
    <w:rsid w:val="226E5D01"/>
    <w:rsid w:val="22AE6060"/>
    <w:rsid w:val="22C335E1"/>
    <w:rsid w:val="22D037CB"/>
    <w:rsid w:val="22F15AF0"/>
    <w:rsid w:val="22F47480"/>
    <w:rsid w:val="2306504D"/>
    <w:rsid w:val="2338088B"/>
    <w:rsid w:val="233D0598"/>
    <w:rsid w:val="23426BC7"/>
    <w:rsid w:val="2342795C"/>
    <w:rsid w:val="23452FA8"/>
    <w:rsid w:val="23607DE2"/>
    <w:rsid w:val="2366189C"/>
    <w:rsid w:val="23B048C6"/>
    <w:rsid w:val="23DE1C48"/>
    <w:rsid w:val="240210CD"/>
    <w:rsid w:val="24203116"/>
    <w:rsid w:val="243F68C1"/>
    <w:rsid w:val="245B19B2"/>
    <w:rsid w:val="246B6A3F"/>
    <w:rsid w:val="24977834"/>
    <w:rsid w:val="24A538B1"/>
    <w:rsid w:val="24A563F4"/>
    <w:rsid w:val="24BF09F7"/>
    <w:rsid w:val="24C5387B"/>
    <w:rsid w:val="24EA28E9"/>
    <w:rsid w:val="24F1163A"/>
    <w:rsid w:val="25140E84"/>
    <w:rsid w:val="25145DAB"/>
    <w:rsid w:val="252A68FA"/>
    <w:rsid w:val="252D53FE"/>
    <w:rsid w:val="25317C88"/>
    <w:rsid w:val="254A2AF8"/>
    <w:rsid w:val="25822292"/>
    <w:rsid w:val="25A246E2"/>
    <w:rsid w:val="25A71CF8"/>
    <w:rsid w:val="25B3069D"/>
    <w:rsid w:val="25B34B41"/>
    <w:rsid w:val="25EC2D81"/>
    <w:rsid w:val="2607550D"/>
    <w:rsid w:val="260809E9"/>
    <w:rsid w:val="26127ABA"/>
    <w:rsid w:val="261378A2"/>
    <w:rsid w:val="261A4BC0"/>
    <w:rsid w:val="263E265D"/>
    <w:rsid w:val="26461511"/>
    <w:rsid w:val="26804A23"/>
    <w:rsid w:val="26832765"/>
    <w:rsid w:val="26C568DA"/>
    <w:rsid w:val="26D751C9"/>
    <w:rsid w:val="26DE799C"/>
    <w:rsid w:val="26F23A48"/>
    <w:rsid w:val="26F81CEA"/>
    <w:rsid w:val="272B7390"/>
    <w:rsid w:val="27344752"/>
    <w:rsid w:val="27427F2B"/>
    <w:rsid w:val="276205CD"/>
    <w:rsid w:val="277057A2"/>
    <w:rsid w:val="27764078"/>
    <w:rsid w:val="277D0F63"/>
    <w:rsid w:val="27971AD4"/>
    <w:rsid w:val="27CD4CCF"/>
    <w:rsid w:val="27CD60BB"/>
    <w:rsid w:val="27D36DD5"/>
    <w:rsid w:val="27F84A8D"/>
    <w:rsid w:val="28011B94"/>
    <w:rsid w:val="280478D6"/>
    <w:rsid w:val="28185CCE"/>
    <w:rsid w:val="28244C38"/>
    <w:rsid w:val="282E6701"/>
    <w:rsid w:val="285A315A"/>
    <w:rsid w:val="28935284"/>
    <w:rsid w:val="289A15A9"/>
    <w:rsid w:val="28A16ED3"/>
    <w:rsid w:val="28CD2D8F"/>
    <w:rsid w:val="28D21782"/>
    <w:rsid w:val="28DD7CC7"/>
    <w:rsid w:val="28ED1FAE"/>
    <w:rsid w:val="29206EB8"/>
    <w:rsid w:val="292518B2"/>
    <w:rsid w:val="29253131"/>
    <w:rsid w:val="294A366F"/>
    <w:rsid w:val="294D2BB7"/>
    <w:rsid w:val="295247EC"/>
    <w:rsid w:val="295472F2"/>
    <w:rsid w:val="29595666"/>
    <w:rsid w:val="29616113"/>
    <w:rsid w:val="297665B1"/>
    <w:rsid w:val="29874881"/>
    <w:rsid w:val="29A52178"/>
    <w:rsid w:val="29C73352"/>
    <w:rsid w:val="29E325E0"/>
    <w:rsid w:val="29F15C38"/>
    <w:rsid w:val="2A13446C"/>
    <w:rsid w:val="2A24617B"/>
    <w:rsid w:val="2A443FBA"/>
    <w:rsid w:val="2A452503"/>
    <w:rsid w:val="2A522B7B"/>
    <w:rsid w:val="2A5C62C2"/>
    <w:rsid w:val="2A5E151F"/>
    <w:rsid w:val="2A661523"/>
    <w:rsid w:val="2A6E7289"/>
    <w:rsid w:val="2AB0164F"/>
    <w:rsid w:val="2AB70C30"/>
    <w:rsid w:val="2AC72956"/>
    <w:rsid w:val="2ACD0453"/>
    <w:rsid w:val="2AFA0B1C"/>
    <w:rsid w:val="2AFA1945"/>
    <w:rsid w:val="2B035C23"/>
    <w:rsid w:val="2B243DF5"/>
    <w:rsid w:val="2B41036D"/>
    <w:rsid w:val="2B4F2B4A"/>
    <w:rsid w:val="2B4F70BA"/>
    <w:rsid w:val="2B54647E"/>
    <w:rsid w:val="2B886128"/>
    <w:rsid w:val="2B9C2C04"/>
    <w:rsid w:val="2BA936A8"/>
    <w:rsid w:val="2BAF625E"/>
    <w:rsid w:val="2BB05015"/>
    <w:rsid w:val="2BB331A5"/>
    <w:rsid w:val="2BBD4024"/>
    <w:rsid w:val="2BDB6BA0"/>
    <w:rsid w:val="2C00782C"/>
    <w:rsid w:val="2C031EC8"/>
    <w:rsid w:val="2C183950"/>
    <w:rsid w:val="2C315A5A"/>
    <w:rsid w:val="2C3437F6"/>
    <w:rsid w:val="2C380015"/>
    <w:rsid w:val="2C446BA3"/>
    <w:rsid w:val="2C491F74"/>
    <w:rsid w:val="2C4A424C"/>
    <w:rsid w:val="2C4B1C25"/>
    <w:rsid w:val="2C6C380B"/>
    <w:rsid w:val="2C820135"/>
    <w:rsid w:val="2C901738"/>
    <w:rsid w:val="2C9A29DC"/>
    <w:rsid w:val="2C9C259E"/>
    <w:rsid w:val="2CE649EF"/>
    <w:rsid w:val="2CF577ED"/>
    <w:rsid w:val="2CF77483"/>
    <w:rsid w:val="2CF90ECE"/>
    <w:rsid w:val="2D0A5122"/>
    <w:rsid w:val="2D1445AA"/>
    <w:rsid w:val="2D212835"/>
    <w:rsid w:val="2D2F71A3"/>
    <w:rsid w:val="2D4D0C41"/>
    <w:rsid w:val="2D5704A8"/>
    <w:rsid w:val="2D595579"/>
    <w:rsid w:val="2D77440F"/>
    <w:rsid w:val="2D8748E9"/>
    <w:rsid w:val="2D8A07B8"/>
    <w:rsid w:val="2D9E56F5"/>
    <w:rsid w:val="2DC93154"/>
    <w:rsid w:val="2DDE18B1"/>
    <w:rsid w:val="2DE57862"/>
    <w:rsid w:val="2E341F8D"/>
    <w:rsid w:val="2E363656"/>
    <w:rsid w:val="2E497A46"/>
    <w:rsid w:val="2E5022C0"/>
    <w:rsid w:val="2E5458AD"/>
    <w:rsid w:val="2E667F96"/>
    <w:rsid w:val="2E8226AB"/>
    <w:rsid w:val="2EC73DA7"/>
    <w:rsid w:val="2EF9132C"/>
    <w:rsid w:val="2F2151FD"/>
    <w:rsid w:val="2F4A75B7"/>
    <w:rsid w:val="2F5C7FF7"/>
    <w:rsid w:val="2F6A3B37"/>
    <w:rsid w:val="2F780088"/>
    <w:rsid w:val="2FA34349"/>
    <w:rsid w:val="2FA572A9"/>
    <w:rsid w:val="2FAC08FC"/>
    <w:rsid w:val="2FB026FE"/>
    <w:rsid w:val="2FC02334"/>
    <w:rsid w:val="2FCF4325"/>
    <w:rsid w:val="2FD065E6"/>
    <w:rsid w:val="2FD47B8E"/>
    <w:rsid w:val="2FD96870"/>
    <w:rsid w:val="2FE77F6F"/>
    <w:rsid w:val="2FF40230"/>
    <w:rsid w:val="30075E0B"/>
    <w:rsid w:val="30077F63"/>
    <w:rsid w:val="30580BC9"/>
    <w:rsid w:val="305F38FB"/>
    <w:rsid w:val="307373A7"/>
    <w:rsid w:val="3078676B"/>
    <w:rsid w:val="3079241B"/>
    <w:rsid w:val="309660BC"/>
    <w:rsid w:val="30AD49A3"/>
    <w:rsid w:val="30B47E7A"/>
    <w:rsid w:val="30B57438"/>
    <w:rsid w:val="30C47C02"/>
    <w:rsid w:val="30F2476F"/>
    <w:rsid w:val="30F60C00"/>
    <w:rsid w:val="30FD4A0F"/>
    <w:rsid w:val="311346E6"/>
    <w:rsid w:val="311E2ED7"/>
    <w:rsid w:val="3122192A"/>
    <w:rsid w:val="312B5ED3"/>
    <w:rsid w:val="315619EE"/>
    <w:rsid w:val="315C449C"/>
    <w:rsid w:val="31683269"/>
    <w:rsid w:val="31686DEF"/>
    <w:rsid w:val="318C4BC4"/>
    <w:rsid w:val="318E33F4"/>
    <w:rsid w:val="31926FC2"/>
    <w:rsid w:val="319770C5"/>
    <w:rsid w:val="31A0241D"/>
    <w:rsid w:val="31A0509F"/>
    <w:rsid w:val="31A568C4"/>
    <w:rsid w:val="31B163D9"/>
    <w:rsid w:val="31B82709"/>
    <w:rsid w:val="31C83722"/>
    <w:rsid w:val="31D05482"/>
    <w:rsid w:val="31D16A7B"/>
    <w:rsid w:val="31D2040B"/>
    <w:rsid w:val="31D36F76"/>
    <w:rsid w:val="31E824DB"/>
    <w:rsid w:val="31F462C5"/>
    <w:rsid w:val="32091416"/>
    <w:rsid w:val="3212499D"/>
    <w:rsid w:val="3220355E"/>
    <w:rsid w:val="32400B34"/>
    <w:rsid w:val="32425283"/>
    <w:rsid w:val="32442A85"/>
    <w:rsid w:val="32463124"/>
    <w:rsid w:val="32676BE4"/>
    <w:rsid w:val="327411B4"/>
    <w:rsid w:val="329D695D"/>
    <w:rsid w:val="329E6876"/>
    <w:rsid w:val="329F0265"/>
    <w:rsid w:val="32A1296D"/>
    <w:rsid w:val="32AA2E28"/>
    <w:rsid w:val="330F7B08"/>
    <w:rsid w:val="331309CD"/>
    <w:rsid w:val="33220955"/>
    <w:rsid w:val="33233306"/>
    <w:rsid w:val="333015F2"/>
    <w:rsid w:val="334A7AFD"/>
    <w:rsid w:val="334B6320"/>
    <w:rsid w:val="33572FA7"/>
    <w:rsid w:val="33742BF9"/>
    <w:rsid w:val="33896EE1"/>
    <w:rsid w:val="33B43F5E"/>
    <w:rsid w:val="33BF44FB"/>
    <w:rsid w:val="33C2127A"/>
    <w:rsid w:val="33D56AE0"/>
    <w:rsid w:val="33D934D4"/>
    <w:rsid w:val="33FE2F6A"/>
    <w:rsid w:val="34070F50"/>
    <w:rsid w:val="340E07E5"/>
    <w:rsid w:val="34192013"/>
    <w:rsid w:val="34232E92"/>
    <w:rsid w:val="34235BF7"/>
    <w:rsid w:val="342B1D46"/>
    <w:rsid w:val="34580D8D"/>
    <w:rsid w:val="34660C80"/>
    <w:rsid w:val="346F7C09"/>
    <w:rsid w:val="34806536"/>
    <w:rsid w:val="34D83C7C"/>
    <w:rsid w:val="34E13827"/>
    <w:rsid w:val="34E55713"/>
    <w:rsid w:val="34E60D96"/>
    <w:rsid w:val="34E9168F"/>
    <w:rsid w:val="34EA619F"/>
    <w:rsid w:val="34EE16F2"/>
    <w:rsid w:val="35006316"/>
    <w:rsid w:val="35073B06"/>
    <w:rsid w:val="350E35FE"/>
    <w:rsid w:val="35262C3A"/>
    <w:rsid w:val="352769B2"/>
    <w:rsid w:val="35310049"/>
    <w:rsid w:val="355A0B35"/>
    <w:rsid w:val="35635C3C"/>
    <w:rsid w:val="3567788E"/>
    <w:rsid w:val="357A2F85"/>
    <w:rsid w:val="35812566"/>
    <w:rsid w:val="358C5FA8"/>
    <w:rsid w:val="35906EE8"/>
    <w:rsid w:val="35A3146B"/>
    <w:rsid w:val="35A324DC"/>
    <w:rsid w:val="35B73253"/>
    <w:rsid w:val="35BF6BEA"/>
    <w:rsid w:val="35C15DF1"/>
    <w:rsid w:val="35F42D38"/>
    <w:rsid w:val="36074A7F"/>
    <w:rsid w:val="360F36CE"/>
    <w:rsid w:val="36146F36"/>
    <w:rsid w:val="36202CA8"/>
    <w:rsid w:val="36315D3A"/>
    <w:rsid w:val="366A4DA8"/>
    <w:rsid w:val="366D4898"/>
    <w:rsid w:val="368C2F70"/>
    <w:rsid w:val="36923549"/>
    <w:rsid w:val="36946BEA"/>
    <w:rsid w:val="36A209E6"/>
    <w:rsid w:val="36B01C9B"/>
    <w:rsid w:val="36B75FBF"/>
    <w:rsid w:val="36BA1E1E"/>
    <w:rsid w:val="36BD0C45"/>
    <w:rsid w:val="36C61BAC"/>
    <w:rsid w:val="36D3294D"/>
    <w:rsid w:val="36F347AA"/>
    <w:rsid w:val="372633C5"/>
    <w:rsid w:val="375342F8"/>
    <w:rsid w:val="37694EE0"/>
    <w:rsid w:val="377D6D5D"/>
    <w:rsid w:val="37955E55"/>
    <w:rsid w:val="379A1DE6"/>
    <w:rsid w:val="37A11630"/>
    <w:rsid w:val="37CB1876"/>
    <w:rsid w:val="37E00298"/>
    <w:rsid w:val="37E00E37"/>
    <w:rsid w:val="38197F65"/>
    <w:rsid w:val="3825174F"/>
    <w:rsid w:val="3886113E"/>
    <w:rsid w:val="389737F8"/>
    <w:rsid w:val="38A071A7"/>
    <w:rsid w:val="38B302F9"/>
    <w:rsid w:val="38B30C88"/>
    <w:rsid w:val="38F0269B"/>
    <w:rsid w:val="38F12CD3"/>
    <w:rsid w:val="38F90665"/>
    <w:rsid w:val="38F94775"/>
    <w:rsid w:val="39093BE6"/>
    <w:rsid w:val="391A0D07"/>
    <w:rsid w:val="392971ED"/>
    <w:rsid w:val="39325651"/>
    <w:rsid w:val="393D3F89"/>
    <w:rsid w:val="397F500E"/>
    <w:rsid w:val="39B5145B"/>
    <w:rsid w:val="39D30EB6"/>
    <w:rsid w:val="39FC0C92"/>
    <w:rsid w:val="3A085101"/>
    <w:rsid w:val="3A1C285D"/>
    <w:rsid w:val="3A1C3692"/>
    <w:rsid w:val="3A281202"/>
    <w:rsid w:val="3A4D1D3F"/>
    <w:rsid w:val="3A4D2260"/>
    <w:rsid w:val="3A502C6F"/>
    <w:rsid w:val="3A5C3FFC"/>
    <w:rsid w:val="3A802DEC"/>
    <w:rsid w:val="3A872856"/>
    <w:rsid w:val="3AAD114A"/>
    <w:rsid w:val="3ABB2076"/>
    <w:rsid w:val="3AC54CA3"/>
    <w:rsid w:val="3AC70A1B"/>
    <w:rsid w:val="3ACA050B"/>
    <w:rsid w:val="3AED1BBB"/>
    <w:rsid w:val="3B082DE1"/>
    <w:rsid w:val="3B2B5187"/>
    <w:rsid w:val="3B343BD6"/>
    <w:rsid w:val="3B3763D1"/>
    <w:rsid w:val="3B532EF7"/>
    <w:rsid w:val="3B563B4D"/>
    <w:rsid w:val="3B583D69"/>
    <w:rsid w:val="3B5D024B"/>
    <w:rsid w:val="3B697D24"/>
    <w:rsid w:val="3B8A7F3C"/>
    <w:rsid w:val="3B96490D"/>
    <w:rsid w:val="3BB146D6"/>
    <w:rsid w:val="3BBF5B96"/>
    <w:rsid w:val="3BE23632"/>
    <w:rsid w:val="3C1F4887"/>
    <w:rsid w:val="3C2B4FD9"/>
    <w:rsid w:val="3C2F6E1E"/>
    <w:rsid w:val="3C3C7B42"/>
    <w:rsid w:val="3C4F64BA"/>
    <w:rsid w:val="3C520CD5"/>
    <w:rsid w:val="3C8C1F1C"/>
    <w:rsid w:val="3CBF57BA"/>
    <w:rsid w:val="3CC316B6"/>
    <w:rsid w:val="3CD236A7"/>
    <w:rsid w:val="3CD70CBD"/>
    <w:rsid w:val="3CDA245A"/>
    <w:rsid w:val="3D08531B"/>
    <w:rsid w:val="3D112421"/>
    <w:rsid w:val="3D1E06B7"/>
    <w:rsid w:val="3D1E4B3E"/>
    <w:rsid w:val="3D3F6F8E"/>
    <w:rsid w:val="3D521142"/>
    <w:rsid w:val="3D551938"/>
    <w:rsid w:val="3D7340F5"/>
    <w:rsid w:val="3D7B5AED"/>
    <w:rsid w:val="3D9A0880"/>
    <w:rsid w:val="3DA560DC"/>
    <w:rsid w:val="3DE33F9B"/>
    <w:rsid w:val="3DFA2EB5"/>
    <w:rsid w:val="3E0E070F"/>
    <w:rsid w:val="3E2D328B"/>
    <w:rsid w:val="3E335057"/>
    <w:rsid w:val="3E411C95"/>
    <w:rsid w:val="3E43485C"/>
    <w:rsid w:val="3E49463D"/>
    <w:rsid w:val="3E691DE9"/>
    <w:rsid w:val="3EA82911"/>
    <w:rsid w:val="3EB07A18"/>
    <w:rsid w:val="3EBF7C5B"/>
    <w:rsid w:val="3EC41731"/>
    <w:rsid w:val="3EC63C1D"/>
    <w:rsid w:val="3ED62B8D"/>
    <w:rsid w:val="3EDA0523"/>
    <w:rsid w:val="3EDB4A95"/>
    <w:rsid w:val="3EE22462"/>
    <w:rsid w:val="3F1E2BD3"/>
    <w:rsid w:val="3F2006FA"/>
    <w:rsid w:val="3F2D72BA"/>
    <w:rsid w:val="3F3A6198"/>
    <w:rsid w:val="3F3C12AC"/>
    <w:rsid w:val="3F3F3F97"/>
    <w:rsid w:val="3F47037C"/>
    <w:rsid w:val="3F4F0FDF"/>
    <w:rsid w:val="3F514F23"/>
    <w:rsid w:val="3F536D21"/>
    <w:rsid w:val="3F5860E5"/>
    <w:rsid w:val="3F620D12"/>
    <w:rsid w:val="3F7B6278"/>
    <w:rsid w:val="3FB27C62"/>
    <w:rsid w:val="3FDB6D16"/>
    <w:rsid w:val="3FEB40FC"/>
    <w:rsid w:val="3FF5714E"/>
    <w:rsid w:val="401F30A7"/>
    <w:rsid w:val="40232183"/>
    <w:rsid w:val="40464190"/>
    <w:rsid w:val="404F1237"/>
    <w:rsid w:val="40621D3A"/>
    <w:rsid w:val="407A6407"/>
    <w:rsid w:val="407E7DCE"/>
    <w:rsid w:val="40A96C20"/>
    <w:rsid w:val="40B7508E"/>
    <w:rsid w:val="40BC26A4"/>
    <w:rsid w:val="40F235F8"/>
    <w:rsid w:val="41105B1C"/>
    <w:rsid w:val="41456446"/>
    <w:rsid w:val="415E19AD"/>
    <w:rsid w:val="41BF3751"/>
    <w:rsid w:val="41C77552"/>
    <w:rsid w:val="41CC2DBB"/>
    <w:rsid w:val="41E53E7C"/>
    <w:rsid w:val="41EA3241"/>
    <w:rsid w:val="41F320F5"/>
    <w:rsid w:val="4200449D"/>
    <w:rsid w:val="422519D2"/>
    <w:rsid w:val="422D25A2"/>
    <w:rsid w:val="423170C2"/>
    <w:rsid w:val="423A3BCC"/>
    <w:rsid w:val="424E57D2"/>
    <w:rsid w:val="42645CCF"/>
    <w:rsid w:val="427155A4"/>
    <w:rsid w:val="42725890"/>
    <w:rsid w:val="42757CE1"/>
    <w:rsid w:val="428052EA"/>
    <w:rsid w:val="42B26C49"/>
    <w:rsid w:val="42BA0E65"/>
    <w:rsid w:val="42DE0FF8"/>
    <w:rsid w:val="430F1B0A"/>
    <w:rsid w:val="43130D28"/>
    <w:rsid w:val="433A6FE6"/>
    <w:rsid w:val="43480868"/>
    <w:rsid w:val="4350713C"/>
    <w:rsid w:val="435A14A9"/>
    <w:rsid w:val="436400C0"/>
    <w:rsid w:val="436653E0"/>
    <w:rsid w:val="436C2782"/>
    <w:rsid w:val="437806CB"/>
    <w:rsid w:val="438003E5"/>
    <w:rsid w:val="43BE2C81"/>
    <w:rsid w:val="43C4431A"/>
    <w:rsid w:val="43C52FFD"/>
    <w:rsid w:val="43D97C3A"/>
    <w:rsid w:val="43DA14F2"/>
    <w:rsid w:val="444E1AA8"/>
    <w:rsid w:val="445C3BAF"/>
    <w:rsid w:val="446077EA"/>
    <w:rsid w:val="446C04CD"/>
    <w:rsid w:val="447A71AA"/>
    <w:rsid w:val="44A711BF"/>
    <w:rsid w:val="44B951CC"/>
    <w:rsid w:val="44CD14E0"/>
    <w:rsid w:val="44F20B0B"/>
    <w:rsid w:val="45232040"/>
    <w:rsid w:val="45264590"/>
    <w:rsid w:val="452C5A6A"/>
    <w:rsid w:val="452E5F4C"/>
    <w:rsid w:val="45466BE2"/>
    <w:rsid w:val="454A2974"/>
    <w:rsid w:val="45612018"/>
    <w:rsid w:val="45701CAF"/>
    <w:rsid w:val="458946E9"/>
    <w:rsid w:val="45A47C0E"/>
    <w:rsid w:val="45AA180A"/>
    <w:rsid w:val="45B63B66"/>
    <w:rsid w:val="45BF6129"/>
    <w:rsid w:val="45DD42CE"/>
    <w:rsid w:val="45E05087"/>
    <w:rsid w:val="45F51F24"/>
    <w:rsid w:val="46277CE2"/>
    <w:rsid w:val="463E35D3"/>
    <w:rsid w:val="463E3B5B"/>
    <w:rsid w:val="464942AC"/>
    <w:rsid w:val="464C6278"/>
    <w:rsid w:val="46577FD6"/>
    <w:rsid w:val="4664062D"/>
    <w:rsid w:val="469056EB"/>
    <w:rsid w:val="46BD7F15"/>
    <w:rsid w:val="46D5001A"/>
    <w:rsid w:val="46D955A7"/>
    <w:rsid w:val="470E79D1"/>
    <w:rsid w:val="47133957"/>
    <w:rsid w:val="473F4276"/>
    <w:rsid w:val="475573AE"/>
    <w:rsid w:val="47767A51"/>
    <w:rsid w:val="477C5396"/>
    <w:rsid w:val="478657BA"/>
    <w:rsid w:val="47995665"/>
    <w:rsid w:val="47A07E0C"/>
    <w:rsid w:val="47A33A43"/>
    <w:rsid w:val="47AC72B3"/>
    <w:rsid w:val="47F76F14"/>
    <w:rsid w:val="47F77C7F"/>
    <w:rsid w:val="48097B2F"/>
    <w:rsid w:val="482C010F"/>
    <w:rsid w:val="48455675"/>
    <w:rsid w:val="486F6565"/>
    <w:rsid w:val="4870272E"/>
    <w:rsid w:val="488520C4"/>
    <w:rsid w:val="48897310"/>
    <w:rsid w:val="48933E07"/>
    <w:rsid w:val="48952158"/>
    <w:rsid w:val="48AA496F"/>
    <w:rsid w:val="48C52ED9"/>
    <w:rsid w:val="48D77AA7"/>
    <w:rsid w:val="49033A36"/>
    <w:rsid w:val="490B3AD2"/>
    <w:rsid w:val="495042D1"/>
    <w:rsid w:val="495D4AFD"/>
    <w:rsid w:val="496B2EB9"/>
    <w:rsid w:val="496F0BFB"/>
    <w:rsid w:val="49787384"/>
    <w:rsid w:val="49C83C90"/>
    <w:rsid w:val="49D97E23"/>
    <w:rsid w:val="49DC7715"/>
    <w:rsid w:val="49E6472F"/>
    <w:rsid w:val="4A014B5D"/>
    <w:rsid w:val="4A023139"/>
    <w:rsid w:val="4A1D0657"/>
    <w:rsid w:val="4A1E7F2C"/>
    <w:rsid w:val="4A535839"/>
    <w:rsid w:val="4A5D4EF8"/>
    <w:rsid w:val="4A7B576F"/>
    <w:rsid w:val="4AEB5531"/>
    <w:rsid w:val="4AF561A9"/>
    <w:rsid w:val="4B0B18CA"/>
    <w:rsid w:val="4B0C0903"/>
    <w:rsid w:val="4B382D8F"/>
    <w:rsid w:val="4B5F335A"/>
    <w:rsid w:val="4B667047"/>
    <w:rsid w:val="4BAD77B9"/>
    <w:rsid w:val="4BB16E8A"/>
    <w:rsid w:val="4BF70A34"/>
    <w:rsid w:val="4C003D8D"/>
    <w:rsid w:val="4C3809E3"/>
    <w:rsid w:val="4C4A0649"/>
    <w:rsid w:val="4C6360CA"/>
    <w:rsid w:val="4C6C205E"/>
    <w:rsid w:val="4C6D0CF6"/>
    <w:rsid w:val="4C777127"/>
    <w:rsid w:val="4C7E5ECA"/>
    <w:rsid w:val="4C876AA5"/>
    <w:rsid w:val="4C8F6EBF"/>
    <w:rsid w:val="4C987646"/>
    <w:rsid w:val="4CEE30BB"/>
    <w:rsid w:val="4CFF2296"/>
    <w:rsid w:val="4CFF538B"/>
    <w:rsid w:val="4D0C69C4"/>
    <w:rsid w:val="4D0E00FB"/>
    <w:rsid w:val="4D176606"/>
    <w:rsid w:val="4D21045F"/>
    <w:rsid w:val="4D704F42"/>
    <w:rsid w:val="4DB16415"/>
    <w:rsid w:val="4DB5514A"/>
    <w:rsid w:val="4DBD24C7"/>
    <w:rsid w:val="4DC4528E"/>
    <w:rsid w:val="4DD70B1D"/>
    <w:rsid w:val="4DEC4FB0"/>
    <w:rsid w:val="4DFA0CB0"/>
    <w:rsid w:val="4DFA7F55"/>
    <w:rsid w:val="4E075D8A"/>
    <w:rsid w:val="4E0F7A10"/>
    <w:rsid w:val="4E196F5C"/>
    <w:rsid w:val="4E213BD3"/>
    <w:rsid w:val="4E361CE8"/>
    <w:rsid w:val="4E4F6905"/>
    <w:rsid w:val="4E50267E"/>
    <w:rsid w:val="4E6D3230"/>
    <w:rsid w:val="4E7C2EBF"/>
    <w:rsid w:val="4E8569FA"/>
    <w:rsid w:val="4E9E6FB5"/>
    <w:rsid w:val="4EB52EAD"/>
    <w:rsid w:val="4EC00FAD"/>
    <w:rsid w:val="4ED84B4D"/>
    <w:rsid w:val="4F1A33B7"/>
    <w:rsid w:val="4F45114D"/>
    <w:rsid w:val="4F4B17C3"/>
    <w:rsid w:val="4F6B59C1"/>
    <w:rsid w:val="4F734876"/>
    <w:rsid w:val="4F822D0B"/>
    <w:rsid w:val="4F86239A"/>
    <w:rsid w:val="4F9843DC"/>
    <w:rsid w:val="4FAC75F1"/>
    <w:rsid w:val="4FC62A8C"/>
    <w:rsid w:val="4FC72B8C"/>
    <w:rsid w:val="4FC7696F"/>
    <w:rsid w:val="4FCE5E25"/>
    <w:rsid w:val="4FE20F0D"/>
    <w:rsid w:val="4FE51552"/>
    <w:rsid w:val="504667CC"/>
    <w:rsid w:val="50504C4B"/>
    <w:rsid w:val="5067537D"/>
    <w:rsid w:val="50781210"/>
    <w:rsid w:val="507B4821"/>
    <w:rsid w:val="509660B4"/>
    <w:rsid w:val="509C6E7C"/>
    <w:rsid w:val="50AF31B8"/>
    <w:rsid w:val="50DE6667"/>
    <w:rsid w:val="50E042A8"/>
    <w:rsid w:val="50E4502B"/>
    <w:rsid w:val="50ED180A"/>
    <w:rsid w:val="50F80683"/>
    <w:rsid w:val="51085492"/>
    <w:rsid w:val="510E79A5"/>
    <w:rsid w:val="512978E2"/>
    <w:rsid w:val="512A61BF"/>
    <w:rsid w:val="51562ED7"/>
    <w:rsid w:val="5162104E"/>
    <w:rsid w:val="51717B53"/>
    <w:rsid w:val="51A927D1"/>
    <w:rsid w:val="51F06651"/>
    <w:rsid w:val="520E6AD8"/>
    <w:rsid w:val="52224331"/>
    <w:rsid w:val="52345699"/>
    <w:rsid w:val="5248023B"/>
    <w:rsid w:val="525F7A02"/>
    <w:rsid w:val="526441D1"/>
    <w:rsid w:val="527B3024"/>
    <w:rsid w:val="528966ED"/>
    <w:rsid w:val="52994B97"/>
    <w:rsid w:val="52C673B2"/>
    <w:rsid w:val="52E33AC0"/>
    <w:rsid w:val="52EB4CD4"/>
    <w:rsid w:val="52F265EE"/>
    <w:rsid w:val="52F73228"/>
    <w:rsid w:val="53035F10"/>
    <w:rsid w:val="531B54F2"/>
    <w:rsid w:val="53357379"/>
    <w:rsid w:val="53404ACA"/>
    <w:rsid w:val="53625E10"/>
    <w:rsid w:val="538F7A06"/>
    <w:rsid w:val="53A039CC"/>
    <w:rsid w:val="53A1505A"/>
    <w:rsid w:val="53A722B4"/>
    <w:rsid w:val="53E33CDA"/>
    <w:rsid w:val="53E67D0C"/>
    <w:rsid w:val="53EA0E7E"/>
    <w:rsid w:val="53F6315B"/>
    <w:rsid w:val="53FB3968"/>
    <w:rsid w:val="54063E08"/>
    <w:rsid w:val="54103911"/>
    <w:rsid w:val="5418235B"/>
    <w:rsid w:val="541D3002"/>
    <w:rsid w:val="54240834"/>
    <w:rsid w:val="54300F87"/>
    <w:rsid w:val="54324CFF"/>
    <w:rsid w:val="543437E8"/>
    <w:rsid w:val="543A1E06"/>
    <w:rsid w:val="5445603F"/>
    <w:rsid w:val="54464F28"/>
    <w:rsid w:val="5457189A"/>
    <w:rsid w:val="548337AD"/>
    <w:rsid w:val="54C94F38"/>
    <w:rsid w:val="54DE0858"/>
    <w:rsid w:val="54F73313"/>
    <w:rsid w:val="54F80955"/>
    <w:rsid w:val="55040482"/>
    <w:rsid w:val="55055F70"/>
    <w:rsid w:val="550F79D3"/>
    <w:rsid w:val="55153660"/>
    <w:rsid w:val="5534183F"/>
    <w:rsid w:val="5536081F"/>
    <w:rsid w:val="555170A7"/>
    <w:rsid w:val="5559450E"/>
    <w:rsid w:val="556233C2"/>
    <w:rsid w:val="556F5290"/>
    <w:rsid w:val="557914C7"/>
    <w:rsid w:val="557B0928"/>
    <w:rsid w:val="5587536D"/>
    <w:rsid w:val="559B174B"/>
    <w:rsid w:val="55A82D9F"/>
    <w:rsid w:val="55B6370E"/>
    <w:rsid w:val="55C62A87"/>
    <w:rsid w:val="55CE0CF4"/>
    <w:rsid w:val="55EF6A29"/>
    <w:rsid w:val="55F06C20"/>
    <w:rsid w:val="563A7E9B"/>
    <w:rsid w:val="564D5164"/>
    <w:rsid w:val="56575F58"/>
    <w:rsid w:val="565D002E"/>
    <w:rsid w:val="565D1DDC"/>
    <w:rsid w:val="567F7FA4"/>
    <w:rsid w:val="56A33ADC"/>
    <w:rsid w:val="56A7004F"/>
    <w:rsid w:val="56B22A9C"/>
    <w:rsid w:val="56C1236A"/>
    <w:rsid w:val="56C8194B"/>
    <w:rsid w:val="56D71B8E"/>
    <w:rsid w:val="56DC0230"/>
    <w:rsid w:val="57284491"/>
    <w:rsid w:val="5737262D"/>
    <w:rsid w:val="57601B83"/>
    <w:rsid w:val="576A2A02"/>
    <w:rsid w:val="57832D37"/>
    <w:rsid w:val="57874991"/>
    <w:rsid w:val="578D049F"/>
    <w:rsid w:val="57A9006A"/>
    <w:rsid w:val="57B72A76"/>
    <w:rsid w:val="57C3426C"/>
    <w:rsid w:val="57C77E54"/>
    <w:rsid w:val="57CE1F93"/>
    <w:rsid w:val="57E26F23"/>
    <w:rsid w:val="580E10E0"/>
    <w:rsid w:val="58181D0A"/>
    <w:rsid w:val="58232B8F"/>
    <w:rsid w:val="585330DD"/>
    <w:rsid w:val="587832AB"/>
    <w:rsid w:val="588743D1"/>
    <w:rsid w:val="5887701A"/>
    <w:rsid w:val="5898534D"/>
    <w:rsid w:val="58BD7FBC"/>
    <w:rsid w:val="58C96610"/>
    <w:rsid w:val="58D2260D"/>
    <w:rsid w:val="58DF11CE"/>
    <w:rsid w:val="58E21D60"/>
    <w:rsid w:val="58F00CE5"/>
    <w:rsid w:val="590D43CD"/>
    <w:rsid w:val="592954E8"/>
    <w:rsid w:val="5973442E"/>
    <w:rsid w:val="59773DCE"/>
    <w:rsid w:val="59B974E0"/>
    <w:rsid w:val="59C0439F"/>
    <w:rsid w:val="59C7413C"/>
    <w:rsid w:val="59E51C67"/>
    <w:rsid w:val="5A0A227A"/>
    <w:rsid w:val="5A0C65C5"/>
    <w:rsid w:val="5A274BDA"/>
    <w:rsid w:val="5A5520C0"/>
    <w:rsid w:val="5A64198B"/>
    <w:rsid w:val="5A836A9E"/>
    <w:rsid w:val="5AB02E22"/>
    <w:rsid w:val="5ABE2233"/>
    <w:rsid w:val="5B0647F0"/>
    <w:rsid w:val="5B0942E0"/>
    <w:rsid w:val="5B1A029B"/>
    <w:rsid w:val="5B345801"/>
    <w:rsid w:val="5B4F7685"/>
    <w:rsid w:val="5B5F04BE"/>
    <w:rsid w:val="5B6C2F51"/>
    <w:rsid w:val="5B701C4D"/>
    <w:rsid w:val="5B773940"/>
    <w:rsid w:val="5B81656C"/>
    <w:rsid w:val="5B865931"/>
    <w:rsid w:val="5B996AE2"/>
    <w:rsid w:val="5BA33419"/>
    <w:rsid w:val="5BB66216"/>
    <w:rsid w:val="5BBA41F9"/>
    <w:rsid w:val="5BC503DB"/>
    <w:rsid w:val="5BDF5D95"/>
    <w:rsid w:val="5BF22206"/>
    <w:rsid w:val="5BFE7528"/>
    <w:rsid w:val="5C1D5445"/>
    <w:rsid w:val="5C32128D"/>
    <w:rsid w:val="5C3D6937"/>
    <w:rsid w:val="5C4F0418"/>
    <w:rsid w:val="5C853E3A"/>
    <w:rsid w:val="5CAA564F"/>
    <w:rsid w:val="5CAE3391"/>
    <w:rsid w:val="5CB323A3"/>
    <w:rsid w:val="5CCD2C17"/>
    <w:rsid w:val="5CCD7515"/>
    <w:rsid w:val="5CD1707F"/>
    <w:rsid w:val="5CE648D9"/>
    <w:rsid w:val="5D276C9F"/>
    <w:rsid w:val="5D372C76"/>
    <w:rsid w:val="5D373386"/>
    <w:rsid w:val="5D6F69CD"/>
    <w:rsid w:val="5D752101"/>
    <w:rsid w:val="5DA84284"/>
    <w:rsid w:val="5DC50992"/>
    <w:rsid w:val="5DD961EC"/>
    <w:rsid w:val="5DF75EE3"/>
    <w:rsid w:val="5E2002BE"/>
    <w:rsid w:val="5E2224EE"/>
    <w:rsid w:val="5E2467F1"/>
    <w:rsid w:val="5E310B53"/>
    <w:rsid w:val="5E337AB2"/>
    <w:rsid w:val="5E373415"/>
    <w:rsid w:val="5E4320F5"/>
    <w:rsid w:val="5E47584B"/>
    <w:rsid w:val="5E4775F9"/>
    <w:rsid w:val="5E543AC4"/>
    <w:rsid w:val="5E622D62"/>
    <w:rsid w:val="5E6A778C"/>
    <w:rsid w:val="5E6E102A"/>
    <w:rsid w:val="5E7604DF"/>
    <w:rsid w:val="5E8048B9"/>
    <w:rsid w:val="5E9E55A8"/>
    <w:rsid w:val="5EAE24B5"/>
    <w:rsid w:val="5EC61C02"/>
    <w:rsid w:val="5ED74E21"/>
    <w:rsid w:val="5EDF7AAC"/>
    <w:rsid w:val="5F1310D4"/>
    <w:rsid w:val="5F1A2B43"/>
    <w:rsid w:val="5F2C54A2"/>
    <w:rsid w:val="5F5E2401"/>
    <w:rsid w:val="5F922AF6"/>
    <w:rsid w:val="5F9E76ED"/>
    <w:rsid w:val="5FAF0B70"/>
    <w:rsid w:val="5FB837BB"/>
    <w:rsid w:val="5FE80793"/>
    <w:rsid w:val="5FEF619A"/>
    <w:rsid w:val="600F4147"/>
    <w:rsid w:val="6014175D"/>
    <w:rsid w:val="60193217"/>
    <w:rsid w:val="602348BE"/>
    <w:rsid w:val="60262110"/>
    <w:rsid w:val="604862FE"/>
    <w:rsid w:val="605620CE"/>
    <w:rsid w:val="60583D40"/>
    <w:rsid w:val="608C39E9"/>
    <w:rsid w:val="60B83346"/>
    <w:rsid w:val="60B92304"/>
    <w:rsid w:val="60CC405A"/>
    <w:rsid w:val="60F03F78"/>
    <w:rsid w:val="60F11E57"/>
    <w:rsid w:val="6115578D"/>
    <w:rsid w:val="61306A6A"/>
    <w:rsid w:val="61500EBB"/>
    <w:rsid w:val="61554EA2"/>
    <w:rsid w:val="616348D3"/>
    <w:rsid w:val="616B2317"/>
    <w:rsid w:val="61774699"/>
    <w:rsid w:val="617B3772"/>
    <w:rsid w:val="617D3332"/>
    <w:rsid w:val="6192502F"/>
    <w:rsid w:val="619743F4"/>
    <w:rsid w:val="61B96A60"/>
    <w:rsid w:val="61D07906"/>
    <w:rsid w:val="61DC44FC"/>
    <w:rsid w:val="61E215D8"/>
    <w:rsid w:val="62045801"/>
    <w:rsid w:val="620D75B2"/>
    <w:rsid w:val="62177C10"/>
    <w:rsid w:val="621B3775"/>
    <w:rsid w:val="622901AE"/>
    <w:rsid w:val="62364782"/>
    <w:rsid w:val="6257252D"/>
    <w:rsid w:val="6267026A"/>
    <w:rsid w:val="6269194F"/>
    <w:rsid w:val="628721E7"/>
    <w:rsid w:val="629628FD"/>
    <w:rsid w:val="629B6165"/>
    <w:rsid w:val="62AF39BF"/>
    <w:rsid w:val="62B334AF"/>
    <w:rsid w:val="62C16B6E"/>
    <w:rsid w:val="63116428"/>
    <w:rsid w:val="6318038A"/>
    <w:rsid w:val="63184EA6"/>
    <w:rsid w:val="63293771"/>
    <w:rsid w:val="63316ACA"/>
    <w:rsid w:val="6357302F"/>
    <w:rsid w:val="637C36E3"/>
    <w:rsid w:val="637D1D0F"/>
    <w:rsid w:val="638375C5"/>
    <w:rsid w:val="63884331"/>
    <w:rsid w:val="6394356A"/>
    <w:rsid w:val="639C2195"/>
    <w:rsid w:val="63A159FD"/>
    <w:rsid w:val="63A948B2"/>
    <w:rsid w:val="63B109E2"/>
    <w:rsid w:val="63BF56ED"/>
    <w:rsid w:val="63BF5E84"/>
    <w:rsid w:val="63C61B2C"/>
    <w:rsid w:val="63CF5C7F"/>
    <w:rsid w:val="63D40BE9"/>
    <w:rsid w:val="63D7141F"/>
    <w:rsid w:val="63F4578D"/>
    <w:rsid w:val="64102431"/>
    <w:rsid w:val="6412260B"/>
    <w:rsid w:val="642A6F41"/>
    <w:rsid w:val="64524F4A"/>
    <w:rsid w:val="64547214"/>
    <w:rsid w:val="64766E2D"/>
    <w:rsid w:val="64855539"/>
    <w:rsid w:val="64964D36"/>
    <w:rsid w:val="64966BE4"/>
    <w:rsid w:val="64990483"/>
    <w:rsid w:val="649A0A2D"/>
    <w:rsid w:val="649E3CEB"/>
    <w:rsid w:val="64A5243A"/>
    <w:rsid w:val="64A70DF2"/>
    <w:rsid w:val="64AF15C1"/>
    <w:rsid w:val="64B8434A"/>
    <w:rsid w:val="64C23E7D"/>
    <w:rsid w:val="64DE67DD"/>
    <w:rsid w:val="64E31538"/>
    <w:rsid w:val="64F531DE"/>
    <w:rsid w:val="64F8117E"/>
    <w:rsid w:val="65006754"/>
    <w:rsid w:val="652F7039"/>
    <w:rsid w:val="65373578"/>
    <w:rsid w:val="65486223"/>
    <w:rsid w:val="65670581"/>
    <w:rsid w:val="656A3528"/>
    <w:rsid w:val="6578278E"/>
    <w:rsid w:val="6582360D"/>
    <w:rsid w:val="65956E9C"/>
    <w:rsid w:val="65A17F37"/>
    <w:rsid w:val="65A672FB"/>
    <w:rsid w:val="65AC5F6D"/>
    <w:rsid w:val="65C33302"/>
    <w:rsid w:val="65D57BE0"/>
    <w:rsid w:val="65F43E32"/>
    <w:rsid w:val="6609788A"/>
    <w:rsid w:val="662676A7"/>
    <w:rsid w:val="662D3578"/>
    <w:rsid w:val="66372649"/>
    <w:rsid w:val="663B3B0A"/>
    <w:rsid w:val="664A6C14"/>
    <w:rsid w:val="665C2DE4"/>
    <w:rsid w:val="667411A7"/>
    <w:rsid w:val="668922D2"/>
    <w:rsid w:val="668D4017"/>
    <w:rsid w:val="669D1BD8"/>
    <w:rsid w:val="66A17198"/>
    <w:rsid w:val="66B23A7E"/>
    <w:rsid w:val="66C47224"/>
    <w:rsid w:val="66CA7019"/>
    <w:rsid w:val="66DB1226"/>
    <w:rsid w:val="66E3632D"/>
    <w:rsid w:val="66FB3677"/>
    <w:rsid w:val="66FD73EF"/>
    <w:rsid w:val="670544F5"/>
    <w:rsid w:val="671F124A"/>
    <w:rsid w:val="6738762A"/>
    <w:rsid w:val="67436AE0"/>
    <w:rsid w:val="674F48AF"/>
    <w:rsid w:val="67646C20"/>
    <w:rsid w:val="677A33C6"/>
    <w:rsid w:val="67886118"/>
    <w:rsid w:val="67900263"/>
    <w:rsid w:val="67B209F7"/>
    <w:rsid w:val="67DA6F99"/>
    <w:rsid w:val="67F81964"/>
    <w:rsid w:val="6813581D"/>
    <w:rsid w:val="681D13CB"/>
    <w:rsid w:val="681F6961"/>
    <w:rsid w:val="6832243B"/>
    <w:rsid w:val="684352D5"/>
    <w:rsid w:val="68530F51"/>
    <w:rsid w:val="68610A2F"/>
    <w:rsid w:val="68757459"/>
    <w:rsid w:val="68805514"/>
    <w:rsid w:val="68832558"/>
    <w:rsid w:val="688D02FE"/>
    <w:rsid w:val="689F661D"/>
    <w:rsid w:val="68BD7074"/>
    <w:rsid w:val="690E151E"/>
    <w:rsid w:val="69316E2F"/>
    <w:rsid w:val="6933534A"/>
    <w:rsid w:val="694330B3"/>
    <w:rsid w:val="69476318"/>
    <w:rsid w:val="694A2693"/>
    <w:rsid w:val="694E2071"/>
    <w:rsid w:val="69740D28"/>
    <w:rsid w:val="69766163"/>
    <w:rsid w:val="697A3B33"/>
    <w:rsid w:val="69983B9D"/>
    <w:rsid w:val="699C0F47"/>
    <w:rsid w:val="699D27C3"/>
    <w:rsid w:val="69AC2A06"/>
    <w:rsid w:val="69CC7252"/>
    <w:rsid w:val="69D34437"/>
    <w:rsid w:val="69D44760"/>
    <w:rsid w:val="69E00F38"/>
    <w:rsid w:val="6A197ABD"/>
    <w:rsid w:val="6A2E3D63"/>
    <w:rsid w:val="6A426365"/>
    <w:rsid w:val="6A520EC7"/>
    <w:rsid w:val="6A68623B"/>
    <w:rsid w:val="6AAD47A2"/>
    <w:rsid w:val="6ACE4BFE"/>
    <w:rsid w:val="6AD466B8"/>
    <w:rsid w:val="6AF87E20"/>
    <w:rsid w:val="6AFA10B8"/>
    <w:rsid w:val="6B0054B6"/>
    <w:rsid w:val="6B013059"/>
    <w:rsid w:val="6B1C2C96"/>
    <w:rsid w:val="6B322639"/>
    <w:rsid w:val="6B4C0889"/>
    <w:rsid w:val="6B641551"/>
    <w:rsid w:val="6BAA1040"/>
    <w:rsid w:val="6BCE4EB6"/>
    <w:rsid w:val="6C03270D"/>
    <w:rsid w:val="6C07486C"/>
    <w:rsid w:val="6C086E32"/>
    <w:rsid w:val="6C1256EA"/>
    <w:rsid w:val="6C2B3C4B"/>
    <w:rsid w:val="6C354F35"/>
    <w:rsid w:val="6C636C38"/>
    <w:rsid w:val="6C725A1D"/>
    <w:rsid w:val="6C731F01"/>
    <w:rsid w:val="6C75670B"/>
    <w:rsid w:val="6C81017A"/>
    <w:rsid w:val="6CA671FA"/>
    <w:rsid w:val="6CC12C6C"/>
    <w:rsid w:val="6CC462B9"/>
    <w:rsid w:val="6CC8224D"/>
    <w:rsid w:val="6CCE7137"/>
    <w:rsid w:val="6CD92BDB"/>
    <w:rsid w:val="6CE36A9C"/>
    <w:rsid w:val="6CE75FA2"/>
    <w:rsid w:val="6D421D40"/>
    <w:rsid w:val="6D636C50"/>
    <w:rsid w:val="6D6830E8"/>
    <w:rsid w:val="6D714693"/>
    <w:rsid w:val="6D763A57"/>
    <w:rsid w:val="6D8A10DF"/>
    <w:rsid w:val="6D91263F"/>
    <w:rsid w:val="6D943EDD"/>
    <w:rsid w:val="6DB34098"/>
    <w:rsid w:val="6DB36A59"/>
    <w:rsid w:val="6DB545B6"/>
    <w:rsid w:val="6DBB334E"/>
    <w:rsid w:val="6DC36570"/>
    <w:rsid w:val="6DC72505"/>
    <w:rsid w:val="6DCC7B1B"/>
    <w:rsid w:val="6DE02FB4"/>
    <w:rsid w:val="6DE4511F"/>
    <w:rsid w:val="6DFC4664"/>
    <w:rsid w:val="6E514CED"/>
    <w:rsid w:val="6E531FEA"/>
    <w:rsid w:val="6E661CDF"/>
    <w:rsid w:val="6E6B2E90"/>
    <w:rsid w:val="6E804461"/>
    <w:rsid w:val="6E934224"/>
    <w:rsid w:val="6EA14B04"/>
    <w:rsid w:val="6EAC5C91"/>
    <w:rsid w:val="6EB563D5"/>
    <w:rsid w:val="6EC6053C"/>
    <w:rsid w:val="6ECD0C0A"/>
    <w:rsid w:val="6ECD5D3F"/>
    <w:rsid w:val="6ED92677"/>
    <w:rsid w:val="6EDA1DC4"/>
    <w:rsid w:val="6EE964AB"/>
    <w:rsid w:val="6EFC178C"/>
    <w:rsid w:val="6F100096"/>
    <w:rsid w:val="6F197B60"/>
    <w:rsid w:val="6F225983"/>
    <w:rsid w:val="6F277287"/>
    <w:rsid w:val="6F3239AE"/>
    <w:rsid w:val="6F5558EE"/>
    <w:rsid w:val="6F7C731F"/>
    <w:rsid w:val="6F857D3E"/>
    <w:rsid w:val="6F934342"/>
    <w:rsid w:val="6FA71B0C"/>
    <w:rsid w:val="6FA7305A"/>
    <w:rsid w:val="6FC22F83"/>
    <w:rsid w:val="6FCD40BA"/>
    <w:rsid w:val="6FE3114C"/>
    <w:rsid w:val="6FE97846"/>
    <w:rsid w:val="6FFC5590"/>
    <w:rsid w:val="705A140E"/>
    <w:rsid w:val="70666005"/>
    <w:rsid w:val="706D1DD0"/>
    <w:rsid w:val="70856B87"/>
    <w:rsid w:val="70877D29"/>
    <w:rsid w:val="709B37D5"/>
    <w:rsid w:val="709E4C15"/>
    <w:rsid w:val="70A73F27"/>
    <w:rsid w:val="70AC7790"/>
    <w:rsid w:val="70BC5C25"/>
    <w:rsid w:val="70D527EE"/>
    <w:rsid w:val="70F27898"/>
    <w:rsid w:val="711A1B2C"/>
    <w:rsid w:val="713866F7"/>
    <w:rsid w:val="71394FB0"/>
    <w:rsid w:val="714479C8"/>
    <w:rsid w:val="715916C6"/>
    <w:rsid w:val="715B5300"/>
    <w:rsid w:val="716D6F1F"/>
    <w:rsid w:val="71706A0F"/>
    <w:rsid w:val="71900E5F"/>
    <w:rsid w:val="719646C8"/>
    <w:rsid w:val="719721EE"/>
    <w:rsid w:val="719C15B2"/>
    <w:rsid w:val="71B2527A"/>
    <w:rsid w:val="71C56D5B"/>
    <w:rsid w:val="71D27F8A"/>
    <w:rsid w:val="71E05943"/>
    <w:rsid w:val="71E37690"/>
    <w:rsid w:val="71F4095A"/>
    <w:rsid w:val="72084629"/>
    <w:rsid w:val="720B5B34"/>
    <w:rsid w:val="722815B7"/>
    <w:rsid w:val="722F7F17"/>
    <w:rsid w:val="724C1AB8"/>
    <w:rsid w:val="72504556"/>
    <w:rsid w:val="72553024"/>
    <w:rsid w:val="72665484"/>
    <w:rsid w:val="726C5429"/>
    <w:rsid w:val="727367B7"/>
    <w:rsid w:val="727B40A7"/>
    <w:rsid w:val="728409C4"/>
    <w:rsid w:val="72AB02A3"/>
    <w:rsid w:val="72C62D8B"/>
    <w:rsid w:val="72CC54D1"/>
    <w:rsid w:val="730D7029"/>
    <w:rsid w:val="73107E04"/>
    <w:rsid w:val="73122968"/>
    <w:rsid w:val="731F5D5E"/>
    <w:rsid w:val="732574F1"/>
    <w:rsid w:val="734819F2"/>
    <w:rsid w:val="734E2D80"/>
    <w:rsid w:val="73552A46"/>
    <w:rsid w:val="735A30D2"/>
    <w:rsid w:val="736E3F3D"/>
    <w:rsid w:val="73700A17"/>
    <w:rsid w:val="7372081D"/>
    <w:rsid w:val="73BA4C48"/>
    <w:rsid w:val="73C51AD5"/>
    <w:rsid w:val="73CF20D1"/>
    <w:rsid w:val="73D239B1"/>
    <w:rsid w:val="741E793C"/>
    <w:rsid w:val="7423420D"/>
    <w:rsid w:val="74277859"/>
    <w:rsid w:val="743944B3"/>
    <w:rsid w:val="744223BD"/>
    <w:rsid w:val="745E3944"/>
    <w:rsid w:val="74654825"/>
    <w:rsid w:val="74827185"/>
    <w:rsid w:val="748C0199"/>
    <w:rsid w:val="74D0255C"/>
    <w:rsid w:val="74DC4AE7"/>
    <w:rsid w:val="75052F11"/>
    <w:rsid w:val="75087DB2"/>
    <w:rsid w:val="750D2EF3"/>
    <w:rsid w:val="75472BB8"/>
    <w:rsid w:val="754B57C9"/>
    <w:rsid w:val="755C79D6"/>
    <w:rsid w:val="75720FA8"/>
    <w:rsid w:val="758962F1"/>
    <w:rsid w:val="75932CCC"/>
    <w:rsid w:val="75962E64"/>
    <w:rsid w:val="76131B1D"/>
    <w:rsid w:val="762322A2"/>
    <w:rsid w:val="763262BF"/>
    <w:rsid w:val="7635099D"/>
    <w:rsid w:val="764C0E19"/>
    <w:rsid w:val="765D3A06"/>
    <w:rsid w:val="7671125F"/>
    <w:rsid w:val="76796366"/>
    <w:rsid w:val="7682346D"/>
    <w:rsid w:val="76D13247"/>
    <w:rsid w:val="76E00193"/>
    <w:rsid w:val="77043E82"/>
    <w:rsid w:val="772D56B1"/>
    <w:rsid w:val="773B361B"/>
    <w:rsid w:val="77542F6B"/>
    <w:rsid w:val="776846D2"/>
    <w:rsid w:val="77762421"/>
    <w:rsid w:val="7785787E"/>
    <w:rsid w:val="778E7BEF"/>
    <w:rsid w:val="77A442EF"/>
    <w:rsid w:val="77B56B1F"/>
    <w:rsid w:val="77E90EE2"/>
    <w:rsid w:val="77F02658"/>
    <w:rsid w:val="77F51DFF"/>
    <w:rsid w:val="77F9265C"/>
    <w:rsid w:val="780F09F4"/>
    <w:rsid w:val="781520BE"/>
    <w:rsid w:val="78250442"/>
    <w:rsid w:val="782642CC"/>
    <w:rsid w:val="783A2E5C"/>
    <w:rsid w:val="786E2086"/>
    <w:rsid w:val="78A90480"/>
    <w:rsid w:val="78AE679B"/>
    <w:rsid w:val="78AF42C1"/>
    <w:rsid w:val="78B6564F"/>
    <w:rsid w:val="78D9133E"/>
    <w:rsid w:val="79184896"/>
    <w:rsid w:val="791B1BA7"/>
    <w:rsid w:val="793437F6"/>
    <w:rsid w:val="793D7B1F"/>
    <w:rsid w:val="7940382F"/>
    <w:rsid w:val="79532E9E"/>
    <w:rsid w:val="795B169E"/>
    <w:rsid w:val="795C3075"/>
    <w:rsid w:val="795E2CD5"/>
    <w:rsid w:val="79621333"/>
    <w:rsid w:val="796230E1"/>
    <w:rsid w:val="796E5F2A"/>
    <w:rsid w:val="797A33BA"/>
    <w:rsid w:val="79AB21D0"/>
    <w:rsid w:val="79E461EC"/>
    <w:rsid w:val="79EE0E19"/>
    <w:rsid w:val="79F6735E"/>
    <w:rsid w:val="79FC1788"/>
    <w:rsid w:val="7A052DF2"/>
    <w:rsid w:val="7A244B41"/>
    <w:rsid w:val="7A2B3E1B"/>
    <w:rsid w:val="7A364017"/>
    <w:rsid w:val="7A3B317E"/>
    <w:rsid w:val="7A8265E1"/>
    <w:rsid w:val="7A8F3B44"/>
    <w:rsid w:val="7AAC3494"/>
    <w:rsid w:val="7ABE2CD8"/>
    <w:rsid w:val="7AC202DC"/>
    <w:rsid w:val="7AE9721E"/>
    <w:rsid w:val="7AEA5A84"/>
    <w:rsid w:val="7AFB1A3F"/>
    <w:rsid w:val="7B120345"/>
    <w:rsid w:val="7B1B2263"/>
    <w:rsid w:val="7B2014A6"/>
    <w:rsid w:val="7B205002"/>
    <w:rsid w:val="7B2F7055"/>
    <w:rsid w:val="7B3A20A1"/>
    <w:rsid w:val="7B53317E"/>
    <w:rsid w:val="7B542EFE"/>
    <w:rsid w:val="7B686D42"/>
    <w:rsid w:val="7B841746"/>
    <w:rsid w:val="7B851426"/>
    <w:rsid w:val="7B9300CC"/>
    <w:rsid w:val="7B937ECA"/>
    <w:rsid w:val="7BB67714"/>
    <w:rsid w:val="7BFF3346"/>
    <w:rsid w:val="7C06244A"/>
    <w:rsid w:val="7C370855"/>
    <w:rsid w:val="7C4968B0"/>
    <w:rsid w:val="7C58154F"/>
    <w:rsid w:val="7C635AEE"/>
    <w:rsid w:val="7C6C5AC7"/>
    <w:rsid w:val="7C9F0057"/>
    <w:rsid w:val="7CC6544B"/>
    <w:rsid w:val="7CD808E6"/>
    <w:rsid w:val="7CE660B2"/>
    <w:rsid w:val="7CE7227B"/>
    <w:rsid w:val="7D0239FF"/>
    <w:rsid w:val="7D034BDB"/>
    <w:rsid w:val="7D382AD7"/>
    <w:rsid w:val="7D3E5C13"/>
    <w:rsid w:val="7D407896"/>
    <w:rsid w:val="7D5E40CD"/>
    <w:rsid w:val="7D71160A"/>
    <w:rsid w:val="7D927443"/>
    <w:rsid w:val="7DCD56F2"/>
    <w:rsid w:val="7DD1169D"/>
    <w:rsid w:val="7DE05A26"/>
    <w:rsid w:val="7DF77788"/>
    <w:rsid w:val="7E13413D"/>
    <w:rsid w:val="7E2412AD"/>
    <w:rsid w:val="7E25246F"/>
    <w:rsid w:val="7E2A46F6"/>
    <w:rsid w:val="7E4210B2"/>
    <w:rsid w:val="7E5971A9"/>
    <w:rsid w:val="7E631DD5"/>
    <w:rsid w:val="7EA46DE4"/>
    <w:rsid w:val="7EA47CF8"/>
    <w:rsid w:val="7EA877E8"/>
    <w:rsid w:val="7ECF746B"/>
    <w:rsid w:val="7EFB6BF0"/>
    <w:rsid w:val="7F001CE7"/>
    <w:rsid w:val="7F083D0D"/>
    <w:rsid w:val="7F1B7D10"/>
    <w:rsid w:val="7F814DD6"/>
    <w:rsid w:val="7F871AF4"/>
    <w:rsid w:val="7FA1107F"/>
    <w:rsid w:val="7FA51F7A"/>
    <w:rsid w:val="7FE47E50"/>
    <w:rsid w:val="7FEC6AD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endarrow="block"/>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semiHidden="0" w:name="heading 2" w:locked="1"/>
    <w:lsdException w:qFormat="1" w:unhideWhenUsed="0" w:uiPriority="0" w:semiHidden="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nhideWhenUsed="0" w:uiPriority="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nhideWhenUsed="0" w:uiPriority="0" w:semiHidden="0" w:name="toc 1" w:locked="1"/>
    <w:lsdException w:qFormat="1" w:unhideWhenUsed="0" w:uiPriority="39"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ocked="1"/>
    <w:lsdException w:qFormat="1" w:unhideWhenUsed="0" w:uiPriority="35" w:semiHidden="0" w:name="caption" w:locked="1"/>
    <w:lsdException w:qFormat="1"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qFormat="1"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qFormat="1" w:unhideWhenUsed="0" w:uiPriority="0" w:semiHidden="0" w:name="List 3" w:locked="1"/>
    <w:lsdException w:unhideWhenUsed="0" w:uiPriority="0" w:semiHidden="0" w:name="List 4" w:locked="1"/>
    <w:lsdException w:unhideWhenUsed="0" w:uiPriority="0" w:semiHidden="0" w:name="List 5" w:locked="1"/>
    <w:lsdException w:qFormat="1"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qFormat="1" w:unhideWhenUsed="0" w:uiPriority="0" w:semiHidden="0" w:name="Note Heading" w:locked="1"/>
    <w:lsdException w:qFormat="1" w:unhideWhenUsed="0" w:uiPriority="0" w:semiHidden="0" w:name="Body Text 2" w:locked="1"/>
    <w:lsdException w:unhideWhenUsed="0" w:uiPriority="0" w:semiHidden="0" w:name="Body Text 3" w:locked="1"/>
    <w:lsdException w:qFormat="1" w:unhideWhenUsed="0" w:uiPriority="0" w:semiHidden="0" w:name="Body Text Indent 2" w:locked="1"/>
    <w:lsdException w:unhideWhenUsed="0" w:uiPriority="0" w:semiHidden="0" w:name="Body Text Indent 3" w:locked="1"/>
    <w:lsdException w:qFormat="1" w:unhideWhenUsed="0" w:uiPriority="0" w:semiHidden="0" w:name="Block Text" w:locked="1"/>
    <w:lsdException w:qFormat="1" w:unhideWhenUsed="0" w:uiPriority="0" w:semiHidden="0" w:name="Hyperlink" w:locked="1"/>
    <w:lsdException w:qFormat="1" w:unhideWhenUsed="0" w:uiPriority="0" w:semiHidden="0" w:name="FollowedHyperlink" w:locked="1"/>
    <w:lsdException w:qFormat="1" w:unhideWhenUsed="0" w:uiPriority="0"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qFormat="1"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qFormat="1"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semiHidden="0" w:name="Normal Table"/>
    <w:lsdException w:qFormat="1" w:unhideWhenUsed="0" w:uiPriority="0"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0" w:name="Balloon Text"/>
    <w:lsdException w:qFormat="1" w:unhideWhenUsed="0" w:uiPriority="0" w:semiHidden="0" w:name="Table Grid"/>
    <w:lsdException w:uiPriority="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0"/>
    <w:qFormat/>
    <w:locked/>
    <w:uiPriority w:val="99"/>
    <w:pPr>
      <w:keepNext/>
      <w:overflowPunct w:val="0"/>
      <w:snapToGrid w:val="0"/>
      <w:spacing w:before="120" w:after="160" w:line="360" w:lineRule="auto"/>
      <w:contextualSpacing/>
      <w:jc w:val="left"/>
      <w:outlineLvl w:val="0"/>
    </w:pPr>
    <w:rPr>
      <w:rFonts w:eastAsia="黑体"/>
      <w:b/>
      <w:bCs/>
      <w:color w:val="000000"/>
      <w:kern w:val="44"/>
      <w:sz w:val="24"/>
      <w:szCs w:val="30"/>
    </w:rPr>
  </w:style>
  <w:style w:type="paragraph" w:styleId="3">
    <w:name w:val="heading 2"/>
    <w:basedOn w:val="1"/>
    <w:next w:val="1"/>
    <w:unhideWhenUsed/>
    <w:qFormat/>
    <w:locked/>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4">
    <w:name w:val="heading 3"/>
    <w:basedOn w:val="1"/>
    <w:next w:val="1"/>
    <w:qFormat/>
    <w:locked/>
    <w:uiPriority w:val="0"/>
    <w:pPr>
      <w:keepNext/>
      <w:keepLines/>
      <w:spacing w:before="260" w:after="260" w:line="416" w:lineRule="auto"/>
      <w:outlineLvl w:val="2"/>
    </w:pPr>
    <w:rPr>
      <w:b/>
      <w:bCs/>
      <w:sz w:val="32"/>
      <w:szCs w:val="32"/>
    </w:rPr>
  </w:style>
  <w:style w:type="paragraph" w:styleId="5">
    <w:name w:val="heading 4"/>
    <w:basedOn w:val="1"/>
    <w:next w:val="1"/>
    <w:qFormat/>
    <w:locked/>
    <w:uiPriority w:val="0"/>
    <w:pPr>
      <w:keepNext/>
      <w:spacing w:line="240" w:lineRule="auto"/>
      <w:ind w:firstLine="0" w:firstLineChars="0"/>
      <w:jc w:val="center"/>
      <w:outlineLvl w:val="3"/>
    </w:pPr>
    <w:rPr>
      <w:rFonts w:eastAsia="黑体"/>
    </w:rPr>
  </w:style>
  <w:style w:type="character" w:default="1" w:styleId="41">
    <w:name w:val="Default Paragraph Font"/>
    <w:unhideWhenUsed/>
    <w:qFormat/>
    <w:uiPriority w:val="1"/>
  </w:style>
  <w:style w:type="table" w:default="1" w:styleId="39">
    <w:name w:val="Normal Table"/>
    <w:unhideWhenUsed/>
    <w:qFormat/>
    <w:uiPriority w:val="99"/>
    <w:tblPr>
      <w:tblCellMar>
        <w:top w:w="0" w:type="dxa"/>
        <w:left w:w="108" w:type="dxa"/>
        <w:bottom w:w="0" w:type="dxa"/>
        <w:right w:w="108" w:type="dxa"/>
      </w:tblCellMar>
    </w:tblPr>
  </w:style>
  <w:style w:type="paragraph" w:styleId="6">
    <w:name w:val="List 3"/>
    <w:basedOn w:val="1"/>
    <w:qFormat/>
    <w:locked/>
    <w:uiPriority w:val="0"/>
    <w:pPr>
      <w:autoSpaceDE w:val="0"/>
      <w:autoSpaceDN w:val="0"/>
      <w:adjustRightInd w:val="0"/>
      <w:spacing w:line="288" w:lineRule="auto"/>
      <w:ind w:left="1260" w:hanging="420"/>
      <w:jc w:val="left"/>
      <w:textAlignment w:val="baseline"/>
    </w:pPr>
    <w:rPr>
      <w:kern w:val="0"/>
      <w:sz w:val="24"/>
    </w:rPr>
  </w:style>
  <w:style w:type="paragraph" w:styleId="7">
    <w:name w:val="Note Heading"/>
    <w:basedOn w:val="1"/>
    <w:next w:val="1"/>
    <w:qFormat/>
    <w:locked/>
    <w:uiPriority w:val="0"/>
    <w:pPr>
      <w:jc w:val="center"/>
    </w:pPr>
    <w:rPr>
      <w:rFonts w:eastAsia="宋体"/>
      <w:kern w:val="2"/>
      <w:sz w:val="21"/>
      <w:lang w:val="en-US" w:eastAsia="zh-CN" w:bidi="ar-SA"/>
    </w:rPr>
  </w:style>
  <w:style w:type="paragraph" w:styleId="8">
    <w:name w:val="E-mail Signature"/>
    <w:basedOn w:val="1"/>
    <w:next w:val="9"/>
    <w:qFormat/>
    <w:locked/>
    <w:uiPriority w:val="0"/>
    <w:pPr>
      <w:spacing w:line="460" w:lineRule="exact"/>
      <w:ind w:firstLine="200"/>
    </w:pPr>
    <w:rPr>
      <w:sz w:val="24"/>
    </w:rPr>
  </w:style>
  <w:style w:type="paragraph" w:customStyle="1" w:styleId="9">
    <w:name w:val="文章"/>
    <w:basedOn w:val="10"/>
    <w:next w:val="11"/>
    <w:qFormat/>
    <w:uiPriority w:val="0"/>
    <w:pPr>
      <w:ind w:firstLine="720"/>
    </w:pPr>
    <w:rPr>
      <w:kern w:val="0"/>
    </w:rPr>
  </w:style>
  <w:style w:type="paragraph" w:styleId="10">
    <w:name w:val="Body Text Indent"/>
    <w:basedOn w:val="1"/>
    <w:link w:val="53"/>
    <w:qFormat/>
    <w:uiPriority w:val="0"/>
    <w:pPr>
      <w:spacing w:after="120"/>
      <w:ind w:left="420" w:leftChars="200"/>
    </w:pPr>
    <w:rPr>
      <w:kern w:val="0"/>
      <w:sz w:val="24"/>
      <w:szCs w:val="20"/>
    </w:rPr>
  </w:style>
  <w:style w:type="paragraph" w:styleId="11">
    <w:name w:val="List"/>
    <w:basedOn w:val="1"/>
    <w:next w:val="12"/>
    <w:qFormat/>
    <w:locked/>
    <w:uiPriority w:val="0"/>
    <w:pPr>
      <w:ind w:left="200" w:hanging="200" w:hangingChars="200"/>
    </w:pPr>
  </w:style>
  <w:style w:type="paragraph" w:styleId="12">
    <w:name w:val="List Bullet 2"/>
    <w:basedOn w:val="1"/>
    <w:next w:val="13"/>
    <w:qFormat/>
    <w:locked/>
    <w:uiPriority w:val="0"/>
    <w:pPr>
      <w:numPr>
        <w:ilvl w:val="0"/>
        <w:numId w:val="1"/>
      </w:numPr>
    </w:pPr>
  </w:style>
  <w:style w:type="paragraph" w:customStyle="1" w:styleId="13">
    <w:name w:val="xl70"/>
    <w:basedOn w:val="1"/>
    <w:next w:val="14"/>
    <w:qFormat/>
    <w:uiPriority w:val="0"/>
    <w:pPr>
      <w:widowControl/>
      <w:pBdr>
        <w:top w:val="single" w:color="auto" w:sz="4" w:space="0"/>
        <w:bottom w:val="single" w:color="auto" w:sz="4" w:space="0"/>
      </w:pBdr>
      <w:shd w:val="clear" w:color="auto" w:fill="FFFFFF"/>
      <w:spacing w:before="100" w:beforeAutospacing="1" w:after="100" w:afterAutospacing="1"/>
      <w:jc w:val="center"/>
    </w:pPr>
    <w:rPr>
      <w:rFonts w:ascii="宋体" w:hAnsi="宋体"/>
      <w:kern w:val="0"/>
      <w:sz w:val="20"/>
      <w:szCs w:val="20"/>
    </w:rPr>
  </w:style>
  <w:style w:type="paragraph" w:customStyle="1" w:styleId="14">
    <w:name w:val="正文缩进1"/>
    <w:basedOn w:val="1"/>
    <w:next w:val="15"/>
    <w:qFormat/>
    <w:uiPriority w:val="0"/>
    <w:pPr>
      <w:spacing w:line="360" w:lineRule="auto"/>
      <w:ind w:firstLine="420"/>
    </w:pPr>
    <w:rPr>
      <w:rFonts w:ascii="宋体"/>
      <w:sz w:val="28"/>
    </w:rPr>
  </w:style>
  <w:style w:type="paragraph" w:customStyle="1" w:styleId="15">
    <w:name w:val="td1"/>
    <w:basedOn w:val="1"/>
    <w:next w:val="1"/>
    <w:qFormat/>
    <w:uiPriority w:val="0"/>
    <w:pPr>
      <w:widowControl/>
      <w:spacing w:before="280" w:after="280" w:line="300" w:lineRule="atLeast"/>
      <w:ind w:firstLine="200"/>
    </w:pPr>
    <w:rPr>
      <w:color w:val="000000"/>
      <w:sz w:val="18"/>
    </w:rPr>
  </w:style>
  <w:style w:type="paragraph" w:styleId="16">
    <w:name w:val="Normal Indent"/>
    <w:basedOn w:val="1"/>
    <w:next w:val="5"/>
    <w:qFormat/>
    <w:locked/>
    <w:uiPriority w:val="99"/>
    <w:pPr>
      <w:ind w:firstLine="420"/>
    </w:pPr>
    <w:rPr>
      <w:szCs w:val="20"/>
    </w:rPr>
  </w:style>
  <w:style w:type="paragraph" w:styleId="17">
    <w:name w:val="caption"/>
    <w:basedOn w:val="1"/>
    <w:next w:val="1"/>
    <w:qFormat/>
    <w:locked/>
    <w:uiPriority w:val="35"/>
    <w:pPr>
      <w:spacing w:beforeLines="10"/>
    </w:pPr>
    <w:rPr>
      <w:rFonts w:eastAsia="黑体"/>
      <w:bCs/>
    </w:rPr>
  </w:style>
  <w:style w:type="paragraph" w:styleId="18">
    <w:name w:val="annotation text"/>
    <w:basedOn w:val="1"/>
    <w:link w:val="51"/>
    <w:semiHidden/>
    <w:qFormat/>
    <w:uiPriority w:val="0"/>
    <w:pPr>
      <w:jc w:val="left"/>
    </w:pPr>
    <w:rPr>
      <w:kern w:val="0"/>
      <w:sz w:val="24"/>
      <w:szCs w:val="20"/>
    </w:rPr>
  </w:style>
  <w:style w:type="paragraph" w:styleId="19">
    <w:name w:val="Body Text"/>
    <w:basedOn w:val="1"/>
    <w:link w:val="52"/>
    <w:qFormat/>
    <w:uiPriority w:val="0"/>
    <w:pPr>
      <w:widowControl/>
      <w:snapToGrid w:val="0"/>
      <w:spacing w:before="60" w:after="160" w:line="259" w:lineRule="auto"/>
      <w:ind w:right="113"/>
    </w:pPr>
    <w:rPr>
      <w:kern w:val="0"/>
      <w:sz w:val="18"/>
      <w:szCs w:val="20"/>
    </w:rPr>
  </w:style>
  <w:style w:type="paragraph" w:styleId="20">
    <w:name w:val="Block Text"/>
    <w:basedOn w:val="1"/>
    <w:next w:val="1"/>
    <w:qFormat/>
    <w:locked/>
    <w:uiPriority w:val="0"/>
    <w:pPr>
      <w:adjustRightInd w:val="0"/>
      <w:spacing w:before="120" w:line="440" w:lineRule="exact"/>
      <w:ind w:left="284" w:right="284" w:firstLine="567"/>
      <w:textAlignment w:val="baseline"/>
    </w:pPr>
    <w:rPr>
      <w:rFonts w:ascii="楷体_GB2312" w:eastAsia="楷体_GB2312"/>
      <w:spacing w:val="-2"/>
      <w:kern w:val="0"/>
      <w:sz w:val="28"/>
      <w:szCs w:val="20"/>
    </w:rPr>
  </w:style>
  <w:style w:type="paragraph" w:styleId="21">
    <w:name w:val="Plain Text"/>
    <w:basedOn w:val="1"/>
    <w:qFormat/>
    <w:locked/>
    <w:uiPriority w:val="0"/>
    <w:rPr>
      <w:rFonts w:ascii="宋体" w:hAnsi="Courier New" w:cs="Courier New"/>
      <w:szCs w:val="21"/>
    </w:rPr>
  </w:style>
  <w:style w:type="paragraph" w:styleId="22">
    <w:name w:val="Date"/>
    <w:basedOn w:val="1"/>
    <w:next w:val="1"/>
    <w:link w:val="54"/>
    <w:qFormat/>
    <w:uiPriority w:val="0"/>
    <w:pPr>
      <w:ind w:left="100" w:leftChars="2500"/>
    </w:pPr>
    <w:rPr>
      <w:kern w:val="0"/>
      <w:sz w:val="24"/>
      <w:szCs w:val="20"/>
    </w:rPr>
  </w:style>
  <w:style w:type="paragraph" w:styleId="23">
    <w:name w:val="Body Text Indent 2"/>
    <w:basedOn w:val="1"/>
    <w:qFormat/>
    <w:locked/>
    <w:uiPriority w:val="0"/>
    <w:pPr>
      <w:spacing w:line="360" w:lineRule="auto"/>
      <w:ind w:firstLine="457" w:firstLineChars="200"/>
    </w:pPr>
    <w:rPr>
      <w:b/>
      <w:sz w:val="24"/>
    </w:rPr>
  </w:style>
  <w:style w:type="paragraph" w:styleId="24">
    <w:name w:val="Balloon Text"/>
    <w:basedOn w:val="1"/>
    <w:link w:val="55"/>
    <w:semiHidden/>
    <w:qFormat/>
    <w:uiPriority w:val="0"/>
    <w:rPr>
      <w:kern w:val="0"/>
      <w:sz w:val="18"/>
      <w:szCs w:val="20"/>
    </w:rPr>
  </w:style>
  <w:style w:type="paragraph" w:styleId="25">
    <w:name w:val="footer"/>
    <w:basedOn w:val="1"/>
    <w:link w:val="56"/>
    <w:qFormat/>
    <w:uiPriority w:val="99"/>
    <w:pPr>
      <w:tabs>
        <w:tab w:val="center" w:pos="4153"/>
        <w:tab w:val="right" w:pos="8306"/>
      </w:tabs>
      <w:snapToGrid w:val="0"/>
      <w:jc w:val="left"/>
    </w:pPr>
    <w:rPr>
      <w:kern w:val="0"/>
      <w:sz w:val="18"/>
      <w:szCs w:val="20"/>
    </w:rPr>
  </w:style>
  <w:style w:type="paragraph" w:styleId="26">
    <w:name w:val="header"/>
    <w:basedOn w:val="1"/>
    <w:link w:val="57"/>
    <w:qFormat/>
    <w:uiPriority w:val="0"/>
    <w:pPr>
      <w:pBdr>
        <w:bottom w:val="single" w:color="auto" w:sz="6" w:space="1"/>
      </w:pBdr>
      <w:tabs>
        <w:tab w:val="center" w:pos="4153"/>
        <w:tab w:val="right" w:pos="8306"/>
      </w:tabs>
      <w:snapToGrid w:val="0"/>
      <w:jc w:val="center"/>
    </w:pPr>
    <w:rPr>
      <w:kern w:val="0"/>
      <w:sz w:val="18"/>
      <w:szCs w:val="20"/>
    </w:rPr>
  </w:style>
  <w:style w:type="paragraph" w:styleId="27">
    <w:name w:val="toc 1"/>
    <w:basedOn w:val="1"/>
    <w:next w:val="1"/>
    <w:qFormat/>
    <w:locked/>
    <w:uiPriority w:val="0"/>
  </w:style>
  <w:style w:type="paragraph" w:styleId="28">
    <w:name w:val="index heading"/>
    <w:basedOn w:val="1"/>
    <w:next w:val="29"/>
    <w:qFormat/>
    <w:locked/>
    <w:uiPriority w:val="0"/>
    <w:rPr>
      <w:rFonts w:ascii="Cambria" w:hAnsi="Cambria"/>
      <w:b/>
      <w:bCs/>
    </w:rPr>
  </w:style>
  <w:style w:type="paragraph" w:styleId="29">
    <w:name w:val="index 1"/>
    <w:basedOn w:val="1"/>
    <w:next w:val="1"/>
    <w:semiHidden/>
    <w:qFormat/>
    <w:locked/>
    <w:uiPriority w:val="0"/>
    <w:pPr>
      <w:spacing w:beforeLines="50" w:after="100" w:line="360" w:lineRule="auto"/>
      <w:jc w:val="center"/>
    </w:pPr>
    <w:rPr>
      <w:bCs/>
      <w:szCs w:val="21"/>
    </w:rPr>
  </w:style>
  <w:style w:type="paragraph" w:styleId="30">
    <w:name w:val="table of figures"/>
    <w:next w:val="1"/>
    <w:qFormat/>
    <w:locked/>
    <w:uiPriority w:val="0"/>
    <w:pPr>
      <w:widowControl w:val="0"/>
      <w:adjustRightInd w:val="0"/>
      <w:snapToGrid w:val="0"/>
      <w:spacing w:before="50" w:beforeLines="50" w:line="360" w:lineRule="auto"/>
      <w:jc w:val="center"/>
    </w:pPr>
    <w:rPr>
      <w:rFonts w:ascii="Times New Roman" w:hAnsi="Times New Roman" w:eastAsia="宋体" w:cs="Times New Roman"/>
      <w:b/>
      <w:kern w:val="2"/>
      <w:sz w:val="24"/>
      <w:szCs w:val="24"/>
      <w:lang w:val="en-US" w:eastAsia="zh-CN" w:bidi="ar-SA"/>
    </w:rPr>
  </w:style>
  <w:style w:type="paragraph" w:styleId="31">
    <w:name w:val="toc 2"/>
    <w:basedOn w:val="1"/>
    <w:next w:val="8"/>
    <w:qFormat/>
    <w:locked/>
    <w:uiPriority w:val="39"/>
    <w:pPr>
      <w:ind w:left="420" w:leftChars="200"/>
    </w:pPr>
  </w:style>
  <w:style w:type="paragraph" w:styleId="32">
    <w:name w:val="Body Text 2"/>
    <w:basedOn w:val="1"/>
    <w:qFormat/>
    <w:locked/>
    <w:uiPriority w:val="0"/>
    <w:pPr>
      <w:adjustRightInd w:val="0"/>
      <w:snapToGrid w:val="0"/>
      <w:spacing w:line="360" w:lineRule="auto"/>
    </w:pPr>
    <w:rPr>
      <w:rFonts w:ascii="宋体" w:hAnsi="宋体"/>
      <w:color w:val="0000FF"/>
      <w:sz w:val="24"/>
    </w:rPr>
  </w:style>
  <w:style w:type="paragraph" w:styleId="33">
    <w:name w:val="HTML Preformatted"/>
    <w:basedOn w:val="1"/>
    <w:qFormat/>
    <w:locked/>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34">
    <w:name w:val="Normal (Web)"/>
    <w:basedOn w:val="1"/>
    <w:link w:val="58"/>
    <w:qFormat/>
    <w:uiPriority w:val="0"/>
    <w:pPr>
      <w:widowControl/>
      <w:spacing w:before="100" w:beforeAutospacing="1" w:after="100" w:afterAutospacing="1"/>
      <w:jc w:val="left"/>
    </w:pPr>
    <w:rPr>
      <w:rFonts w:ascii="宋体" w:hAnsi="宋体"/>
      <w:kern w:val="0"/>
      <w:sz w:val="24"/>
      <w:szCs w:val="20"/>
    </w:rPr>
  </w:style>
  <w:style w:type="paragraph" w:styleId="35">
    <w:name w:val="Title"/>
    <w:basedOn w:val="1"/>
    <w:next w:val="1"/>
    <w:link w:val="59"/>
    <w:qFormat/>
    <w:locked/>
    <w:uiPriority w:val="0"/>
    <w:pPr>
      <w:snapToGrid w:val="0"/>
      <w:spacing w:line="360" w:lineRule="auto"/>
      <w:contextualSpacing/>
      <w:jc w:val="left"/>
      <w:outlineLvl w:val="0"/>
    </w:pPr>
    <w:rPr>
      <w:rFonts w:ascii="等线 Light" w:hAnsi="等线 Light" w:eastAsia="黑体" w:cs="Times New Roman"/>
      <w:b/>
      <w:bCs/>
      <w:sz w:val="24"/>
      <w:szCs w:val="32"/>
    </w:rPr>
  </w:style>
  <w:style w:type="paragraph" w:styleId="36">
    <w:name w:val="annotation subject"/>
    <w:basedOn w:val="18"/>
    <w:next w:val="18"/>
    <w:link w:val="60"/>
    <w:semiHidden/>
    <w:qFormat/>
    <w:uiPriority w:val="0"/>
    <w:rPr>
      <w:b/>
    </w:rPr>
  </w:style>
  <w:style w:type="paragraph" w:styleId="37">
    <w:name w:val="Body Text First Indent"/>
    <w:basedOn w:val="19"/>
    <w:qFormat/>
    <w:locked/>
    <w:uiPriority w:val="0"/>
    <w:pPr>
      <w:spacing w:after="120" w:line="240" w:lineRule="auto"/>
      <w:ind w:firstLine="420" w:firstLineChars="100"/>
    </w:pPr>
    <w:rPr>
      <w:sz w:val="21"/>
    </w:rPr>
  </w:style>
  <w:style w:type="paragraph" w:styleId="38">
    <w:name w:val="Body Text First Indent 2"/>
    <w:basedOn w:val="1"/>
    <w:next w:val="1"/>
    <w:qFormat/>
    <w:locked/>
    <w:uiPriority w:val="0"/>
    <w:pPr>
      <w:ind w:firstLine="420" w:firstLineChars="200"/>
    </w:pPr>
  </w:style>
  <w:style w:type="table" w:styleId="40">
    <w:name w:val="Table Grid"/>
    <w:basedOn w:val="3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locked/>
    <w:uiPriority w:val="0"/>
    <w:rPr>
      <w:b/>
    </w:rPr>
  </w:style>
  <w:style w:type="character" w:styleId="43">
    <w:name w:val="page number"/>
    <w:basedOn w:val="41"/>
    <w:qFormat/>
    <w:locked/>
    <w:uiPriority w:val="0"/>
  </w:style>
  <w:style w:type="character" w:styleId="44">
    <w:name w:val="FollowedHyperlink"/>
    <w:basedOn w:val="41"/>
    <w:qFormat/>
    <w:locked/>
    <w:uiPriority w:val="0"/>
    <w:rPr>
      <w:color w:val="000000"/>
      <w:u w:val="none"/>
    </w:rPr>
  </w:style>
  <w:style w:type="character" w:styleId="45">
    <w:name w:val="Emphasis"/>
    <w:basedOn w:val="41"/>
    <w:qFormat/>
    <w:locked/>
    <w:uiPriority w:val="0"/>
  </w:style>
  <w:style w:type="character" w:styleId="46">
    <w:name w:val="Hyperlink"/>
    <w:basedOn w:val="41"/>
    <w:qFormat/>
    <w:locked/>
    <w:uiPriority w:val="0"/>
    <w:rPr>
      <w:color w:val="000000"/>
      <w:u w:val="none"/>
    </w:rPr>
  </w:style>
  <w:style w:type="character" w:styleId="47">
    <w:name w:val="annotation reference"/>
    <w:semiHidden/>
    <w:qFormat/>
    <w:uiPriority w:val="0"/>
    <w:rPr>
      <w:sz w:val="21"/>
    </w:rPr>
  </w:style>
  <w:style w:type="paragraph" w:customStyle="1" w:styleId="48">
    <w:name w:val="首行缩进2个字符"/>
    <w:basedOn w:val="1"/>
    <w:qFormat/>
    <w:uiPriority w:val="0"/>
    <w:pPr>
      <w:spacing w:line="360" w:lineRule="auto"/>
      <w:ind w:firstLine="200" w:firstLineChars="200"/>
    </w:pPr>
    <w:rPr>
      <w:rFonts w:ascii="宋体"/>
      <w:kern w:val="28"/>
      <w:sz w:val="28"/>
      <w:szCs w:val="28"/>
    </w:rPr>
  </w:style>
  <w:style w:type="paragraph" w:customStyle="1" w:styleId="49">
    <w:name w:val="xl27"/>
    <w:basedOn w:val="1"/>
    <w:qFormat/>
    <w:uiPriority w:val="0"/>
    <w:pPr>
      <w:widowControl/>
      <w:pBdr>
        <w:bottom w:val="single" w:color="auto" w:sz="12" w:space="0"/>
      </w:pBdr>
      <w:spacing w:before="100" w:beforeLines="0" w:after="100" w:afterLines="0"/>
      <w:jc w:val="center"/>
    </w:pPr>
    <w:rPr>
      <w:rFonts w:ascii="宋体" w:hAnsi="宋体"/>
      <w:kern w:val="0"/>
      <w:szCs w:val="20"/>
    </w:rPr>
  </w:style>
  <w:style w:type="character" w:customStyle="1" w:styleId="50">
    <w:name w:val="标题 1 字符"/>
    <w:basedOn w:val="41"/>
    <w:link w:val="2"/>
    <w:qFormat/>
    <w:uiPriority w:val="99"/>
    <w:rPr>
      <w:rFonts w:eastAsia="黑体"/>
      <w:b/>
      <w:bCs/>
      <w:color w:val="000000"/>
      <w:kern w:val="44"/>
      <w:sz w:val="24"/>
      <w:szCs w:val="30"/>
    </w:rPr>
  </w:style>
  <w:style w:type="character" w:customStyle="1" w:styleId="51">
    <w:name w:val="批注文字 字符"/>
    <w:link w:val="18"/>
    <w:qFormat/>
    <w:locked/>
    <w:uiPriority w:val="0"/>
    <w:rPr>
      <w:rFonts w:ascii="Times New Roman" w:hAnsi="Times New Roman" w:eastAsia="宋体"/>
      <w:sz w:val="24"/>
    </w:rPr>
  </w:style>
  <w:style w:type="character" w:customStyle="1" w:styleId="52">
    <w:name w:val="正文文本 字符"/>
    <w:link w:val="19"/>
    <w:qFormat/>
    <w:locked/>
    <w:uiPriority w:val="0"/>
    <w:rPr>
      <w:sz w:val="18"/>
    </w:rPr>
  </w:style>
  <w:style w:type="character" w:customStyle="1" w:styleId="53">
    <w:name w:val="正文文本缩进 字符"/>
    <w:link w:val="10"/>
    <w:semiHidden/>
    <w:qFormat/>
    <w:locked/>
    <w:uiPriority w:val="0"/>
    <w:rPr>
      <w:rFonts w:ascii="Times New Roman" w:hAnsi="Times New Roman" w:eastAsia="宋体"/>
      <w:sz w:val="24"/>
    </w:rPr>
  </w:style>
  <w:style w:type="character" w:customStyle="1" w:styleId="54">
    <w:name w:val="日期 字符1"/>
    <w:link w:val="22"/>
    <w:qFormat/>
    <w:locked/>
    <w:uiPriority w:val="0"/>
    <w:rPr>
      <w:rFonts w:ascii="Times New Roman" w:hAnsi="Times New Roman" w:eastAsia="宋体"/>
      <w:sz w:val="24"/>
    </w:rPr>
  </w:style>
  <w:style w:type="character" w:customStyle="1" w:styleId="55">
    <w:name w:val="批注框文本 字符"/>
    <w:link w:val="24"/>
    <w:semiHidden/>
    <w:qFormat/>
    <w:locked/>
    <w:uiPriority w:val="0"/>
    <w:rPr>
      <w:rFonts w:ascii="Times New Roman" w:hAnsi="Times New Roman" w:eastAsia="宋体"/>
      <w:sz w:val="18"/>
    </w:rPr>
  </w:style>
  <w:style w:type="character" w:customStyle="1" w:styleId="56">
    <w:name w:val="页脚 字符1"/>
    <w:link w:val="25"/>
    <w:qFormat/>
    <w:locked/>
    <w:uiPriority w:val="99"/>
    <w:rPr>
      <w:sz w:val="18"/>
    </w:rPr>
  </w:style>
  <w:style w:type="character" w:customStyle="1" w:styleId="57">
    <w:name w:val="页眉 字符"/>
    <w:link w:val="26"/>
    <w:qFormat/>
    <w:locked/>
    <w:uiPriority w:val="0"/>
    <w:rPr>
      <w:sz w:val="18"/>
    </w:rPr>
  </w:style>
  <w:style w:type="character" w:customStyle="1" w:styleId="58">
    <w:name w:val="普通(网站) 字符"/>
    <w:link w:val="34"/>
    <w:qFormat/>
    <w:locked/>
    <w:uiPriority w:val="0"/>
    <w:rPr>
      <w:rFonts w:ascii="宋体" w:hAnsi="宋体" w:eastAsia="宋体"/>
      <w:sz w:val="24"/>
    </w:rPr>
  </w:style>
  <w:style w:type="character" w:customStyle="1" w:styleId="59">
    <w:name w:val="标题 字符"/>
    <w:basedOn w:val="41"/>
    <w:link w:val="35"/>
    <w:qFormat/>
    <w:uiPriority w:val="0"/>
    <w:rPr>
      <w:rFonts w:ascii="等线 Light" w:hAnsi="等线 Light" w:eastAsia="黑体" w:cs="Times New Roman"/>
      <w:b/>
      <w:bCs/>
      <w:kern w:val="2"/>
      <w:sz w:val="24"/>
      <w:szCs w:val="32"/>
    </w:rPr>
  </w:style>
  <w:style w:type="character" w:customStyle="1" w:styleId="60">
    <w:name w:val="批注主题 字符"/>
    <w:link w:val="36"/>
    <w:semiHidden/>
    <w:qFormat/>
    <w:locked/>
    <w:uiPriority w:val="0"/>
    <w:rPr>
      <w:rFonts w:ascii="Times New Roman" w:hAnsi="Times New Roman" w:eastAsia="宋体"/>
      <w:b/>
      <w:kern w:val="2"/>
      <w:sz w:val="24"/>
    </w:rPr>
  </w:style>
  <w:style w:type="character" w:customStyle="1" w:styleId="61">
    <w:name w:val="表格 Char"/>
    <w:link w:val="62"/>
    <w:qFormat/>
    <w:locked/>
    <w:uiPriority w:val="0"/>
    <w:rPr>
      <w:rFonts w:ascii="宋体"/>
      <w:sz w:val="21"/>
    </w:rPr>
  </w:style>
  <w:style w:type="paragraph" w:customStyle="1" w:styleId="62">
    <w:name w:val="表格"/>
    <w:basedOn w:val="11"/>
    <w:next w:val="1"/>
    <w:link w:val="61"/>
    <w:qFormat/>
    <w:uiPriority w:val="0"/>
    <w:pPr>
      <w:adjustRightInd w:val="0"/>
      <w:snapToGrid w:val="0"/>
      <w:spacing w:beforeLines="10" w:afterLines="10" w:line="259" w:lineRule="auto"/>
      <w:jc w:val="center"/>
    </w:pPr>
    <w:rPr>
      <w:rFonts w:ascii="宋体"/>
      <w:kern w:val="0"/>
      <w:szCs w:val="20"/>
    </w:rPr>
  </w:style>
  <w:style w:type="character" w:customStyle="1" w:styleId="63">
    <w:name w:val="页脚 字符"/>
    <w:basedOn w:val="41"/>
    <w:qFormat/>
    <w:uiPriority w:val="99"/>
  </w:style>
  <w:style w:type="character" w:customStyle="1" w:styleId="64">
    <w:name w:val="cur1"/>
    <w:basedOn w:val="41"/>
    <w:qFormat/>
    <w:uiPriority w:val="0"/>
    <w:rPr>
      <w:color w:val="FFFFFF"/>
      <w:shd w:val="clear" w:color="auto" w:fill="2F6B98"/>
    </w:rPr>
  </w:style>
  <w:style w:type="character" w:customStyle="1" w:styleId="65">
    <w:name w:val="正文文本 字符1"/>
    <w:semiHidden/>
    <w:qFormat/>
    <w:uiPriority w:val="0"/>
    <w:rPr>
      <w:rFonts w:ascii="Times New Roman" w:hAnsi="Times New Roman" w:eastAsia="宋体"/>
      <w:sz w:val="24"/>
    </w:rPr>
  </w:style>
  <w:style w:type="character" w:customStyle="1" w:styleId="66">
    <w:name w:val="radio-btn2"/>
    <w:basedOn w:val="41"/>
    <w:qFormat/>
    <w:uiPriority w:val="0"/>
    <w:rPr>
      <w:sz w:val="24"/>
      <w:szCs w:val="24"/>
    </w:rPr>
  </w:style>
  <w:style w:type="character" w:customStyle="1" w:styleId="67">
    <w:name w:val="title4"/>
    <w:basedOn w:val="41"/>
    <w:qFormat/>
    <w:uiPriority w:val="0"/>
  </w:style>
  <w:style w:type="character" w:customStyle="1" w:styleId="68">
    <w:name w:val="lishishuju"/>
    <w:basedOn w:val="41"/>
    <w:qFormat/>
    <w:uiPriority w:val="0"/>
    <w:rPr>
      <w:b/>
      <w:color w:val="000052"/>
      <w:sz w:val="24"/>
      <w:szCs w:val="24"/>
      <w:bdr w:val="single" w:color="E3E3E3" w:sz="6" w:space="0"/>
    </w:rPr>
  </w:style>
  <w:style w:type="character" w:customStyle="1" w:styleId="69">
    <w:name w:val="title3"/>
    <w:basedOn w:val="41"/>
    <w:qFormat/>
    <w:uiPriority w:val="0"/>
  </w:style>
  <w:style w:type="character" w:customStyle="1" w:styleId="70">
    <w:name w:val="正文内容 Char"/>
    <w:link w:val="71"/>
    <w:qFormat/>
    <w:uiPriority w:val="0"/>
    <w:rPr>
      <w:rFonts w:ascii="Times New Roman" w:hAnsi="Times New Roman" w:eastAsia="宋体"/>
    </w:rPr>
  </w:style>
  <w:style w:type="paragraph" w:customStyle="1" w:styleId="71">
    <w:name w:val="正文内容"/>
    <w:basedOn w:val="1"/>
    <w:link w:val="70"/>
    <w:qFormat/>
    <w:uiPriority w:val="0"/>
    <w:pPr>
      <w:spacing w:line="360" w:lineRule="auto"/>
      <w:ind w:firstLine="720" w:firstLineChars="200"/>
    </w:pPr>
  </w:style>
  <w:style w:type="character" w:customStyle="1" w:styleId="72">
    <w:name w:val="radio-btn"/>
    <w:basedOn w:val="41"/>
    <w:qFormat/>
    <w:uiPriority w:val="0"/>
    <w:rPr>
      <w:sz w:val="24"/>
      <w:szCs w:val="24"/>
    </w:rPr>
  </w:style>
  <w:style w:type="character" w:customStyle="1" w:styleId="73">
    <w:name w:val="fontstyle01"/>
    <w:qFormat/>
    <w:uiPriority w:val="0"/>
    <w:rPr>
      <w:rFonts w:hint="eastAsia" w:ascii="宋体" w:hAnsi="宋体" w:eastAsia="宋体"/>
      <w:color w:val="000000"/>
      <w:sz w:val="24"/>
      <w:szCs w:val="24"/>
    </w:rPr>
  </w:style>
  <w:style w:type="character" w:customStyle="1" w:styleId="74">
    <w:name w:val="正文格式 Char"/>
    <w:link w:val="75"/>
    <w:qFormat/>
    <w:uiPriority w:val="0"/>
    <w:rPr>
      <w:rFonts w:ascii="宋体" w:hAnsi="宋体" w:eastAsia="宋体" w:cs="宋体"/>
      <w:kern w:val="2"/>
      <w:sz w:val="24"/>
      <w:szCs w:val="24"/>
      <w:lang w:val="en-US" w:eastAsia="zh-CN" w:bidi="ar-SA"/>
    </w:rPr>
  </w:style>
  <w:style w:type="paragraph" w:customStyle="1" w:styleId="75">
    <w:name w:val="正文格式"/>
    <w:link w:val="74"/>
    <w:qFormat/>
    <w:uiPriority w:val="0"/>
    <w:pPr>
      <w:widowControl w:val="0"/>
      <w:spacing w:line="360" w:lineRule="auto"/>
      <w:ind w:firstLine="544" w:firstLineChars="200"/>
      <w:jc w:val="both"/>
    </w:pPr>
    <w:rPr>
      <w:rFonts w:ascii="宋体" w:hAnsi="宋体" w:eastAsia="宋体" w:cs="宋体"/>
      <w:kern w:val="2"/>
      <w:sz w:val="24"/>
      <w:szCs w:val="24"/>
      <w:lang w:val="en-US" w:eastAsia="zh-CN" w:bidi="ar-SA"/>
    </w:rPr>
  </w:style>
  <w:style w:type="character" w:customStyle="1" w:styleId="76">
    <w:name w:val="znspantitle"/>
    <w:basedOn w:val="41"/>
    <w:qFormat/>
    <w:uiPriority w:val="0"/>
    <w:rPr>
      <w:b/>
      <w:color w:val="333333"/>
    </w:rPr>
  </w:style>
  <w:style w:type="character" w:customStyle="1" w:styleId="77">
    <w:name w:val="radio-btn1"/>
    <w:basedOn w:val="41"/>
    <w:qFormat/>
    <w:uiPriority w:val="0"/>
    <w:rPr>
      <w:sz w:val="21"/>
      <w:szCs w:val="21"/>
    </w:rPr>
  </w:style>
  <w:style w:type="character" w:customStyle="1" w:styleId="78">
    <w:name w:val="日期 字符"/>
    <w:semiHidden/>
    <w:qFormat/>
    <w:uiPriority w:val="0"/>
    <w:rPr>
      <w:rFonts w:ascii="Times New Roman" w:hAnsi="Times New Roman" w:eastAsia="宋体"/>
      <w:sz w:val="24"/>
    </w:rPr>
  </w:style>
  <w:style w:type="character" w:customStyle="1" w:styleId="79">
    <w:name w:val="lable"/>
    <w:basedOn w:val="41"/>
    <w:qFormat/>
    <w:uiPriority w:val="0"/>
    <w:rPr>
      <w:sz w:val="24"/>
      <w:szCs w:val="24"/>
    </w:rPr>
  </w:style>
  <w:style w:type="character" w:customStyle="1" w:styleId="80">
    <w:name w:val="批注文字 字符1"/>
    <w:semiHidden/>
    <w:qFormat/>
    <w:uiPriority w:val="0"/>
    <w:rPr>
      <w:rFonts w:ascii="Times New Roman" w:hAnsi="Times New Roman" w:eastAsia="宋体"/>
      <w:sz w:val="24"/>
    </w:rPr>
  </w:style>
  <w:style w:type="character" w:customStyle="1" w:styleId="81">
    <w:name w:val="fontstyle61"/>
    <w:qFormat/>
    <w:uiPriority w:val="99"/>
    <w:rPr>
      <w:rFonts w:ascii="宋体" w:hAnsi="宋体" w:eastAsia="宋体" w:cs="宋体"/>
      <w:color w:val="000000"/>
      <w:sz w:val="28"/>
      <w:szCs w:val="28"/>
    </w:rPr>
  </w:style>
  <w:style w:type="paragraph" w:customStyle="1" w:styleId="82">
    <w:name w:val="Default1"/>
    <w:next w:val="1"/>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83">
    <w:name w:val="表题注"/>
    <w:basedOn w:val="17"/>
    <w:qFormat/>
    <w:uiPriority w:val="0"/>
    <w:pPr>
      <w:keepNext/>
      <w:spacing w:beforeLines="50" w:line="480" w:lineRule="exact"/>
      <w:jc w:val="center"/>
    </w:pPr>
    <w:rPr>
      <w:rFonts w:ascii="Arial" w:hAnsi="Arial"/>
    </w:rPr>
  </w:style>
  <w:style w:type="paragraph" w:customStyle="1" w:styleId="84">
    <w:name w:val="新格式表"/>
    <w:qFormat/>
    <w:uiPriority w:val="0"/>
    <w:pPr>
      <w:widowControl w:val="0"/>
      <w:adjustRightInd w:val="0"/>
      <w:snapToGrid w:val="0"/>
      <w:spacing w:line="0" w:lineRule="atLeast"/>
      <w:jc w:val="center"/>
    </w:pPr>
    <w:rPr>
      <w:rFonts w:ascii="Times New Roman" w:hAnsi="Times New Roman" w:eastAsia="宋体" w:cs="Times New Roman"/>
      <w:color w:val="000000"/>
      <w:sz w:val="21"/>
      <w:szCs w:val="21"/>
      <w:lang w:val="en-US" w:eastAsia="zh-CN" w:bidi="ar-SA"/>
    </w:rPr>
  </w:style>
  <w:style w:type="paragraph" w:customStyle="1" w:styleId="85">
    <w:name w:val="表头"/>
    <w:basedOn w:val="62"/>
    <w:qFormat/>
    <w:uiPriority w:val="0"/>
    <w:pPr>
      <w:spacing w:before="50" w:beforeLines="50" w:after="10" w:line="240" w:lineRule="auto"/>
      <w:ind w:left="0" w:firstLine="0" w:firstLineChars="0"/>
      <w:contextualSpacing/>
      <w:textAlignment w:val="baseline"/>
    </w:pPr>
    <w:rPr>
      <w:rFonts w:hAnsi="宋体" w:eastAsia="黑体"/>
      <w:snapToGrid w:val="0"/>
      <w:kern w:val="18"/>
    </w:rPr>
  </w:style>
  <w:style w:type="paragraph" w:customStyle="1" w:styleId="86">
    <w:name w:val="正   文"/>
    <w:qFormat/>
    <w:uiPriority w:val="0"/>
    <w:pPr>
      <w:widowControl w:val="0"/>
      <w:spacing w:line="520" w:lineRule="exact"/>
      <w:ind w:firstLine="425" w:firstLineChars="177"/>
      <w:jc w:val="both"/>
    </w:pPr>
    <w:rPr>
      <w:rFonts w:ascii="Times New Roman" w:hAnsi="Times New Roman" w:eastAsia="宋体" w:cs="Times New Roman"/>
      <w:color w:val="000000"/>
      <w:sz w:val="24"/>
      <w:szCs w:val="24"/>
      <w:lang w:val="en-US" w:eastAsia="zh-CN" w:bidi="ar-SA"/>
    </w:rPr>
  </w:style>
  <w:style w:type="paragraph" w:customStyle="1" w:styleId="87">
    <w:name w:val="正文.."/>
    <w:basedOn w:val="1"/>
    <w:qFormat/>
    <w:uiPriority w:val="0"/>
    <w:pPr>
      <w:snapToGrid w:val="0"/>
      <w:spacing w:before="60" w:line="360" w:lineRule="auto"/>
      <w:ind w:firstLine="480" w:firstLineChars="200"/>
    </w:pPr>
    <w:rPr>
      <w:color w:val="000000"/>
      <w:sz w:val="24"/>
    </w:rPr>
  </w:style>
  <w:style w:type="paragraph" w:customStyle="1" w:styleId="88">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9">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90">
    <w:name w:val="表格左五"/>
    <w:qFormat/>
    <w:uiPriority w:val="0"/>
    <w:pPr>
      <w:widowControl w:val="0"/>
      <w:spacing w:line="280" w:lineRule="exact"/>
      <w:jc w:val="center"/>
    </w:pPr>
    <w:rPr>
      <w:rFonts w:ascii="Times New Roman" w:hAnsi="Times New Roman" w:eastAsia="宋体" w:cs="Times New Roman"/>
      <w:sz w:val="21"/>
      <w:szCs w:val="24"/>
      <w:lang w:val="en-US" w:eastAsia="zh-CN" w:bidi="ar-SA"/>
    </w:rPr>
  </w:style>
  <w:style w:type="paragraph" w:customStyle="1" w:styleId="91">
    <w:name w:val="正文_5"/>
    <w:qFormat/>
    <w:uiPriority w:val="0"/>
    <w:pPr>
      <w:widowControl w:val="0"/>
      <w:jc w:val="both"/>
    </w:pPr>
    <w:rPr>
      <w:rFonts w:ascii="Calibri" w:hAnsi="Calibri" w:eastAsia="宋体" w:cs="Times New Roman"/>
      <w:kern w:val="2"/>
      <w:sz w:val="21"/>
      <w:lang w:val="en-US" w:eastAsia="zh-CN" w:bidi="ar-SA"/>
    </w:rPr>
  </w:style>
  <w:style w:type="paragraph" w:customStyle="1" w:styleId="92">
    <w:name w:val="正文 03"/>
    <w:basedOn w:val="1"/>
    <w:qFormat/>
    <w:uiPriority w:val="0"/>
    <w:pPr>
      <w:autoSpaceDE w:val="0"/>
      <w:autoSpaceDN w:val="0"/>
      <w:adjustRightInd w:val="0"/>
      <w:textAlignment w:val="baseline"/>
    </w:pPr>
    <w:rPr>
      <w:rFonts w:eastAsia="楷体_GB2312"/>
      <w:kern w:val="0"/>
      <w:sz w:val="24"/>
    </w:rPr>
  </w:style>
  <w:style w:type="paragraph" w:customStyle="1" w:styleId="93">
    <w:name w:val="表内 定"/>
    <w:basedOn w:val="1"/>
    <w:qFormat/>
    <w:uiPriority w:val="0"/>
    <w:rPr>
      <w:color w:val="000000"/>
    </w:rPr>
  </w:style>
  <w:style w:type="paragraph" w:customStyle="1" w:styleId="94">
    <w:name w:val="纯文本1"/>
    <w:basedOn w:val="1"/>
    <w:qFormat/>
    <w:uiPriority w:val="0"/>
    <w:pPr>
      <w:adjustRightInd w:val="0"/>
      <w:jc w:val="center"/>
      <w:textAlignment w:val="baseline"/>
    </w:pPr>
    <w:rPr>
      <w:rFonts w:ascii="宋体" w:hAnsi="Courier New"/>
      <w:sz w:val="24"/>
    </w:rPr>
  </w:style>
  <w:style w:type="paragraph" w:customStyle="1" w:styleId="95">
    <w:name w:val="正文_15"/>
    <w:qFormat/>
    <w:uiPriority w:val="0"/>
    <w:pPr>
      <w:widowControl w:val="0"/>
      <w:jc w:val="both"/>
    </w:pPr>
    <w:rPr>
      <w:rFonts w:ascii="Calibri" w:hAnsi="Calibri" w:eastAsia="宋体" w:cs="Times New Roman"/>
      <w:kern w:val="2"/>
      <w:sz w:val="21"/>
      <w:lang w:val="en-US" w:eastAsia="zh-CN" w:bidi="ar-SA"/>
    </w:rPr>
  </w:style>
  <w:style w:type="paragraph" w:customStyle="1" w:styleId="96">
    <w:name w:val="报告表正文"/>
    <w:basedOn w:val="1"/>
    <w:qFormat/>
    <w:uiPriority w:val="0"/>
    <w:pPr>
      <w:adjustRightInd w:val="0"/>
      <w:snapToGrid w:val="0"/>
      <w:spacing w:line="360" w:lineRule="auto"/>
      <w:ind w:firstLine="200" w:firstLineChars="200"/>
      <w:contextualSpacing/>
      <w:textAlignment w:val="baseline"/>
    </w:pPr>
    <w:rPr>
      <w:kern w:val="0"/>
      <w:sz w:val="24"/>
      <w:szCs w:val="20"/>
    </w:rPr>
  </w:style>
  <w:style w:type="paragraph" w:customStyle="1" w:styleId="97">
    <w:name w:val="whm表格"/>
    <w:basedOn w:val="1"/>
    <w:qFormat/>
    <w:uiPriority w:val="0"/>
    <w:pPr>
      <w:spacing w:before="20" w:beforeLines="20" w:after="20" w:afterLines="20"/>
      <w:jc w:val="center"/>
    </w:pPr>
  </w:style>
  <w:style w:type="paragraph" w:customStyle="1" w:styleId="98">
    <w:name w:val="中文报告书样式"/>
    <w:qFormat/>
    <w:uiPriority w:val="0"/>
    <w:pPr>
      <w:widowControl w:val="0"/>
      <w:adjustRightInd w:val="0"/>
      <w:snapToGrid w:val="0"/>
      <w:spacing w:line="360" w:lineRule="auto"/>
      <w:ind w:firstLine="480" w:firstLineChars="200"/>
      <w:jc w:val="both"/>
      <w:textAlignment w:val="baseline"/>
    </w:pPr>
    <w:rPr>
      <w:rFonts w:ascii="Times New Roman" w:hAnsi="Times New Roman" w:eastAsia="宋体" w:cs="Times New Roman"/>
      <w:kern w:val="28"/>
      <w:sz w:val="21"/>
      <w:szCs w:val="24"/>
      <w:lang w:val="en-US" w:eastAsia="zh-CN" w:bidi="ar-SA"/>
    </w:rPr>
  </w:style>
  <w:style w:type="paragraph" w:customStyle="1" w:styleId="99">
    <w:name w:val="Table Paragraph"/>
    <w:basedOn w:val="1"/>
    <w:qFormat/>
    <w:uiPriority w:val="1"/>
    <w:pPr>
      <w:jc w:val="left"/>
    </w:pPr>
    <w:rPr>
      <w:rFonts w:ascii="Calibri" w:hAnsi="Calibri"/>
      <w:kern w:val="0"/>
      <w:sz w:val="22"/>
      <w:szCs w:val="22"/>
      <w:lang w:eastAsia="en-US"/>
    </w:rPr>
  </w:style>
  <w:style w:type="paragraph" w:customStyle="1" w:styleId="100">
    <w:name w:val="Default"/>
    <w:basedOn w:val="94"/>
    <w:qFormat/>
    <w:uiPriority w:val="0"/>
    <w:pPr>
      <w:autoSpaceDE w:val="0"/>
      <w:autoSpaceDN w:val="0"/>
    </w:pPr>
    <w:rPr>
      <w:rFonts w:cs="宋体"/>
      <w:color w:val="000000"/>
    </w:rPr>
  </w:style>
  <w:style w:type="paragraph" w:customStyle="1" w:styleId="101">
    <w:name w:val="样式35"/>
    <w:basedOn w:val="102"/>
    <w:next w:val="106"/>
    <w:qFormat/>
    <w:uiPriority w:val="0"/>
    <w:pPr>
      <w:tabs>
        <w:tab w:val="left" w:pos="0"/>
        <w:tab w:val="left" w:pos="360"/>
        <w:tab w:val="left" w:pos="540"/>
        <w:tab w:val="left" w:pos="567"/>
      </w:tabs>
      <w:spacing w:line="312" w:lineRule="auto"/>
      <w:ind w:firstLine="567"/>
    </w:pPr>
    <w:rPr>
      <w:rFonts w:ascii="宋体"/>
      <w:sz w:val="28"/>
    </w:rPr>
  </w:style>
  <w:style w:type="paragraph" w:customStyle="1" w:styleId="102">
    <w:name w:val="样式26"/>
    <w:basedOn w:val="103"/>
    <w:qFormat/>
    <w:uiPriority w:val="0"/>
    <w:pPr>
      <w:tabs>
        <w:tab w:val="left" w:pos="0"/>
        <w:tab w:val="left" w:pos="360"/>
        <w:tab w:val="left" w:pos="540"/>
        <w:tab w:val="left" w:pos="567"/>
      </w:tabs>
    </w:pPr>
  </w:style>
  <w:style w:type="paragraph" w:customStyle="1" w:styleId="103">
    <w:name w:val="样式21"/>
    <w:basedOn w:val="104"/>
    <w:qFormat/>
    <w:uiPriority w:val="0"/>
    <w:pPr>
      <w:tabs>
        <w:tab w:val="left" w:pos="360"/>
        <w:tab w:val="left" w:pos="567"/>
      </w:tabs>
      <w:spacing w:before="120" w:beforeLines="0" w:after="120" w:afterLines="0"/>
      <w:ind w:hanging="992"/>
    </w:pPr>
  </w:style>
  <w:style w:type="paragraph" w:customStyle="1" w:styleId="104">
    <w:name w:val="样式5"/>
    <w:basedOn w:val="105"/>
    <w:qFormat/>
    <w:uiPriority w:val="0"/>
    <w:pPr>
      <w:tabs>
        <w:tab w:val="left" w:pos="360"/>
      </w:tabs>
      <w:snapToGrid w:val="0"/>
      <w:ind w:firstLine="510"/>
    </w:pPr>
    <w:rPr>
      <w:sz w:val="24"/>
      <w:szCs w:val="24"/>
    </w:rPr>
  </w:style>
  <w:style w:type="paragraph" w:customStyle="1" w:styleId="105">
    <w:name w:val="样式12"/>
    <w:basedOn w:val="1"/>
    <w:qFormat/>
    <w:uiPriority w:val="0"/>
    <w:pPr>
      <w:keepNext/>
      <w:keepLines/>
      <w:tabs>
        <w:tab w:val="left" w:pos="360"/>
      </w:tabs>
      <w:spacing w:before="156" w:beforeLines="50" w:after="156" w:afterLines="50" w:line="360" w:lineRule="auto"/>
      <w:ind w:left="567" w:hanging="567"/>
      <w:outlineLvl w:val="1"/>
    </w:pPr>
    <w:rPr>
      <w:rFonts w:eastAsia="MS Mincho"/>
      <w:kern w:val="0"/>
      <w:sz w:val="28"/>
      <w:szCs w:val="28"/>
    </w:rPr>
  </w:style>
  <w:style w:type="paragraph" w:customStyle="1" w:styleId="106">
    <w:name w:val="font6"/>
    <w:basedOn w:val="1"/>
    <w:next w:val="31"/>
    <w:qFormat/>
    <w:uiPriority w:val="0"/>
    <w:pPr>
      <w:widowControl/>
      <w:spacing w:before="100" w:beforeAutospacing="1" w:after="100" w:afterAutospacing="1"/>
      <w:jc w:val="left"/>
    </w:pPr>
    <w:rPr>
      <w:kern w:val="0"/>
      <w:sz w:val="24"/>
    </w:rPr>
  </w:style>
  <w:style w:type="paragraph" w:customStyle="1" w:styleId="107">
    <w:name w:val="批注文字1"/>
    <w:qFormat/>
    <w:uiPriority w:val="0"/>
    <w:pPr>
      <w:widowControl w:val="0"/>
    </w:pPr>
    <w:rPr>
      <w:rFonts w:ascii="Times New Roman" w:hAnsi="Times New Roman" w:eastAsia="宋体" w:cs="Times New Roman"/>
      <w:color w:val="000000"/>
      <w:kern w:val="2"/>
      <w:sz w:val="21"/>
      <w:szCs w:val="24"/>
      <w:lang w:val="en-US" w:eastAsia="zh-CN" w:bidi="ar-SA"/>
    </w:rPr>
  </w:style>
  <w:style w:type="paragraph" w:customStyle="1" w:styleId="108">
    <w:name w:val="00"/>
    <w:basedOn w:val="1"/>
    <w:qFormat/>
    <w:uiPriority w:val="0"/>
    <w:pPr>
      <w:spacing w:line="520" w:lineRule="exact"/>
      <w:ind w:firstLine="200" w:firstLineChars="200"/>
    </w:pPr>
    <w:rPr>
      <w:rFonts w:ascii="宋体" w:hAnsi="宋体" w:cs="宋体"/>
      <w:sz w:val="24"/>
      <w:szCs w:val="20"/>
    </w:rPr>
  </w:style>
  <w:style w:type="paragraph" w:customStyle="1" w:styleId="109">
    <w:name w:val="+正文"/>
    <w:basedOn w:val="1"/>
    <w:qFormat/>
    <w:uiPriority w:val="0"/>
    <w:pPr>
      <w:spacing w:line="360" w:lineRule="auto"/>
      <w:ind w:firstLine="200" w:firstLineChars="200"/>
    </w:pPr>
    <w:rPr>
      <w:sz w:val="24"/>
    </w:rPr>
  </w:style>
  <w:style w:type="paragraph" w:customStyle="1" w:styleId="110">
    <w:name w:val="无间隔11"/>
    <w:basedOn w:val="1"/>
    <w:next w:val="28"/>
    <w:qFormat/>
    <w:uiPriority w:val="0"/>
    <w:pPr>
      <w:jc w:val="center"/>
    </w:pPr>
    <w:rPr>
      <w:szCs w:val="21"/>
    </w:rPr>
  </w:style>
  <w:style w:type="paragraph" w:customStyle="1" w:styleId="111">
    <w:name w:val="6表内容"/>
    <w:basedOn w:val="1"/>
    <w:qFormat/>
    <w:uiPriority w:val="0"/>
    <w:pPr>
      <w:spacing w:line="340" w:lineRule="exact"/>
      <w:jc w:val="center"/>
    </w:pPr>
    <w:rPr>
      <w:rFonts w:cs="宋体"/>
      <w:color w:val="000000"/>
      <w:szCs w:val="20"/>
    </w:rPr>
  </w:style>
  <w:style w:type="paragraph" w:customStyle="1" w:styleId="112">
    <w:name w:val="环评正文"/>
    <w:basedOn w:val="1"/>
    <w:qFormat/>
    <w:uiPriority w:val="0"/>
    <w:pPr>
      <w:spacing w:beforeLines="30"/>
      <w:ind w:firstLine="480" w:firstLineChars="200"/>
    </w:pPr>
    <w:rPr>
      <w:rFonts w:ascii="Tahoma" w:hAnsi="Tahoma" w:cs="Tahoma"/>
      <w:kern w:val="0"/>
      <w:sz w:val="24"/>
      <w:szCs w:val="20"/>
    </w:rPr>
  </w:style>
  <w:style w:type="paragraph" w:customStyle="1" w:styleId="113">
    <w:name w:val="正文_7"/>
    <w:qFormat/>
    <w:uiPriority w:val="0"/>
    <w:pPr>
      <w:widowControl w:val="0"/>
      <w:jc w:val="both"/>
    </w:pPr>
    <w:rPr>
      <w:rFonts w:ascii="Calibri" w:hAnsi="Calibri" w:eastAsia="宋体" w:cs="Times New Roman"/>
      <w:kern w:val="2"/>
      <w:sz w:val="21"/>
      <w:lang w:val="en-US" w:eastAsia="zh-CN" w:bidi="ar-SA"/>
    </w:rPr>
  </w:style>
  <w:style w:type="paragraph" w:customStyle="1" w:styleId="114">
    <w:name w:val="表"/>
    <w:basedOn w:val="34"/>
    <w:next w:val="115"/>
    <w:qFormat/>
    <w:uiPriority w:val="0"/>
    <w:pPr>
      <w:widowControl w:val="0"/>
      <w:spacing w:before="0" w:beforeAutospacing="0" w:after="0" w:afterAutospacing="0" w:line="300" w:lineRule="exact"/>
      <w:jc w:val="both"/>
      <w:outlineLvl w:val="0"/>
    </w:pPr>
    <w:rPr>
      <w:rFonts w:ascii="Times New Roman" w:hAnsi="Times New Roman"/>
      <w:bCs/>
      <w:kern w:val="2"/>
      <w:sz w:val="21"/>
      <w:szCs w:val="32"/>
    </w:rPr>
  </w:style>
  <w:style w:type="paragraph" w:customStyle="1" w:styleId="115">
    <w:name w:val="表内字"/>
    <w:qFormat/>
    <w:uiPriority w:val="0"/>
    <w:pPr>
      <w:snapToGrid w:val="0"/>
      <w:contextualSpacing/>
      <w:jc w:val="center"/>
    </w:pPr>
    <w:rPr>
      <w:rFonts w:ascii="Times New Roman" w:hAnsi="Times New Roman" w:eastAsia="宋体" w:cs="Times New Roman"/>
      <w:color w:val="000000"/>
      <w:sz w:val="21"/>
      <w:lang w:val="en-US" w:eastAsia="zh-CN" w:bidi="ar-SA"/>
    </w:rPr>
  </w:style>
  <w:style w:type="paragraph" w:customStyle="1" w:styleId="116">
    <w:name w:val="表格居中"/>
    <w:basedOn w:val="1"/>
    <w:qFormat/>
    <w:uiPriority w:val="0"/>
    <w:pPr>
      <w:jc w:val="center"/>
    </w:pPr>
    <w:rPr>
      <w:rFonts w:ascii="宋体" w:hAnsi="宋体"/>
      <w:snapToGrid w:val="0"/>
      <w:spacing w:val="-4"/>
      <w:w w:val="90"/>
      <w:kern w:val="0"/>
      <w:sz w:val="24"/>
      <w:szCs w:val="20"/>
    </w:rPr>
  </w:style>
  <w:style w:type="paragraph" w:customStyle="1" w:styleId="117">
    <w:name w:val="样式1"/>
    <w:basedOn w:val="1"/>
    <w:qFormat/>
    <w:uiPriority w:val="0"/>
    <w:pPr>
      <w:spacing w:line="360" w:lineRule="auto"/>
      <w:ind w:firstLine="200" w:firstLineChars="200"/>
      <w:jc w:val="left"/>
    </w:pPr>
    <w:rPr>
      <w:color w:val="000000"/>
      <w:sz w:val="24"/>
    </w:rPr>
  </w:style>
  <w:style w:type="paragraph" w:customStyle="1" w:styleId="118">
    <w:name w:val="Body Text 22"/>
    <w:basedOn w:val="1"/>
    <w:qFormat/>
    <w:uiPriority w:val="0"/>
    <w:pPr>
      <w:adjustRightInd w:val="0"/>
      <w:spacing w:line="440" w:lineRule="atLeast"/>
      <w:ind w:firstLine="480"/>
      <w:textAlignment w:val="baseline"/>
    </w:pPr>
    <w:rPr>
      <w:rFonts w:eastAsia="仿宋_GB2312"/>
      <w:sz w:val="24"/>
      <w:szCs w:val="20"/>
    </w:rPr>
  </w:style>
  <w:style w:type="paragraph" w:styleId="119">
    <w:name w:val="List Paragraph"/>
    <w:basedOn w:val="1"/>
    <w:qFormat/>
    <w:uiPriority w:val="0"/>
    <w:pPr>
      <w:ind w:firstLine="420" w:firstLineChars="200"/>
    </w:pPr>
    <w:rPr>
      <w:szCs w:val="20"/>
    </w:rPr>
  </w:style>
  <w:style w:type="table" w:customStyle="1" w:styleId="120">
    <w:name w:val="Table Normal"/>
    <w:unhideWhenUsed/>
    <w:qFormat/>
    <w:uiPriority w:val="0"/>
    <w:tblPr>
      <w:tblCellMar>
        <w:top w:w="0" w:type="dxa"/>
        <w:left w:w="0" w:type="dxa"/>
        <w:bottom w:w="0" w:type="dxa"/>
        <w:right w:w="0" w:type="dxa"/>
      </w:tblCellMar>
    </w:tblPr>
  </w:style>
  <w:style w:type="paragraph" w:customStyle="1" w:styleId="121">
    <w:name w:val="样式2"/>
    <w:basedOn w:val="1"/>
    <w:link w:val="122"/>
    <w:qFormat/>
    <w:uiPriority w:val="0"/>
    <w:pPr>
      <w:tabs>
        <w:tab w:val="center" w:pos="4057"/>
      </w:tabs>
      <w:snapToGrid w:val="0"/>
      <w:spacing w:line="360" w:lineRule="auto"/>
      <w:ind w:firstLine="200" w:firstLineChars="200"/>
      <w:contextualSpacing/>
      <w:jc w:val="left"/>
      <w:textAlignment w:val="baseline"/>
    </w:pPr>
    <w:rPr>
      <w:rFonts w:eastAsia="楷体"/>
      <w:b/>
      <w:bCs/>
      <w:sz w:val="28"/>
    </w:rPr>
  </w:style>
  <w:style w:type="character" w:customStyle="1" w:styleId="122">
    <w:name w:val="样式2 字符"/>
    <w:basedOn w:val="41"/>
    <w:link w:val="121"/>
    <w:qFormat/>
    <w:uiPriority w:val="0"/>
    <w:rPr>
      <w:rFonts w:eastAsia="楷体"/>
      <w:b/>
      <w:bCs/>
      <w:kern w:val="2"/>
      <w:sz w:val="28"/>
      <w:szCs w:val="24"/>
    </w:rPr>
  </w:style>
  <w:style w:type="character" w:customStyle="1" w:styleId="123">
    <w:name w:val="text_ywldm"/>
    <w:basedOn w:val="41"/>
    <w:qFormat/>
    <w:uiPriority w:val="0"/>
  </w:style>
  <w:style w:type="paragraph" w:customStyle="1" w:styleId="124">
    <w:name w:val="表格正文"/>
    <w:basedOn w:val="1"/>
    <w:qFormat/>
    <w:uiPriority w:val="0"/>
    <w:pPr>
      <w:jc w:val="center"/>
    </w:pPr>
  </w:style>
  <w:style w:type="paragraph" w:customStyle="1" w:styleId="125">
    <w:name w:val="表格内容"/>
    <w:basedOn w:val="1"/>
    <w:qFormat/>
    <w:uiPriority w:val="0"/>
    <w:pPr>
      <w:spacing w:line="360" w:lineRule="atLeast"/>
      <w:jc w:val="center"/>
    </w:pPr>
    <w:rPr>
      <w:bCs/>
      <w:kern w:val="0"/>
      <w:szCs w:val="20"/>
    </w:rPr>
  </w:style>
  <w:style w:type="paragraph" w:customStyle="1" w:styleId="126">
    <w:name w:val="标题2"/>
    <w:basedOn w:val="1"/>
    <w:qFormat/>
    <w:uiPriority w:val="0"/>
    <w:pPr>
      <w:snapToGrid w:val="0"/>
      <w:spacing w:line="360" w:lineRule="auto"/>
      <w:ind w:firstLine="200" w:firstLineChars="200"/>
      <w:contextualSpacing/>
      <w:jc w:val="left"/>
    </w:pPr>
    <w:rPr>
      <w:rFonts w:eastAsia="楷体"/>
      <w:b/>
      <w:sz w:val="24"/>
    </w:rPr>
  </w:style>
  <w:style w:type="paragraph" w:customStyle="1" w:styleId="127">
    <w:name w:val="表标题编号"/>
    <w:basedOn w:val="1"/>
    <w:qFormat/>
    <w:uiPriority w:val="0"/>
    <w:pPr>
      <w:tabs>
        <w:tab w:val="left" w:pos="0"/>
        <w:tab w:val="left" w:pos="360"/>
      </w:tabs>
      <w:adjustRightInd w:val="0"/>
      <w:snapToGrid w:val="0"/>
      <w:contextualSpacing/>
      <w:jc w:val="center"/>
    </w:pPr>
    <w:rPr>
      <w:rFonts w:ascii="黑体" w:hAnsi="黑体" w:eastAsia="黑体"/>
      <w:kern w:val="0"/>
      <w:szCs w:val="20"/>
    </w:rPr>
  </w:style>
  <w:style w:type="character" w:customStyle="1" w:styleId="128">
    <w:name w:val="style11"/>
    <w:qFormat/>
    <w:uiPriority w:val="0"/>
    <w:rPr>
      <w:rFonts w:hint="eastAsia" w:ascii="宋体" w:hAnsi="宋体" w:eastAsia="宋体" w:cs="Times New Roman"/>
      <w:color w:val="000000"/>
      <w:sz w:val="20"/>
      <w:szCs w:val="20"/>
      <w:u w:val="none"/>
    </w:rPr>
  </w:style>
  <w:style w:type="paragraph" w:customStyle="1" w:styleId="129">
    <w:name w:val="[1]正文"/>
    <w:basedOn w:val="1"/>
    <w:qFormat/>
    <w:uiPriority w:val="0"/>
    <w:pPr>
      <w:autoSpaceDE w:val="0"/>
      <w:autoSpaceDN w:val="0"/>
      <w:snapToGrid w:val="0"/>
      <w:spacing w:line="360" w:lineRule="auto"/>
      <w:ind w:firstLine="200" w:firstLineChars="200"/>
      <w:contextualSpacing/>
    </w:pPr>
    <w:rPr>
      <w:color w:val="000000"/>
      <w:kern w:val="0"/>
      <w:sz w:val="24"/>
      <w:lang w:val="zh-CN"/>
    </w:rPr>
  </w:style>
  <w:style w:type="paragraph" w:customStyle="1" w:styleId="130">
    <w:name w:val="06表格内容"/>
    <w:basedOn w:val="21"/>
    <w:next w:val="21"/>
    <w:qFormat/>
    <w:uiPriority w:val="0"/>
    <w:pPr>
      <w:spacing w:line="320" w:lineRule="exact"/>
      <w:jc w:val="center"/>
    </w:pPr>
    <w:rPr>
      <w:rFonts w:ascii="Times New Roman" w:hAnsi="Times New Roman" w:cs="Courier New"/>
      <w:kern w:val="0"/>
      <w:sz w:val="20"/>
      <w:szCs w:val="24"/>
    </w:rPr>
  </w:style>
  <w:style w:type="paragraph" w:customStyle="1" w:styleId="131">
    <w:name w:val="表格样式赵"/>
    <w:basedOn w:val="1"/>
    <w:qFormat/>
    <w:uiPriority w:val="0"/>
    <w:pPr>
      <w:spacing w:line="360" w:lineRule="exact"/>
      <w:ind w:firstLine="0" w:firstLineChars="0"/>
      <w:jc w:val="center"/>
    </w:pPr>
    <w:rPr>
      <w:rFonts w:cs="Times New Roman"/>
      <w:sz w:val="21"/>
      <w:szCs w:val="21"/>
    </w:rPr>
  </w:style>
  <w:style w:type="character" w:customStyle="1" w:styleId="132">
    <w:name w:val="font71"/>
    <w:basedOn w:val="41"/>
    <w:qFormat/>
    <w:uiPriority w:val="0"/>
    <w:rPr>
      <w:rFonts w:hint="eastAsia" w:ascii="宋体" w:hAnsi="宋体" w:eastAsia="宋体" w:cs="宋体"/>
      <w:color w:val="auto"/>
      <w:sz w:val="21"/>
      <w:szCs w:val="21"/>
      <w:u w:val="none"/>
    </w:rPr>
  </w:style>
  <w:style w:type="paragraph" w:customStyle="1" w:styleId="133">
    <w:name w:val="1"/>
    <w:basedOn w:val="1"/>
    <w:qFormat/>
    <w:uiPriority w:val="0"/>
    <w:pPr>
      <w:snapToGrid w:val="0"/>
      <w:spacing w:line="360" w:lineRule="auto"/>
      <w:ind w:firstLine="200" w:firstLineChars="200"/>
    </w:pPr>
  </w:style>
  <w:style w:type="character" w:customStyle="1" w:styleId="134">
    <w:name w:val="font61"/>
    <w:basedOn w:val="41"/>
    <w:qFormat/>
    <w:uiPriority w:val="0"/>
    <w:rPr>
      <w:rFonts w:hint="default" w:ascii="Times New Roman" w:hAnsi="Times New Roman" w:cs="Times New Roman"/>
      <w:color w:val="000000"/>
      <w:sz w:val="21"/>
      <w:szCs w:val="21"/>
      <w:u w:val="none"/>
    </w:rPr>
  </w:style>
  <w:style w:type="paragraph" w:customStyle="1" w:styleId="135">
    <w:name w:val="表格样式X"/>
    <w:basedOn w:val="1"/>
    <w:qFormat/>
    <w:uiPriority w:val="0"/>
    <w:pPr>
      <w:adjustRightInd/>
      <w:snapToGrid/>
      <w:spacing w:after="0" w:line="360" w:lineRule="exact"/>
      <w:jc w:val="center"/>
    </w:pPr>
    <w:rPr>
      <w:rFonts w:ascii="Times New Roman" w:hAnsi="Times New Roman" w:eastAsia="宋体"/>
      <w:sz w:val="21"/>
      <w:szCs w:val="24"/>
    </w:rPr>
  </w:style>
  <w:style w:type="paragraph" w:customStyle="1" w:styleId="136">
    <w:name w:val="报告表表格文字"/>
    <w:basedOn w:val="1"/>
    <w:qFormat/>
    <w:uiPriority w:val="0"/>
    <w:pPr>
      <w:autoSpaceDE w:val="0"/>
      <w:autoSpaceDN w:val="0"/>
      <w:adjustRightInd w:val="0"/>
      <w:snapToGrid w:val="0"/>
      <w:jc w:val="center"/>
    </w:pPr>
    <w:rPr>
      <w:color w:val="000000"/>
      <w:spacing w:val="-4"/>
      <w:kern w:val="0"/>
      <w:szCs w:val="21"/>
    </w:rPr>
  </w:style>
  <w:style w:type="character" w:customStyle="1" w:styleId="137">
    <w:name w:val="font31"/>
    <w:basedOn w:val="41"/>
    <w:qFormat/>
    <w:uiPriority w:val="0"/>
    <w:rPr>
      <w:rFonts w:ascii="宋体" w:hAnsi="宋体" w:eastAsia="宋体" w:cs="宋体"/>
      <w:color w:val="000000"/>
      <w:sz w:val="22"/>
      <w:szCs w:val="22"/>
      <w:u w:val="none"/>
    </w:rPr>
  </w:style>
  <w:style w:type="character" w:customStyle="1" w:styleId="138">
    <w:name w:val="font11"/>
    <w:basedOn w:val="41"/>
    <w:qFormat/>
    <w:uiPriority w:val="0"/>
    <w:rPr>
      <w:rFonts w:hint="default" w:ascii="Times New Roman" w:hAnsi="Times New Roman" w:cs="Times New Roman"/>
      <w:color w:val="000000"/>
      <w:sz w:val="21"/>
      <w:szCs w:val="21"/>
      <w:u w:val="none"/>
    </w:rPr>
  </w:style>
  <w:style w:type="character" w:customStyle="1" w:styleId="139">
    <w:name w:val="font41"/>
    <w:basedOn w:val="41"/>
    <w:qFormat/>
    <w:uiPriority w:val="0"/>
    <w:rPr>
      <w:rFonts w:hint="eastAsia" w:ascii="宋体" w:hAnsi="宋体" w:eastAsia="宋体" w:cs="宋体"/>
      <w:color w:val="000000"/>
      <w:sz w:val="21"/>
      <w:szCs w:val="21"/>
      <w:u w:val="none"/>
    </w:rPr>
  </w:style>
  <w:style w:type="character" w:customStyle="1" w:styleId="140">
    <w:name w:val="font21"/>
    <w:basedOn w:val="41"/>
    <w:qFormat/>
    <w:uiPriority w:val="0"/>
    <w:rPr>
      <w:rFonts w:hint="default" w:ascii="Times New Roman" w:hAnsi="Times New Roman" w:cs="Times New Roman"/>
      <w:color w:val="000000"/>
      <w:sz w:val="21"/>
      <w:szCs w:val="21"/>
      <w:u w:val="none"/>
    </w:rPr>
  </w:style>
  <w:style w:type="paragraph" w:customStyle="1" w:styleId="141">
    <w:name w:val="表蕊居中"/>
    <w:qFormat/>
    <w:uiPriority w:val="0"/>
    <w:pPr>
      <w:spacing w:line="320" w:lineRule="exact"/>
      <w:jc w:val="center"/>
    </w:pPr>
    <w:rPr>
      <w:rFonts w:ascii="Times New Roman" w:hAnsi="Times New Roman" w:eastAsia="宋体" w:cs="Times New Roman"/>
      <w:spacing w:val="8"/>
      <w:kern w:val="2"/>
      <w:sz w:val="21"/>
      <w:szCs w:val="28"/>
      <w:lang w:val="en-US" w:eastAsia="zh-CN" w:bidi="ar-SA"/>
    </w:rPr>
  </w:style>
  <w:style w:type="paragraph" w:customStyle="1" w:styleId="142">
    <w:name w:val="NormalIndent"/>
    <w:basedOn w:val="1"/>
    <w:qFormat/>
    <w:uiPriority w:val="0"/>
    <w:pPr>
      <w:jc w:val="both"/>
      <w:textAlignment w:val="baseline"/>
    </w:pPr>
    <w:rPr>
      <w:rFonts w:ascii="Times New Roman" w:hAnsi="Times New Roman"/>
      <w:kern w:val="2"/>
      <w:sz w:val="28"/>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7.wmf"/><Relationship Id="rId14" Type="http://schemas.openxmlformats.org/officeDocument/2006/relationships/oleObject" Target="embeddings/oleObject2.bin"/><Relationship Id="rId13" Type="http://schemas.openxmlformats.org/officeDocument/2006/relationships/image" Target="media/image6.wmf"/><Relationship Id="rId12" Type="http://schemas.openxmlformats.org/officeDocument/2006/relationships/oleObject" Target="embeddings/oleObject1.bin"/><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a:ln>
          <a:tailEnd type="arrow"/>
        </a:ln>
      </a:spPr>
      <a:bodyPr/>
      <a:lstStyle/>
      <a:style>
        <a:lnRef idx="2">
          <a:schemeClr val="accent1"/>
        </a:lnRef>
        <a:fillRef idx="0">
          <a:srgbClr val="FFFFFF"/>
        </a:fillRef>
        <a:effectRef idx="0">
          <a:srgbClr val="FFFFFF"/>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101</Pages>
  <Words>5489</Words>
  <Characters>5870</Characters>
  <Lines>299</Lines>
  <Paragraphs>84</Paragraphs>
  <TotalTime>61</TotalTime>
  <ScaleCrop>false</ScaleCrop>
  <LinksUpToDate>false</LinksUpToDate>
  <CharactersWithSpaces>5952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2024-04-08T12:52:00Z</dcterms:created>
  <dc:creator>lhj</dc:creator>
  <cp:lastModifiedBy>Administrator</cp:lastModifiedBy>
  <cp:lastPrinted>2026-03-19T08:16:00Z</cp:lastPrinted>
  <dcterms:modified xsi:type="dcterms:W3CDTF">2026-03-30T02:24:03Z</dcterms:modified>
  <dc:title>附件2</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D37A5FA9C40B4ECFBB912B67372AA543_13</vt:lpwstr>
  </property>
  <property fmtid="{D5CDD505-2E9C-101B-9397-08002B2CF9AE}" pid="4" name="KSOTemplateDocerSaveRecord">
    <vt:lpwstr>eyJoZGlkIjoiMGFkNGJkMDY3NTNiNDczZDYyMjFkM2FkY2UzZmQ5ZjAifQ==</vt:lpwstr>
  </property>
</Properties>
</file>