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5BFA8B8">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周口市生态环境局关于202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7</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15</w:t>
      </w:r>
      <w:r>
        <w:rPr>
          <w:rFonts w:hint="eastAsia"/>
          <w:color w:val="5B9BD5" w:themeColor="accent1"/>
          <w:sz w:val="36"/>
          <w:szCs w:val="36"/>
          <w14:textFill>
            <w14:solidFill>
              <w14:schemeClr w14:val="accent1"/>
            </w14:solidFill>
          </w14:textFill>
        </w:rPr>
        <w:t>日—202</w:t>
      </w:r>
      <w:r>
        <w:rPr>
          <w:rFonts w:hint="eastAsia"/>
          <w:color w:val="5B9BD5" w:themeColor="accent1"/>
          <w:sz w:val="36"/>
          <w:szCs w:val="36"/>
          <w:lang w:val="en-US" w:eastAsia="zh-CN"/>
          <w14:textFill>
            <w14:solidFill>
              <w14:schemeClr w14:val="accent1"/>
            </w14:solidFill>
          </w14:textFill>
        </w:rPr>
        <w:t>5</w:t>
      </w:r>
      <w:r>
        <w:rPr>
          <w:rFonts w:hint="eastAsia"/>
          <w:color w:val="5B9BD5" w:themeColor="accent1"/>
          <w:sz w:val="36"/>
          <w:szCs w:val="36"/>
          <w14:textFill>
            <w14:solidFill>
              <w14:schemeClr w14:val="accent1"/>
            </w14:solidFill>
          </w14:textFill>
        </w:rPr>
        <w:t>年</w:t>
      </w:r>
      <w:r>
        <w:rPr>
          <w:rFonts w:hint="eastAsia"/>
          <w:color w:val="5B9BD5" w:themeColor="accent1"/>
          <w:sz w:val="36"/>
          <w:szCs w:val="36"/>
          <w:lang w:val="en-US" w:eastAsia="zh-CN"/>
          <w14:textFill>
            <w14:solidFill>
              <w14:schemeClr w14:val="accent1"/>
            </w14:solidFill>
          </w14:textFill>
        </w:rPr>
        <w:t>7</w:t>
      </w:r>
      <w:r>
        <w:rPr>
          <w:rFonts w:hint="eastAsia"/>
          <w:color w:val="5B9BD5" w:themeColor="accent1"/>
          <w:sz w:val="36"/>
          <w:szCs w:val="36"/>
          <w14:textFill>
            <w14:solidFill>
              <w14:schemeClr w14:val="accent1"/>
            </w14:solidFill>
          </w14:textFill>
        </w:rPr>
        <w:t>月</w:t>
      </w:r>
      <w:r>
        <w:rPr>
          <w:rFonts w:hint="eastAsia"/>
          <w:color w:val="5B9BD5" w:themeColor="accent1"/>
          <w:sz w:val="36"/>
          <w:szCs w:val="36"/>
          <w:lang w:val="en-US" w:eastAsia="zh-CN"/>
          <w14:textFill>
            <w14:solidFill>
              <w14:schemeClr w14:val="accent1"/>
            </w14:solidFill>
          </w14:textFill>
        </w:rPr>
        <w:t>21</w:t>
      </w:r>
      <w:r>
        <w:rPr>
          <w:rFonts w:hint="eastAsia"/>
          <w:color w:val="5B9BD5" w:themeColor="accent1"/>
          <w:sz w:val="36"/>
          <w:szCs w:val="36"/>
          <w14:textFill>
            <w14:solidFill>
              <w14:schemeClr w14:val="accent1"/>
            </w14:solidFill>
          </w14:textFill>
        </w:rPr>
        <w:t>日作出的</w:t>
      </w:r>
    </w:p>
    <w:p w14:paraId="0578AD4F">
      <w:pPr>
        <w:jc w:val="center"/>
        <w:rPr>
          <w:color w:val="5B9BD5" w:themeColor="accent1"/>
          <w:sz w:val="36"/>
          <w:szCs w:val="36"/>
          <w14:textFill>
            <w14:solidFill>
              <w14:schemeClr w14:val="accent1"/>
            </w14:solidFill>
          </w14:textFill>
        </w:rPr>
      </w:pPr>
      <w:r>
        <w:rPr>
          <w:rFonts w:hint="eastAsia"/>
          <w:color w:val="5B9BD5" w:themeColor="accent1"/>
          <w:sz w:val="36"/>
          <w:szCs w:val="36"/>
          <w14:textFill>
            <w14:solidFill>
              <w14:schemeClr w14:val="accent1"/>
            </w14:solidFill>
          </w14:textFill>
        </w:rPr>
        <w:t>环境影响评价文件审批决定的公告</w:t>
      </w:r>
    </w:p>
    <w:p w14:paraId="50767A74">
      <w:pPr>
        <w:jc w:val="center"/>
        <w:rPr>
          <w:rFonts w:hint="default" w:eastAsiaTheme="minorEastAsia"/>
          <w:color w:val="5B9BD5" w:themeColor="accent1"/>
          <w:lang w:val="en-US" w:eastAsia="zh-CN"/>
          <w14:textFill>
            <w14:solidFill>
              <w14:schemeClr w14:val="accent1"/>
            </w14:solidFill>
          </w14:textFill>
        </w:rPr>
      </w:pPr>
      <w:r>
        <w:rPr>
          <w:rFonts w:hint="eastAsia"/>
          <w:color w:val="5B9BD5" w:themeColor="accent1"/>
          <w14:textFill>
            <w14:solidFill>
              <w14:schemeClr w14:val="accent1"/>
            </w14:solidFill>
          </w14:textFill>
        </w:rPr>
        <w:t>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w:t>
      </w:r>
      <w:r>
        <w:rPr>
          <w:rFonts w:hint="eastAsia"/>
          <w:color w:val="5B9BD5" w:themeColor="accent1"/>
          <w:lang w:val="en-US" w:eastAsia="zh-CN"/>
          <w14:textFill>
            <w14:solidFill>
              <w14:schemeClr w14:val="accent1"/>
            </w14:solidFill>
          </w14:textFill>
        </w:rPr>
        <w:t>21</w:t>
      </w:r>
    </w:p>
    <w:p w14:paraId="1FF71BEA">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根据环境影响评价审批程序的有关规定，经审查，202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15</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21</w:t>
      </w:r>
      <w:r>
        <w:rPr>
          <w:rFonts w:hint="eastAsia"/>
          <w:color w:val="5B9BD5" w:themeColor="accent1"/>
          <w14:textFill>
            <w14:solidFill>
              <w14:schemeClr w14:val="accent1"/>
            </w14:solidFill>
          </w14:textFill>
        </w:rPr>
        <w:t>日我局共对</w:t>
      </w:r>
      <w:r>
        <w:rPr>
          <w:rFonts w:hint="eastAsia"/>
          <w:color w:val="5B9BD5" w:themeColor="accent1"/>
          <w:lang w:val="en-US" w:eastAsia="zh-CN"/>
          <w14:textFill>
            <w14:solidFill>
              <w14:schemeClr w14:val="accent1"/>
            </w14:solidFill>
          </w14:textFill>
        </w:rPr>
        <w:t>3</w:t>
      </w:r>
      <w:r>
        <w:rPr>
          <w:rFonts w:hint="eastAsia"/>
          <w:color w:val="5B9BD5" w:themeColor="accent1"/>
          <w14:textFill>
            <w14:solidFill>
              <w14:schemeClr w14:val="accent1"/>
            </w14:solidFill>
          </w14:textFill>
        </w:rPr>
        <w:t>个建设项目环境影响评价文件作出了审批决定。现将作出的审批决定予以公告。公告期：202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21</w:t>
      </w:r>
      <w:r>
        <w:rPr>
          <w:rFonts w:hint="eastAsia"/>
          <w:color w:val="5B9BD5" w:themeColor="accent1"/>
          <w14:textFill>
            <w14:solidFill>
              <w14:schemeClr w14:val="accent1"/>
            </w14:solidFill>
          </w14:textFill>
        </w:rPr>
        <w:t>日—202</w:t>
      </w:r>
      <w:r>
        <w:rPr>
          <w:rFonts w:hint="eastAsia"/>
          <w:color w:val="5B9BD5" w:themeColor="accent1"/>
          <w:lang w:val="en-US" w:eastAsia="zh-CN"/>
          <w14:textFill>
            <w14:solidFill>
              <w14:schemeClr w14:val="accent1"/>
            </w14:solidFill>
          </w14:textFill>
        </w:rPr>
        <w:t>5</w:t>
      </w:r>
      <w:r>
        <w:rPr>
          <w:rFonts w:hint="eastAsia"/>
          <w:color w:val="5B9BD5" w:themeColor="accent1"/>
          <w14:textFill>
            <w14:solidFill>
              <w14:schemeClr w14:val="accent1"/>
            </w14:solidFill>
          </w14:textFill>
        </w:rPr>
        <w:t>年</w:t>
      </w:r>
      <w:r>
        <w:rPr>
          <w:rFonts w:hint="eastAsia"/>
          <w:color w:val="5B9BD5" w:themeColor="accent1"/>
          <w:lang w:val="en-US" w:eastAsia="zh-CN"/>
          <w14:textFill>
            <w14:solidFill>
              <w14:schemeClr w14:val="accent1"/>
            </w14:solidFill>
          </w14:textFill>
        </w:rPr>
        <w:t>7</w:t>
      </w:r>
      <w:r>
        <w:rPr>
          <w:rFonts w:hint="eastAsia"/>
          <w:color w:val="5B9BD5" w:themeColor="accent1"/>
          <w14:textFill>
            <w14:solidFill>
              <w14:schemeClr w14:val="accent1"/>
            </w14:solidFill>
          </w14:textFill>
        </w:rPr>
        <w:t>月</w:t>
      </w:r>
      <w:r>
        <w:rPr>
          <w:rFonts w:hint="eastAsia"/>
          <w:color w:val="5B9BD5" w:themeColor="accent1"/>
          <w:lang w:val="en-US" w:eastAsia="zh-CN"/>
          <w14:textFill>
            <w14:solidFill>
              <w14:schemeClr w14:val="accent1"/>
            </w14:solidFill>
          </w14:textFill>
        </w:rPr>
        <w:t>27</w:t>
      </w:r>
      <w:r>
        <w:rPr>
          <w:rFonts w:hint="eastAsia"/>
          <w:color w:val="5B9BD5" w:themeColor="accent1"/>
          <w14:textFill>
            <w14:solidFill>
              <w14:schemeClr w14:val="accent1"/>
            </w14:solidFill>
          </w14:textFill>
        </w:rPr>
        <w:t>日（7日）</w:t>
      </w:r>
    </w:p>
    <w:p w14:paraId="5C251630">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行政复议与行政诉讼权利告知：依据《中华人民共和国行政复议法》和《中华人民共和国行政诉讼法》，公民、法人或者其他组织认为公告的建设项目环境影响评价文件审批决定侵犯其合法权益的，可以自公告期限届满之日起六十日内提起行政复议，也可以自公告期限</w:t>
      </w:r>
      <w:bookmarkStart w:id="0" w:name="_GoBack"/>
      <w:bookmarkEnd w:id="0"/>
      <w:r>
        <w:rPr>
          <w:rFonts w:hint="eastAsia"/>
          <w:color w:val="5B9BD5" w:themeColor="accent1"/>
          <w14:textFill>
            <w14:solidFill>
              <w14:schemeClr w14:val="accent1"/>
            </w14:solidFill>
          </w14:textFill>
        </w:rPr>
        <w:t>届满之日起六个月内提起行政诉讼。</w:t>
      </w:r>
    </w:p>
    <w:p w14:paraId="3E40DBE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联系电话：0394-8278830（周口市行政服务中心）</w:t>
      </w:r>
    </w:p>
    <w:p w14:paraId="413F8597">
      <w:pPr>
        <w:ind w:firstLine="420" w:firstLineChars="200"/>
        <w:rPr>
          <w:color w:val="5B9BD5" w:themeColor="accent1"/>
          <w14:textFill>
            <w14:solidFill>
              <w14:schemeClr w14:val="accent1"/>
            </w14:solidFill>
          </w14:textFill>
        </w:rPr>
      </w:pPr>
      <w:r>
        <w:rPr>
          <w:rFonts w:hint="eastAsia"/>
          <w:color w:val="5B9BD5" w:themeColor="accent1"/>
          <w14:textFill>
            <w14:solidFill>
              <w14:schemeClr w14:val="accent1"/>
            </w14:solidFill>
          </w14:textFill>
        </w:rPr>
        <w:t>通讯地址：周口市政务服务中心二楼北厅生态环境局窗口（光明路与人和路交叉口）</w:t>
      </w:r>
    </w:p>
    <w:tbl>
      <w:tblPr>
        <w:tblStyle w:val="17"/>
        <w:tblpPr w:leftFromText="180" w:rightFromText="180" w:vertAnchor="text" w:horzAnchor="page" w:tblpXSpec="center" w:tblpY="186"/>
        <w:tblOverlap w:val="never"/>
        <w:tblW w:w="13918"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15" w:type="dxa"/>
          <w:left w:w="15" w:type="dxa"/>
          <w:bottom w:w="15" w:type="dxa"/>
          <w:right w:w="15" w:type="dxa"/>
        </w:tblCellMar>
      </w:tblPr>
      <w:tblGrid>
        <w:gridCol w:w="808"/>
        <w:gridCol w:w="8492"/>
        <w:gridCol w:w="2283"/>
        <w:gridCol w:w="2335"/>
      </w:tblGrid>
      <w:tr w14:paraId="52C4D6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515" w:hRule="atLeast"/>
          <w:jc w:val="center"/>
        </w:trPr>
        <w:tc>
          <w:tcPr>
            <w:tcW w:w="808" w:type="dxa"/>
            <w:tcBorders>
              <w:top w:val="single" w:color="auto" w:sz="4" w:space="0"/>
              <w:left w:val="single" w:color="auto" w:sz="4" w:space="0"/>
              <w:bottom w:val="single" w:color="auto" w:sz="4" w:space="0"/>
              <w:right w:val="single" w:color="auto" w:sz="4" w:space="0"/>
            </w:tcBorders>
            <w:shd w:val="clear" w:color="auto" w:fill="auto"/>
            <w:tcMar>
              <w:top w:w="0" w:type="dxa"/>
              <w:left w:w="105" w:type="dxa"/>
              <w:bottom w:w="0" w:type="dxa"/>
              <w:right w:w="105" w:type="dxa"/>
            </w:tcMar>
            <w:vAlign w:val="center"/>
          </w:tcPr>
          <w:p w14:paraId="7DE8CC3E">
            <w:pPr>
              <w:pStyle w:val="13"/>
              <w:widowControl/>
              <w:spacing w:line="300" w:lineRule="atLeast"/>
              <w:jc w:val="center"/>
            </w:pPr>
            <w:r>
              <w:rPr>
                <w:rFonts w:hint="eastAsia" w:ascii="宋体" w:hAnsi="宋体" w:eastAsia="宋体" w:cs="宋体"/>
                <w:color w:val="0070C0"/>
              </w:rPr>
              <w:t>序号</w:t>
            </w:r>
          </w:p>
        </w:tc>
        <w:tc>
          <w:tcPr>
            <w:tcW w:w="8492"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07B0B0B7">
            <w:pPr>
              <w:pStyle w:val="13"/>
              <w:widowControl/>
              <w:spacing w:line="240" w:lineRule="atLeast"/>
              <w:ind w:firstLine="420"/>
              <w:jc w:val="center"/>
            </w:pPr>
            <w:r>
              <w:rPr>
                <w:rFonts w:hint="eastAsia" w:ascii="宋体" w:hAnsi="宋体" w:eastAsia="宋体" w:cs="宋体"/>
                <w:color w:val="0070C0"/>
              </w:rPr>
              <w:t>环评文件名称</w:t>
            </w:r>
          </w:p>
        </w:tc>
        <w:tc>
          <w:tcPr>
            <w:tcW w:w="2283"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7482FB2">
            <w:pPr>
              <w:pStyle w:val="13"/>
              <w:widowControl/>
              <w:spacing w:line="300" w:lineRule="atLeast"/>
              <w:ind w:firstLine="960" w:firstLineChars="400"/>
              <w:jc w:val="both"/>
            </w:pPr>
            <w:r>
              <w:rPr>
                <w:rFonts w:hint="eastAsia" w:ascii="宋体" w:hAnsi="宋体" w:eastAsia="宋体" w:cs="宋体"/>
                <w:color w:val="0070C0"/>
              </w:rPr>
              <w:t>文号</w:t>
            </w:r>
          </w:p>
        </w:tc>
        <w:tc>
          <w:tcPr>
            <w:tcW w:w="2335" w:type="dxa"/>
            <w:tcBorders>
              <w:top w:val="single" w:color="auto" w:sz="4" w:space="0"/>
              <w:left w:val="nil"/>
              <w:bottom w:val="single" w:color="auto" w:sz="4" w:space="0"/>
              <w:right w:val="single" w:color="auto" w:sz="4" w:space="0"/>
            </w:tcBorders>
            <w:shd w:val="clear" w:color="auto" w:fill="auto"/>
            <w:tcMar>
              <w:top w:w="0" w:type="dxa"/>
              <w:left w:w="105" w:type="dxa"/>
              <w:bottom w:w="0" w:type="dxa"/>
              <w:right w:w="105" w:type="dxa"/>
            </w:tcMar>
            <w:vAlign w:val="center"/>
          </w:tcPr>
          <w:p w14:paraId="1FEC88D5">
            <w:pPr>
              <w:pStyle w:val="13"/>
              <w:widowControl/>
              <w:spacing w:line="300" w:lineRule="atLeast"/>
              <w:ind w:firstLine="420"/>
              <w:jc w:val="center"/>
            </w:pPr>
            <w:r>
              <w:rPr>
                <w:rFonts w:hint="eastAsia" w:ascii="宋体" w:hAnsi="宋体" w:eastAsia="宋体" w:cs="宋体"/>
                <w:color w:val="0070C0"/>
              </w:rPr>
              <w:t>时间</w:t>
            </w:r>
          </w:p>
        </w:tc>
      </w:tr>
      <w:tr w14:paraId="7EADD2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40" w:hRule="atLeast"/>
          <w:jc w:val="center"/>
        </w:trPr>
        <w:tc>
          <w:tcPr>
            <w:tcW w:w="808" w:type="dxa"/>
            <w:shd w:val="clear" w:color="auto" w:fill="auto"/>
            <w:vAlign w:val="center"/>
          </w:tcPr>
          <w:p w14:paraId="4E9D5493">
            <w:pPr>
              <w:pStyle w:val="13"/>
              <w:keepNext w:val="0"/>
              <w:keepLines w:val="0"/>
              <w:pageBreakBefore w:val="0"/>
              <w:widowControl/>
              <w:kinsoku/>
              <w:wordWrap/>
              <w:overflowPunct/>
              <w:topLinePunct w:val="0"/>
              <w:autoSpaceDE/>
              <w:autoSpaceDN/>
              <w:bidi w:val="0"/>
              <w:adjustRightInd/>
              <w:spacing w:beforeAutospacing="0" w:afterAutospacing="0" w:line="240" w:lineRule="atLeast"/>
              <w:jc w:val="center"/>
              <w:textAlignment w:val="auto"/>
              <w:rPr>
                <w:rFonts w:hint="eastAsia" w:ascii="宋体" w:hAnsi="宋体" w:eastAsia="宋体" w:cs="宋体"/>
                <w:color w:val="0070C0"/>
                <w:lang w:eastAsia="zh-CN"/>
              </w:rPr>
            </w:pPr>
            <w:r>
              <w:rPr>
                <w:rFonts w:hint="eastAsia" w:ascii="宋体" w:hAnsi="宋体" w:eastAsia="宋体" w:cs="宋体"/>
                <w:color w:val="0070C0"/>
                <w:lang w:val="en-US" w:eastAsia="zh-CN"/>
              </w:rPr>
              <w:t>1</w:t>
            </w:r>
          </w:p>
        </w:tc>
        <w:tc>
          <w:tcPr>
            <w:tcW w:w="8492" w:type="dxa"/>
            <w:shd w:val="clear" w:color="auto" w:fill="auto"/>
            <w:vAlign w:val="center"/>
          </w:tcPr>
          <w:p w14:paraId="5F4B601D">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中国石化销售股份有限公司河南周口新建大庆路加油站项目</w:t>
            </w:r>
          </w:p>
        </w:tc>
        <w:tc>
          <w:tcPr>
            <w:tcW w:w="2283" w:type="dxa"/>
            <w:shd w:val="clear" w:color="auto" w:fill="auto"/>
            <w:vAlign w:val="center"/>
          </w:tcPr>
          <w:p w14:paraId="38D54E7C">
            <w:pPr>
              <w:pStyle w:val="13"/>
              <w:widowControl/>
              <w:spacing w:line="240" w:lineRule="atLeast"/>
              <w:jc w:val="center"/>
              <w:rPr>
                <w:rFonts w:hint="eastAsia" w:ascii="宋体" w:hAnsi="宋体" w:eastAsia="宋体" w:cs="宋体"/>
                <w:color w:val="0070C0"/>
              </w:rPr>
            </w:pPr>
            <w:r>
              <w:rPr>
                <w:rFonts w:hint="eastAsia" w:ascii="宋体" w:hAnsi="宋体" w:eastAsia="宋体" w:cs="宋体"/>
                <w:color w:val="0070C0"/>
              </w:rPr>
              <w:t>周环审</w:t>
            </w:r>
            <w:r>
              <w:rPr>
                <w:rFonts w:hint="eastAsia" w:ascii="宋体" w:hAnsi="宋体" w:eastAsia="宋体" w:cs="宋体"/>
                <w:color w:val="0070C0"/>
                <w:lang w:val="en-US" w:eastAsia="zh-CN"/>
              </w:rPr>
              <w:t>[2025]60</w:t>
            </w:r>
            <w:r>
              <w:rPr>
                <w:rFonts w:hint="eastAsia" w:ascii="宋体" w:hAnsi="宋体" w:eastAsia="宋体" w:cs="宋体"/>
                <w:color w:val="0070C0"/>
              </w:rPr>
              <w:t>号</w:t>
            </w:r>
          </w:p>
        </w:tc>
        <w:tc>
          <w:tcPr>
            <w:tcW w:w="2335" w:type="dxa"/>
            <w:shd w:val="clear" w:color="auto" w:fill="auto"/>
            <w:vAlign w:val="center"/>
          </w:tcPr>
          <w:p w14:paraId="3A2557C1">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rPr>
              <w:t>202</w:t>
            </w:r>
            <w:r>
              <w:rPr>
                <w:rFonts w:hint="eastAsia" w:ascii="宋体" w:hAnsi="宋体" w:eastAsia="宋体" w:cs="宋体"/>
                <w:color w:val="0070C0"/>
                <w:lang w:val="en-US" w:eastAsia="zh-CN"/>
              </w:rPr>
              <w:t>50715</w:t>
            </w:r>
          </w:p>
        </w:tc>
      </w:tr>
      <w:tr w14:paraId="2417A1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021F3B2E">
            <w:pPr>
              <w:pStyle w:val="13"/>
              <w:widowControl/>
              <w:spacing w:line="240" w:lineRule="atLeast"/>
              <w:jc w:val="center"/>
              <w:rPr>
                <w:rFonts w:hint="eastAsia" w:ascii="宋体" w:hAnsi="宋体" w:eastAsia="宋体" w:cs="宋体"/>
                <w:color w:val="0070C0"/>
                <w:lang w:val="en-US" w:eastAsia="zh-CN"/>
              </w:rPr>
            </w:pPr>
            <w:r>
              <w:rPr>
                <w:rFonts w:hint="eastAsia" w:ascii="宋体" w:hAnsi="宋体" w:eastAsia="宋体" w:cs="宋体"/>
                <w:color w:val="0070C0"/>
                <w:lang w:val="en-US" w:eastAsia="zh-CN"/>
              </w:rPr>
              <w:t>2</w:t>
            </w:r>
          </w:p>
        </w:tc>
        <w:tc>
          <w:tcPr>
            <w:tcW w:w="8492" w:type="dxa"/>
            <w:shd w:val="clear" w:color="auto" w:fill="auto"/>
            <w:vAlign w:val="center"/>
          </w:tcPr>
          <w:p w14:paraId="1458875C">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河南省后双农牧业发展有限责任公司年屠宰3万头肉牛及牛肉制品加工冷藏建设项目</w:t>
            </w:r>
          </w:p>
        </w:tc>
        <w:tc>
          <w:tcPr>
            <w:tcW w:w="2283" w:type="dxa"/>
            <w:shd w:val="clear" w:color="auto" w:fill="auto"/>
            <w:vAlign w:val="center"/>
          </w:tcPr>
          <w:p w14:paraId="72EE87F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[2025]61</w:t>
            </w:r>
            <w:r>
              <w:rPr>
                <w:rFonts w:hint="eastAsia" w:ascii="宋体" w:hAnsi="宋体" w:eastAsia="宋体" w:cs="宋体"/>
                <w:color w:val="0070C0"/>
              </w:rPr>
              <w:t>号</w:t>
            </w:r>
          </w:p>
        </w:tc>
        <w:tc>
          <w:tcPr>
            <w:tcW w:w="2335" w:type="dxa"/>
            <w:shd w:val="clear" w:color="auto" w:fill="auto"/>
            <w:vAlign w:val="center"/>
          </w:tcPr>
          <w:p w14:paraId="59072342">
            <w:pPr>
              <w:pStyle w:val="13"/>
              <w:widowControl/>
              <w:spacing w:line="240" w:lineRule="atLeast"/>
              <w:jc w:val="center"/>
              <w:rPr>
                <w:rFonts w:hint="default"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50721</w:t>
            </w:r>
          </w:p>
        </w:tc>
      </w:tr>
      <w:tr w14:paraId="04C6DC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15" w:type="dxa"/>
            <w:left w:w="15" w:type="dxa"/>
            <w:bottom w:w="15" w:type="dxa"/>
            <w:right w:w="15" w:type="dxa"/>
          </w:tblCellMar>
        </w:tblPrEx>
        <w:trPr>
          <w:trHeight w:val="781" w:hRule="atLeast"/>
          <w:jc w:val="center"/>
        </w:trPr>
        <w:tc>
          <w:tcPr>
            <w:tcW w:w="808" w:type="dxa"/>
            <w:shd w:val="clear" w:color="auto" w:fill="auto"/>
            <w:vAlign w:val="center"/>
          </w:tcPr>
          <w:p w14:paraId="5605406D">
            <w:pPr>
              <w:pStyle w:val="13"/>
              <w:widowControl/>
              <w:spacing w:line="240" w:lineRule="atLeast"/>
              <w:jc w:val="center"/>
              <w:rPr>
                <w:rFonts w:hint="default" w:ascii="宋体" w:hAnsi="宋体" w:eastAsia="宋体" w:cs="宋体"/>
                <w:color w:val="0070C0"/>
                <w:lang w:val="en-US" w:eastAsia="zh-CN"/>
              </w:rPr>
            </w:pPr>
            <w:r>
              <w:rPr>
                <w:rFonts w:hint="eastAsia" w:ascii="宋体" w:hAnsi="宋体" w:eastAsia="宋体" w:cs="宋体"/>
                <w:color w:val="0070C0"/>
                <w:lang w:val="en-US" w:eastAsia="zh-CN"/>
              </w:rPr>
              <w:t>3</w:t>
            </w:r>
          </w:p>
        </w:tc>
        <w:tc>
          <w:tcPr>
            <w:tcW w:w="8492" w:type="dxa"/>
            <w:shd w:val="clear" w:color="auto" w:fill="auto"/>
            <w:vAlign w:val="center"/>
          </w:tcPr>
          <w:p w14:paraId="0A1F41F6">
            <w:pPr>
              <w:pStyle w:val="13"/>
              <w:keepNext w:val="0"/>
              <w:keepLines w:val="0"/>
              <w:pageBreakBefore w:val="0"/>
              <w:widowControl/>
              <w:kinsoku/>
              <w:wordWrap/>
              <w:overflowPunct/>
              <w:topLinePunct w:val="0"/>
              <w:autoSpaceDE/>
              <w:autoSpaceDN/>
              <w:bidi w:val="0"/>
              <w:adjustRightInd/>
              <w:snapToGrid w:val="0"/>
              <w:spacing w:beforeAutospacing="0" w:afterAutospacing="0" w:line="240" w:lineRule="atLeast"/>
              <w:jc w:val="center"/>
              <w:textAlignment w:val="auto"/>
              <w:rPr>
                <w:rFonts w:hint="default" w:ascii="宋体" w:hAnsi="宋体" w:eastAsia="宋体" w:cs="宋体"/>
                <w:color w:val="0070C0"/>
                <w:lang w:val="en-US" w:eastAsia="zh-CN"/>
              </w:rPr>
            </w:pPr>
            <w:r>
              <w:rPr>
                <w:rFonts w:hint="default" w:ascii="宋体" w:hAnsi="宋体" w:eastAsia="宋体" w:cs="宋体"/>
                <w:color w:val="0070C0"/>
                <w:lang w:val="en-US" w:eastAsia="zh-CN"/>
              </w:rPr>
              <w:t>扶沟县亮阳金属表面处理有限公司年产29万套金属制品及零部件配件项目</w:t>
            </w:r>
          </w:p>
        </w:tc>
        <w:tc>
          <w:tcPr>
            <w:tcW w:w="2283" w:type="dxa"/>
            <w:shd w:val="clear" w:color="auto" w:fill="auto"/>
            <w:vAlign w:val="center"/>
          </w:tcPr>
          <w:p w14:paraId="6DBAE8EA">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周环审</w:t>
            </w:r>
            <w:r>
              <w:rPr>
                <w:rFonts w:hint="eastAsia" w:ascii="宋体" w:hAnsi="宋体" w:eastAsia="宋体" w:cs="宋体"/>
                <w:color w:val="0070C0"/>
                <w:lang w:val="en-US" w:eastAsia="zh-CN"/>
              </w:rPr>
              <w:t>[2025]62</w:t>
            </w:r>
            <w:r>
              <w:rPr>
                <w:rFonts w:hint="eastAsia" w:ascii="宋体" w:hAnsi="宋体" w:eastAsia="宋体" w:cs="宋体"/>
                <w:color w:val="0070C0"/>
              </w:rPr>
              <w:t>号</w:t>
            </w:r>
          </w:p>
        </w:tc>
        <w:tc>
          <w:tcPr>
            <w:tcW w:w="2335" w:type="dxa"/>
            <w:shd w:val="clear" w:color="auto" w:fill="auto"/>
            <w:vAlign w:val="center"/>
          </w:tcPr>
          <w:p w14:paraId="6B34BF39">
            <w:pPr>
              <w:pStyle w:val="13"/>
              <w:widowControl/>
              <w:spacing w:line="240" w:lineRule="atLeast"/>
              <w:jc w:val="center"/>
              <w:rPr>
                <w:rFonts w:hint="eastAsia" w:ascii="宋体" w:hAnsi="宋体" w:eastAsia="宋体" w:cs="宋体"/>
                <w:color w:val="0070C0"/>
                <w:kern w:val="0"/>
                <w:sz w:val="24"/>
                <w:szCs w:val="24"/>
                <w:lang w:val="en-US" w:eastAsia="zh-CN" w:bidi="ar-SA"/>
              </w:rPr>
            </w:pPr>
            <w:r>
              <w:rPr>
                <w:rFonts w:hint="eastAsia" w:ascii="宋体" w:hAnsi="宋体" w:eastAsia="宋体" w:cs="宋体"/>
                <w:color w:val="0070C0"/>
              </w:rPr>
              <w:t>202</w:t>
            </w:r>
            <w:r>
              <w:rPr>
                <w:rFonts w:hint="eastAsia" w:ascii="宋体" w:hAnsi="宋体" w:eastAsia="宋体" w:cs="宋体"/>
                <w:color w:val="0070C0"/>
                <w:lang w:val="en-US" w:eastAsia="zh-CN"/>
              </w:rPr>
              <w:t>50721</w:t>
            </w:r>
          </w:p>
        </w:tc>
      </w:tr>
    </w:tbl>
    <w:p w14:paraId="146AABCC">
      <w:pPr>
        <w:pStyle w:val="13"/>
        <w:widowControl/>
        <w:spacing w:line="240" w:lineRule="atLeast"/>
        <w:rPr>
          <w:rFonts w:hint="eastAsia" w:ascii="宋体" w:hAnsi="宋体" w:eastAsia="宋体" w:cs="宋体"/>
          <w:color w:val="0070C0"/>
        </w:rPr>
      </w:pP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华文楷体">
    <w:altName w:val="宋体"/>
    <w:panose1 w:val="02010600040101010101"/>
    <w:charset w:val="86"/>
    <w:family w:val="auto"/>
    <w:pitch w:val="default"/>
    <w:sig w:usb0="00000000" w:usb1="00000000" w:usb2="00000000" w:usb3="00000000" w:csb0="0004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544322"/>
    <w:multiLevelType w:val="singleLevel"/>
    <w:tmpl w:val="84544322"/>
    <w:lvl w:ilvl="0" w:tentative="0">
      <w:start w:val="1"/>
      <w:numFmt w:val="bullet"/>
      <w:pStyle w:val="6"/>
      <w:lvlText w:val=""/>
      <w:lvlJc w:val="left"/>
      <w:pPr>
        <w:tabs>
          <w:tab w:val="left" w:pos="2040"/>
        </w:tabs>
        <w:ind w:left="2040" w:hanging="360"/>
      </w:pPr>
      <w:rPr>
        <w:rFonts w:hint="default" w:ascii="Wingdings" w:hAnsi="Wingdings"/>
      </w:rPr>
    </w:lvl>
  </w:abstractNum>
  <w:abstractNum w:abstractNumId="1">
    <w:nsid w:val="70D977E6"/>
    <w:multiLevelType w:val="multilevel"/>
    <w:tmpl w:val="70D977E6"/>
    <w:lvl w:ilvl="0" w:tentative="0">
      <w:start w:val="1"/>
      <w:numFmt w:val="decimal"/>
      <w:pStyle w:val="12"/>
      <w:lvlText w:val="第%1条"/>
      <w:lvlJc w:val="left"/>
      <w:pPr>
        <w:tabs>
          <w:tab w:val="left" w:pos="1765"/>
        </w:tabs>
        <w:ind w:left="1765" w:hanging="1425"/>
      </w:pPr>
      <w:rPr>
        <w:rFonts w:hint="eastAsia" w:ascii="黑体" w:eastAsia="黑体"/>
        <w:b/>
      </w:rPr>
    </w:lvl>
    <w:lvl w:ilvl="1" w:tentative="0">
      <w:start w:val="1"/>
      <w:numFmt w:val="lowerLetter"/>
      <w:lvlText w:val="%2)"/>
      <w:lvlJc w:val="left"/>
      <w:pPr>
        <w:tabs>
          <w:tab w:val="left" w:pos="1180"/>
        </w:tabs>
        <w:ind w:left="1180" w:hanging="420"/>
      </w:pPr>
    </w:lvl>
    <w:lvl w:ilvl="2" w:tentative="0">
      <w:start w:val="1"/>
      <w:numFmt w:val="lowerRoman"/>
      <w:lvlText w:val="%3."/>
      <w:lvlJc w:val="right"/>
      <w:pPr>
        <w:tabs>
          <w:tab w:val="left" w:pos="1600"/>
        </w:tabs>
        <w:ind w:left="1600" w:hanging="420"/>
      </w:pPr>
    </w:lvl>
    <w:lvl w:ilvl="3" w:tentative="0">
      <w:start w:val="1"/>
      <w:numFmt w:val="decimal"/>
      <w:lvlText w:val="%4."/>
      <w:lvlJc w:val="left"/>
      <w:pPr>
        <w:tabs>
          <w:tab w:val="left" w:pos="2020"/>
        </w:tabs>
        <w:ind w:left="2020" w:hanging="420"/>
      </w:pPr>
    </w:lvl>
    <w:lvl w:ilvl="4" w:tentative="0">
      <w:start w:val="1"/>
      <w:numFmt w:val="lowerLetter"/>
      <w:lvlText w:val="%5)"/>
      <w:lvlJc w:val="left"/>
      <w:pPr>
        <w:tabs>
          <w:tab w:val="left" w:pos="2440"/>
        </w:tabs>
        <w:ind w:left="2440" w:hanging="420"/>
      </w:pPr>
    </w:lvl>
    <w:lvl w:ilvl="5" w:tentative="0">
      <w:start w:val="1"/>
      <w:numFmt w:val="lowerRoman"/>
      <w:lvlText w:val="%6."/>
      <w:lvlJc w:val="right"/>
      <w:pPr>
        <w:tabs>
          <w:tab w:val="left" w:pos="2860"/>
        </w:tabs>
        <w:ind w:left="2860" w:hanging="420"/>
      </w:pPr>
    </w:lvl>
    <w:lvl w:ilvl="6" w:tentative="0">
      <w:start w:val="1"/>
      <w:numFmt w:val="decimal"/>
      <w:lvlText w:val="%7."/>
      <w:lvlJc w:val="left"/>
      <w:pPr>
        <w:tabs>
          <w:tab w:val="left" w:pos="3280"/>
        </w:tabs>
        <w:ind w:left="3280" w:hanging="420"/>
      </w:pPr>
    </w:lvl>
    <w:lvl w:ilvl="7" w:tentative="0">
      <w:start w:val="1"/>
      <w:numFmt w:val="lowerLetter"/>
      <w:lvlText w:val="%8)"/>
      <w:lvlJc w:val="left"/>
      <w:pPr>
        <w:tabs>
          <w:tab w:val="left" w:pos="3700"/>
        </w:tabs>
        <w:ind w:left="3700" w:hanging="420"/>
      </w:pPr>
    </w:lvl>
    <w:lvl w:ilvl="8" w:tentative="0">
      <w:start w:val="1"/>
      <w:numFmt w:val="lowerRoman"/>
      <w:lvlText w:val="%9."/>
      <w:lvlJc w:val="right"/>
      <w:pPr>
        <w:tabs>
          <w:tab w:val="left" w:pos="4120"/>
        </w:tabs>
        <w:ind w:left="4120" w:hanging="42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Q4NmQ3YmJmY2ZiNjk4NjZjZjhlMzgyZDBkN2YwYzIifQ=="/>
  </w:docVars>
  <w:rsids>
    <w:rsidRoot w:val="290031FA"/>
    <w:rsid w:val="0002009A"/>
    <w:rsid w:val="000F1718"/>
    <w:rsid w:val="001653D4"/>
    <w:rsid w:val="0042232B"/>
    <w:rsid w:val="00A221DD"/>
    <w:rsid w:val="00AB7A80"/>
    <w:rsid w:val="00E40371"/>
    <w:rsid w:val="00FE3BD7"/>
    <w:rsid w:val="0130520B"/>
    <w:rsid w:val="01A4530D"/>
    <w:rsid w:val="01CF376B"/>
    <w:rsid w:val="01D90EF5"/>
    <w:rsid w:val="01FE4A8A"/>
    <w:rsid w:val="03BA09E6"/>
    <w:rsid w:val="03C10F80"/>
    <w:rsid w:val="03C57FB4"/>
    <w:rsid w:val="041163FA"/>
    <w:rsid w:val="04212913"/>
    <w:rsid w:val="04EA51DC"/>
    <w:rsid w:val="056871C6"/>
    <w:rsid w:val="06575F38"/>
    <w:rsid w:val="07272588"/>
    <w:rsid w:val="08316616"/>
    <w:rsid w:val="089441E4"/>
    <w:rsid w:val="08A47C9C"/>
    <w:rsid w:val="09CD4459"/>
    <w:rsid w:val="0A917054"/>
    <w:rsid w:val="0B920B9E"/>
    <w:rsid w:val="0CE04148"/>
    <w:rsid w:val="0D096A1C"/>
    <w:rsid w:val="0D4162F6"/>
    <w:rsid w:val="0D5A5442"/>
    <w:rsid w:val="0DD21E35"/>
    <w:rsid w:val="0DFA7836"/>
    <w:rsid w:val="0E554DF8"/>
    <w:rsid w:val="0EF25823"/>
    <w:rsid w:val="0F72653A"/>
    <w:rsid w:val="107D714E"/>
    <w:rsid w:val="11262C21"/>
    <w:rsid w:val="11826890"/>
    <w:rsid w:val="11AC7087"/>
    <w:rsid w:val="122B49DD"/>
    <w:rsid w:val="133F0473"/>
    <w:rsid w:val="13C57E47"/>
    <w:rsid w:val="1476310A"/>
    <w:rsid w:val="15FC15F9"/>
    <w:rsid w:val="164D5D0D"/>
    <w:rsid w:val="17082B43"/>
    <w:rsid w:val="1709155B"/>
    <w:rsid w:val="184F21A6"/>
    <w:rsid w:val="186508BD"/>
    <w:rsid w:val="19221B08"/>
    <w:rsid w:val="1A476498"/>
    <w:rsid w:val="1AE82D60"/>
    <w:rsid w:val="1B2B6497"/>
    <w:rsid w:val="1B6D6B2F"/>
    <w:rsid w:val="1BE879B2"/>
    <w:rsid w:val="1C243F9D"/>
    <w:rsid w:val="1C973644"/>
    <w:rsid w:val="1DB951B5"/>
    <w:rsid w:val="1FDF78C6"/>
    <w:rsid w:val="20182E2F"/>
    <w:rsid w:val="208964F1"/>
    <w:rsid w:val="20DF1060"/>
    <w:rsid w:val="21670608"/>
    <w:rsid w:val="21DA6FF0"/>
    <w:rsid w:val="220D65DB"/>
    <w:rsid w:val="230C5581"/>
    <w:rsid w:val="24133163"/>
    <w:rsid w:val="267D3CEC"/>
    <w:rsid w:val="27A04C32"/>
    <w:rsid w:val="290031FA"/>
    <w:rsid w:val="29A6249B"/>
    <w:rsid w:val="2A1007A8"/>
    <w:rsid w:val="2AEA736F"/>
    <w:rsid w:val="2C5F224B"/>
    <w:rsid w:val="2CD021C7"/>
    <w:rsid w:val="2D497A59"/>
    <w:rsid w:val="2D651155"/>
    <w:rsid w:val="2D952389"/>
    <w:rsid w:val="2DA57AB6"/>
    <w:rsid w:val="2E2D3B6F"/>
    <w:rsid w:val="2F14576D"/>
    <w:rsid w:val="2F5672F8"/>
    <w:rsid w:val="301C25EA"/>
    <w:rsid w:val="30221CAD"/>
    <w:rsid w:val="304D6A88"/>
    <w:rsid w:val="321F7884"/>
    <w:rsid w:val="329649F1"/>
    <w:rsid w:val="32BA3E37"/>
    <w:rsid w:val="334F17BC"/>
    <w:rsid w:val="336B3FE0"/>
    <w:rsid w:val="337E5034"/>
    <w:rsid w:val="358207C3"/>
    <w:rsid w:val="36513C5F"/>
    <w:rsid w:val="36B0540E"/>
    <w:rsid w:val="36E91F6E"/>
    <w:rsid w:val="381A04E2"/>
    <w:rsid w:val="38A46601"/>
    <w:rsid w:val="38C30B13"/>
    <w:rsid w:val="3A307F56"/>
    <w:rsid w:val="3A421AC2"/>
    <w:rsid w:val="3A464870"/>
    <w:rsid w:val="3A6660E7"/>
    <w:rsid w:val="3C2978E3"/>
    <w:rsid w:val="3CE525F6"/>
    <w:rsid w:val="3D000129"/>
    <w:rsid w:val="3D887CFC"/>
    <w:rsid w:val="3DB4772B"/>
    <w:rsid w:val="3E515B32"/>
    <w:rsid w:val="3EC076A3"/>
    <w:rsid w:val="3F227921"/>
    <w:rsid w:val="3F4868EF"/>
    <w:rsid w:val="3FA907C1"/>
    <w:rsid w:val="415969A6"/>
    <w:rsid w:val="4295333C"/>
    <w:rsid w:val="42A140E5"/>
    <w:rsid w:val="42DD28C1"/>
    <w:rsid w:val="432969AF"/>
    <w:rsid w:val="441F7EFA"/>
    <w:rsid w:val="443D1A35"/>
    <w:rsid w:val="447A79BE"/>
    <w:rsid w:val="44BA2CA7"/>
    <w:rsid w:val="44CF11DC"/>
    <w:rsid w:val="44E9395C"/>
    <w:rsid w:val="450B1D0F"/>
    <w:rsid w:val="45953FBD"/>
    <w:rsid w:val="46005B46"/>
    <w:rsid w:val="46326204"/>
    <w:rsid w:val="468906DF"/>
    <w:rsid w:val="474D76C5"/>
    <w:rsid w:val="48054C3B"/>
    <w:rsid w:val="487D358E"/>
    <w:rsid w:val="488747D8"/>
    <w:rsid w:val="4A692E25"/>
    <w:rsid w:val="4AE3085F"/>
    <w:rsid w:val="4BAE290A"/>
    <w:rsid w:val="4BEA749D"/>
    <w:rsid w:val="4E1563BE"/>
    <w:rsid w:val="4E175512"/>
    <w:rsid w:val="4E4E4FD9"/>
    <w:rsid w:val="4EC06308"/>
    <w:rsid w:val="4EE962C0"/>
    <w:rsid w:val="507922FF"/>
    <w:rsid w:val="51475CAE"/>
    <w:rsid w:val="5285772D"/>
    <w:rsid w:val="52FE4F45"/>
    <w:rsid w:val="55C07312"/>
    <w:rsid w:val="58BD382F"/>
    <w:rsid w:val="5970548F"/>
    <w:rsid w:val="59C62879"/>
    <w:rsid w:val="5A2C127B"/>
    <w:rsid w:val="5ADA2553"/>
    <w:rsid w:val="5B06501F"/>
    <w:rsid w:val="5B36499B"/>
    <w:rsid w:val="5BF54704"/>
    <w:rsid w:val="5CE95948"/>
    <w:rsid w:val="5D2D0ED7"/>
    <w:rsid w:val="5D435270"/>
    <w:rsid w:val="5D916D44"/>
    <w:rsid w:val="5ECB717A"/>
    <w:rsid w:val="5EF857BB"/>
    <w:rsid w:val="60535034"/>
    <w:rsid w:val="60AD6E79"/>
    <w:rsid w:val="60B54C12"/>
    <w:rsid w:val="62CD7AE2"/>
    <w:rsid w:val="63AF1CD9"/>
    <w:rsid w:val="645D7027"/>
    <w:rsid w:val="651B3110"/>
    <w:rsid w:val="65202904"/>
    <w:rsid w:val="65A96839"/>
    <w:rsid w:val="65DA4FEF"/>
    <w:rsid w:val="661D2EEC"/>
    <w:rsid w:val="688921F5"/>
    <w:rsid w:val="68B31E17"/>
    <w:rsid w:val="68E30BBD"/>
    <w:rsid w:val="6A3F04C8"/>
    <w:rsid w:val="6B257326"/>
    <w:rsid w:val="6B7B1AB7"/>
    <w:rsid w:val="6C351450"/>
    <w:rsid w:val="6C693483"/>
    <w:rsid w:val="6C820709"/>
    <w:rsid w:val="6CC63A54"/>
    <w:rsid w:val="6D200681"/>
    <w:rsid w:val="6D25417C"/>
    <w:rsid w:val="6D6B05E8"/>
    <w:rsid w:val="6D972E2F"/>
    <w:rsid w:val="6E2E70AB"/>
    <w:rsid w:val="6EA80DA5"/>
    <w:rsid w:val="6F3A65C3"/>
    <w:rsid w:val="6F453230"/>
    <w:rsid w:val="6F5F6082"/>
    <w:rsid w:val="6F6D277E"/>
    <w:rsid w:val="6FB8710C"/>
    <w:rsid w:val="6FD00713"/>
    <w:rsid w:val="703A2AF5"/>
    <w:rsid w:val="707A4752"/>
    <w:rsid w:val="70835F64"/>
    <w:rsid w:val="710C6403"/>
    <w:rsid w:val="71833F5E"/>
    <w:rsid w:val="71B2063B"/>
    <w:rsid w:val="72654CFD"/>
    <w:rsid w:val="731B1AE3"/>
    <w:rsid w:val="73CC3487"/>
    <w:rsid w:val="74463731"/>
    <w:rsid w:val="74615A56"/>
    <w:rsid w:val="759A3FF3"/>
    <w:rsid w:val="76215BE7"/>
    <w:rsid w:val="762B3F3F"/>
    <w:rsid w:val="76494835"/>
    <w:rsid w:val="767F6270"/>
    <w:rsid w:val="76A91466"/>
    <w:rsid w:val="7725519C"/>
    <w:rsid w:val="77F10CCF"/>
    <w:rsid w:val="78150D0B"/>
    <w:rsid w:val="78412A9E"/>
    <w:rsid w:val="784B4769"/>
    <w:rsid w:val="78E37D15"/>
    <w:rsid w:val="796D7E5D"/>
    <w:rsid w:val="7A061A0C"/>
    <w:rsid w:val="7A326E02"/>
    <w:rsid w:val="7A4C1398"/>
    <w:rsid w:val="7A6274BE"/>
    <w:rsid w:val="7AD97D7C"/>
    <w:rsid w:val="7AF36613"/>
    <w:rsid w:val="7B16458E"/>
    <w:rsid w:val="7B2976E4"/>
    <w:rsid w:val="7B9A6B3C"/>
    <w:rsid w:val="7B9E0813"/>
    <w:rsid w:val="7BC84BE9"/>
    <w:rsid w:val="7BF657B8"/>
    <w:rsid w:val="7C5D731B"/>
    <w:rsid w:val="7C695EE4"/>
    <w:rsid w:val="7CA44CF6"/>
    <w:rsid w:val="7D0146FE"/>
    <w:rsid w:val="7D071B33"/>
    <w:rsid w:val="7DEC6F98"/>
    <w:rsid w:val="7E920203"/>
    <w:rsid w:val="7ED42F74"/>
    <w:rsid w:val="7ED85102"/>
    <w:rsid w:val="7FE529CA"/>
    <w:rsid w:val="7FF8574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qFormat="1"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1"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qFormat="1"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3">
    <w:name w:val="heading 1"/>
    <w:basedOn w:val="1"/>
    <w:next w:val="1"/>
    <w:qFormat/>
    <w:uiPriority w:val="0"/>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9">
    <w:name w:val="Default Paragraph Font"/>
    <w:semiHidden/>
    <w:unhideWhenUsed/>
    <w:qFormat/>
    <w:uiPriority w:val="1"/>
  </w:style>
  <w:style w:type="table" w:default="1" w:styleId="17">
    <w:name w:val="Normal Table"/>
    <w:semiHidden/>
    <w:unhideWhenUsed/>
    <w:qFormat/>
    <w:uiPriority w:val="99"/>
    <w:tblPr>
      <w:tblCellMar>
        <w:top w:w="0" w:type="dxa"/>
        <w:left w:w="108" w:type="dxa"/>
        <w:bottom w:w="0" w:type="dxa"/>
        <w:right w:w="108" w:type="dxa"/>
      </w:tblCellMar>
    </w:tblPr>
  </w:style>
  <w:style w:type="paragraph" w:styleId="2">
    <w:name w:val="Normal Indent"/>
    <w:basedOn w:val="1"/>
    <w:next w:val="1"/>
    <w:qFormat/>
    <w:uiPriority w:val="0"/>
    <w:pPr>
      <w:spacing w:line="520" w:lineRule="atLeast"/>
      <w:ind w:firstLine="200"/>
    </w:pPr>
    <w:rPr>
      <w:sz w:val="28"/>
      <w:szCs w:val="21"/>
    </w:rPr>
  </w:style>
  <w:style w:type="paragraph" w:styleId="4">
    <w:name w:val="toa heading"/>
    <w:basedOn w:val="1"/>
    <w:next w:val="1"/>
    <w:qFormat/>
    <w:uiPriority w:val="0"/>
    <w:pPr>
      <w:spacing w:before="120" w:after="120" w:line="360" w:lineRule="auto"/>
      <w:ind w:firstLine="200" w:firstLineChars="200"/>
      <w:jc w:val="left"/>
    </w:pPr>
    <w:rPr>
      <w:sz w:val="24"/>
      <w:u w:val="single"/>
    </w:rPr>
  </w:style>
  <w:style w:type="paragraph" w:styleId="5">
    <w:name w:val="Body Text"/>
    <w:basedOn w:val="1"/>
    <w:next w:val="6"/>
    <w:autoRedefine/>
    <w:qFormat/>
    <w:uiPriority w:val="0"/>
    <w:pPr>
      <w:spacing w:after="120"/>
    </w:pPr>
    <w:rPr>
      <w:szCs w:val="20"/>
    </w:rPr>
  </w:style>
  <w:style w:type="paragraph" w:styleId="6">
    <w:name w:val="List Bullet 5"/>
    <w:basedOn w:val="1"/>
    <w:qFormat/>
    <w:uiPriority w:val="0"/>
    <w:pPr>
      <w:numPr>
        <w:ilvl w:val="0"/>
        <w:numId w:val="1"/>
      </w:numPr>
    </w:pPr>
  </w:style>
  <w:style w:type="paragraph" w:styleId="7">
    <w:name w:val="Body Text Indent"/>
    <w:basedOn w:val="1"/>
    <w:next w:val="8"/>
    <w:qFormat/>
    <w:uiPriority w:val="0"/>
    <w:pPr>
      <w:ind w:firstLine="560" w:firstLineChars="200"/>
    </w:pPr>
    <w:rPr>
      <w:rFonts w:ascii="华文楷体" w:hAnsi="华文楷体" w:eastAsia="华文楷体"/>
      <w:sz w:val="28"/>
    </w:rPr>
  </w:style>
  <w:style w:type="paragraph" w:styleId="8">
    <w:name w:val="Body Text Indent 2"/>
    <w:basedOn w:val="1"/>
    <w:next w:val="4"/>
    <w:qFormat/>
    <w:uiPriority w:val="0"/>
    <w:pPr>
      <w:spacing w:after="120" w:line="480" w:lineRule="auto"/>
      <w:ind w:left="420" w:leftChars="200"/>
    </w:pPr>
    <w:rPr>
      <w:sz w:val="24"/>
      <w:szCs w:val="20"/>
    </w:rPr>
  </w:style>
  <w:style w:type="paragraph" w:styleId="9">
    <w:name w:val="footer"/>
    <w:basedOn w:val="1"/>
    <w:link w:val="25"/>
    <w:qFormat/>
    <w:uiPriority w:val="0"/>
    <w:pPr>
      <w:tabs>
        <w:tab w:val="center" w:pos="4153"/>
        <w:tab w:val="right" w:pos="8306"/>
      </w:tabs>
      <w:snapToGrid w:val="0"/>
      <w:jc w:val="left"/>
    </w:pPr>
    <w:rPr>
      <w:sz w:val="18"/>
      <w:szCs w:val="18"/>
    </w:rPr>
  </w:style>
  <w:style w:type="paragraph" w:styleId="10">
    <w:name w:val="header"/>
    <w:basedOn w:val="1"/>
    <w:next w:val="11"/>
    <w:link w:val="24"/>
    <w:qFormat/>
    <w:uiPriority w:val="0"/>
    <w:pPr>
      <w:tabs>
        <w:tab w:val="center" w:pos="4153"/>
        <w:tab w:val="right" w:pos="8306"/>
      </w:tabs>
      <w:snapToGrid w:val="0"/>
      <w:jc w:val="center"/>
    </w:pPr>
    <w:rPr>
      <w:sz w:val="18"/>
      <w:szCs w:val="18"/>
    </w:rPr>
  </w:style>
  <w:style w:type="paragraph" w:customStyle="1" w:styleId="11">
    <w:name w:val="样式5"/>
    <w:basedOn w:val="12"/>
    <w:qFormat/>
    <w:uiPriority w:val="0"/>
    <w:pPr>
      <w:tabs>
        <w:tab w:val="center" w:pos="0"/>
        <w:tab w:val="left" w:pos="1440"/>
        <w:tab w:val="left" w:pos="1765"/>
      </w:tabs>
      <w:snapToGrid w:val="0"/>
      <w:spacing w:line="360" w:lineRule="auto"/>
      <w:ind w:firstLine="510"/>
    </w:pPr>
  </w:style>
  <w:style w:type="paragraph" w:customStyle="1" w:styleId="12">
    <w:name w:val="正文1"/>
    <w:basedOn w:val="1"/>
    <w:next w:val="1"/>
    <w:qFormat/>
    <w:uiPriority w:val="0"/>
    <w:pPr>
      <w:numPr>
        <w:ilvl w:val="0"/>
        <w:numId w:val="2"/>
      </w:numPr>
      <w:tabs>
        <w:tab w:val="left" w:pos="1440"/>
        <w:tab w:val="clear" w:pos="1765"/>
      </w:tabs>
      <w:spacing w:line="440" w:lineRule="exact"/>
      <w:ind w:left="0" w:firstLine="540"/>
    </w:pPr>
    <w:rPr>
      <w:rFonts w:eastAsia="黑体"/>
      <w:sz w:val="24"/>
      <w:lang w:val="zh-CN"/>
    </w:rPr>
  </w:style>
  <w:style w:type="paragraph" w:styleId="13">
    <w:name w:val="Normal (Web)"/>
    <w:basedOn w:val="1"/>
    <w:autoRedefine/>
    <w:qFormat/>
    <w:uiPriority w:val="0"/>
    <w:pPr>
      <w:spacing w:beforeAutospacing="1" w:afterAutospacing="1"/>
      <w:jc w:val="left"/>
    </w:pPr>
    <w:rPr>
      <w:rFonts w:cs="Times New Roman"/>
      <w:kern w:val="0"/>
      <w:sz w:val="24"/>
    </w:rPr>
  </w:style>
  <w:style w:type="paragraph" w:styleId="14">
    <w:name w:val="Title"/>
    <w:basedOn w:val="1"/>
    <w:qFormat/>
    <w:uiPriority w:val="1"/>
    <w:pPr>
      <w:ind w:left="509" w:right="655"/>
      <w:jc w:val="center"/>
    </w:pPr>
    <w:rPr>
      <w:rFonts w:ascii="宋体" w:hAnsi="宋体" w:eastAsia="宋体" w:cs="宋体"/>
      <w:b/>
      <w:bCs/>
      <w:sz w:val="36"/>
      <w:szCs w:val="36"/>
    </w:rPr>
  </w:style>
  <w:style w:type="paragraph" w:styleId="15">
    <w:name w:val="Body Text First Indent"/>
    <w:basedOn w:val="5"/>
    <w:next w:val="1"/>
    <w:autoRedefine/>
    <w:qFormat/>
    <w:uiPriority w:val="0"/>
    <w:pPr>
      <w:ind w:firstLine="420" w:firstLineChars="100"/>
    </w:pPr>
    <w:rPr>
      <w:szCs w:val="24"/>
    </w:rPr>
  </w:style>
  <w:style w:type="paragraph" w:styleId="16">
    <w:name w:val="Body Text First Indent 2"/>
    <w:basedOn w:val="1"/>
    <w:next w:val="1"/>
    <w:qFormat/>
    <w:uiPriority w:val="0"/>
    <w:pPr>
      <w:spacing w:after="120" w:afterLines="0" w:line="240" w:lineRule="auto"/>
      <w:ind w:left="420" w:leftChars="200" w:firstLine="420" w:firstLineChars="200"/>
    </w:pPr>
    <w:rPr>
      <w:spacing w:val="0"/>
      <w:sz w:val="28"/>
    </w:rPr>
  </w:style>
  <w:style w:type="table" w:styleId="18">
    <w:name w:val="Table Grid"/>
    <w:basedOn w:val="17"/>
    <w:autoRedefine/>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0">
    <w:name w:val="Strong"/>
    <w:basedOn w:val="19"/>
    <w:autoRedefine/>
    <w:qFormat/>
    <w:uiPriority w:val="0"/>
    <w:rPr>
      <w:b/>
    </w:rPr>
  </w:style>
  <w:style w:type="character" w:styleId="21">
    <w:name w:val="FollowedHyperlink"/>
    <w:basedOn w:val="19"/>
    <w:autoRedefine/>
    <w:qFormat/>
    <w:uiPriority w:val="0"/>
    <w:rPr>
      <w:color w:val="000000"/>
      <w:sz w:val="18"/>
      <w:szCs w:val="18"/>
      <w:u w:val="none"/>
    </w:rPr>
  </w:style>
  <w:style w:type="character" w:styleId="22">
    <w:name w:val="Hyperlink"/>
    <w:basedOn w:val="19"/>
    <w:autoRedefine/>
    <w:qFormat/>
    <w:uiPriority w:val="0"/>
    <w:rPr>
      <w:color w:val="000000"/>
      <w:sz w:val="18"/>
      <w:szCs w:val="18"/>
      <w:u w:val="none"/>
    </w:rPr>
  </w:style>
  <w:style w:type="paragraph" w:customStyle="1" w:styleId="23">
    <w:name w:val="Default"/>
    <w:autoRedefine/>
    <w:qFormat/>
    <w:uiPriority w:val="0"/>
    <w:pPr>
      <w:widowControl w:val="0"/>
      <w:autoSpaceDE w:val="0"/>
      <w:autoSpaceDN w:val="0"/>
      <w:adjustRightInd w:val="0"/>
    </w:pPr>
    <w:rPr>
      <w:rFonts w:ascii="宋体" w:hAnsi="Times New Roman" w:eastAsia="宋体" w:cs="宋体"/>
      <w:color w:val="000000"/>
      <w:sz w:val="24"/>
      <w:szCs w:val="24"/>
      <w:lang w:val="en-US" w:eastAsia="zh-CN" w:bidi="ar-SA"/>
    </w:rPr>
  </w:style>
  <w:style w:type="character" w:customStyle="1" w:styleId="24">
    <w:name w:val="页眉 字符"/>
    <w:basedOn w:val="19"/>
    <w:link w:val="10"/>
    <w:qFormat/>
    <w:uiPriority w:val="0"/>
    <w:rPr>
      <w:rFonts w:asciiTheme="minorHAnsi" w:hAnsiTheme="minorHAnsi" w:eastAsiaTheme="minorEastAsia" w:cstheme="minorBidi"/>
      <w:kern w:val="2"/>
      <w:sz w:val="18"/>
      <w:szCs w:val="18"/>
    </w:rPr>
  </w:style>
  <w:style w:type="character" w:customStyle="1" w:styleId="25">
    <w:name w:val="页脚 字符"/>
    <w:basedOn w:val="19"/>
    <w:link w:val="9"/>
    <w:qFormat/>
    <w:uiPriority w:val="0"/>
    <w:rPr>
      <w:rFonts w:asciiTheme="minorHAnsi" w:hAnsiTheme="minorHAnsi" w:eastAsiaTheme="minorEastAsia" w:cstheme="minorBidi"/>
      <w:kern w:val="2"/>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Pages>
  <Words>453</Words>
  <Characters>539</Characters>
  <Lines>1</Lines>
  <Paragraphs>1</Paragraphs>
  <TotalTime>2</TotalTime>
  <ScaleCrop>false</ScaleCrop>
  <LinksUpToDate>false</LinksUpToDate>
  <CharactersWithSpaces>539</CharactersWithSpaces>
  <Application>WPS Office_12.1.0.21915_F1E327BC-269C-435d-A152-05C5408002CA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2020-01-11T07:31:00Z</dcterms:created>
  <dc:creator>Lenovo</dc:creator>
  <cp:lastModifiedBy>fhj</cp:lastModifiedBy>
  <dcterms:modified xsi:type="dcterms:W3CDTF">2025-08-18T03:17:21Z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2052-12.1.0.21915</vt:lpwstr>
  </property>
  <property fmtid="{D5CDD505-2E9C-101B-9397-08002B2CF9AE}" pid="3" name="ICV">
    <vt:lpwstr>65996E502E0F47C1AA674F8376CAD595_13</vt:lpwstr>
  </property>
  <property fmtid="{D5CDD505-2E9C-101B-9397-08002B2CF9AE}" pid="4" name="KSOTemplateDocerSaveRecord">
    <vt:lpwstr>eyJoZGlkIjoiNWQ4NmQ3YmJmY2ZiNjk4NjZjZjhlMzgyZDBkN2YwYzIifQ==</vt:lpwstr>
  </property>
</Properties>
</file>